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9F" w:rsidRDefault="0070009F" w:rsidP="0070009F">
      <w:pPr>
        <w:spacing w:line="60" w:lineRule="exact"/>
        <w:rPr>
          <w:lang w:val="en-US"/>
        </w:rPr>
        <w:sectPr w:rsidR="0070009F" w:rsidSect="007000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1pt;margin-top:682pt;width:57.9pt;height:57.9pt;z-index:1;mso-position-horizontal-relative:page;mso-position-vertical-relative:page" o:preferrelative="f">
            <v:imagedata r:id="rId13" o:title="4-6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E053B8" w:rsidRPr="00E053B8" w:rsidRDefault="00E053B8" w:rsidP="00E053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E174A">
        <w:t>Комитет по ликвидации дискриминации</w:t>
      </w:r>
      <w:r w:rsidRPr="00AE174A">
        <w:br/>
        <w:t>в отношении женщин</w:t>
      </w:r>
    </w:p>
    <w:p w:rsidR="00E053B8" w:rsidRPr="00E053B8" w:rsidRDefault="00E053B8" w:rsidP="00E053B8">
      <w:pPr>
        <w:pStyle w:val="SingleTxt"/>
        <w:spacing w:after="0" w:line="120" w:lineRule="exact"/>
        <w:rPr>
          <w:b/>
          <w:sz w:val="10"/>
        </w:rPr>
      </w:pPr>
    </w:p>
    <w:p w:rsidR="00E053B8" w:rsidRPr="00E053B8" w:rsidRDefault="00E053B8" w:rsidP="00E053B8">
      <w:pPr>
        <w:pStyle w:val="SingleTxt"/>
        <w:spacing w:after="0" w:line="120" w:lineRule="exact"/>
        <w:rPr>
          <w:b/>
          <w:sz w:val="10"/>
        </w:rPr>
      </w:pPr>
    </w:p>
    <w:p w:rsidR="00E053B8" w:rsidRPr="00E053B8" w:rsidRDefault="00E053B8" w:rsidP="00E053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53B8">
        <w:tab/>
      </w:r>
      <w:r w:rsidRPr="00E053B8">
        <w:tab/>
        <w:t>Перечень вопросов, касающихся объединенных четвертого, пятого и шестого периодических докладов Ирака</w:t>
      </w:r>
      <w:r w:rsidRPr="00E053B8">
        <w:rPr>
          <w:rStyle w:val="FootnoteReference"/>
          <w:b w:val="0"/>
          <w:sz w:val="20"/>
        </w:rPr>
        <w:footnoteReference w:customMarkFollows="1" w:id="1"/>
        <w:t>*</w:t>
      </w:r>
    </w:p>
    <w:p w:rsidR="00E053B8" w:rsidRPr="00E053B8" w:rsidRDefault="00E053B8" w:rsidP="00E053B8">
      <w:pPr>
        <w:pStyle w:val="SingleTxt"/>
        <w:spacing w:after="0" w:line="120" w:lineRule="exact"/>
        <w:rPr>
          <w:sz w:val="10"/>
        </w:rPr>
      </w:pPr>
    </w:p>
    <w:p w:rsidR="00E053B8" w:rsidRPr="00E053B8" w:rsidRDefault="00E053B8" w:rsidP="00E053B8">
      <w:pPr>
        <w:pStyle w:val="SingleTxt"/>
        <w:spacing w:after="0" w:line="120" w:lineRule="exact"/>
        <w:rPr>
          <w:sz w:val="10"/>
        </w:rPr>
      </w:pPr>
    </w:p>
    <w:p w:rsidR="00E053B8" w:rsidRDefault="00E053B8" w:rsidP="00E053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053B8">
        <w:tab/>
      </w:r>
      <w:r w:rsidRPr="00E053B8">
        <w:tab/>
        <w:t>Общий контекст</w:t>
      </w:r>
    </w:p>
    <w:p w:rsidR="00E053B8" w:rsidRPr="00E053B8" w:rsidRDefault="00E053B8" w:rsidP="00E053B8">
      <w:pPr>
        <w:pStyle w:val="SingleTxt"/>
        <w:spacing w:after="0" w:line="120" w:lineRule="exact"/>
        <w:rPr>
          <w:sz w:val="10"/>
          <w:lang w:val="en-US"/>
        </w:rPr>
      </w:pPr>
    </w:p>
    <w:p w:rsidR="00E053B8" w:rsidRPr="00E053B8" w:rsidRDefault="00E053B8" w:rsidP="00E053B8">
      <w:pPr>
        <w:pStyle w:val="SingleTxt"/>
        <w:spacing w:after="0" w:line="120" w:lineRule="exact"/>
        <w:rPr>
          <w:sz w:val="10"/>
          <w:lang w:val="en-US"/>
        </w:rPr>
      </w:pPr>
    </w:p>
    <w:p w:rsidR="00E053B8" w:rsidRPr="00E053B8" w:rsidRDefault="00E053B8" w:rsidP="00E053B8">
      <w:pPr>
        <w:pStyle w:val="SingleTxt"/>
      </w:pPr>
      <w:r w:rsidRPr="00E053B8">
        <w:t>1.</w:t>
      </w:r>
      <w:r w:rsidRPr="00E053B8">
        <w:tab/>
        <w:t>Государство-участник переживает трудные времена, отмеченные полит</w:t>
      </w:r>
      <w:r w:rsidRPr="00E053B8">
        <w:t>и</w:t>
      </w:r>
      <w:r w:rsidRPr="00E053B8">
        <w:t>ческой нестабильностью и отсутствием безопасности после падения прежнего режима и прекращения в 2003 году действия режима санкций, и все это сп</w:t>
      </w:r>
      <w:r w:rsidRPr="00E053B8">
        <w:t>о</w:t>
      </w:r>
      <w:r w:rsidRPr="00E053B8">
        <w:t>собствовало продолжению насилия и дискриминации в отношении женщин и девочек. Просьба представить информацию о мерах, принятых для обеспеч</w:t>
      </w:r>
      <w:r w:rsidRPr="00E053B8">
        <w:t>е</w:t>
      </w:r>
      <w:r w:rsidRPr="00E053B8">
        <w:t>ния соблюдения верховенства права на всей территории государства-участника и устранения негативных последствий насильственного перемещения и межр</w:t>
      </w:r>
      <w:r w:rsidRPr="00E053B8">
        <w:t>е</w:t>
      </w:r>
      <w:r w:rsidRPr="00E053B8">
        <w:t>лигиозного насилия для благополучия женщин и осуществления ими своих прав (пункты 16, 17, 23)</w:t>
      </w:r>
      <w:r w:rsidRPr="00E053B8">
        <w:rPr>
          <w:rStyle w:val="FootnoteReference"/>
        </w:rPr>
        <w:footnoteReference w:id="2"/>
      </w:r>
      <w:r w:rsidRPr="00E053B8">
        <w:t>. В чем заключается план по восстановлению прав</w:t>
      </w:r>
      <w:r w:rsidRPr="00E053B8">
        <w:t>о</w:t>
      </w:r>
      <w:r w:rsidRPr="00E053B8">
        <w:t>порядка?</w:t>
      </w:r>
    </w:p>
    <w:p w:rsidR="00E053B8" w:rsidRPr="00E053B8" w:rsidRDefault="00E053B8" w:rsidP="00E053B8">
      <w:pPr>
        <w:pStyle w:val="SingleTxt"/>
      </w:pPr>
      <w:r w:rsidRPr="00E053B8">
        <w:t>2.</w:t>
      </w:r>
      <w:r w:rsidRPr="00E053B8">
        <w:tab/>
        <w:t>Просьба представить информацию о мерах, принятых для учета генде</w:t>
      </w:r>
      <w:r w:rsidRPr="00E053B8">
        <w:t>р</w:t>
      </w:r>
      <w:r w:rsidRPr="00E053B8">
        <w:t>ных аспектов в рамках процесса национального примирения и обеспечения эффективного участия в нем женских организаций. Просьба указать, как гос</w:t>
      </w:r>
      <w:r w:rsidRPr="00E053B8">
        <w:t>у</w:t>
      </w:r>
      <w:r w:rsidRPr="00E053B8">
        <w:t>дарство-участник гарантирует участие женщин в политическом и экономич</w:t>
      </w:r>
      <w:r w:rsidRPr="00E053B8">
        <w:t>е</w:t>
      </w:r>
      <w:r w:rsidRPr="00E053B8">
        <w:t xml:space="preserve">ском восстановлении страны в соответствии с резолюцией </w:t>
      </w:r>
      <w:hyperlink r:id="rId15" w:history="1">
        <w:r w:rsidRPr="00E053B8">
          <w:rPr>
            <w:rStyle w:val="Hyperlink"/>
          </w:rPr>
          <w:t>1325 (2000)</w:t>
        </w:r>
      </w:hyperlink>
      <w:r w:rsidRPr="00E053B8">
        <w:t xml:space="preserve"> Совета Безопасности и других соответствующих резолюций, таких как </w:t>
      </w:r>
      <w:hyperlink r:id="rId16" w:history="1">
        <w:r w:rsidRPr="00E053B8">
          <w:rPr>
            <w:rStyle w:val="Hyperlink"/>
          </w:rPr>
          <w:t>1820 (2008)</w:t>
        </w:r>
      </w:hyperlink>
      <w:r w:rsidRPr="00E053B8">
        <w:t xml:space="preserve">, </w:t>
      </w:r>
      <w:hyperlink r:id="rId17" w:history="1">
        <w:r w:rsidRPr="00E053B8">
          <w:rPr>
            <w:rStyle w:val="Hyperlink"/>
          </w:rPr>
          <w:t>1888 (2009)</w:t>
        </w:r>
      </w:hyperlink>
      <w:r w:rsidRPr="00E053B8">
        <w:t xml:space="preserve">, 1889 ( 2009), </w:t>
      </w:r>
      <w:hyperlink r:id="rId18" w:history="1">
        <w:r w:rsidRPr="00E053B8">
          <w:rPr>
            <w:rStyle w:val="Hyperlink"/>
          </w:rPr>
          <w:t>1960 (2010)</w:t>
        </w:r>
      </w:hyperlink>
      <w:r w:rsidRPr="00E053B8">
        <w:t xml:space="preserve"> и </w:t>
      </w:r>
      <w:hyperlink r:id="rId19" w:history="1">
        <w:r w:rsidRPr="00E053B8">
          <w:rPr>
            <w:rStyle w:val="Hyperlink"/>
          </w:rPr>
          <w:t>2106 (2013)</w:t>
        </w:r>
      </w:hyperlink>
      <w:r w:rsidRPr="00E053B8">
        <w:t>. Просьба также указать принятые меры по утверждению национального плана действий по выполн</w:t>
      </w:r>
      <w:r w:rsidRPr="00E053B8">
        <w:t>е</w:t>
      </w:r>
      <w:r w:rsidRPr="00E053B8">
        <w:t xml:space="preserve">нию резолюции </w:t>
      </w:r>
      <w:hyperlink r:id="rId20" w:history="1">
        <w:r w:rsidRPr="00E053B8">
          <w:rPr>
            <w:rStyle w:val="Hyperlink"/>
          </w:rPr>
          <w:t>1325 (2000)</w:t>
        </w:r>
      </w:hyperlink>
      <w:r>
        <w:t xml:space="preserve"> Совета Безопасности.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Оговорки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t>3.</w:t>
      </w:r>
      <w:r w:rsidRPr="00E053B8">
        <w:tab/>
        <w:t>Просьба уточнить, принят ли парламентом законопроект 2009 года с предложением снять оговорку государства-участника к статье 9 Конвенции (пункт 127).</w:t>
      </w:r>
      <w:r w:rsidRPr="00E053B8">
        <w:rPr>
          <w:b/>
        </w:rPr>
        <w:t xml:space="preserve"> </w:t>
      </w:r>
      <w:r w:rsidRPr="00E053B8">
        <w:t xml:space="preserve">Просьба также представить информацию о принятых мерах по снятию других оговорок к Конвенции, а именно к статьям 2 f) и g) и 16.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Конституционная и законодательная основа</w:t>
      </w:r>
    </w:p>
    <w:p w:rsidR="00E053B8" w:rsidRPr="00E053B8" w:rsidRDefault="00E053B8" w:rsidP="00E053B8">
      <w:pPr>
        <w:pStyle w:val="SingleTxt"/>
      </w:pPr>
      <w:r w:rsidRPr="00E053B8">
        <w:t>4.</w:t>
      </w:r>
      <w:r w:rsidRPr="00E053B8">
        <w:tab/>
        <w:t>В докладе упоминается федеральный характер государства-участника (пункт 50). Просьба уточнить, какие сектора были переданы региональным властям, и указать, каким образом государство-участник обеспечивает, чтобы законодательство и другие нормативные акты на федеральном и региональном уровнях приводились в соответствие с положениями Конвенции.</w:t>
      </w:r>
    </w:p>
    <w:p w:rsidR="00E053B8" w:rsidRPr="00E053B8" w:rsidRDefault="00E053B8" w:rsidP="00E053B8">
      <w:pPr>
        <w:pStyle w:val="SingleTxt"/>
      </w:pPr>
      <w:r w:rsidRPr="00E053B8">
        <w:t>5.</w:t>
      </w:r>
      <w:r w:rsidRPr="00E053B8">
        <w:tab/>
        <w:t>В докладе отмечается, что статья 14 конституции государства-участника гарантирует соблюдение принципа равенства и недискриминации в отношении всех своих граждан (пункт 48). Просьба указать, предусматривает ли госуда</w:t>
      </w:r>
      <w:r w:rsidRPr="00E053B8">
        <w:t>р</w:t>
      </w:r>
      <w:r w:rsidRPr="00E053B8">
        <w:t>ство-участник принятие на федеральном уровне законодательства, запреща</w:t>
      </w:r>
      <w:r w:rsidRPr="00E053B8">
        <w:t>ю</w:t>
      </w:r>
      <w:r w:rsidRPr="00E053B8">
        <w:t>щего в соответствии со статьями 1 и 2 Конвенции дискриминацию в отнош</w:t>
      </w:r>
      <w:r w:rsidRPr="00E053B8">
        <w:t>е</w:t>
      </w:r>
      <w:r w:rsidRPr="00E053B8">
        <w:t>нии женщин. Просьба также указать принятые меры в связи со статьей 41 ко</w:t>
      </w:r>
      <w:r w:rsidRPr="00E053B8">
        <w:t>н</w:t>
      </w:r>
      <w:r w:rsidRPr="00E053B8">
        <w:t>ституции, которая противоречит статье 14 и закону о гражданском статусе ли</w:t>
      </w:r>
      <w:r w:rsidRPr="00E053B8">
        <w:t>ч</w:t>
      </w:r>
      <w:r w:rsidRPr="00E053B8">
        <w:t>ности (1959 года). Просьба также представить обновленную информацию о положении дел с выполнением рекомендаций министерства по правам человека в отношении отмены правил, которые накладывают ограничения на поездки женщин, что противоречит статье 44 конституции (пункт 207). Просьба соо</w:t>
      </w:r>
      <w:r w:rsidRPr="00E053B8">
        <w:t>б</w:t>
      </w:r>
      <w:r w:rsidRPr="00E053B8">
        <w:t>щить о принятых или предусмотренных мерах по отмене ныне действующих дискриминационных положений в отношении женщин в законодательстве г</w:t>
      </w:r>
      <w:r w:rsidRPr="00E053B8">
        <w:t>о</w:t>
      </w:r>
      <w:r w:rsidRPr="00E053B8">
        <w:t xml:space="preserve">сударства-участника, таких как статьи 41, 377, 380, 398, 409 и 427 уголовного кодекса (пункт 61).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Доступ к правосудию и женщины в местах лишения свободы</w:t>
      </w:r>
    </w:p>
    <w:p w:rsidR="00E053B8" w:rsidRPr="00E053B8" w:rsidRDefault="00E053B8" w:rsidP="00E053B8">
      <w:pPr>
        <w:pStyle w:val="SingleTxt"/>
      </w:pPr>
      <w:r w:rsidRPr="00E053B8">
        <w:t>6.</w:t>
      </w:r>
      <w:r w:rsidRPr="00E053B8">
        <w:tab/>
        <w:t>В докладе говорится, что в государстве-участнике растет число женщин, арестованных и осужденных по таким обвинениям, как терроризм, похищение людей и проституция (пункты 24, 88, 89). Просьба представить информацию о том, как государство-участник обеспечивает эффективный доступ женщин к правосудию, а также их право на справедливое судебное разбирательство. Просьба указать меры, обеспечивающие женщинам доступ к юридической п</w:t>
      </w:r>
      <w:r w:rsidRPr="00E053B8">
        <w:t>о</w:t>
      </w:r>
      <w:r w:rsidRPr="00E053B8">
        <w:t>мощи и юридическому представительству в суде. Просьба представить обно</w:t>
      </w:r>
      <w:r w:rsidRPr="00E053B8">
        <w:t>в</w:t>
      </w:r>
      <w:r w:rsidRPr="00E053B8">
        <w:t>ленные данные о количестве женщин, находящихся в предварительном закл</w:t>
      </w:r>
      <w:r w:rsidRPr="00E053B8">
        <w:t>ю</w:t>
      </w:r>
      <w:r w:rsidRPr="00E053B8">
        <w:t>чении и под стражей в разбивке по возрасту. Просьба указать количество же</w:t>
      </w:r>
      <w:r w:rsidRPr="00E053B8">
        <w:t>н</w:t>
      </w:r>
      <w:r w:rsidRPr="00E053B8">
        <w:t>щин, отбывающих тюремные сроки за проституцию, терроризм, похищение людей или покушения на национальную безопасность, и уточнить, был ли кто-либо из них казнен или приговорен к смертной казни. Просьба разъяснить о</w:t>
      </w:r>
      <w:r w:rsidRPr="00E053B8">
        <w:t>с</w:t>
      </w:r>
      <w:r w:rsidRPr="00E053B8">
        <w:t>нования, на которых человек может быть приговорен к смертной казни, и ук</w:t>
      </w:r>
      <w:r w:rsidRPr="00E053B8">
        <w:t>а</w:t>
      </w:r>
      <w:r w:rsidRPr="00E053B8">
        <w:t>зать, планирует ли государство-участник отменить смертную казнь. Просьба представить информацию о количестве женщин в местах заключения в гос</w:t>
      </w:r>
      <w:r w:rsidRPr="00E053B8">
        <w:t>у</w:t>
      </w:r>
      <w:r w:rsidRPr="00E053B8">
        <w:t xml:space="preserve">дарстве-участнике и об условиях их содержания.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Национальный механизм по улучшению положения женщин</w:t>
      </w:r>
    </w:p>
    <w:p w:rsidR="00E053B8" w:rsidRPr="00E053B8" w:rsidRDefault="00E053B8" w:rsidP="00E053B8">
      <w:pPr>
        <w:pStyle w:val="SingleTxt"/>
      </w:pPr>
      <w:r w:rsidRPr="00E053B8">
        <w:t>7.</w:t>
      </w:r>
      <w:r w:rsidRPr="00E053B8">
        <w:tab/>
        <w:t>Просьба представить информацию о состоянии законопроекта, которым предусматривается предоставление государственному министерству по делам женщин полноценного министерского портфеля (пункт 69). Просьба также указать принятые и реализуемые соответствующими государственными ведо</w:t>
      </w:r>
      <w:r w:rsidRPr="00E053B8">
        <w:t>м</w:t>
      </w:r>
      <w:r w:rsidRPr="00E053B8">
        <w:t>ствами меры по обеспечению выполнения рекомендаций отраслевой комиссии под председательством государственного министерства по делам женщин, н</w:t>
      </w:r>
      <w:r w:rsidRPr="00E053B8">
        <w:t>а</w:t>
      </w:r>
      <w:r w:rsidRPr="00E053B8">
        <w:t>правленных на улучшение положения женщин (пункт 34). Просьба уточнить, создали ли другие регионы, помимо Курдистана, где учрежден Верховный с</w:t>
      </w:r>
      <w:r w:rsidRPr="00E053B8">
        <w:t>о</w:t>
      </w:r>
      <w:r w:rsidRPr="00E053B8">
        <w:t>вет по делам женщин (пункт 46), свои собственные механизмы по улучшению положения женщин, а также разъяснить процедуры координации действий м</w:t>
      </w:r>
      <w:r w:rsidRPr="00E053B8">
        <w:t>е</w:t>
      </w:r>
      <w:r w:rsidRPr="00E053B8">
        <w:t xml:space="preserve">жду ними и государственным министерством по делам женщин.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Временные специальные меры</w:t>
      </w:r>
    </w:p>
    <w:p w:rsidR="00E053B8" w:rsidRPr="00E053B8" w:rsidRDefault="00E053B8" w:rsidP="00E053B8">
      <w:pPr>
        <w:pStyle w:val="SingleTxt"/>
      </w:pPr>
      <w:r w:rsidRPr="00E053B8">
        <w:t>8.</w:t>
      </w:r>
      <w:r w:rsidRPr="00E053B8">
        <w:tab/>
        <w:t xml:space="preserve">Просьба представить подробную информацию о временных специальных мерах, принятых в целях ускорения достижения цели фактического равенства между мужчинами и женщинами во всех областях, охватываемых Конвенцией, в частности в сфере образования, занятости и участия женщин в политической и общественной жизни.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Стереотипы и вредная практика</w:t>
      </w:r>
    </w:p>
    <w:p w:rsidR="00E053B8" w:rsidRPr="00E053B8" w:rsidRDefault="00E053B8" w:rsidP="00E053B8">
      <w:pPr>
        <w:pStyle w:val="SingleTxt"/>
      </w:pPr>
      <w:r w:rsidRPr="00E053B8">
        <w:t>9.</w:t>
      </w:r>
      <w:r w:rsidRPr="00E053B8">
        <w:tab/>
        <w:t>В докладе признается стереотипный образ женщин в иракском обществе, роль которых сводится к рождению и воспитанию детей, а также культурные традиции, согласно которым женщины считаются находящимися в подчине</w:t>
      </w:r>
      <w:r w:rsidRPr="00E053B8">
        <w:t>н</w:t>
      </w:r>
      <w:r w:rsidRPr="00E053B8">
        <w:t>ном положении по отношению к мужчинам (пункты 77 и 80). Просьба предст</w:t>
      </w:r>
      <w:r w:rsidRPr="00E053B8">
        <w:t>а</w:t>
      </w:r>
      <w:r w:rsidRPr="00E053B8">
        <w:t>вить информацию о принятых и запланированных мерах для изменения этих негативных стереотипов и культурных традиций, с тем чтобы добиться факт</w:t>
      </w:r>
      <w:r w:rsidRPr="00E053B8">
        <w:t>и</w:t>
      </w:r>
      <w:r w:rsidRPr="00E053B8">
        <w:t>ческого равенства между мужчинами и женщинами во всех сферах жизни.</w:t>
      </w:r>
    </w:p>
    <w:p w:rsidR="00E053B8" w:rsidRPr="00E053B8" w:rsidRDefault="00E053B8" w:rsidP="00E053B8">
      <w:pPr>
        <w:pStyle w:val="SingleTxt"/>
      </w:pPr>
      <w:r w:rsidRPr="00E053B8">
        <w:t>10.</w:t>
      </w:r>
      <w:r w:rsidRPr="00E053B8">
        <w:tab/>
        <w:t>В свете пункта 79 доклада просьба представить информацию о мерах, принятых для предотвращения убийств женщин в целях так называемой защ</w:t>
      </w:r>
      <w:r w:rsidRPr="00E053B8">
        <w:t>и</w:t>
      </w:r>
      <w:r w:rsidRPr="00E053B8">
        <w:t>ты чести во всех регионах государства-участника и для наказания за них. Просьба представить данные о количестве таких случаев, зарегистрированных с 2010 по 2013 год, в том числе о количестве осужденных и о вынесенных пр</w:t>
      </w:r>
      <w:r w:rsidRPr="00E053B8">
        <w:t>и</w:t>
      </w:r>
      <w:r w:rsidRPr="00E053B8">
        <w:t>говорах. Просьба указать, планирует ли государство-участник отменить пол</w:t>
      </w:r>
      <w:r w:rsidRPr="00E053B8">
        <w:t>о</w:t>
      </w:r>
      <w:r w:rsidRPr="00E053B8">
        <w:t>жения уголовного кодекса, согласно которым защита "чести" принимаются в качестве смягчающего обстоятельства в случаях преступлений в целях так н</w:t>
      </w:r>
      <w:r w:rsidRPr="00E053B8">
        <w:t>а</w:t>
      </w:r>
      <w:r w:rsidRPr="00E053B8">
        <w:t>зываемой защиты чести. Просьба также указать принятые в Курдистане меры в отношении случаев, когда смерть женщин представлялась как несчастный сл</w:t>
      </w:r>
      <w:r w:rsidRPr="00E053B8">
        <w:t>у</w:t>
      </w:r>
      <w:r w:rsidRPr="00E053B8">
        <w:t>чай (самосожжение), с тем избежать уголовного преследования преступников, о чем говорится в пункте 74.</w:t>
      </w:r>
    </w:p>
    <w:p w:rsidR="00E053B8" w:rsidRPr="00E053B8" w:rsidRDefault="00E053B8" w:rsidP="00E053B8">
      <w:pPr>
        <w:pStyle w:val="SingleTxt"/>
      </w:pPr>
      <w:r w:rsidRPr="00E053B8">
        <w:t>11.</w:t>
      </w:r>
      <w:r w:rsidRPr="00E053B8">
        <w:tab/>
        <w:t>Просьба представить информацию о распространенности случаев калеч</w:t>
      </w:r>
      <w:r w:rsidRPr="00E053B8">
        <w:t>е</w:t>
      </w:r>
      <w:r w:rsidRPr="00E053B8">
        <w:t>ния женских гениталий и принятых мерах по искоренению этой вредной пра</w:t>
      </w:r>
      <w:r w:rsidRPr="00E053B8">
        <w:t>к</w:t>
      </w:r>
      <w:r w:rsidRPr="00E053B8">
        <w:t>тики в ряде районов на территории государства-участника, в частности в р</w:t>
      </w:r>
      <w:r w:rsidRPr="00E053B8">
        <w:t>е</w:t>
      </w:r>
      <w:r w:rsidRPr="00E053B8">
        <w:t>гионе Курдистан и провинции Киркук. Просьба представить информацию о выполнении закона о борьбе с насилием в семье (№ 8), которых был принят р</w:t>
      </w:r>
      <w:r w:rsidRPr="00E053B8">
        <w:t>е</w:t>
      </w:r>
      <w:r w:rsidRPr="00E053B8">
        <w:t>гиональным правительством Курдистана в 2011 году и который запрещает, в частности, калечение женских гениталий.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 xml:space="preserve">Насилие в отношении женщин </w:t>
      </w:r>
    </w:p>
    <w:p w:rsidR="00E053B8" w:rsidRPr="00E053B8" w:rsidRDefault="00E053B8" w:rsidP="00E053B8">
      <w:pPr>
        <w:pStyle w:val="SingleTxt"/>
      </w:pPr>
      <w:r w:rsidRPr="00E053B8">
        <w:t>12.</w:t>
      </w:r>
      <w:r w:rsidRPr="00E053B8">
        <w:tab/>
        <w:t>В докладе признается, что насилие в отношении женщин, в частности н</w:t>
      </w:r>
      <w:r w:rsidRPr="00E053B8">
        <w:t>а</w:t>
      </w:r>
      <w:r w:rsidRPr="00E053B8">
        <w:t>силие в семье, воспринимается как нормальная и приемлемая практика по пр</w:t>
      </w:r>
      <w:r w:rsidRPr="00E053B8">
        <w:t>и</w:t>
      </w:r>
      <w:r w:rsidRPr="00E053B8">
        <w:t>чине преобладания глубоко укоренившихся патриархальных взглядов и подч</w:t>
      </w:r>
      <w:r w:rsidRPr="00E053B8">
        <w:t>и</w:t>
      </w:r>
      <w:r w:rsidRPr="00E053B8">
        <w:t>ненной роли женщин в иракском обществе (пункты 77, 78). Просьба предст</w:t>
      </w:r>
      <w:r w:rsidRPr="00E053B8">
        <w:t>а</w:t>
      </w:r>
      <w:r w:rsidRPr="00E053B8">
        <w:t xml:space="preserve">вить информацию о статусе законопроекта по борьбе с насилием в семье (пункт 34), а также обновленную информацию о принятых в последнее время мерах, таких как разработка национальной стратегии по борьбе с насилием в отношении женщин, а также создание национальной базы данных о насилии в отношении женщин и полицейских подразделений по защите семьи. Просьба представить информацию о соблюдении закона о насилии в семье (2011 года) в регионе Курдистан, а также о его стратегии по борьбе с насилием в отношении женщин (2012-2016 годы). Просьба также указать, имеются ли приюты для женщин, ставших жертвами насилия, и представить подробную информацию об их количестве, предлагаемых услугах и действующих правилах управления ими во всех регионах государства-участника, в том числе в регионе Курдистан.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Торговля женщинами и эксплуатация проституции</w:t>
      </w:r>
    </w:p>
    <w:p w:rsidR="00E053B8" w:rsidRPr="00E053B8" w:rsidRDefault="00E053B8" w:rsidP="00E053B8">
      <w:pPr>
        <w:pStyle w:val="SingleTxt"/>
      </w:pPr>
      <w:r w:rsidRPr="00E053B8">
        <w:t>13.</w:t>
      </w:r>
      <w:r w:rsidRPr="00E053B8">
        <w:tab/>
        <w:t>В докладе признается факт похищения женщин и девочек в государстве-участнике для целей торговли людьми и принуждения к занятию проституцией (пункт 84). Просьба представить информацию о мерах, принятых для решения проблемы внутренней и внешней торговли женщинами и девочками и их се</w:t>
      </w:r>
      <w:r w:rsidRPr="00E053B8">
        <w:t>к</w:t>
      </w:r>
      <w:r w:rsidRPr="00E053B8">
        <w:t>суальной эксплуатации в государстве-участнике. Просьба представить обно</w:t>
      </w:r>
      <w:r w:rsidRPr="00E053B8">
        <w:t>в</w:t>
      </w:r>
      <w:r w:rsidRPr="00E053B8">
        <w:t>ленную информацию о статусе законопроекта о запрещении торговли людьми, упомянутого в пункте 92 доклада, и о его содержании. Просьба представить информацию о мерах, принятых для обеспечения того, чтобы женщины, кот</w:t>
      </w:r>
      <w:r w:rsidRPr="00E053B8">
        <w:t>о</w:t>
      </w:r>
      <w:r w:rsidRPr="00E053B8">
        <w:t>рые были вынуждены заниматься проституцией, считались жертвами, а не уг</w:t>
      </w:r>
      <w:r w:rsidRPr="00E053B8">
        <w:t>о</w:t>
      </w:r>
      <w:r w:rsidRPr="00E053B8">
        <w:t>ловными преступниками во всех регионах государства-участника.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Участие в политической и общественной жизни</w:t>
      </w:r>
    </w:p>
    <w:p w:rsidR="00E053B8" w:rsidRPr="00E053B8" w:rsidRDefault="00E053B8" w:rsidP="00E053B8">
      <w:pPr>
        <w:pStyle w:val="SingleTxt"/>
      </w:pPr>
      <w:r w:rsidRPr="00E053B8">
        <w:t>14.</w:t>
      </w:r>
      <w:r w:rsidRPr="00E053B8">
        <w:tab/>
        <w:t>Просьба представить информацию о мерах, принимаемых для борьбы с негативным воздействием религиозных фатв и негативными стереотипами в отношении роли женщин в обществе и их участия в политической и общес</w:t>
      </w:r>
      <w:r w:rsidRPr="00E053B8">
        <w:t>т</w:t>
      </w:r>
      <w:r w:rsidRPr="00E053B8">
        <w:t>венной жизни (пункты 99 и 101). Просьба также указать принятые меры для обеспечения того, чтобы женщины не оказались в стороне от реального уч</w:t>
      </w:r>
      <w:r w:rsidRPr="00E053B8">
        <w:t>а</w:t>
      </w:r>
      <w:r w:rsidRPr="00E053B8">
        <w:t>стия в принятии основных стратегических политических решений в государс</w:t>
      </w:r>
      <w:r w:rsidRPr="00E053B8">
        <w:t>т</w:t>
      </w:r>
      <w:r w:rsidRPr="00E053B8">
        <w:t>ве-участнике. Просьба представить информацию о принятых мерах по назн</w:t>
      </w:r>
      <w:r w:rsidRPr="00E053B8">
        <w:t>а</w:t>
      </w:r>
      <w:r w:rsidRPr="00E053B8">
        <w:t>чению судей-женщин в уголовных судах и обновленную информацию о выпо</w:t>
      </w:r>
      <w:r w:rsidRPr="00E053B8">
        <w:t>л</w:t>
      </w:r>
      <w:r w:rsidRPr="00E053B8">
        <w:t>нении решения Федерального верховного суда в отношении количества же</w:t>
      </w:r>
      <w:r w:rsidRPr="00E053B8">
        <w:t>н</w:t>
      </w:r>
      <w:r w:rsidRPr="00E053B8">
        <w:t>щин в составе Верховной комиссии по правам человека, созданной в сентябре 2012 года.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 xml:space="preserve">Образование </w:t>
      </w:r>
    </w:p>
    <w:p w:rsidR="00E053B8" w:rsidRPr="00E053B8" w:rsidRDefault="00E053B8" w:rsidP="00E053B8">
      <w:pPr>
        <w:pStyle w:val="SingleTxt"/>
      </w:pPr>
      <w:r w:rsidRPr="00E053B8">
        <w:t>15.</w:t>
      </w:r>
      <w:r w:rsidRPr="00E053B8">
        <w:tab/>
        <w:t>Просьба указать меры, принятые в связи с постоянным ростом уровня н</w:t>
      </w:r>
      <w:r w:rsidRPr="00E053B8">
        <w:t>е</w:t>
      </w:r>
      <w:r w:rsidRPr="00E053B8">
        <w:t>грамотности среди женщин по всей стране, особенно в сельской местности.</w:t>
      </w:r>
      <w:r w:rsidRPr="00E053B8">
        <w:rPr>
          <w:b/>
        </w:rPr>
        <w:t xml:space="preserve"> </w:t>
      </w:r>
      <w:r w:rsidRPr="00E053B8">
        <w:t>Просьба представить информацию о мерах, принятых и/или предусмотренных для преодоления традиционных представлений и устранения других упомян</w:t>
      </w:r>
      <w:r w:rsidRPr="00E053B8">
        <w:t>у</w:t>
      </w:r>
      <w:r w:rsidRPr="00E053B8">
        <w:t>тых в докладе препятствий, например, удаленность школ и проявления нас</w:t>
      </w:r>
      <w:r w:rsidRPr="00E053B8">
        <w:t>и</w:t>
      </w:r>
      <w:r w:rsidRPr="00E053B8">
        <w:t>лия, которые препятствуют доступу девочек и женщин к образованию (пункты 139 - 143). Просьба также представить обновленную информацию о мерах, принятых для обеспечения равного доступа девочек и женщин к образованию на всех уровнях и продолжения посещения девочками школы. Просьба пре</w:t>
      </w:r>
      <w:r w:rsidRPr="00E053B8">
        <w:t>д</w:t>
      </w:r>
      <w:r w:rsidRPr="00E053B8">
        <w:t>ставить информацию о любых достижениях в реализации мер по возобновл</w:t>
      </w:r>
      <w:r w:rsidRPr="00E053B8">
        <w:t>е</w:t>
      </w:r>
      <w:r w:rsidRPr="00E053B8">
        <w:t xml:space="preserve">нию учебы девочками, бросившими школу (пункт 136).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Занятость</w:t>
      </w:r>
    </w:p>
    <w:p w:rsidR="00E053B8" w:rsidRPr="00E053B8" w:rsidRDefault="00E053B8" w:rsidP="00E053B8">
      <w:pPr>
        <w:pStyle w:val="SingleTxt"/>
      </w:pPr>
      <w:r w:rsidRPr="00E053B8">
        <w:t>16.</w:t>
      </w:r>
      <w:r w:rsidRPr="00E053B8">
        <w:tab/>
        <w:t>В докладе признается низкий уровень участия женщин в формальной тр</w:t>
      </w:r>
      <w:r w:rsidRPr="00E053B8">
        <w:t>у</w:t>
      </w:r>
      <w:r w:rsidRPr="00E053B8">
        <w:t>довой деятельности (пункт 152). Просьба представить обновленную информ</w:t>
      </w:r>
      <w:r w:rsidRPr="00E053B8">
        <w:t>а</w:t>
      </w:r>
      <w:r w:rsidRPr="00E053B8">
        <w:t>цию о мерах, принятых в целях поощрения участия женщин в формальной тр</w:t>
      </w:r>
      <w:r w:rsidRPr="00E053B8">
        <w:t>у</w:t>
      </w:r>
      <w:r w:rsidRPr="00E053B8">
        <w:t>довой деятельности и сокращения высокого уровня безработицы среди же</w:t>
      </w:r>
      <w:r w:rsidRPr="00E053B8">
        <w:t>н</w:t>
      </w:r>
      <w:r w:rsidRPr="00E053B8">
        <w:t>щин (пункт 184). Просьба представить информацию о мерах, принятых для обеспечения того, чтобы работодатели в частном секторе не дискриминировали женщин и соблюдали свои правовые обязательства в отношении пенсионного и социального обеспечения (пункт 186). Просьба также указать принятые меры для устранения сегрегации женщин в определенных секторах в плане труд</w:t>
      </w:r>
      <w:r w:rsidRPr="00E053B8">
        <w:t>о</w:t>
      </w:r>
      <w:r w:rsidRPr="00E053B8">
        <w:t>устройства. Просьба представить информацию о том, как государство-участник занимается вопросами положения женщин в неформальном секторе занятости, в том числе в сельском хозяйстве. Просьба указать имеющиеся механизмы з</w:t>
      </w:r>
      <w:r w:rsidRPr="00E053B8">
        <w:t>а</w:t>
      </w:r>
      <w:r w:rsidRPr="00E053B8">
        <w:t xml:space="preserve">щиты работающих женщин от сексуальных домогательств на рабочем месте.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 xml:space="preserve">Здравоохранение </w:t>
      </w:r>
    </w:p>
    <w:p w:rsidR="00E053B8" w:rsidRPr="00E053B8" w:rsidRDefault="00E053B8" w:rsidP="00E053B8">
      <w:pPr>
        <w:pStyle w:val="SingleTxt"/>
      </w:pPr>
      <w:r w:rsidRPr="00E053B8">
        <w:t>17.</w:t>
      </w:r>
      <w:r w:rsidRPr="00E053B8">
        <w:tab/>
        <w:t>Как указывается в докладе, министерство здравоохранения разрешило приватизацию медицинских услуг и объектов в целях расширения охвата нас</w:t>
      </w:r>
      <w:r w:rsidRPr="00E053B8">
        <w:t>е</w:t>
      </w:r>
      <w:r w:rsidRPr="00E053B8">
        <w:t>ления этими услугами в государстве-участнике (пункт 161). Просьба предст</w:t>
      </w:r>
      <w:r w:rsidRPr="00E053B8">
        <w:t>а</w:t>
      </w:r>
      <w:r w:rsidRPr="00E053B8">
        <w:t>вить подробную информацию о мерах, принимаемых для обеспечения женщ</w:t>
      </w:r>
      <w:r w:rsidRPr="00E053B8">
        <w:t>и</w:t>
      </w:r>
      <w:r w:rsidRPr="00E053B8">
        <w:t>нам адекватного и недорогого доступа к медицинским услугам, в том числе в области сексуального и репродуктивного здоровья. Просьба также представить информацию о мерах, направленных на снижение коэффициента материнской смертности. В докладе признается увеличение числа раковых заболеваний, в частности рака молочной железы, среди молодых женщин и женщин среднего возраста женщин из-за неблагоприятных экологических условий (пункт 171). Просьба указать, какие конкретные меры были приняты для обеспечения ра</w:t>
      </w:r>
      <w:r w:rsidRPr="00E053B8">
        <w:t>н</w:t>
      </w:r>
      <w:r w:rsidRPr="00E053B8">
        <w:t>него выявления рака и доступа к лечению для женщин, страдающих от этого заболевания, а также меры, принятые для решения проблемы ухудшения экол</w:t>
      </w:r>
      <w:r w:rsidRPr="00E053B8">
        <w:t>о</w:t>
      </w:r>
      <w:r w:rsidRPr="00E053B8">
        <w:t>гических условий в государстве-участнике.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Сельские женщины</w:t>
      </w:r>
    </w:p>
    <w:p w:rsidR="00E053B8" w:rsidRPr="00E053B8" w:rsidRDefault="00E053B8" w:rsidP="00E053B8">
      <w:pPr>
        <w:pStyle w:val="SingleTxt"/>
      </w:pPr>
      <w:r w:rsidRPr="00E053B8">
        <w:t>18.</w:t>
      </w:r>
      <w:r w:rsidRPr="00E053B8">
        <w:tab/>
        <w:t>Просьба представить обновленную информацию о конкретных мерах, принятых для преодоления падения уровня жизни сельского населения, в час</w:t>
      </w:r>
      <w:r w:rsidRPr="00E053B8">
        <w:t>т</w:t>
      </w:r>
      <w:r w:rsidRPr="00E053B8">
        <w:t>ности женщин, из-за высыхания наземных источников воды в государстве-участнике, таких как Евфрат (пункт 194). Просьба также указать меры для обеспечения того, чтобы на практике сельские женщины имели доступ к пр</w:t>
      </w:r>
      <w:r w:rsidRPr="00E053B8">
        <w:t>и</w:t>
      </w:r>
      <w:r w:rsidRPr="00E053B8">
        <w:t>годной для обработки земле и кредиту (пункт 191). Просьба представить и</w:t>
      </w:r>
      <w:r w:rsidRPr="00E053B8">
        <w:t>н</w:t>
      </w:r>
      <w:r w:rsidRPr="00E053B8">
        <w:t>формацию о том, как государство-участник гарантирует право сельских же</w:t>
      </w:r>
      <w:r w:rsidRPr="00E053B8">
        <w:t>н</w:t>
      </w:r>
      <w:r w:rsidRPr="00E053B8">
        <w:t>щин на владение землей. Просьба также представить информацию об осущес</w:t>
      </w:r>
      <w:r w:rsidRPr="00E053B8">
        <w:t>т</w:t>
      </w:r>
      <w:r w:rsidRPr="00E053B8">
        <w:t>влении деятельности, направленной на улучшение положения женщин в сел</w:t>
      </w:r>
      <w:r w:rsidRPr="00E053B8">
        <w:t>ь</w:t>
      </w:r>
      <w:r w:rsidRPr="00E053B8">
        <w:t>ских районах в рамках Национального плана развития (2010-2014 годы), и до</w:t>
      </w:r>
      <w:r w:rsidRPr="00E053B8">
        <w:t>с</w:t>
      </w:r>
      <w:r w:rsidRPr="00E053B8">
        <w:t xml:space="preserve">тигнутых успехах (пункт 202).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 xml:space="preserve">Вдовы и разведенные женщины </w:t>
      </w:r>
    </w:p>
    <w:p w:rsidR="00E053B8" w:rsidRPr="00E053B8" w:rsidRDefault="00E053B8" w:rsidP="00E053B8">
      <w:pPr>
        <w:pStyle w:val="SingleTxt"/>
      </w:pPr>
      <w:r w:rsidRPr="00E053B8">
        <w:t>19.</w:t>
      </w:r>
      <w:r w:rsidRPr="00E053B8">
        <w:tab/>
        <w:t>В докладе признается тяжелое положение вдов и разведенных женщин в плане доступа к экономическим возможностям и основным услугам (пункт 40). Просьба представить подробную информацию о конкретных мерах, принятых для защиты этих групп женщин от различных форм дискриминации и обесп</w:t>
      </w:r>
      <w:r w:rsidRPr="00E053B8">
        <w:t>е</w:t>
      </w:r>
      <w:r w:rsidRPr="00E053B8">
        <w:t>чения им доступа к образованию, медицинскому обслуживанию, трудоустро</w:t>
      </w:r>
      <w:r w:rsidRPr="00E053B8">
        <w:t>й</w:t>
      </w:r>
      <w:r w:rsidRPr="00E053B8">
        <w:t>ству и жилью. Просьба также представить информацию о мандате и людских и финансовых ресурсах Департамента социального обеспечения женщин, а та</w:t>
      </w:r>
      <w:r w:rsidRPr="00E053B8">
        <w:t>к</w:t>
      </w:r>
      <w:r w:rsidRPr="00E053B8">
        <w:t>же о его нынешних возможностях в плане удовлетворения потребностей вдов и разведенных женщин (пункт 33). Просьба представить обновленные данные о количестве женщин, которые воспользовались услугами, предлагаемыми Д</w:t>
      </w:r>
      <w:r w:rsidRPr="00E053B8">
        <w:t>е</w:t>
      </w:r>
      <w:r w:rsidRPr="00E053B8">
        <w:t xml:space="preserve">партаментом.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Женщины - беженцы, возвращенцы, внутренне перемещенные лица и л</w:t>
      </w:r>
      <w:r w:rsidRPr="00E053B8">
        <w:rPr>
          <w:b/>
        </w:rPr>
        <w:t>и</w:t>
      </w:r>
      <w:r w:rsidRPr="00E053B8">
        <w:rPr>
          <w:b/>
        </w:rPr>
        <w:t xml:space="preserve">ца без гражданства </w:t>
      </w:r>
    </w:p>
    <w:p w:rsidR="00E053B8" w:rsidRPr="00E053B8" w:rsidRDefault="00E053B8" w:rsidP="00E053B8">
      <w:pPr>
        <w:pStyle w:val="SingleTxt"/>
      </w:pPr>
      <w:r w:rsidRPr="00E053B8">
        <w:t>20.</w:t>
      </w:r>
      <w:r w:rsidRPr="00E053B8">
        <w:tab/>
        <w:t>Просьба представить обновленные данные с разбивкой по полу о колич</w:t>
      </w:r>
      <w:r w:rsidRPr="00E053B8">
        <w:t>е</w:t>
      </w:r>
      <w:r w:rsidRPr="00E053B8">
        <w:t>стве беженцев, возвращенцев, внутренне перемещенных лиц и лиц без гра</w:t>
      </w:r>
      <w:r w:rsidRPr="00E053B8">
        <w:t>ж</w:t>
      </w:r>
      <w:r w:rsidRPr="00E053B8">
        <w:t>данства в государстве-участнике. Просьба представить информацию о полож</w:t>
      </w:r>
      <w:r w:rsidRPr="00E053B8">
        <w:t>е</w:t>
      </w:r>
      <w:r w:rsidRPr="00E053B8">
        <w:t>нии женщин-беженцев, возвращенцев и внутренне перемещенных лиц и лиц без гражданства в государстве-участнике, а также о принятых целевых мерах для удовлетворения конкретных потребностей каждой из этих групп женщин.</w:t>
      </w:r>
      <w:r w:rsidRPr="00E053B8">
        <w:rPr>
          <w:b/>
        </w:rPr>
        <w:t xml:space="preserve"> </w:t>
      </w:r>
      <w:r w:rsidRPr="00E053B8">
        <w:t xml:space="preserve">Просьба также представить информацию о принятых мерах по ликвидации дискриминации в отношении этих групп женщин.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Женщины, принадлежащие к религиозным меньшинствам</w:t>
      </w:r>
    </w:p>
    <w:p w:rsidR="00E053B8" w:rsidRPr="00E053B8" w:rsidRDefault="00E053B8" w:rsidP="00E053B8">
      <w:pPr>
        <w:pStyle w:val="SingleTxt"/>
      </w:pPr>
      <w:r w:rsidRPr="00E053B8">
        <w:t>21.</w:t>
      </w:r>
      <w:r w:rsidRPr="00E053B8">
        <w:tab/>
        <w:t>В докладе говорится, что с 2003 года женщины, принадлежащие к рел</w:t>
      </w:r>
      <w:r w:rsidRPr="00E053B8">
        <w:t>и</w:t>
      </w:r>
      <w:r w:rsidRPr="00E053B8">
        <w:t>гиозным меньшинствам (христиане, сабеи и езиды) подвергаются особому риску насилия в государстве-участнике (пункт 25). Просьба представить и</w:t>
      </w:r>
      <w:r w:rsidRPr="00E053B8">
        <w:t>н</w:t>
      </w:r>
      <w:r w:rsidRPr="00E053B8">
        <w:t>формацию о мерах, принятых для обеспечения эффективной защиты от нас</w:t>
      </w:r>
      <w:r w:rsidRPr="00E053B8">
        <w:t>и</w:t>
      </w:r>
      <w:r w:rsidRPr="00E053B8">
        <w:t>лия, включая изнасилования и принудительные браки, женщин, принадлеж</w:t>
      </w:r>
      <w:r w:rsidRPr="00E053B8">
        <w:t>а</w:t>
      </w:r>
      <w:r w:rsidRPr="00E053B8">
        <w:t>щих к религиозным меньшинствам. Просьба также представить подробную информацию о положении женщин, принадлежащих к религиозным меньши</w:t>
      </w:r>
      <w:r w:rsidRPr="00E053B8">
        <w:t>н</w:t>
      </w:r>
      <w:r w:rsidRPr="00E053B8">
        <w:t xml:space="preserve">ствам, и принятых мерах по обеспечению их равного доступа к правосудию, образованию, здравоохранению и трудоустройству. </w:t>
      </w:r>
    </w:p>
    <w:p w:rsidR="00E053B8" w:rsidRPr="00E053B8" w:rsidRDefault="00E053B8" w:rsidP="00E053B8">
      <w:pPr>
        <w:pStyle w:val="SingleTxt"/>
        <w:rPr>
          <w:b/>
        </w:rPr>
      </w:pPr>
      <w:r w:rsidRPr="00E053B8">
        <w:rPr>
          <w:b/>
        </w:rPr>
        <w:t>Брак и семейные отношения</w:t>
      </w:r>
    </w:p>
    <w:p w:rsidR="00B46D7A" w:rsidRDefault="00E053B8" w:rsidP="00E053B8">
      <w:pPr>
        <w:pStyle w:val="SingleTxt"/>
        <w:rPr>
          <w:lang w:val="en-US"/>
        </w:rPr>
      </w:pPr>
      <w:r w:rsidRPr="00E053B8">
        <w:t>22.</w:t>
      </w:r>
      <w:r w:rsidRPr="00E053B8">
        <w:tab/>
        <w:t>Просьба представить подробную информацию о правовой базе, регул</w:t>
      </w:r>
      <w:r w:rsidRPr="00E053B8">
        <w:t>и</w:t>
      </w:r>
      <w:r w:rsidRPr="00E053B8">
        <w:t>рующей гражданский статус различных религиозных меньшинств, в том числе немусульман, в государстве-участнике. Просьба также указать меры по отмене дискриминационных положений в отношении женщин в Законе о гражданском статусе личности (1959 года), например, статьи 17. Принимая во внимание гл</w:t>
      </w:r>
      <w:r w:rsidRPr="00E053B8">
        <w:t>у</w:t>
      </w:r>
      <w:r w:rsidRPr="00E053B8">
        <w:t>боко укоренившиеся патриархальные отношения в государстве-участнике, п</w:t>
      </w:r>
      <w:r w:rsidRPr="00E053B8">
        <w:t>о</w:t>
      </w:r>
      <w:r w:rsidRPr="00E053B8">
        <w:t>жалуйста, объясните, как государство-участник обеспечивает, чтобы на пра</w:t>
      </w:r>
      <w:r w:rsidRPr="00E053B8">
        <w:t>к</w:t>
      </w:r>
      <w:r w:rsidRPr="00E053B8">
        <w:t>тике женщины могли инициировать расторжение брака или раздельное прож</w:t>
      </w:r>
      <w:r w:rsidRPr="00E053B8">
        <w:t>и</w:t>
      </w:r>
      <w:r w:rsidRPr="00E053B8">
        <w:t>вание (пункты 221, 223). Просьба уточнить минимальный возраст вступления в брак во всех регионах государства-участника. Просьба представить информ</w:t>
      </w:r>
      <w:r w:rsidRPr="00E053B8">
        <w:t>а</w:t>
      </w:r>
      <w:r w:rsidRPr="00E053B8">
        <w:t>цию о мерах, принятых для отмены практики многоженства в государстве-участнике, как это было рекомендовано Комитетом в его предыдущих заключ</w:t>
      </w:r>
      <w:r w:rsidRPr="00E053B8">
        <w:t>и</w:t>
      </w:r>
      <w:r w:rsidRPr="00E053B8">
        <w:t>тельных замечаниях (</w:t>
      </w:r>
      <w:hyperlink r:id="rId21" w:history="1">
        <w:r w:rsidRPr="00E053B8">
          <w:rPr>
            <w:rStyle w:val="Hyperlink"/>
          </w:rPr>
          <w:t>A/55/38</w:t>
        </w:r>
      </w:hyperlink>
      <w:r w:rsidRPr="00E053B8">
        <w:t>, пункт 192). Просьба также представить подро</w:t>
      </w:r>
      <w:r w:rsidRPr="00E053B8">
        <w:t>б</w:t>
      </w:r>
      <w:r w:rsidRPr="00E053B8">
        <w:t>ную обновленную информацию о распространенности детских браков, прин</w:t>
      </w:r>
      <w:r w:rsidRPr="00E053B8">
        <w:t>у</w:t>
      </w:r>
      <w:r w:rsidRPr="00E053B8">
        <w:t>дительных браков и временных браков в государстве-участнике. Просьба пре</w:t>
      </w:r>
      <w:r w:rsidRPr="00E053B8">
        <w:t>д</w:t>
      </w:r>
      <w:r w:rsidRPr="00E053B8">
        <w:t>ставить информацию о принятых мерах по обеспечению реализации огранич</w:t>
      </w:r>
      <w:r w:rsidRPr="00E053B8">
        <w:t>е</w:t>
      </w:r>
      <w:r w:rsidRPr="00E053B8">
        <w:t>ний на многоженство, изложенных в Законе № 15 (2008 года), в регионе Курд</w:t>
      </w:r>
      <w:r w:rsidRPr="00E053B8">
        <w:t>и</w:t>
      </w:r>
      <w:r w:rsidRPr="00E053B8">
        <w:t>стан (пункт 235).</w:t>
      </w:r>
    </w:p>
    <w:p w:rsidR="00E053B8" w:rsidRPr="00E053B8" w:rsidRDefault="00E053B8" w:rsidP="00E053B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E053B8" w:rsidRPr="00E053B8" w:rsidSect="0070009F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1-05T12:19:00Z" w:initials="Start">
    <w:p w:rsidR="0070009F" w:rsidRPr="00E053B8" w:rsidRDefault="0070009F">
      <w:pPr>
        <w:pStyle w:val="CommentText"/>
        <w:rPr>
          <w:lang w:val="en-US"/>
        </w:rPr>
      </w:pPr>
      <w:r>
        <w:fldChar w:fldCharType="begin"/>
      </w:r>
      <w:r w:rsidRPr="00E053B8">
        <w:rPr>
          <w:rStyle w:val="CommentReference"/>
          <w:lang w:val="en-US"/>
        </w:rPr>
        <w:instrText xml:space="preserve"> </w:instrText>
      </w:r>
      <w:r w:rsidRPr="00E053B8">
        <w:rPr>
          <w:lang w:val="en-US"/>
        </w:rPr>
        <w:instrText>PAGE \# "'Page: '#'</w:instrText>
      </w:r>
      <w:r w:rsidRPr="00E053B8">
        <w:rPr>
          <w:lang w:val="en-US"/>
        </w:rPr>
        <w:br/>
        <w:instrText>'"</w:instrText>
      </w:r>
      <w:r w:rsidRPr="00E053B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053B8">
        <w:rPr>
          <w:lang w:val="en-US"/>
        </w:rPr>
        <w:t>&lt;&lt;ODS JOB NO&gt;&gt;N1341646R&lt;&lt;ODS JOB NO&gt;&gt;</w:t>
      </w:r>
    </w:p>
    <w:p w:rsidR="0070009F" w:rsidRPr="00E053B8" w:rsidRDefault="0070009F">
      <w:pPr>
        <w:pStyle w:val="CommentText"/>
        <w:rPr>
          <w:lang w:val="en-US"/>
        </w:rPr>
      </w:pPr>
      <w:r w:rsidRPr="00E053B8">
        <w:rPr>
          <w:lang w:val="en-US"/>
        </w:rPr>
        <w:t>&lt;&lt;ODS DOC SYMBOL1&gt;&gt;CEDAW/C/IRQ/Q/4-6&lt;&lt;ODS DOC SYMBOL1&gt;&gt;</w:t>
      </w:r>
    </w:p>
    <w:p w:rsidR="0070009F" w:rsidRPr="00E053B8" w:rsidRDefault="0070009F">
      <w:pPr>
        <w:pStyle w:val="CommentText"/>
        <w:rPr>
          <w:lang w:val="en-US"/>
        </w:rPr>
      </w:pPr>
      <w:r w:rsidRPr="00E053B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9F" w:rsidRDefault="0070009F" w:rsidP="0070009F">
      <w:pPr>
        <w:pStyle w:val="Footer"/>
      </w:pPr>
      <w:r>
        <w:separator/>
      </w:r>
    </w:p>
  </w:endnote>
  <w:endnote w:type="continuationSeparator" w:id="0">
    <w:p w:rsidR="0070009F" w:rsidRDefault="0070009F" w:rsidP="0070009F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0009F" w:rsidTr="0070009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0009F" w:rsidRPr="0070009F" w:rsidRDefault="0070009F" w:rsidP="0070009F">
          <w:pPr>
            <w:pStyle w:val="Footer"/>
          </w:pPr>
          <w:fldSimple w:instr=" PAGE  \* Arabic  \* MERGEFORMAT ">
            <w:r w:rsidR="006877C9">
              <w:t>2</w:t>
            </w:r>
          </w:fldSimple>
          <w:r>
            <w:t>/</w:t>
          </w:r>
          <w:fldSimple w:instr=" NUMPAGES  \* Arabic  \* MERGEFORMAT ">
            <w:r w:rsidR="006877C9">
              <w:t>6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70009F" w:rsidRPr="0070009F" w:rsidRDefault="0070009F" w:rsidP="0070009F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 w:rsidR="00E053B8">
              <w:rPr>
                <w:b w:val="0"/>
                <w:sz w:val="14"/>
              </w:rPr>
              <w:t>13-41646</w:t>
            </w:r>
          </w:fldSimple>
          <w:r w:rsidR="00E053B8">
            <w:rPr>
              <w:b w:val="0"/>
              <w:sz w:val="14"/>
            </w:rPr>
            <w:t xml:space="preserve"> X</w:t>
          </w:r>
        </w:p>
      </w:tc>
    </w:tr>
  </w:tbl>
  <w:p w:rsidR="0070009F" w:rsidRPr="0070009F" w:rsidRDefault="0070009F" w:rsidP="007000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70009F" w:rsidTr="0070009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0009F" w:rsidRPr="0070009F" w:rsidRDefault="0070009F" w:rsidP="0070009F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 w:rsidR="00E053B8">
              <w:rPr>
                <w:b w:val="0"/>
                <w:sz w:val="14"/>
              </w:rPr>
              <w:t>13-41646</w:t>
            </w:r>
          </w:fldSimple>
          <w:r w:rsidR="00E053B8">
            <w:rPr>
              <w:b w:val="0"/>
              <w:sz w:val="14"/>
            </w:rPr>
            <w:t xml:space="preserve"> X</w:t>
          </w:r>
        </w:p>
      </w:tc>
      <w:tc>
        <w:tcPr>
          <w:tcW w:w="5033" w:type="dxa"/>
          <w:shd w:val="clear" w:color="auto" w:fill="auto"/>
          <w:vAlign w:val="bottom"/>
        </w:tcPr>
        <w:p w:rsidR="0070009F" w:rsidRPr="0070009F" w:rsidRDefault="0070009F" w:rsidP="0070009F">
          <w:pPr>
            <w:pStyle w:val="Footer"/>
            <w:jc w:val="right"/>
          </w:pPr>
          <w:fldSimple w:instr=" PAGE  \* Arabic  \* MERGEFORMAT ">
            <w:r w:rsidR="006877C9">
              <w:t>3</w:t>
            </w:r>
          </w:fldSimple>
          <w:r>
            <w:t>/</w:t>
          </w:r>
          <w:fldSimple w:instr=" NUMPAGES  \* Arabic  \* MERGEFORMAT ">
            <w:r w:rsidR="006877C9">
              <w:t>6</w:t>
            </w:r>
          </w:fldSimple>
        </w:p>
      </w:tc>
    </w:tr>
  </w:tbl>
  <w:p w:rsidR="0070009F" w:rsidRPr="0070009F" w:rsidRDefault="0070009F" w:rsidP="007000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9F" w:rsidRDefault="0070009F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70009F" w:rsidTr="0070009F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70009F" w:rsidRDefault="0070009F" w:rsidP="0070009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13-41646</w:t>
          </w:r>
          <w:r w:rsidR="00E053B8">
            <w:rPr>
              <w:b w:val="0"/>
              <w:sz w:val="20"/>
            </w:rPr>
            <w:t xml:space="preserve"> X</w:t>
          </w:r>
          <w:r>
            <w:rPr>
              <w:b w:val="0"/>
              <w:sz w:val="20"/>
            </w:rPr>
            <w:t xml:space="preserve"> (R)    051113    051113</w:t>
          </w:r>
        </w:p>
        <w:p w:rsidR="0070009F" w:rsidRPr="0070009F" w:rsidRDefault="0070009F" w:rsidP="0070009F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 w:rsidR="00E053B8">
              <w:rPr>
                <w:rFonts w:ascii="Barcode 3 of 9 by request" w:hAnsi="Barcode 3 of 9 by request"/>
                <w:b w:val="0"/>
                <w:sz w:val="24"/>
              </w:rPr>
              <w:t>*1341646*</w:t>
            </w:r>
          </w:fldSimple>
        </w:p>
      </w:tc>
      <w:tc>
        <w:tcPr>
          <w:tcW w:w="5033" w:type="dxa"/>
        </w:tcPr>
        <w:p w:rsidR="0070009F" w:rsidRDefault="0070009F" w:rsidP="0070009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70009F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70009F" w:rsidRPr="0070009F" w:rsidRDefault="0070009F" w:rsidP="0070009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9F" w:rsidRPr="00E053B8" w:rsidRDefault="00E053B8" w:rsidP="00E053B8">
      <w:pPr>
        <w:pStyle w:val="Footer"/>
        <w:spacing w:after="80"/>
        <w:ind w:left="792"/>
        <w:rPr>
          <w:sz w:val="16"/>
        </w:rPr>
      </w:pPr>
      <w:r w:rsidRPr="00E053B8">
        <w:rPr>
          <w:sz w:val="16"/>
        </w:rPr>
        <w:t>__________________</w:t>
      </w:r>
    </w:p>
  </w:footnote>
  <w:footnote w:type="continuationSeparator" w:id="0">
    <w:p w:rsidR="0070009F" w:rsidRPr="00E053B8" w:rsidRDefault="00E053B8" w:rsidP="00E053B8">
      <w:pPr>
        <w:pStyle w:val="Footer"/>
        <w:spacing w:after="80"/>
        <w:ind w:left="792"/>
        <w:rPr>
          <w:sz w:val="16"/>
        </w:rPr>
      </w:pPr>
      <w:r w:rsidRPr="00E053B8">
        <w:rPr>
          <w:sz w:val="16"/>
        </w:rPr>
        <w:t>__________________</w:t>
      </w:r>
    </w:p>
  </w:footnote>
  <w:footnote w:id="1">
    <w:p w:rsidR="00E053B8" w:rsidRPr="00E053B8" w:rsidRDefault="00E053B8" w:rsidP="00E053B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E053B8">
        <w:tab/>
      </w:r>
      <w:r w:rsidRPr="00FD203B">
        <w:rPr>
          <w:rStyle w:val="FootnoteText"/>
        </w:rPr>
        <w:t>Принят предсессионной рабочей групп</w:t>
      </w:r>
      <w:r>
        <w:rPr>
          <w:rStyle w:val="FootnoteText"/>
        </w:rPr>
        <w:t xml:space="preserve">ой </w:t>
      </w:r>
      <w:r w:rsidRPr="00FD203B">
        <w:rPr>
          <w:rStyle w:val="FootnoteText"/>
        </w:rPr>
        <w:t>пятьдесят седьмой сессии</w:t>
      </w:r>
      <w:r>
        <w:rPr>
          <w:rStyle w:val="FootnoteText"/>
        </w:rPr>
        <w:t xml:space="preserve">, которая заседала с </w:t>
      </w:r>
      <w:r w:rsidRPr="00FD203B">
        <w:rPr>
          <w:rStyle w:val="FootnoteText"/>
        </w:rPr>
        <w:t>29</w:t>
      </w:r>
      <w:r>
        <w:rPr>
          <w:rStyle w:val="FootnoteText"/>
          <w:lang w:val="en-US"/>
        </w:rPr>
        <w:t> </w:t>
      </w:r>
      <w:r w:rsidRPr="00FD203B">
        <w:rPr>
          <w:rStyle w:val="FootnoteText"/>
        </w:rPr>
        <w:t xml:space="preserve">июля </w:t>
      </w:r>
      <w:r>
        <w:rPr>
          <w:rStyle w:val="FootnoteText"/>
        </w:rPr>
        <w:t xml:space="preserve">по </w:t>
      </w:r>
      <w:r w:rsidRPr="00FD203B">
        <w:rPr>
          <w:rStyle w:val="FootnoteText"/>
        </w:rPr>
        <w:t>2</w:t>
      </w:r>
      <w:r>
        <w:rPr>
          <w:rStyle w:val="FootnoteText"/>
          <w:lang w:val="en-US"/>
        </w:rPr>
        <w:t> </w:t>
      </w:r>
      <w:r w:rsidRPr="00FD203B">
        <w:rPr>
          <w:rStyle w:val="FootnoteText"/>
        </w:rPr>
        <w:t>августа 2013</w:t>
      </w:r>
      <w:r>
        <w:rPr>
          <w:rStyle w:val="FootnoteText"/>
          <w:lang w:val="en-US"/>
        </w:rPr>
        <w:t> </w:t>
      </w:r>
      <w:r w:rsidRPr="00FD203B">
        <w:rPr>
          <w:rStyle w:val="FootnoteText"/>
        </w:rPr>
        <w:t>года.</w:t>
      </w:r>
    </w:p>
  </w:footnote>
  <w:footnote w:id="2">
    <w:p w:rsidR="00E053B8" w:rsidRPr="00E053B8" w:rsidRDefault="00E053B8" w:rsidP="00E053B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053B8">
        <w:tab/>
      </w:r>
      <w:r>
        <w:rPr>
          <w:rStyle w:val="FootnoteReference"/>
        </w:rPr>
        <w:footnoteRef/>
      </w:r>
      <w:r w:rsidRPr="00E053B8">
        <w:tab/>
        <w:t>Если не указано иное, номера пунктов относятся к объединенным четвертому, пятому и шестому периодическим докладам государства-участника (CEDAW/C/IRQ/4-6).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70009F" w:rsidTr="0070009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0009F" w:rsidRPr="0070009F" w:rsidRDefault="0070009F" w:rsidP="0070009F">
          <w:pPr>
            <w:pStyle w:val="Header"/>
            <w:spacing w:after="80"/>
            <w:rPr>
              <w:b/>
            </w:rPr>
          </w:pPr>
          <w:fldSimple w:instr=" DOCVARIABLE &quot;sss1&quot; \* MERGEFORMAT ">
            <w:r w:rsidR="00E053B8">
              <w:rPr>
                <w:b/>
              </w:rPr>
              <w:t>CEDAW/C/IRQ/Q/4-6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70009F" w:rsidRDefault="0070009F" w:rsidP="0070009F">
          <w:pPr>
            <w:pStyle w:val="Header"/>
          </w:pPr>
        </w:p>
      </w:tc>
    </w:tr>
  </w:tbl>
  <w:p w:rsidR="0070009F" w:rsidRPr="0070009F" w:rsidRDefault="0070009F" w:rsidP="007000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70009F" w:rsidTr="0070009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0009F" w:rsidRDefault="0070009F" w:rsidP="0070009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70009F" w:rsidRPr="0070009F" w:rsidRDefault="0070009F" w:rsidP="0070009F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 w:rsidR="00E053B8">
              <w:rPr>
                <w:b/>
              </w:rPr>
              <w:t>CEDAW/C/IRQ/Q/4-6</w:t>
            </w:r>
          </w:fldSimple>
        </w:p>
      </w:tc>
    </w:tr>
  </w:tbl>
  <w:p w:rsidR="0070009F" w:rsidRPr="0070009F" w:rsidRDefault="0070009F" w:rsidP="007000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70009F" w:rsidTr="0070009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0009F" w:rsidRPr="0070009F" w:rsidRDefault="0070009F" w:rsidP="0070009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0009F" w:rsidRDefault="0070009F" w:rsidP="0070009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0009F" w:rsidRPr="0070009F" w:rsidRDefault="0070009F" w:rsidP="0070009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/C/IRQ/Q/4-6</w:t>
          </w:r>
        </w:p>
      </w:tc>
    </w:tr>
    <w:tr w:rsidR="0070009F" w:rsidRPr="00E053B8" w:rsidTr="0070009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09F" w:rsidRDefault="0070009F" w:rsidP="0070009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70009F" w:rsidRPr="0070009F" w:rsidRDefault="0070009F" w:rsidP="0070009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09F" w:rsidRPr="0070009F" w:rsidRDefault="0070009F" w:rsidP="0070009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09F" w:rsidRPr="00E053B8" w:rsidRDefault="0070009F" w:rsidP="0070009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09F" w:rsidRPr="00E053B8" w:rsidRDefault="0070009F" w:rsidP="0070009F">
          <w:pPr>
            <w:spacing w:before="240"/>
            <w:rPr>
              <w:lang w:val="en-US"/>
            </w:rPr>
          </w:pPr>
          <w:r w:rsidRPr="00E053B8">
            <w:rPr>
              <w:lang w:val="en-US"/>
            </w:rPr>
            <w:t>Distr.: General</w:t>
          </w:r>
        </w:p>
        <w:p w:rsidR="0070009F" w:rsidRPr="00E053B8" w:rsidRDefault="00E053B8" w:rsidP="0070009F">
          <w:pPr>
            <w:rPr>
              <w:lang w:val="en-US"/>
            </w:rPr>
          </w:pPr>
          <w:r>
            <w:rPr>
              <w:lang w:val="en-US"/>
            </w:rPr>
            <w:t>2</w:t>
          </w:r>
          <w:r w:rsidR="0070009F" w:rsidRPr="00E053B8">
            <w:rPr>
              <w:lang w:val="en-US"/>
            </w:rPr>
            <w:t xml:space="preserve"> </w:t>
          </w:r>
          <w:r>
            <w:rPr>
              <w:lang w:val="en-US"/>
            </w:rPr>
            <w:t>August</w:t>
          </w:r>
          <w:r w:rsidR="0070009F" w:rsidRPr="00E053B8">
            <w:rPr>
              <w:lang w:val="en-US"/>
            </w:rPr>
            <w:t xml:space="preserve"> 2013</w:t>
          </w:r>
        </w:p>
        <w:p w:rsidR="0070009F" w:rsidRPr="00E053B8" w:rsidRDefault="0070009F" w:rsidP="0070009F">
          <w:pPr>
            <w:rPr>
              <w:lang w:val="en-US"/>
            </w:rPr>
          </w:pPr>
          <w:r w:rsidRPr="00E053B8">
            <w:rPr>
              <w:lang w:val="en-US"/>
            </w:rPr>
            <w:t>Russian</w:t>
          </w:r>
        </w:p>
        <w:p w:rsidR="0070009F" w:rsidRPr="00E053B8" w:rsidRDefault="0070009F" w:rsidP="0070009F">
          <w:pPr>
            <w:rPr>
              <w:lang w:val="en-US"/>
            </w:rPr>
          </w:pPr>
          <w:r w:rsidRPr="00E053B8">
            <w:rPr>
              <w:lang w:val="en-US"/>
            </w:rPr>
            <w:t xml:space="preserve">Original: </w:t>
          </w:r>
          <w:r w:rsidR="00E053B8">
            <w:rPr>
              <w:lang w:val="en-US"/>
            </w:rPr>
            <w:t>English</w:t>
          </w:r>
        </w:p>
      </w:tc>
    </w:tr>
  </w:tbl>
  <w:p w:rsidR="0070009F" w:rsidRPr="0070009F" w:rsidRDefault="0070009F" w:rsidP="0070009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stylePaneFormatFilter w:val="3F01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41646*"/>
    <w:docVar w:name="CreationDt" w:val="05/11/2013 12:19:18"/>
    <w:docVar w:name="DocCategory" w:val="Doc"/>
    <w:docVar w:name="DocType" w:val="Final"/>
    <w:docVar w:name="FooterJN" w:val="13-41646"/>
    <w:docVar w:name="jobn" w:val="13-41646 (R)"/>
    <w:docVar w:name="jobnDT" w:val="13-41646 (R)   051113"/>
    <w:docVar w:name="jobnDTDT" w:val="13-41646 (R)   051113   051113"/>
    <w:docVar w:name="JobNo" w:val="1341646R"/>
    <w:docVar w:name="OandT" w:val=" "/>
    <w:docVar w:name="sss1" w:val="CEDAW/C/IRQ/Q/4-6"/>
    <w:docVar w:name="sss2" w:val="-"/>
    <w:docVar w:name="Symbol1" w:val="CEDAW/C/IRQ/Q/4-6"/>
    <w:docVar w:name="Symbol2" w:val="-"/>
  </w:docVars>
  <w:rsids>
    <w:rsidRoot w:val="002B42BD"/>
    <w:rsid w:val="00005D71"/>
    <w:rsid w:val="000121EB"/>
    <w:rsid w:val="00027C74"/>
    <w:rsid w:val="000453DA"/>
    <w:rsid w:val="000456EE"/>
    <w:rsid w:val="00051525"/>
    <w:rsid w:val="00060967"/>
    <w:rsid w:val="00067768"/>
    <w:rsid w:val="00072B9A"/>
    <w:rsid w:val="00086C68"/>
    <w:rsid w:val="00094451"/>
    <w:rsid w:val="000A140F"/>
    <w:rsid w:val="000A257D"/>
    <w:rsid w:val="000B55FB"/>
    <w:rsid w:val="000C7E7B"/>
    <w:rsid w:val="000D4332"/>
    <w:rsid w:val="000E22D8"/>
    <w:rsid w:val="000E5959"/>
    <w:rsid w:val="000E5AE4"/>
    <w:rsid w:val="0010004F"/>
    <w:rsid w:val="00101C22"/>
    <w:rsid w:val="001107C6"/>
    <w:rsid w:val="001117C6"/>
    <w:rsid w:val="0011681A"/>
    <w:rsid w:val="0012286E"/>
    <w:rsid w:val="00124792"/>
    <w:rsid w:val="001316F9"/>
    <w:rsid w:val="00132C80"/>
    <w:rsid w:val="00137928"/>
    <w:rsid w:val="00153F7F"/>
    <w:rsid w:val="0015549A"/>
    <w:rsid w:val="00155888"/>
    <w:rsid w:val="00162122"/>
    <w:rsid w:val="00163E9E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1F1622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25F5"/>
    <w:rsid w:val="00263747"/>
    <w:rsid w:val="002656BA"/>
    <w:rsid w:val="0027035E"/>
    <w:rsid w:val="00273D16"/>
    <w:rsid w:val="00274115"/>
    <w:rsid w:val="00290971"/>
    <w:rsid w:val="00295953"/>
    <w:rsid w:val="002A529E"/>
    <w:rsid w:val="002B42BD"/>
    <w:rsid w:val="002B7B47"/>
    <w:rsid w:val="002D0A63"/>
    <w:rsid w:val="002E6BF4"/>
    <w:rsid w:val="002F7CE3"/>
    <w:rsid w:val="00301FA0"/>
    <w:rsid w:val="00304CD3"/>
    <w:rsid w:val="003078EF"/>
    <w:rsid w:val="00322BEE"/>
    <w:rsid w:val="00323640"/>
    <w:rsid w:val="003245A4"/>
    <w:rsid w:val="00324CF9"/>
    <w:rsid w:val="00334763"/>
    <w:rsid w:val="00340AEC"/>
    <w:rsid w:val="00342A7A"/>
    <w:rsid w:val="003439DF"/>
    <w:rsid w:val="00350BA4"/>
    <w:rsid w:val="003537FA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2B4F"/>
    <w:rsid w:val="003E5CCD"/>
    <w:rsid w:val="003E5D5E"/>
    <w:rsid w:val="003E5F2D"/>
    <w:rsid w:val="003E730F"/>
    <w:rsid w:val="003F2AAD"/>
    <w:rsid w:val="003F31EE"/>
    <w:rsid w:val="003F6585"/>
    <w:rsid w:val="0040369D"/>
    <w:rsid w:val="004069A2"/>
    <w:rsid w:val="0040710C"/>
    <w:rsid w:val="00407E18"/>
    <w:rsid w:val="004106FC"/>
    <w:rsid w:val="00412514"/>
    <w:rsid w:val="004238B0"/>
    <w:rsid w:val="00425121"/>
    <w:rsid w:val="00426C2A"/>
    <w:rsid w:val="00427059"/>
    <w:rsid w:val="00435D4E"/>
    <w:rsid w:val="00450ABB"/>
    <w:rsid w:val="0045465A"/>
    <w:rsid w:val="0045480F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19"/>
    <w:rsid w:val="005E0023"/>
    <w:rsid w:val="005F415D"/>
    <w:rsid w:val="00602143"/>
    <w:rsid w:val="00604510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877C9"/>
    <w:rsid w:val="0069766D"/>
    <w:rsid w:val="006A4674"/>
    <w:rsid w:val="006A581C"/>
    <w:rsid w:val="006A70C8"/>
    <w:rsid w:val="006B27EC"/>
    <w:rsid w:val="006D7766"/>
    <w:rsid w:val="006E57BD"/>
    <w:rsid w:val="006F23E6"/>
    <w:rsid w:val="006F365F"/>
    <w:rsid w:val="0070009F"/>
    <w:rsid w:val="0070092E"/>
    <w:rsid w:val="007211BA"/>
    <w:rsid w:val="00733A96"/>
    <w:rsid w:val="007422C8"/>
    <w:rsid w:val="007465AD"/>
    <w:rsid w:val="007529E4"/>
    <w:rsid w:val="0075643A"/>
    <w:rsid w:val="00772B06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64B77"/>
    <w:rsid w:val="00871EEE"/>
    <w:rsid w:val="00877B57"/>
    <w:rsid w:val="008809D0"/>
    <w:rsid w:val="00882568"/>
    <w:rsid w:val="00882AA2"/>
    <w:rsid w:val="00884F66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21B6"/>
    <w:rsid w:val="00902AC8"/>
    <w:rsid w:val="00910652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766F4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5540"/>
    <w:rsid w:val="00A2634B"/>
    <w:rsid w:val="00A506DF"/>
    <w:rsid w:val="00A60D1F"/>
    <w:rsid w:val="00A64BF3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6805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14817"/>
    <w:rsid w:val="00C15911"/>
    <w:rsid w:val="00C22F31"/>
    <w:rsid w:val="00C3021A"/>
    <w:rsid w:val="00C323D9"/>
    <w:rsid w:val="00C32BF1"/>
    <w:rsid w:val="00C330A4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0852"/>
    <w:rsid w:val="00C8725A"/>
    <w:rsid w:val="00C91290"/>
    <w:rsid w:val="00C916ED"/>
    <w:rsid w:val="00C91E89"/>
    <w:rsid w:val="00CA13D0"/>
    <w:rsid w:val="00CA5356"/>
    <w:rsid w:val="00CA5648"/>
    <w:rsid w:val="00CB1880"/>
    <w:rsid w:val="00CB4DF3"/>
    <w:rsid w:val="00CB63B3"/>
    <w:rsid w:val="00CD1F13"/>
    <w:rsid w:val="00CD3494"/>
    <w:rsid w:val="00CD5C17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267"/>
    <w:rsid w:val="00D47558"/>
    <w:rsid w:val="00D5676A"/>
    <w:rsid w:val="00D60737"/>
    <w:rsid w:val="00D620B2"/>
    <w:rsid w:val="00D62FD0"/>
    <w:rsid w:val="00D66C34"/>
    <w:rsid w:val="00D673B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D591B"/>
    <w:rsid w:val="00DD7228"/>
    <w:rsid w:val="00DE2DB0"/>
    <w:rsid w:val="00DE5DCE"/>
    <w:rsid w:val="00DE5E5D"/>
    <w:rsid w:val="00DF1785"/>
    <w:rsid w:val="00DF7D80"/>
    <w:rsid w:val="00E053B8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946FF"/>
    <w:rsid w:val="00EA047B"/>
    <w:rsid w:val="00EA2334"/>
    <w:rsid w:val="00EB05F9"/>
    <w:rsid w:val="00EB451F"/>
    <w:rsid w:val="00EC0362"/>
    <w:rsid w:val="00EC4F9E"/>
    <w:rsid w:val="00EC55FB"/>
    <w:rsid w:val="00ED2DC7"/>
    <w:rsid w:val="00ED6B18"/>
    <w:rsid w:val="00EE63BD"/>
    <w:rsid w:val="00EF3CC4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55344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70009F"/>
  </w:style>
  <w:style w:type="paragraph" w:styleId="CommentSubject">
    <w:name w:val="annotation subject"/>
    <w:basedOn w:val="CommentText"/>
    <w:next w:val="CommentText"/>
    <w:semiHidden/>
    <w:rsid w:val="0070009F"/>
    <w:rPr>
      <w:b/>
      <w:bCs/>
    </w:rPr>
  </w:style>
  <w:style w:type="paragraph" w:customStyle="1" w:styleId="Bullet1GR">
    <w:name w:val="_Bullet 1_GR"/>
    <w:basedOn w:val="Normal"/>
    <w:rsid w:val="00E053B8"/>
    <w:pPr>
      <w:numPr>
        <w:numId w:val="12"/>
      </w:numPr>
      <w:spacing w:after="120" w:line="240" w:lineRule="atLeast"/>
      <w:ind w:right="1134"/>
      <w:jc w:val="both"/>
    </w:pPr>
    <w:rPr>
      <w:lang w:eastAsia="ru-RU"/>
    </w:rPr>
  </w:style>
  <w:style w:type="paragraph" w:styleId="Date">
    <w:name w:val="Date"/>
    <w:basedOn w:val="Normal"/>
    <w:next w:val="Normal"/>
    <w:semiHidden/>
    <w:rsid w:val="00E053B8"/>
    <w:pPr>
      <w:spacing w:line="240" w:lineRule="atLeast"/>
    </w:pPr>
  </w:style>
  <w:style w:type="character" w:styleId="Hyperlink">
    <w:name w:val="Hyperlink"/>
    <w:basedOn w:val="DefaultParagraphFont"/>
    <w:rsid w:val="00E053B8"/>
    <w:rPr>
      <w:color w:val="0000FF"/>
      <w:u w:val="none"/>
    </w:rPr>
  </w:style>
  <w:style w:type="character" w:styleId="FollowedHyperlink">
    <w:name w:val="FollowedHyperlink"/>
    <w:basedOn w:val="DefaultParagraphFont"/>
    <w:rsid w:val="00E053B8"/>
    <w:rPr>
      <w:color w:val="0000FF"/>
      <w:u w:val="none"/>
    </w:rPr>
  </w:style>
  <w:style w:type="paragraph" w:styleId="BalloonText">
    <w:name w:val="Balloon Text"/>
    <w:basedOn w:val="Normal"/>
    <w:semiHidden/>
    <w:rsid w:val="0068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ru/S/RES/1960(201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A/55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S/RES/1888(2009)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S/RES/1820(2008)" TargetMode="External"/><Relationship Id="rId20" Type="http://schemas.openxmlformats.org/officeDocument/2006/relationships/hyperlink" Target="http://undocs.org/ru/S/RES/1325(200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S/RES/1325(2000)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ndocs.org/ru/S/RES/2106(2013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2549</Words>
  <Characters>14531</Characters>
  <Application>Microsoft Office Outlook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17046</CharactersWithSpaces>
  <SharedDoc>false</SharedDoc>
  <HLinks>
    <vt:vector size="42" baseType="variant"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http://undocs.org/ru/A/55/38</vt:lpwstr>
      </vt:variant>
      <vt:variant>
        <vt:lpwstr/>
      </vt:variant>
      <vt:variant>
        <vt:i4>393295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http://undocs.org/ru/S/RES/1325(2000)</vt:lpwstr>
      </vt:variant>
      <vt:variant>
        <vt:lpwstr/>
      </vt:variant>
      <vt:variant>
        <vt:i4>262223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http://undocs.org/ru/S/RES/2106(2013)</vt:lpwstr>
      </vt:variant>
      <vt:variant>
        <vt:lpwstr/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http://undocs.org/ru/S/RES/1960(2010)</vt:lpwstr>
      </vt:variant>
      <vt:variant>
        <vt:lpwstr/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http://undocs.org/ru/S/RES/1888(2009)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http://undocs.org/ru/S/RES/1820(2008)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http://undocs.org/ru/S/RES/1325(2000)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3</cp:revision>
  <dcterms:created xsi:type="dcterms:W3CDTF">2013-11-05T11:33:00Z</dcterms:created>
  <dcterms:modified xsi:type="dcterms:W3CDTF">2013-11-05T11:37:00Z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1341646</vt:lpwstr>
  </property>
  <property fmtid="{D5CDD505-2E9C-101B-9397-08002B2CF9AE}" pid="3" name="Symbol1">
    <vt:lpwstr>CEDAW/C/IRQ/Q/4-6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