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59" w:rsidRDefault="004C6459" w:rsidP="004C6459">
      <w:pPr>
        <w:spacing w:line="60" w:lineRule="exact"/>
        <w:sectPr w:rsidR="004C6459" w:rsidSect="004C645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3pt;margin-top:682.45pt;width:57.45pt;height:57.45pt;z-index:1;mso-position-horizontal-relative:page;mso-position-vertical-relative:page" o:preferrelative="f" filled="t">
            <v:imagedata r:id="rId12" o:title="Add"/>
            <w10:wrap anchorx="page" anchory="page"/>
          </v:shape>
        </w:pict>
      </w:r>
      <w:commentRangeEnd w:id="0"/>
      <w:r>
        <w:rPr>
          <w:rStyle w:val="CommentReference"/>
        </w:rPr>
        <w:commentReference w:id="0"/>
      </w:r>
    </w:p>
    <w:p w:rsidR="004C6459" w:rsidRDefault="004C6459" w:rsidP="004C6459">
      <w:pPr>
        <w:spacing w:line="60" w:lineRule="exact"/>
      </w:pPr>
    </w:p>
    <w:p w:rsidR="00EF3339" w:rsidRPr="00EF3339" w:rsidRDefault="00EF3339" w:rsidP="00EF3339">
      <w:pPr>
        <w:pStyle w:val="SingleTxt"/>
        <w:spacing w:after="60"/>
        <w:ind w:left="0"/>
        <w:rPr>
          <w:rFonts w:ascii="SimHei" w:eastAsia="SimHei" w:hint="eastAsia"/>
          <w:sz w:val="24"/>
          <w:szCs w:val="24"/>
        </w:rPr>
      </w:pPr>
      <w:r w:rsidRPr="00EF3339">
        <w:rPr>
          <w:rFonts w:ascii="SimHei" w:eastAsia="SimHei" w:hint="eastAsia"/>
          <w:sz w:val="24"/>
          <w:szCs w:val="24"/>
        </w:rPr>
        <w:t>消除对妇女歧视委员会</w:t>
      </w:r>
    </w:p>
    <w:p w:rsidR="00EF3339" w:rsidRPr="00EF3339" w:rsidRDefault="00EF3339" w:rsidP="00EF3339">
      <w:pPr>
        <w:pStyle w:val="SingleTxt"/>
        <w:spacing w:after="60"/>
        <w:ind w:left="0"/>
        <w:rPr>
          <w:rFonts w:ascii="SimHei" w:eastAsia="SimHei" w:hint="eastAsia"/>
        </w:rPr>
      </w:pPr>
      <w:r w:rsidRPr="00EF3339">
        <w:rPr>
          <w:rFonts w:ascii="SimHei" w:eastAsia="SimHei" w:hint="eastAsia"/>
        </w:rPr>
        <w:t>第五十七届会议</w:t>
      </w:r>
    </w:p>
    <w:p w:rsidR="00EF3339" w:rsidRDefault="00EF3339" w:rsidP="00EF3339">
      <w:pPr>
        <w:pStyle w:val="SingleTxt"/>
        <w:spacing w:after="60"/>
        <w:ind w:left="0"/>
        <w:rPr>
          <w:rFonts w:hint="eastAsia"/>
        </w:rPr>
      </w:pPr>
      <w:r>
        <w:rPr>
          <w:rFonts w:hint="eastAsia"/>
        </w:rPr>
        <w:t>2014年2月10日至28日</w:t>
      </w:r>
    </w:p>
    <w:p w:rsidR="00EF3339" w:rsidRDefault="00EF3339" w:rsidP="00EF3339">
      <w:pPr>
        <w:pStyle w:val="SingleTxt"/>
        <w:spacing w:after="60"/>
        <w:ind w:left="0"/>
        <w:rPr>
          <w:rFonts w:hint="eastAsia"/>
        </w:rPr>
      </w:pPr>
      <w:r>
        <w:rPr>
          <w:rFonts w:hint="eastAsia"/>
        </w:rPr>
        <w:t>临时议程项目4</w:t>
      </w:r>
      <w:r w:rsidRPr="00EF3339">
        <w:rPr>
          <w:rFonts w:hint="eastAsia"/>
          <w:vertAlign w:val="superscript"/>
        </w:rPr>
        <w:t>*</w:t>
      </w:r>
    </w:p>
    <w:p w:rsidR="00EF3339" w:rsidRPr="00EF3339" w:rsidRDefault="00EF3339" w:rsidP="00EF3339">
      <w:pPr>
        <w:pStyle w:val="SingleTxt"/>
        <w:spacing w:after="60"/>
        <w:ind w:left="0"/>
        <w:rPr>
          <w:rFonts w:ascii="SimHei" w:eastAsia="SimHei" w:hint="eastAsia"/>
        </w:rPr>
      </w:pPr>
      <w:r w:rsidRPr="00EF3339">
        <w:rPr>
          <w:rFonts w:ascii="SimHei" w:eastAsia="SimHei" w:hint="eastAsia"/>
        </w:rPr>
        <w:t>审议缔约国根据《消除对妇女一切形式歧视公约》</w:t>
      </w:r>
      <w:r>
        <w:rPr>
          <w:rFonts w:ascii="SimHei" w:eastAsia="SimHei"/>
        </w:rPr>
        <w:br/>
      </w:r>
      <w:r w:rsidRPr="00EF3339">
        <w:rPr>
          <w:rFonts w:ascii="SimHei" w:eastAsia="SimHei" w:hint="eastAsia"/>
        </w:rPr>
        <w:t>第18条提交的报告</w:t>
      </w: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spacing w:after="0" w:line="120" w:lineRule="exact"/>
        <w:rPr>
          <w:rFonts w:hint="eastAsia"/>
          <w:sz w:val="10"/>
        </w:rPr>
      </w:pPr>
    </w:p>
    <w:p w:rsidR="00EF3339" w:rsidRDefault="00EF3339" w:rsidP="00EF33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EF3339">
        <w:rPr>
          <w:rFonts w:hint="eastAsia"/>
          <w:spacing w:val="-4"/>
        </w:rPr>
        <w:t>与伊拉克的第四、第五和第六次合并定期报告有关的问题清单</w:t>
      </w: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rPr>
          <w:rFonts w:ascii="SimHei" w:eastAsia="SimHei" w:hint="eastAsia"/>
        </w:rPr>
      </w:pPr>
      <w:r w:rsidRPr="00EF3339">
        <w:rPr>
          <w:rFonts w:ascii="SimHei" w:eastAsia="SimHei" w:hint="eastAsia"/>
        </w:rPr>
        <w:t>增编</w:t>
      </w: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spacing w:after="0" w:line="120" w:lineRule="exact"/>
        <w:rPr>
          <w:rFonts w:hint="eastAsia"/>
          <w:sz w:val="10"/>
        </w:rPr>
      </w:pPr>
    </w:p>
    <w:p w:rsidR="00EF3339" w:rsidRDefault="00EF3339" w:rsidP="00EF333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伊拉克对问题清单的答复</w:t>
      </w:r>
      <w:r w:rsidRPr="00EF3339">
        <w:rPr>
          <w:rFonts w:hint="eastAsia"/>
          <w:vertAlign w:val="superscript"/>
        </w:rPr>
        <w:t>**</w:t>
      </w:r>
    </w:p>
    <w:p w:rsidR="00EF3339" w:rsidRPr="00EF3339" w:rsidRDefault="00EF3339" w:rsidP="00EF3339">
      <w:pPr>
        <w:framePr w:w="9792" w:h="432" w:hSpace="180" w:wrap="around" w:hAnchor="page" w:x="1210" w:yAlign="bottom"/>
        <w:spacing w:line="100" w:lineRule="exact"/>
        <w:rPr>
          <w:sz w:val="10"/>
        </w:rPr>
      </w:pPr>
    </w:p>
    <w:p w:rsidR="00EF3339" w:rsidRPr="00EF3339" w:rsidRDefault="00EF3339" w:rsidP="00EF3339">
      <w:pPr>
        <w:framePr w:w="9792" w:h="432" w:hSpace="180" w:wrap="around" w:hAnchor="page" w:x="1210" w:yAlign="bottom"/>
        <w:spacing w:line="60" w:lineRule="exact"/>
        <w:rPr>
          <w:sz w:val="6"/>
        </w:rPr>
      </w:pPr>
      <w:r w:rsidRPr="00EF3339">
        <w:rPr>
          <w:noProof/>
          <w:sz w:val="6"/>
        </w:rPr>
        <w:pict>
          <v:line id="_x0000_s1027" style="position:absolute;left:0;text-align:left;z-index:2;mso-position-horizontal-relative:page" from="108pt,-1pt" to="180pt,-1pt" strokeweight=".25pt">
            <w10:wrap anchorx="page"/>
          </v:line>
        </w:pict>
      </w:r>
    </w:p>
    <w:p w:rsidR="00EF3339" w:rsidRPr="00EF3339" w:rsidRDefault="00EF3339" w:rsidP="00EF3339">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EF3339">
        <w:rPr>
          <w:sz w:val="18"/>
          <w:vertAlign w:val="superscript"/>
        </w:rPr>
        <w:t>*</w:t>
      </w:r>
      <w:r>
        <w:rPr>
          <w:sz w:val="18"/>
        </w:rPr>
        <w:tab/>
      </w:r>
      <w:hyperlink r:id="rId14" w:history="1">
        <w:r w:rsidRPr="00D209BE">
          <w:rPr>
            <w:rStyle w:val="Hyperlink"/>
            <w:rFonts w:hint="eastAsia"/>
            <w:sz w:val="18"/>
          </w:rPr>
          <w:t>CEDAW/C/57/1</w:t>
        </w:r>
      </w:hyperlink>
      <w:r w:rsidRPr="00EF3339">
        <w:rPr>
          <w:rFonts w:hint="eastAsia"/>
          <w:sz w:val="18"/>
        </w:rPr>
        <w:t>。</w:t>
      </w:r>
    </w:p>
    <w:p w:rsidR="00EF3339" w:rsidRPr="00EF3339" w:rsidRDefault="00EF3339" w:rsidP="00EF3339">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EF3339">
        <w:rPr>
          <w:sz w:val="18"/>
          <w:vertAlign w:val="superscript"/>
        </w:rPr>
        <w:t>**</w:t>
      </w:r>
      <w:r>
        <w:rPr>
          <w:sz w:val="18"/>
        </w:rPr>
        <w:tab/>
      </w:r>
      <w:r w:rsidRPr="00EF3339">
        <w:rPr>
          <w:rFonts w:hint="eastAsia"/>
          <w:sz w:val="18"/>
        </w:rPr>
        <w:t>按照已通知各缔约国的报告处理办法，本文件未经正式编辑。</w:t>
      </w:r>
    </w:p>
    <w:p w:rsidR="00EF3339" w:rsidRDefault="00EF3339" w:rsidP="00EF3339">
      <w:pPr>
        <w:pStyle w:val="SingleTxt"/>
      </w:pPr>
    </w:p>
    <w:p w:rsidR="00EF3339" w:rsidRDefault="00EF3339" w:rsidP="00EF33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tab/>
      </w:r>
      <w:r>
        <w:tab/>
      </w:r>
      <w:r>
        <w:rPr>
          <w:rFonts w:hint="eastAsia"/>
        </w:rPr>
        <w:t>总体情况</w:t>
      </w:r>
    </w:p>
    <w:p w:rsidR="00EF3339" w:rsidRPr="00EF3339" w:rsidRDefault="00EF3339" w:rsidP="00EF3339">
      <w:pPr>
        <w:pStyle w:val="SingleTxt"/>
        <w:spacing w:after="0" w:line="120" w:lineRule="exact"/>
        <w:rPr>
          <w:rFonts w:hint="eastAsia"/>
          <w:sz w:val="10"/>
        </w:rPr>
      </w:pPr>
    </w:p>
    <w:p w:rsidR="00EF3339" w:rsidRPr="00EF3339" w:rsidRDefault="00EF3339" w:rsidP="00EF3339">
      <w:pPr>
        <w:pStyle w:val="SingleTxt"/>
        <w:spacing w:after="0" w:line="120" w:lineRule="exact"/>
        <w:rPr>
          <w:rFonts w:hint="eastAsia"/>
          <w:sz w:val="10"/>
        </w:rPr>
      </w:pPr>
    </w:p>
    <w:p w:rsidR="00EF3339" w:rsidRDefault="00EF3339" w:rsidP="00EF3339">
      <w:pPr>
        <w:pStyle w:val="SingleTxt"/>
        <w:rPr>
          <w:rFonts w:hint="eastAsia"/>
        </w:rPr>
      </w:pPr>
      <w:r>
        <w:rPr>
          <w:rFonts w:hint="eastAsia"/>
        </w:rPr>
        <w:t>1.</w:t>
      </w:r>
      <w:r>
        <w:rPr>
          <w:rFonts w:hint="eastAsia"/>
        </w:rPr>
        <w:tab/>
        <w:t>前独裁政权在2003年垮台后，伊拉克经历了一波攻击各阶层人民的盲目恐怖主义行动，数以千计的妇女、儿童和老人因此死亡，并产生数以百计的寡妇、孤儿和无家可归者。鉴于这种情况，不得不在巴格达采取广泛的安保行动，并在一些省采取类似行动，以扩大安全和秩序，起诉罪犯，让公民能够行使权利。执法行动的实施取得了具体成果。2007年广泛实施安保行动的省份是巴格达、巴士拉和济加尔以及多多少少受到武装集团控制的一些省。在尼纳瓦的执法行动稱為“Umm al-Arbaeen”行动，目的在瓦解基地组织，并在其他热点地区(例如迪亚拉、基尔库克、萨拉赫丁和安巴尔)采取军事行动。这些行动的积极成果之一是在行动之后的几年间减少了恐怖主义受害者的人数：2008年的死亡人数为7 483人，受伤者22 357人。2009年的死亡人数减少到4 068人，受伤者15 935人。2010年死亡人数为3 254人，减少了50%。</w:t>
      </w:r>
    </w:p>
    <w:p w:rsidR="00EF3339" w:rsidRDefault="00EF3339" w:rsidP="00EF3339">
      <w:pPr>
        <w:pStyle w:val="SingleTxt"/>
        <w:rPr>
          <w:rFonts w:hint="eastAsia"/>
        </w:rPr>
      </w:pPr>
      <w:r>
        <w:tab/>
      </w:r>
      <w:r>
        <w:rPr>
          <w:rFonts w:hint="eastAsia"/>
        </w:rPr>
        <w:t>尽管自2008年以来暴力和恐怖主义行为下降，受害者人数减少，但以爆炸方式进行的恐怖行为仍然继续，造成的人命丧失和物质损失对安全和稳定构成威胁，损害了正在改进的人权状况，侵犯了公民权利及其财产权利。</w:t>
      </w:r>
    </w:p>
    <w:p w:rsidR="00EF3339" w:rsidRDefault="00EF3339" w:rsidP="00EF3339">
      <w:pPr>
        <w:pStyle w:val="SingleTxt"/>
        <w:rPr>
          <w:rFonts w:hint="eastAsia"/>
        </w:rPr>
      </w:pPr>
      <w:r>
        <w:tab/>
      </w:r>
      <w:r>
        <w:rPr>
          <w:rFonts w:hint="eastAsia"/>
        </w:rPr>
        <w:t>伊拉克政府采取了一些措施来改善伊拉克妇女的状况，并特别采取以下措施来消除暴力，尤其是对妇女的暴力：</w:t>
      </w:r>
    </w:p>
    <w:p w:rsidR="00EF3339" w:rsidRDefault="00EF3339" w:rsidP="00EF3339">
      <w:pPr>
        <w:pStyle w:val="SingleTxt"/>
        <w:rPr>
          <w:rFonts w:hint="eastAsia"/>
        </w:rPr>
      </w:pPr>
      <w:r>
        <w:tab/>
        <w:t>(</w:t>
      </w:r>
      <w:r>
        <w:rPr>
          <w:rFonts w:hint="eastAsia"/>
        </w:rPr>
        <w:t>a</w:t>
      </w:r>
      <w:r>
        <w:t>)</w:t>
      </w:r>
      <w:r>
        <w:rPr>
          <w:rFonts w:hint="eastAsia"/>
        </w:rPr>
        <w:tab/>
        <w:t>加强执法和起诉罪犯的安保机构的作用；</w:t>
      </w:r>
    </w:p>
    <w:p w:rsidR="00EF3339" w:rsidRDefault="00EF3339" w:rsidP="00EF3339">
      <w:pPr>
        <w:pStyle w:val="SingleTxt"/>
        <w:rPr>
          <w:rFonts w:hint="eastAsia"/>
        </w:rPr>
      </w:pPr>
      <w:r>
        <w:tab/>
        <w:t>(</w:t>
      </w:r>
      <w:r>
        <w:rPr>
          <w:rFonts w:hint="eastAsia"/>
        </w:rPr>
        <w:t>b</w:t>
      </w:r>
      <w:r>
        <w:t>)</w:t>
      </w:r>
      <w:r>
        <w:rPr>
          <w:rFonts w:hint="eastAsia"/>
        </w:rPr>
        <w:tab/>
        <w:t>在国家妇女事务部监督下，组成保护家庭高级委员会，参加的还有内政、劳动和社会事务、卫生、教育和人权等部。该委员会正在采取一些措施来消除伊拉克社会的家庭暴力，包括通过打击家庭暴力的国家战略，草拟防止家庭暴力的法案，以及审查国家立法，特别是刑法典，以修正歧视妇女的条款。此外，委员会支持在内政部成立家庭保护局，该局的第一个处于2010年2月在Karkh开始办公，第二个处于2010年 7月在Rusafah开始办公。随后，有14个处在各省开办，只有库尔德斯坦地区除外。这些处的目的是友好地解决家庭争端，避免诉诸司法程序；此外还为被殴打妇女提供安全的庇护所。国家通过的这个计划得到在伊拉克工作的各联合国组织的支持，例如联合国开发计划署(开发署)和联合国人口基金(人口基金)；</w:t>
      </w:r>
    </w:p>
    <w:p w:rsidR="00EF3339" w:rsidRDefault="00EF3339" w:rsidP="00EF3339">
      <w:pPr>
        <w:pStyle w:val="SingleTxt"/>
        <w:rPr>
          <w:rFonts w:hint="eastAsia"/>
        </w:rPr>
      </w:pPr>
      <w:r>
        <w:rPr>
          <w:rFonts w:hint="eastAsia"/>
        </w:rPr>
        <w:tab/>
        <w:t>(c)</w:t>
      </w:r>
      <w:r>
        <w:rPr>
          <w:rFonts w:hint="eastAsia"/>
        </w:rPr>
        <w:tab/>
        <w:t>劳动和社会事务部的妇女福利部门向寡妇、离婚者、未婚女子和失踪者的妻子提供社会福利金，并设立社会保护网，向女户主、有特殊需要的妇女和工作妇女提供补助金。</w:t>
      </w:r>
    </w:p>
    <w:p w:rsidR="00EF3339" w:rsidRPr="0007234C" w:rsidRDefault="00EF3339" w:rsidP="0007234C">
      <w:pPr>
        <w:pStyle w:val="SingleTxt"/>
        <w:spacing w:after="120"/>
        <w:rPr>
          <w:rFonts w:hint="eastAsia"/>
          <w:spacing w:val="-2"/>
        </w:rPr>
      </w:pPr>
      <w:r>
        <w:rPr>
          <w:rFonts w:hint="eastAsia"/>
        </w:rPr>
        <w:t>2.</w:t>
      </w:r>
      <w:r>
        <w:rPr>
          <w:rFonts w:hint="eastAsia"/>
        </w:rPr>
        <w:tab/>
      </w:r>
      <w:r w:rsidRPr="0007234C">
        <w:rPr>
          <w:rFonts w:hint="eastAsia"/>
          <w:spacing w:val="2"/>
        </w:rPr>
        <w:t>国家妇女事务部制定了一个国家计划草案，以便与实施安全理事会第1325号决议的一个小组协调合作。该小组由几个非政府组织联合设立，目的在执行该决议。此外，该部设立了性别事务股(在各国家机构有27个股)，实施规划部</w:t>
      </w:r>
      <w:r w:rsidRPr="0007234C">
        <w:rPr>
          <w:rFonts w:hint="eastAsia"/>
        </w:rPr>
        <w:t>关于制定政府机制将性别角色纳入国家政策的建议，在各部及部以外机构实现机</w:t>
      </w:r>
      <w:r w:rsidRPr="0007234C">
        <w:rPr>
          <w:rFonts w:hint="eastAsia"/>
          <w:spacing w:val="-2"/>
        </w:rPr>
        <w:t>会均等。这符合国家妇女事务部的战略目标，就是使所有机构制订政策和拟订方案，在机会均等和提供服务方面遵守关于性别的规定和缩小性别差距。因此，妇女的问题和需要已经纳入伊拉克所有官方机构的政策。目前正在采取的措施包括：</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在还没有设立性别事务股的各部及部以外各机构设立这样的股；</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培训性别事务股的工作人员，培养他们的能力，并为性别事务股制订行动计划；</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通过在伊拉克工作的各联合国组织和外国组织协调国际活动，取得这个领域的专门知识；</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经高等教育部批准，成立一个专门负责妇女事务的中央委员会；拟订委员会章程和行政结构的工作已经在2012年10月完成；</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2013年2月，国家妇女事务部为教育部全国课程设计委员会举办了一次研讨会，研讨如何按照尊重两性平等原则改写课程。该研讨会得到前述专门委员会的支持；</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此外，国家妇女事务部提出了关于家庭和青年人的工作文件，这是一个特别研讨会的一部分，目的在分析对2014-2019年伊拉克国家安全的威胁；该研讨会由伊拉克政府国家安全咨询委员会举办；</w:t>
      </w:r>
    </w:p>
    <w:p w:rsidR="00EF3339" w:rsidRDefault="0007234C" w:rsidP="0007234C">
      <w:pPr>
        <w:pStyle w:val="SingleTxt"/>
        <w:spacing w:after="120"/>
        <w:ind w:left="2126" w:hanging="431"/>
        <w:rPr>
          <w:rFonts w:hint="eastAsia"/>
        </w:rPr>
      </w:pPr>
      <w:r>
        <w:rPr>
          <w:rFonts w:hint="eastAsia"/>
        </w:rPr>
        <w:sym w:font="Symbol" w:char="F0B7"/>
      </w:r>
      <w:r>
        <w:tab/>
      </w:r>
      <w:r w:rsidR="00EF3339">
        <w:rPr>
          <w:rFonts w:hint="eastAsia"/>
        </w:rPr>
        <w:t>属于总理办公室的全国和解委员会由一位顾问主持，设立了一个妇女问题特别办公室，成员都是妇女。这个办公室负责监测所有有关伊拉克妇女的事务，设法提高妇女地位，使妇女在全国和解项目中发挥主要作用，并直接受全国和解委员会的妇女代表办公室和妇女支持委员会的监督。该办公室的目的是：</w:t>
      </w:r>
    </w:p>
    <w:p w:rsidR="00EF3339" w:rsidRDefault="00EF3339" w:rsidP="00472ED8">
      <w:pPr>
        <w:pStyle w:val="SingleTxt"/>
        <w:spacing w:after="120"/>
        <w:ind w:left="2126"/>
        <w:rPr>
          <w:rFonts w:hint="eastAsia"/>
        </w:rPr>
      </w:pPr>
      <w:r>
        <w:rPr>
          <w:rFonts w:hint="eastAsia"/>
        </w:rPr>
        <w:t>1.</w:t>
      </w:r>
      <w:r>
        <w:rPr>
          <w:rFonts w:hint="eastAsia"/>
        </w:rPr>
        <w:tab/>
        <w:t>加强文化方面的宣传，强调妇女必须在全国各省的论坛和会议参与建设国家统一与融合的工作；</w:t>
      </w:r>
    </w:p>
    <w:p w:rsidR="00EF3339" w:rsidRDefault="00EF3339" w:rsidP="00472ED8">
      <w:pPr>
        <w:pStyle w:val="SingleTxt"/>
        <w:spacing w:after="120"/>
        <w:ind w:left="2126"/>
        <w:rPr>
          <w:rFonts w:hint="eastAsia"/>
        </w:rPr>
      </w:pPr>
      <w:r>
        <w:rPr>
          <w:rFonts w:hint="eastAsia"/>
        </w:rPr>
        <w:t>2.</w:t>
      </w:r>
      <w:r>
        <w:rPr>
          <w:rFonts w:hint="eastAsia"/>
        </w:rPr>
        <w:tab/>
        <w:t>与内政部和国家安全机构合作，开办关于提高安全认识和识别各种爆炸物类型的课程；</w:t>
      </w:r>
    </w:p>
    <w:p w:rsidR="00EF3339" w:rsidRDefault="00EF3339" w:rsidP="00472ED8">
      <w:pPr>
        <w:pStyle w:val="SingleTxt"/>
        <w:spacing w:after="120"/>
        <w:ind w:left="2126"/>
        <w:rPr>
          <w:rFonts w:hint="eastAsia"/>
        </w:rPr>
      </w:pPr>
      <w:r>
        <w:rPr>
          <w:rFonts w:hint="eastAsia"/>
        </w:rPr>
        <w:t>3.</w:t>
      </w:r>
      <w:r>
        <w:rPr>
          <w:rFonts w:hint="eastAsia"/>
        </w:rPr>
        <w:tab/>
        <w:t>妇女问题特别办公室加入一些加强认识和平的重要性的工作，参加关于促进全国和解的庆祝活动，通过某些活动来传播全国和解精神，例如几个妇女团体一起拜访圣地(纳杰夫、卡尔巴拉和萨迈拉)和博物馆；</w:t>
      </w:r>
    </w:p>
    <w:p w:rsidR="00EF3339" w:rsidRDefault="00EF3339" w:rsidP="00472ED8">
      <w:pPr>
        <w:pStyle w:val="SingleTxt"/>
        <w:spacing w:after="120"/>
        <w:ind w:left="2126"/>
        <w:rPr>
          <w:rFonts w:hint="eastAsia"/>
        </w:rPr>
      </w:pPr>
      <w:r>
        <w:rPr>
          <w:rFonts w:hint="eastAsia"/>
        </w:rPr>
        <w:t>4.</w:t>
      </w:r>
      <w:r>
        <w:rPr>
          <w:rFonts w:hint="eastAsia"/>
        </w:rPr>
        <w:tab/>
        <w:t>妇女问题特别办公室举办各种艺术节来宣传和平文化，例如妇女的造型艺术和《古兰经》朗诵比赛；</w:t>
      </w:r>
    </w:p>
    <w:p w:rsidR="00EF3339" w:rsidRDefault="00EF3339" w:rsidP="00472ED8">
      <w:pPr>
        <w:pStyle w:val="SingleTxt"/>
        <w:ind w:left="2126"/>
        <w:rPr>
          <w:rFonts w:hint="eastAsia"/>
        </w:rPr>
      </w:pPr>
      <w:r>
        <w:rPr>
          <w:rFonts w:hint="eastAsia"/>
        </w:rPr>
        <w:t>5.</w:t>
      </w:r>
      <w:r>
        <w:rPr>
          <w:rFonts w:hint="eastAsia"/>
        </w:rPr>
        <w:tab/>
        <w:t>妇女问题特别办公室与非政府组织保持联络，实现与伊拉克各阶层妇女进行全国和解的目标；</w:t>
      </w:r>
    </w:p>
    <w:p w:rsidR="00EF3339" w:rsidRDefault="00EF3339" w:rsidP="00472ED8">
      <w:pPr>
        <w:pStyle w:val="SingleTxt"/>
        <w:spacing w:after="120"/>
        <w:ind w:left="2126"/>
        <w:rPr>
          <w:rFonts w:hint="eastAsia"/>
        </w:rPr>
      </w:pPr>
      <w:r>
        <w:rPr>
          <w:rFonts w:hint="eastAsia"/>
        </w:rPr>
        <w:t>6.</w:t>
      </w:r>
      <w:r>
        <w:rPr>
          <w:rFonts w:hint="eastAsia"/>
        </w:rPr>
        <w:tab/>
        <w:t>妇女问题特别办公室举办许多庆祝活动，例如伊拉克妇女日，藉以向活跃在妇女权利领域的妇女以及大中学校的优秀学生致敬；</w:t>
      </w:r>
    </w:p>
    <w:p w:rsidR="00EF3339" w:rsidRDefault="00EF3339" w:rsidP="00472ED8">
      <w:pPr>
        <w:pStyle w:val="SingleTxt"/>
        <w:spacing w:after="120"/>
        <w:ind w:left="2126"/>
        <w:rPr>
          <w:rFonts w:hint="eastAsia"/>
        </w:rPr>
      </w:pPr>
      <w:r>
        <w:rPr>
          <w:rFonts w:hint="eastAsia"/>
        </w:rPr>
        <w:t>7.</w:t>
      </w:r>
      <w:r>
        <w:rPr>
          <w:rFonts w:hint="eastAsia"/>
        </w:rPr>
        <w:tab/>
        <w:t>妇女问题特别办公室在巴格达的Karkh和Rusafah以及在其他省份设立代表处，开设文化和社会课程，以传播和平与国家统一想法。此外，它还监测在巴格达和各省的妇女代表办公室和妇女支持委员会的工作；</w:t>
      </w:r>
    </w:p>
    <w:p w:rsidR="00EF3339" w:rsidRDefault="00EF3339" w:rsidP="00472ED8">
      <w:pPr>
        <w:pStyle w:val="SingleTxt"/>
        <w:spacing w:after="120"/>
        <w:ind w:left="2126"/>
        <w:rPr>
          <w:rFonts w:hint="eastAsia"/>
        </w:rPr>
      </w:pPr>
      <w:r>
        <w:rPr>
          <w:rFonts w:hint="eastAsia"/>
        </w:rPr>
        <w:t>8.</w:t>
      </w:r>
      <w:r>
        <w:rPr>
          <w:rFonts w:hint="eastAsia"/>
        </w:rPr>
        <w:tab/>
        <w:t xml:space="preserve">妇女问题特别办公室与国家妇女事务部协调，开办妇女扫盲班，与卫生部协调，开办卫生教育讨论会。此外，它与妇女福利部门协调，向许多离婚者、寡妇和有特别需要的妇女提供服务； </w:t>
      </w:r>
    </w:p>
    <w:p w:rsidR="00EF3339" w:rsidRDefault="00EF3339" w:rsidP="00472ED8">
      <w:pPr>
        <w:pStyle w:val="SingleTxt"/>
        <w:spacing w:after="120"/>
        <w:ind w:left="2126"/>
        <w:rPr>
          <w:rFonts w:hint="eastAsia"/>
        </w:rPr>
      </w:pPr>
      <w:r>
        <w:rPr>
          <w:rFonts w:hint="eastAsia"/>
        </w:rPr>
        <w:t>9.</w:t>
      </w:r>
      <w:r>
        <w:rPr>
          <w:rFonts w:hint="eastAsia"/>
        </w:rPr>
        <w:tab/>
        <w:t>全国和解委员会的妇女问题特别办公室认为国家发展是建设和平的一个必要条件，举办了一些关于人类发展的论坛；</w:t>
      </w:r>
    </w:p>
    <w:p w:rsidR="00EF3339" w:rsidRDefault="00EF3339" w:rsidP="00472ED8">
      <w:pPr>
        <w:pStyle w:val="SingleTxt"/>
        <w:spacing w:after="120"/>
        <w:ind w:left="2126"/>
        <w:rPr>
          <w:rFonts w:hint="eastAsia"/>
        </w:rPr>
      </w:pPr>
      <w:r>
        <w:rPr>
          <w:rFonts w:hint="eastAsia"/>
        </w:rPr>
        <w:t>10.</w:t>
      </w:r>
      <w:r>
        <w:rPr>
          <w:rFonts w:hint="eastAsia"/>
        </w:rPr>
        <w:tab/>
        <w:t>妇女问题特别办公室努力开办课程以增加妇女在某些领域的技能，例如裁缝和计算机，用以帮助她们就业；</w:t>
      </w:r>
    </w:p>
    <w:p w:rsidR="00EF3339" w:rsidRDefault="00EF3339" w:rsidP="00472ED8">
      <w:pPr>
        <w:pStyle w:val="SingleTxt"/>
        <w:spacing w:after="120"/>
        <w:ind w:left="2126"/>
        <w:rPr>
          <w:rFonts w:hint="eastAsia"/>
        </w:rPr>
      </w:pPr>
      <w:r>
        <w:rPr>
          <w:rFonts w:hint="eastAsia"/>
        </w:rPr>
        <w:t>11.</w:t>
      </w:r>
      <w:r>
        <w:rPr>
          <w:rFonts w:hint="eastAsia"/>
        </w:rPr>
        <w:tab/>
        <w:t>妇女问题特别办公室参加该法案的活动和措施，消除恐怖主义的根源。</w:t>
      </w:r>
    </w:p>
    <w:p w:rsidR="0007234C" w:rsidRPr="0007234C" w:rsidRDefault="0007234C" w:rsidP="000723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F3339" w:rsidRDefault="0007234C" w:rsidP="000723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保留</w:t>
      </w:r>
    </w:p>
    <w:p w:rsidR="0007234C" w:rsidRPr="0007234C" w:rsidRDefault="0007234C" w:rsidP="0007234C">
      <w:pPr>
        <w:pStyle w:val="SingleTxt"/>
        <w:spacing w:after="0" w:line="120" w:lineRule="exact"/>
        <w:rPr>
          <w:rFonts w:hint="eastAsia"/>
          <w:sz w:val="10"/>
        </w:rPr>
      </w:pPr>
    </w:p>
    <w:p w:rsidR="0007234C" w:rsidRPr="0007234C" w:rsidRDefault="0007234C" w:rsidP="0007234C">
      <w:pPr>
        <w:pStyle w:val="SingleTxt"/>
        <w:spacing w:after="0" w:line="120" w:lineRule="exact"/>
        <w:rPr>
          <w:rFonts w:hint="eastAsia"/>
          <w:sz w:val="10"/>
        </w:rPr>
      </w:pPr>
    </w:p>
    <w:p w:rsidR="00EF3339" w:rsidRDefault="00EF3339" w:rsidP="00472ED8">
      <w:pPr>
        <w:pStyle w:val="SingleTxt"/>
        <w:spacing w:after="120"/>
        <w:rPr>
          <w:rFonts w:hint="eastAsia"/>
        </w:rPr>
      </w:pPr>
      <w:r>
        <w:rPr>
          <w:rFonts w:hint="eastAsia"/>
        </w:rPr>
        <w:t>3.</w:t>
      </w:r>
      <w:r>
        <w:rPr>
          <w:rFonts w:hint="eastAsia"/>
        </w:rPr>
        <w:tab/>
        <w:t>伊拉克根据国民议会于2011年10月8日批准的第33(2011)号法，取消了对《消除对妇女一切形式歧视国际公约》第9条的保留，因为该保留根据伊拉克《宪法》第18条已经丧失法律效力，现行第26(2006)号国籍法就是根据第18条通过的。该法赋予妇女与男子一样的权利，让她们的子女取得国籍。该法第3条规定：“伊拉克籍父亲或伊拉克籍母亲所生子女都应视为伊拉克人”。因此，母亲即使与外国人结婚，她的子女也可以取得伊拉克国籍。</w:t>
      </w:r>
    </w:p>
    <w:p w:rsidR="00EF3339" w:rsidRDefault="0007234C" w:rsidP="00472ED8">
      <w:pPr>
        <w:pStyle w:val="SingleTxt"/>
        <w:spacing w:after="120"/>
        <w:rPr>
          <w:rFonts w:hint="eastAsia"/>
        </w:rPr>
      </w:pPr>
      <w:r>
        <w:rPr>
          <w:rFonts w:hint="eastAsia"/>
        </w:rPr>
        <w:tab/>
      </w:r>
      <w:r w:rsidR="00EF3339">
        <w:rPr>
          <w:rFonts w:hint="eastAsia"/>
        </w:rPr>
        <w:t>至于伊拉克对《公约》第2条(f)和(g)款以及对《公约》第16条的保留，有关部委组成的联合委员会正在研究，其中包括人权部、国家妇女事务部、内政部、劳动和社会事务部以及一些有兴趣研究和审查这些保留的民间社会组织。</w:t>
      </w:r>
    </w:p>
    <w:p w:rsidR="0007234C" w:rsidRPr="0007234C" w:rsidRDefault="0007234C" w:rsidP="0007234C">
      <w:pPr>
        <w:pStyle w:val="SingleTxt"/>
        <w:spacing w:after="0" w:line="120" w:lineRule="exact"/>
        <w:rPr>
          <w:rFonts w:hint="eastAsia"/>
          <w:sz w:val="10"/>
        </w:rPr>
      </w:pPr>
    </w:p>
    <w:p w:rsidR="00EF3339" w:rsidRDefault="0007234C" w:rsidP="000723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 xml:space="preserve">《宪法》和立法框架  </w:t>
      </w:r>
    </w:p>
    <w:p w:rsidR="0007234C" w:rsidRPr="0007234C" w:rsidRDefault="0007234C" w:rsidP="0007234C">
      <w:pPr>
        <w:pStyle w:val="SingleTxt"/>
        <w:spacing w:after="0" w:line="120" w:lineRule="exact"/>
        <w:rPr>
          <w:rFonts w:hint="eastAsia"/>
          <w:sz w:val="10"/>
        </w:rPr>
      </w:pPr>
    </w:p>
    <w:p w:rsidR="0007234C" w:rsidRPr="0007234C" w:rsidRDefault="0007234C" w:rsidP="0007234C">
      <w:pPr>
        <w:pStyle w:val="SingleTxt"/>
        <w:spacing w:after="0" w:line="120" w:lineRule="exact"/>
        <w:rPr>
          <w:rFonts w:hint="eastAsia"/>
          <w:sz w:val="10"/>
        </w:rPr>
      </w:pPr>
    </w:p>
    <w:p w:rsidR="00EF3339" w:rsidRDefault="00EF3339" w:rsidP="00EF3339">
      <w:pPr>
        <w:pStyle w:val="SingleTxt"/>
        <w:rPr>
          <w:rFonts w:hint="eastAsia"/>
        </w:rPr>
      </w:pPr>
      <w:r>
        <w:rPr>
          <w:rFonts w:hint="eastAsia"/>
        </w:rPr>
        <w:t>4.</w:t>
      </w:r>
      <w:r>
        <w:rPr>
          <w:rFonts w:hint="eastAsia"/>
        </w:rPr>
        <w:tab/>
        <w:t>伊拉克共和国正在持续地全面审查它在人权领域的国际承诺，加以巩固并将其转化为政府政策，以反映在国家立法和战略中。政府各机构的执行情况经常地、持续地受到监督。条约签订的协议公布在政府公报中，成为现行法律的一部分，必须予以奉行和遵守，其实质内容必须为法律接受。现在正在就不符合《公约》的事项进行法律研究，人权部和国家妇女事务部都在为此忙碌，就如何取消不符合《公约》的条款提出法律研究报告。此外，几个关心妇女权利的民间社会组织就国家法律是否符合《公约》条款的问题提出了意见。</w:t>
      </w:r>
    </w:p>
    <w:p w:rsidR="00EF3339" w:rsidRDefault="00EF3339" w:rsidP="00EF3339">
      <w:pPr>
        <w:pStyle w:val="SingleTxt"/>
        <w:rPr>
          <w:rFonts w:hint="eastAsia"/>
        </w:rPr>
      </w:pPr>
      <w:r>
        <w:rPr>
          <w:rFonts w:hint="eastAsia"/>
        </w:rPr>
        <w:t>5.</w:t>
      </w:r>
      <w:r>
        <w:rPr>
          <w:rFonts w:hint="eastAsia"/>
        </w:rPr>
        <w:tab/>
        <w:t>第14条保证所有伊拉克人在法律面前人人平等的原则，不受基于性别、宗教、教派或族裔的歧视。现行法律也隐含同样原则，但国家报告中指出的某些案例除外。应该指出，《宪法》第13条规定：“第一，本《宪法》是伊拉克最重要和最高的法律，对伊拉克所有地区具有约束力，绝无例外。第二，不得制定违反本《宪法》的任何法律。任何地区宪法的条款或任何其他法律条款如果违反本《宪法》，应视为无效”。据此，平等原则隐含在所有现行法律中。否则，可在联邦最高法院对某一法律是否违宪提出质疑，由最高法院审议该法律与《宪法》符合的程度。所以，我们认为没有必要颁布禁止歧视的法律，因为《宪法》已经禁止任何不符合平等原则的规定。</w:t>
      </w:r>
    </w:p>
    <w:p w:rsidR="00EF3339" w:rsidRDefault="0007234C" w:rsidP="00EF3339">
      <w:pPr>
        <w:pStyle w:val="SingleTxt"/>
        <w:rPr>
          <w:rFonts w:hint="eastAsia"/>
        </w:rPr>
      </w:pPr>
      <w:r>
        <w:rPr>
          <w:rFonts w:hint="eastAsia"/>
        </w:rPr>
        <w:tab/>
      </w:r>
      <w:r w:rsidR="00EF3339">
        <w:rPr>
          <w:rFonts w:hint="eastAsia"/>
        </w:rPr>
        <w:t>伊拉克《宪法》第41条引起了争辩和讨论，现在仍然由立法专家进行研究。因此，该条尚未生效，第</w:t>
      </w:r>
      <w:hyperlink r:id="rId15" w:history="1">
        <w:r w:rsidR="00EF3339" w:rsidRPr="00D209BE">
          <w:rPr>
            <w:rStyle w:val="Hyperlink"/>
            <w:rFonts w:hint="eastAsia"/>
          </w:rPr>
          <w:t>188(1959)</w:t>
        </w:r>
      </w:hyperlink>
      <w:r w:rsidR="00EF3339">
        <w:rPr>
          <w:rFonts w:hint="eastAsia"/>
        </w:rPr>
        <w:t xml:space="preserve">号个人身份法依然有效。 </w:t>
      </w:r>
    </w:p>
    <w:p w:rsidR="00EF3339" w:rsidRDefault="0007234C" w:rsidP="00EF3339">
      <w:pPr>
        <w:pStyle w:val="SingleTxt"/>
        <w:rPr>
          <w:rFonts w:hint="eastAsia"/>
        </w:rPr>
      </w:pPr>
      <w:r>
        <w:rPr>
          <w:rFonts w:hint="eastAsia"/>
        </w:rPr>
        <w:tab/>
      </w:r>
      <w:r w:rsidR="00EF3339" w:rsidRPr="00472ED8">
        <w:rPr>
          <w:rFonts w:hint="eastAsia"/>
          <w:spacing w:val="2"/>
        </w:rPr>
        <w:t>根据伊拉克2010年提交的普遍定期审议、最近刚通过的国家人权计划指出，有必要审查刑法典，而且负责执行该计划的协调和后续行动委员会已经指派人权部和议会人权委员会执行该任务，以期取消刑法典中第111(1969，修正版)号法律。有关委员会的成员是来自相关各部、机构和民间社会组织的代表。关于刑法典某些条款(包括第41、409和380条)的修正已由一个会议的起草委员会通过，该会议包括国家人权计划与国家妇女事务委员会联合任命的委员会的全体成员</w:t>
      </w:r>
      <w:r w:rsidR="00EF3339">
        <w:rPr>
          <w:rFonts w:hint="eastAsia"/>
        </w:rPr>
        <w:t>。</w:t>
      </w:r>
    </w:p>
    <w:p w:rsidR="0007234C" w:rsidRPr="0007234C" w:rsidRDefault="0007234C" w:rsidP="0007234C">
      <w:pPr>
        <w:pStyle w:val="SingleTxt"/>
        <w:spacing w:after="0" w:line="120" w:lineRule="exact"/>
        <w:rPr>
          <w:rFonts w:hint="eastAsia"/>
          <w:sz w:val="10"/>
        </w:rPr>
      </w:pPr>
    </w:p>
    <w:p w:rsidR="00EF3339" w:rsidRDefault="0007234C" w:rsidP="000723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被拘留妇女获得司法救助</w:t>
      </w:r>
    </w:p>
    <w:p w:rsidR="0007234C" w:rsidRPr="0007234C" w:rsidRDefault="0007234C" w:rsidP="0007234C">
      <w:pPr>
        <w:pStyle w:val="SingleTxt"/>
        <w:spacing w:after="0" w:line="120" w:lineRule="exact"/>
        <w:rPr>
          <w:rFonts w:hint="eastAsia"/>
          <w:sz w:val="10"/>
        </w:rPr>
      </w:pPr>
    </w:p>
    <w:p w:rsidR="0007234C" w:rsidRPr="0007234C" w:rsidRDefault="0007234C" w:rsidP="0007234C">
      <w:pPr>
        <w:pStyle w:val="SingleTxt"/>
        <w:spacing w:after="0" w:line="120" w:lineRule="exact"/>
        <w:rPr>
          <w:rFonts w:hint="eastAsia"/>
          <w:sz w:val="10"/>
        </w:rPr>
      </w:pPr>
    </w:p>
    <w:p w:rsidR="00EF3339" w:rsidRDefault="00EF3339" w:rsidP="00EF3339">
      <w:pPr>
        <w:pStyle w:val="SingleTxt"/>
        <w:rPr>
          <w:rFonts w:hint="eastAsia"/>
        </w:rPr>
      </w:pPr>
      <w:r>
        <w:rPr>
          <w:rFonts w:hint="eastAsia"/>
        </w:rPr>
        <w:t>6.</w:t>
      </w:r>
      <w:r>
        <w:rPr>
          <w:rFonts w:hint="eastAsia"/>
        </w:rPr>
        <w:tab/>
      </w:r>
      <w:r w:rsidR="0007234C">
        <w:rPr>
          <w:rFonts w:hint="eastAsia"/>
        </w:rPr>
        <w:t>一</w:t>
      </w:r>
      <w:r>
        <w:rPr>
          <w:rFonts w:hint="eastAsia"/>
        </w:rPr>
        <w:t>.《宪法》保证所有伊拉克公民都毫无例外地有权获得司法救助；《宪法》第14条规定：“伊拉克人在法律面前人人平等，不受基于性别、种族、族裔、国籍、出身、肤色、宗教、教派、信仰或意见、经济或社会地位的歧视”。人人必须遵守所有现行法律，法律在适用时不得由于性别加以歧视。《宪法》的某些条款载列获得司法救助的原则，包括：</w:t>
      </w:r>
    </w:p>
    <w:p w:rsidR="00EF3339" w:rsidRDefault="0007234C" w:rsidP="00EF3339">
      <w:pPr>
        <w:pStyle w:val="SingleTxt"/>
        <w:rPr>
          <w:rFonts w:hint="eastAsia"/>
        </w:rPr>
      </w:pPr>
      <w:r>
        <w:rPr>
          <w:rFonts w:hint="eastAsia"/>
        </w:rPr>
        <w:tab/>
      </w:r>
      <w:r>
        <w:t>(</w:t>
      </w:r>
      <w:r w:rsidR="00EF3339">
        <w:rPr>
          <w:rFonts w:hint="eastAsia"/>
        </w:rPr>
        <w:t>a</w:t>
      </w:r>
      <w:r>
        <w:t>)</w:t>
      </w:r>
      <w:r w:rsidR="00EF3339">
        <w:rPr>
          <w:rFonts w:hint="eastAsia"/>
        </w:rPr>
        <w:tab/>
      </w:r>
      <w:r w:rsidR="00EF3339" w:rsidRPr="0007234C">
        <w:rPr>
          <w:rFonts w:hint="eastAsia"/>
          <w:spacing w:val="2"/>
        </w:rPr>
        <w:t>罪行和处罚必须合法原则(第</w:t>
      </w:r>
      <w:hyperlink r:id="rId16" w:history="1">
        <w:r w:rsidR="00EF3339" w:rsidRPr="00D209BE">
          <w:rPr>
            <w:rStyle w:val="Hyperlink"/>
            <w:rFonts w:hint="eastAsia"/>
            <w:spacing w:val="2"/>
          </w:rPr>
          <w:t>19/2</w:t>
        </w:r>
      </w:hyperlink>
      <w:r w:rsidR="00EF3339" w:rsidRPr="0007234C">
        <w:rPr>
          <w:rFonts w:hint="eastAsia"/>
          <w:spacing w:val="2"/>
        </w:rPr>
        <w:t>条)：“任何罪行或处罚必须依照法律。</w:t>
      </w:r>
      <w:r w:rsidR="00EF3339">
        <w:rPr>
          <w:rFonts w:hint="eastAsia"/>
        </w:rPr>
        <w:t xml:space="preserve">只有对实施时法律认为有罪的行为才能处罚。处罚不得比犯罪时适用的处罚更严厉。” </w:t>
      </w:r>
    </w:p>
    <w:p w:rsidR="00EF3339" w:rsidRDefault="0007234C" w:rsidP="00EF3339">
      <w:pPr>
        <w:pStyle w:val="SingleTxt"/>
        <w:rPr>
          <w:rFonts w:hint="eastAsia"/>
        </w:rPr>
      </w:pPr>
      <w:r>
        <w:tab/>
        <w:t>(</w:t>
      </w:r>
      <w:r w:rsidR="00EF3339">
        <w:rPr>
          <w:rFonts w:hint="eastAsia"/>
        </w:rPr>
        <w:t>b</w:t>
      </w:r>
      <w:r>
        <w:t>)</w:t>
      </w:r>
      <w:r w:rsidR="00EF3339">
        <w:rPr>
          <w:rFonts w:hint="eastAsia"/>
        </w:rPr>
        <w:tab/>
        <w:t>人人具有诉讼权(第</w:t>
      </w:r>
      <w:hyperlink r:id="rId17" w:history="1">
        <w:r w:rsidR="00EF3339" w:rsidRPr="00D209BE">
          <w:rPr>
            <w:rStyle w:val="Hyperlink"/>
            <w:rFonts w:hint="eastAsia"/>
          </w:rPr>
          <w:t>19/3</w:t>
        </w:r>
      </w:hyperlink>
      <w:r w:rsidR="00EF3339">
        <w:rPr>
          <w:rFonts w:hint="eastAsia"/>
        </w:rPr>
        <w:t>条)</w:t>
      </w:r>
      <w:r>
        <w:rPr>
          <w:rFonts w:hint="eastAsia"/>
        </w:rPr>
        <w:t>：</w:t>
      </w:r>
      <w:r w:rsidR="00EF3339">
        <w:rPr>
          <w:rFonts w:hint="eastAsia"/>
        </w:rPr>
        <w:t>“保护和保证所有人的申诉权。”</w:t>
      </w:r>
    </w:p>
    <w:p w:rsidR="00EF3339" w:rsidRDefault="0007234C" w:rsidP="00EF3339">
      <w:pPr>
        <w:pStyle w:val="SingleTxt"/>
        <w:rPr>
          <w:rFonts w:hint="eastAsia"/>
        </w:rPr>
      </w:pPr>
      <w:r>
        <w:rPr>
          <w:rFonts w:hint="eastAsia"/>
        </w:rPr>
        <w:tab/>
      </w:r>
      <w:r>
        <w:t>(</w:t>
      </w:r>
      <w:r w:rsidR="00EF3339">
        <w:rPr>
          <w:rFonts w:hint="eastAsia"/>
        </w:rPr>
        <w:t>c</w:t>
      </w:r>
      <w:r>
        <w:t>)</w:t>
      </w:r>
      <w:r w:rsidR="00EF3339">
        <w:rPr>
          <w:rFonts w:hint="eastAsia"/>
        </w:rPr>
        <w:tab/>
        <w:t>在调查和审理的所有阶段的不可侵犯的辩护权(第</w:t>
      </w:r>
      <w:hyperlink r:id="rId18" w:history="1">
        <w:r w:rsidR="00EF3339" w:rsidRPr="00D209BE">
          <w:rPr>
            <w:rStyle w:val="Hyperlink"/>
            <w:rFonts w:hint="eastAsia"/>
          </w:rPr>
          <w:t>19/4</w:t>
        </w:r>
      </w:hyperlink>
      <w:r w:rsidR="00EF3339">
        <w:rPr>
          <w:rFonts w:hint="eastAsia"/>
        </w:rPr>
        <w:t>条)</w:t>
      </w:r>
      <w:r>
        <w:rPr>
          <w:rFonts w:hint="eastAsia"/>
        </w:rPr>
        <w:t>：</w:t>
      </w:r>
      <w:r w:rsidR="00EF3339">
        <w:rPr>
          <w:rFonts w:hint="eastAsia"/>
        </w:rPr>
        <w:t>“在调查和审理的所有阶段的辩护权不可侵犯并获得保证。”</w:t>
      </w:r>
    </w:p>
    <w:p w:rsidR="00EF3339" w:rsidRDefault="0007234C" w:rsidP="00EF3339">
      <w:pPr>
        <w:pStyle w:val="SingleTxt"/>
        <w:rPr>
          <w:rFonts w:hint="eastAsia"/>
        </w:rPr>
      </w:pPr>
      <w:r>
        <w:rPr>
          <w:rFonts w:hint="eastAsia"/>
        </w:rPr>
        <w:tab/>
        <w:t>(</w:t>
      </w:r>
      <w:r w:rsidR="00EF3339">
        <w:rPr>
          <w:rFonts w:hint="eastAsia"/>
        </w:rPr>
        <w:t>d</w:t>
      </w:r>
      <w:r>
        <w:rPr>
          <w:rFonts w:hint="eastAsia"/>
        </w:rPr>
        <w:t>)</w:t>
      </w:r>
      <w:r w:rsidR="00EF3339">
        <w:rPr>
          <w:rFonts w:hint="eastAsia"/>
        </w:rPr>
        <w:tab/>
        <w:t>在诉讼所有阶段的无罪推定原则，直到判决最后确定(第</w:t>
      </w:r>
      <w:hyperlink r:id="rId19" w:history="1">
        <w:r w:rsidR="00EF3339" w:rsidRPr="00D209BE">
          <w:rPr>
            <w:rStyle w:val="Hyperlink"/>
            <w:rFonts w:hint="eastAsia"/>
          </w:rPr>
          <w:t>19/5</w:t>
        </w:r>
      </w:hyperlink>
      <w:r w:rsidR="00EF3339">
        <w:rPr>
          <w:rFonts w:hint="eastAsia"/>
        </w:rPr>
        <w:t>条)</w:t>
      </w:r>
      <w:r>
        <w:rPr>
          <w:rFonts w:hint="eastAsia"/>
        </w:rPr>
        <w:t>：</w:t>
      </w:r>
      <w:r w:rsidR="00EF3339">
        <w:rPr>
          <w:rFonts w:hint="eastAsia"/>
        </w:rPr>
        <w:t>“被告在公正合法的审判中被证明有罪之前应为无罪。被告无罪释放后不能因同样罪行第二次受审，除非提出新的证据。”</w:t>
      </w:r>
    </w:p>
    <w:p w:rsidR="00EF3339" w:rsidRDefault="0007234C" w:rsidP="00EF3339">
      <w:pPr>
        <w:pStyle w:val="SingleTxt"/>
        <w:rPr>
          <w:rFonts w:hint="eastAsia"/>
        </w:rPr>
      </w:pPr>
      <w:r>
        <w:rPr>
          <w:rFonts w:hint="eastAsia"/>
        </w:rPr>
        <w:tab/>
      </w:r>
      <w:r>
        <w:t>(</w:t>
      </w:r>
      <w:r w:rsidR="00EF3339">
        <w:rPr>
          <w:rFonts w:hint="eastAsia"/>
        </w:rPr>
        <w:t>e</w:t>
      </w:r>
      <w:r>
        <w:t>)</w:t>
      </w:r>
      <w:r w:rsidR="00EF3339">
        <w:rPr>
          <w:rFonts w:hint="eastAsia"/>
        </w:rPr>
        <w:tab/>
        <w:t>在所有司法程序中获得公正审判的权利(第</w:t>
      </w:r>
      <w:hyperlink r:id="rId20" w:history="1">
        <w:r w:rsidR="00EF3339" w:rsidRPr="00D209BE">
          <w:rPr>
            <w:rStyle w:val="Hyperlink"/>
            <w:rFonts w:hint="eastAsia"/>
          </w:rPr>
          <w:t>19/6</w:t>
        </w:r>
      </w:hyperlink>
      <w:r w:rsidR="00EF3339">
        <w:rPr>
          <w:rFonts w:hint="eastAsia"/>
        </w:rPr>
        <w:t>条)</w:t>
      </w:r>
      <w:r>
        <w:rPr>
          <w:rFonts w:hint="eastAsia"/>
        </w:rPr>
        <w:t>：</w:t>
      </w:r>
      <w:r w:rsidR="00EF3339">
        <w:rPr>
          <w:rFonts w:hint="eastAsia"/>
        </w:rPr>
        <w:t>“人人有权在司法和行政程序中获得公正待遇。”</w:t>
      </w:r>
    </w:p>
    <w:p w:rsidR="00EF3339" w:rsidRDefault="0007234C" w:rsidP="00EF3339">
      <w:pPr>
        <w:pStyle w:val="SingleTxt"/>
        <w:rPr>
          <w:rFonts w:hint="eastAsia"/>
        </w:rPr>
      </w:pPr>
      <w:r>
        <w:rPr>
          <w:rFonts w:hint="eastAsia"/>
        </w:rPr>
        <w:tab/>
      </w:r>
      <w:r>
        <w:t>(</w:t>
      </w:r>
      <w:r w:rsidR="00EF3339">
        <w:rPr>
          <w:rFonts w:hint="eastAsia"/>
        </w:rPr>
        <w:t>f</w:t>
      </w:r>
      <w:r>
        <w:t>)</w:t>
      </w:r>
      <w:r w:rsidR="00EF3339">
        <w:rPr>
          <w:rFonts w:hint="eastAsia"/>
        </w:rPr>
        <w:tab/>
        <w:t>在诉讼所有阶段的公开审讯原则，除非法庭决定进行非公开审讯(第</w:t>
      </w:r>
      <w:hyperlink r:id="rId21" w:history="1">
        <w:r w:rsidR="00EF3339" w:rsidRPr="00D209BE">
          <w:rPr>
            <w:rStyle w:val="Hyperlink"/>
            <w:rFonts w:hint="eastAsia"/>
          </w:rPr>
          <w:t>19/7</w:t>
        </w:r>
      </w:hyperlink>
      <w:r w:rsidR="00EF3339">
        <w:rPr>
          <w:rFonts w:hint="eastAsia"/>
        </w:rPr>
        <w:t>条)</w:t>
      </w:r>
      <w:r>
        <w:rPr>
          <w:rFonts w:hint="eastAsia"/>
        </w:rPr>
        <w:t>：</w:t>
      </w:r>
      <w:r w:rsidR="00EF3339">
        <w:rPr>
          <w:rFonts w:hint="eastAsia"/>
        </w:rPr>
        <w:t>“审讯程序公开，除非法庭决定秘密审讯。”</w:t>
      </w:r>
    </w:p>
    <w:p w:rsidR="00EF3339" w:rsidRDefault="0007234C" w:rsidP="00EF3339">
      <w:pPr>
        <w:pStyle w:val="SingleTxt"/>
        <w:rPr>
          <w:rFonts w:hint="eastAsia"/>
        </w:rPr>
      </w:pPr>
      <w:r>
        <w:rPr>
          <w:rFonts w:hint="eastAsia"/>
        </w:rPr>
        <w:tab/>
      </w:r>
      <w:r>
        <w:t>(</w:t>
      </w:r>
      <w:r w:rsidR="00EF3339">
        <w:rPr>
          <w:rFonts w:hint="eastAsia"/>
        </w:rPr>
        <w:t>g</w:t>
      </w:r>
      <w:r>
        <w:t>)</w:t>
      </w:r>
      <w:r w:rsidR="00EF3339">
        <w:rPr>
          <w:rFonts w:hint="eastAsia"/>
        </w:rPr>
        <w:tab/>
        <w:t>处罚适用于个人原则(第</w:t>
      </w:r>
      <w:hyperlink r:id="rId22" w:history="1">
        <w:r w:rsidR="00EF3339" w:rsidRPr="00D209BE">
          <w:rPr>
            <w:rStyle w:val="Hyperlink"/>
            <w:rFonts w:hint="eastAsia"/>
          </w:rPr>
          <w:t>19/8</w:t>
        </w:r>
      </w:hyperlink>
      <w:r w:rsidR="00EF3339">
        <w:rPr>
          <w:rFonts w:hint="eastAsia"/>
        </w:rPr>
        <w:t>条)</w:t>
      </w:r>
      <w:r>
        <w:rPr>
          <w:rFonts w:hint="eastAsia"/>
        </w:rPr>
        <w:t>：</w:t>
      </w:r>
      <w:r w:rsidR="00EF3339">
        <w:rPr>
          <w:rFonts w:hint="eastAsia"/>
        </w:rPr>
        <w:t>“处罚应适用于个人。”</w:t>
      </w:r>
    </w:p>
    <w:p w:rsidR="00EF3339" w:rsidRDefault="0007234C" w:rsidP="00EF3339">
      <w:pPr>
        <w:pStyle w:val="SingleTxt"/>
        <w:rPr>
          <w:rFonts w:hint="eastAsia"/>
        </w:rPr>
      </w:pPr>
      <w:r>
        <w:rPr>
          <w:rFonts w:hint="eastAsia"/>
        </w:rPr>
        <w:tab/>
        <w:t>(</w:t>
      </w:r>
      <w:r w:rsidR="00EF3339">
        <w:rPr>
          <w:rFonts w:hint="eastAsia"/>
        </w:rPr>
        <w:t>h</w:t>
      </w:r>
      <w:r>
        <w:rPr>
          <w:rFonts w:hint="eastAsia"/>
        </w:rPr>
        <w:t>)</w:t>
      </w:r>
      <w:r w:rsidR="00EF3339">
        <w:rPr>
          <w:rFonts w:hint="eastAsia"/>
        </w:rPr>
        <w:tab/>
        <w:t>被控犯重罪或轻罪而没有律师的人，保证其有权由国家付费指定律师为他辩护(第</w:t>
      </w:r>
      <w:hyperlink r:id="rId23" w:history="1">
        <w:r w:rsidR="00EF3339" w:rsidRPr="00D209BE">
          <w:rPr>
            <w:rStyle w:val="Hyperlink"/>
            <w:rFonts w:hint="eastAsia"/>
          </w:rPr>
          <w:t>19/11</w:t>
        </w:r>
      </w:hyperlink>
      <w:r w:rsidR="00EF3339">
        <w:rPr>
          <w:rFonts w:hint="eastAsia"/>
        </w:rPr>
        <w:t>条)</w:t>
      </w:r>
      <w:r>
        <w:rPr>
          <w:rFonts w:hint="eastAsia"/>
        </w:rPr>
        <w:t>：</w:t>
      </w:r>
      <w:r w:rsidR="00EF3339">
        <w:rPr>
          <w:rFonts w:hint="eastAsia"/>
        </w:rPr>
        <w:t>“法庭应为被控犯重罪或轻罪而没有律师的人指定由国家付费的律师。”</w:t>
      </w:r>
    </w:p>
    <w:p w:rsidR="00EF3339" w:rsidRDefault="0007234C" w:rsidP="00EF3339">
      <w:pPr>
        <w:pStyle w:val="SingleTxt"/>
        <w:rPr>
          <w:rFonts w:hint="eastAsia"/>
        </w:rPr>
      </w:pPr>
      <w:r>
        <w:rPr>
          <w:rFonts w:hint="eastAsia"/>
        </w:rPr>
        <w:tab/>
      </w:r>
      <w:r>
        <w:t>(</w:t>
      </w:r>
      <w:r w:rsidR="00EF3339">
        <w:rPr>
          <w:rFonts w:hint="eastAsia"/>
        </w:rPr>
        <w:t>i</w:t>
      </w:r>
      <w:r>
        <w:t>)</w:t>
      </w:r>
      <w:r w:rsidR="00EF3339">
        <w:rPr>
          <w:rFonts w:hint="eastAsia"/>
        </w:rPr>
        <w:tab/>
        <w:t>所有上述《宪法》条款都隐含在相关现行法律中，例如第111(1969</w:t>
      </w:r>
      <w:r>
        <w:rPr>
          <w:rFonts w:hint="eastAsia"/>
        </w:rPr>
        <w:t>，</w:t>
      </w:r>
      <w:r w:rsidR="00EF3339">
        <w:rPr>
          <w:rFonts w:hint="eastAsia"/>
        </w:rPr>
        <w:t>修正版)号刑法和第23(1971</w:t>
      </w:r>
      <w:r>
        <w:rPr>
          <w:rFonts w:hint="eastAsia"/>
        </w:rPr>
        <w:t>，</w:t>
      </w:r>
      <w:r w:rsidR="00EF3339">
        <w:rPr>
          <w:rFonts w:hint="eastAsia"/>
        </w:rPr>
        <w:t>修正版) 号刑事诉讼法。必须指出，已经解散的前革命指挥委员会第</w:t>
      </w:r>
      <w:hyperlink r:id="rId24" w:history="1">
        <w:r w:rsidR="00EF3339" w:rsidRPr="00D209BE">
          <w:rPr>
            <w:rStyle w:val="Hyperlink"/>
            <w:rFonts w:hint="eastAsia"/>
          </w:rPr>
          <w:t>101(1991)</w:t>
        </w:r>
      </w:hyperlink>
      <w:r w:rsidR="00EF3339">
        <w:rPr>
          <w:rFonts w:hint="eastAsia"/>
        </w:rPr>
        <w:t>号命令规定，不得拘留犯无预谋罪行的妇女；此条规定仍然适用。</w:t>
      </w:r>
    </w:p>
    <w:p w:rsidR="00EF3339" w:rsidRDefault="0007234C" w:rsidP="00EF3339">
      <w:pPr>
        <w:pStyle w:val="SingleTxt"/>
        <w:rPr>
          <w:rFonts w:hint="eastAsia"/>
        </w:rPr>
      </w:pPr>
      <w:r>
        <w:rPr>
          <w:rFonts w:hint="eastAsia"/>
        </w:rPr>
        <w:tab/>
        <w:t>二</w:t>
      </w:r>
      <w:r w:rsidR="00EF3339">
        <w:rPr>
          <w:rFonts w:hint="eastAsia"/>
        </w:rPr>
        <w:t>.</w:t>
      </w:r>
      <w:r>
        <w:rPr>
          <w:rFonts w:hint="eastAsia"/>
        </w:rPr>
        <w:tab/>
      </w:r>
      <w:r w:rsidR="00EF3339">
        <w:rPr>
          <w:rFonts w:hint="eastAsia"/>
        </w:rPr>
        <w:t>2005年伊拉克《宪法》和现行法律确保获得司法救助、公正审讯和正当司法程序，使有关人员无论性别都获得司法救助。此外，上述刑法和刑事诉讼法保证对调查法庭、青少年法庭和刑事法庭做出的裁决提起上诉的程序。</w:t>
      </w:r>
    </w:p>
    <w:p w:rsidR="00EF3339" w:rsidRDefault="0007234C" w:rsidP="00EF3339">
      <w:pPr>
        <w:pStyle w:val="SingleTxt"/>
        <w:rPr>
          <w:rFonts w:hint="eastAsia"/>
        </w:rPr>
      </w:pPr>
      <w:r>
        <w:rPr>
          <w:rFonts w:hint="eastAsia"/>
        </w:rPr>
        <w:tab/>
        <w:t>三</w:t>
      </w:r>
      <w:r w:rsidR="00EF3339">
        <w:rPr>
          <w:rFonts w:hint="eastAsia"/>
        </w:rPr>
        <w:t>.</w:t>
      </w:r>
      <w:r>
        <w:tab/>
      </w:r>
      <w:r w:rsidR="00EF3339">
        <w:rPr>
          <w:rFonts w:hint="eastAsia"/>
        </w:rPr>
        <w:t>伊拉克法律允许检察官对调查法庭、轻罪法庭、青少年法庭和重罪法庭做出的裁决提起上诉。下表载列2012年 检察官提出撤销原判决的案件数目：</w:t>
      </w:r>
    </w:p>
    <w:tbl>
      <w:tblPr>
        <w:tblW w:w="0" w:type="auto"/>
        <w:tblInd w:w="1260" w:type="dxa"/>
        <w:tblLayout w:type="fixed"/>
        <w:tblCellMar>
          <w:left w:w="0" w:type="dxa"/>
          <w:right w:w="0" w:type="dxa"/>
        </w:tblCellMar>
        <w:tblLook w:val="0000"/>
      </w:tblPr>
      <w:tblGrid>
        <w:gridCol w:w="1830"/>
        <w:gridCol w:w="1830"/>
        <w:gridCol w:w="1830"/>
        <w:gridCol w:w="1830"/>
      </w:tblGrid>
      <w:tr w:rsidR="0007234C" w:rsidRPr="0007234C" w:rsidTr="0007234C">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07234C">
              <w:rPr>
                <w:rFonts w:ascii="KaiTi_GB2312" w:eastAsia="KaiTi_GB2312" w:hint="eastAsia"/>
                <w:sz w:val="15"/>
              </w:rPr>
              <w:t>重罪法庭</w:t>
            </w:r>
          </w:p>
        </w:tc>
        <w:tc>
          <w:tcPr>
            <w:tcW w:w="1830" w:type="dxa"/>
            <w:tcBorders>
              <w:top w:val="single" w:sz="4" w:space="0" w:color="auto"/>
              <w:bottom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07234C">
              <w:rPr>
                <w:rFonts w:ascii="KaiTi_GB2312" w:eastAsia="KaiTi_GB2312" w:hint="eastAsia"/>
                <w:sz w:val="15"/>
              </w:rPr>
              <w:t>调查法庭</w:t>
            </w:r>
          </w:p>
        </w:tc>
        <w:tc>
          <w:tcPr>
            <w:tcW w:w="1830" w:type="dxa"/>
            <w:tcBorders>
              <w:top w:val="single" w:sz="4" w:space="0" w:color="auto"/>
              <w:bottom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07234C">
              <w:rPr>
                <w:rFonts w:ascii="KaiTi_GB2312" w:eastAsia="KaiTi_GB2312" w:hint="eastAsia"/>
                <w:sz w:val="15"/>
              </w:rPr>
              <w:t>轻罪法庭</w:t>
            </w:r>
          </w:p>
        </w:tc>
        <w:tc>
          <w:tcPr>
            <w:tcW w:w="1830" w:type="dxa"/>
            <w:tcBorders>
              <w:top w:val="single" w:sz="4" w:space="0" w:color="auto"/>
              <w:bottom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07234C">
              <w:rPr>
                <w:rFonts w:ascii="KaiTi_GB2312" w:eastAsia="KaiTi_GB2312" w:hint="eastAsia"/>
                <w:sz w:val="15"/>
              </w:rPr>
              <w:t>青少年法庭</w:t>
            </w:r>
          </w:p>
        </w:tc>
      </w:tr>
      <w:tr w:rsidR="0007234C" w:rsidRPr="0007234C" w:rsidTr="0007234C">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after="60" w:line="280" w:lineRule="exact"/>
              <w:ind w:right="57"/>
              <w:jc w:val="right"/>
              <w:rPr>
                <w:rFonts w:hint="eastAsia"/>
                <w:sz w:val="17"/>
              </w:rPr>
            </w:pPr>
          </w:p>
        </w:tc>
        <w:tc>
          <w:tcPr>
            <w:tcW w:w="1830" w:type="dxa"/>
            <w:tcBorders>
              <w:top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after="60" w:line="280" w:lineRule="exact"/>
              <w:ind w:right="57"/>
              <w:jc w:val="right"/>
              <w:rPr>
                <w:rFonts w:hint="eastAsia"/>
                <w:sz w:val="17"/>
              </w:rPr>
            </w:pPr>
          </w:p>
        </w:tc>
        <w:tc>
          <w:tcPr>
            <w:tcW w:w="1830" w:type="dxa"/>
            <w:tcBorders>
              <w:top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after="60" w:line="280" w:lineRule="exact"/>
              <w:ind w:right="57"/>
              <w:jc w:val="right"/>
              <w:rPr>
                <w:rFonts w:hint="eastAsia"/>
                <w:sz w:val="17"/>
              </w:rPr>
            </w:pPr>
          </w:p>
        </w:tc>
        <w:tc>
          <w:tcPr>
            <w:tcW w:w="1830" w:type="dxa"/>
            <w:tcBorders>
              <w:top w:val="single" w:sz="12" w:space="0" w:color="auto"/>
            </w:tcBorders>
            <w:shd w:val="clear" w:color="auto" w:fill="auto"/>
            <w:vAlign w:val="bottom"/>
          </w:tcPr>
          <w:p w:rsidR="0007234C" w:rsidRPr="0007234C" w:rsidRDefault="0007234C" w:rsidP="0007234C">
            <w:pPr>
              <w:tabs>
                <w:tab w:val="left" w:pos="360"/>
                <w:tab w:val="left" w:pos="720"/>
                <w:tab w:val="left" w:pos="1080"/>
                <w:tab w:val="left" w:pos="1440"/>
              </w:tabs>
              <w:suppressAutoHyphens/>
              <w:spacing w:after="60" w:line="280" w:lineRule="exact"/>
              <w:ind w:right="57"/>
              <w:jc w:val="right"/>
              <w:rPr>
                <w:rFonts w:hint="eastAsia"/>
                <w:sz w:val="17"/>
              </w:rPr>
            </w:pPr>
          </w:p>
        </w:tc>
      </w:tr>
      <w:tr w:rsidR="0007234C" w:rsidRPr="0007234C" w:rsidTr="0007234C">
        <w:tblPrEx>
          <w:tblCellMar>
            <w:top w:w="0" w:type="dxa"/>
            <w:bottom w:w="0" w:type="dxa"/>
          </w:tblCellMar>
        </w:tblPrEx>
        <w:tc>
          <w:tcPr>
            <w:tcW w:w="1830" w:type="dxa"/>
            <w:tcBorders>
              <w:bottom w:val="single" w:sz="12" w:space="0" w:color="auto"/>
            </w:tcBorders>
            <w:shd w:val="clear" w:color="auto" w:fill="auto"/>
            <w:vAlign w:val="bottom"/>
          </w:tcPr>
          <w:p w:rsidR="0007234C" w:rsidRPr="0007234C" w:rsidRDefault="0007234C" w:rsidP="0007234C">
            <w:pPr>
              <w:tabs>
                <w:tab w:val="left" w:pos="334"/>
                <w:tab w:val="left" w:pos="669"/>
                <w:tab w:val="left" w:pos="1003"/>
                <w:tab w:val="left" w:pos="1338"/>
              </w:tabs>
              <w:suppressAutoHyphens/>
              <w:spacing w:after="60" w:line="280" w:lineRule="exact"/>
              <w:ind w:right="57"/>
              <w:jc w:val="right"/>
              <w:rPr>
                <w:rFonts w:hint="eastAsia"/>
                <w:sz w:val="17"/>
              </w:rPr>
            </w:pPr>
            <w:r w:rsidRPr="0007234C">
              <w:rPr>
                <w:sz w:val="17"/>
              </w:rPr>
              <w:t>4 987</w:t>
            </w:r>
          </w:p>
        </w:tc>
        <w:tc>
          <w:tcPr>
            <w:tcW w:w="1830" w:type="dxa"/>
            <w:tcBorders>
              <w:bottom w:val="single" w:sz="12" w:space="0" w:color="auto"/>
            </w:tcBorders>
            <w:shd w:val="clear" w:color="auto" w:fill="auto"/>
            <w:vAlign w:val="bottom"/>
          </w:tcPr>
          <w:p w:rsidR="0007234C" w:rsidRPr="0007234C" w:rsidRDefault="0007234C" w:rsidP="0007234C">
            <w:pPr>
              <w:tabs>
                <w:tab w:val="left" w:pos="334"/>
                <w:tab w:val="left" w:pos="669"/>
                <w:tab w:val="left" w:pos="1003"/>
                <w:tab w:val="left" w:pos="1338"/>
              </w:tabs>
              <w:suppressAutoHyphens/>
              <w:spacing w:after="60" w:line="280" w:lineRule="exact"/>
              <w:ind w:right="57"/>
              <w:jc w:val="right"/>
              <w:rPr>
                <w:rFonts w:hint="eastAsia"/>
                <w:sz w:val="17"/>
              </w:rPr>
            </w:pPr>
            <w:r w:rsidRPr="0007234C">
              <w:rPr>
                <w:sz w:val="17"/>
              </w:rPr>
              <w:t>7 401</w:t>
            </w:r>
          </w:p>
        </w:tc>
        <w:tc>
          <w:tcPr>
            <w:tcW w:w="1830" w:type="dxa"/>
            <w:tcBorders>
              <w:bottom w:val="single" w:sz="12" w:space="0" w:color="auto"/>
            </w:tcBorders>
            <w:shd w:val="clear" w:color="auto" w:fill="auto"/>
            <w:vAlign w:val="bottom"/>
          </w:tcPr>
          <w:p w:rsidR="0007234C" w:rsidRPr="0007234C" w:rsidRDefault="0007234C" w:rsidP="0007234C">
            <w:pPr>
              <w:tabs>
                <w:tab w:val="left" w:pos="334"/>
                <w:tab w:val="left" w:pos="669"/>
                <w:tab w:val="left" w:pos="1003"/>
                <w:tab w:val="left" w:pos="1338"/>
              </w:tabs>
              <w:suppressAutoHyphens/>
              <w:spacing w:after="60" w:line="280" w:lineRule="exact"/>
              <w:ind w:right="57"/>
              <w:jc w:val="right"/>
              <w:rPr>
                <w:rFonts w:hint="eastAsia"/>
                <w:sz w:val="17"/>
              </w:rPr>
            </w:pPr>
            <w:r w:rsidRPr="0007234C">
              <w:rPr>
                <w:sz w:val="17"/>
              </w:rPr>
              <w:t>2 331</w:t>
            </w:r>
          </w:p>
        </w:tc>
        <w:tc>
          <w:tcPr>
            <w:tcW w:w="1830" w:type="dxa"/>
            <w:tcBorders>
              <w:bottom w:val="single" w:sz="12" w:space="0" w:color="auto"/>
            </w:tcBorders>
            <w:shd w:val="clear" w:color="auto" w:fill="auto"/>
            <w:vAlign w:val="bottom"/>
          </w:tcPr>
          <w:p w:rsidR="0007234C" w:rsidRPr="0007234C" w:rsidRDefault="0007234C" w:rsidP="0007234C">
            <w:pPr>
              <w:tabs>
                <w:tab w:val="left" w:pos="334"/>
                <w:tab w:val="left" w:pos="669"/>
                <w:tab w:val="left" w:pos="1003"/>
                <w:tab w:val="left" w:pos="1338"/>
              </w:tabs>
              <w:suppressAutoHyphens/>
              <w:spacing w:after="60" w:line="280" w:lineRule="exact"/>
              <w:ind w:right="57"/>
              <w:jc w:val="right"/>
              <w:rPr>
                <w:rFonts w:hint="eastAsia"/>
                <w:sz w:val="17"/>
              </w:rPr>
            </w:pPr>
            <w:r w:rsidRPr="0007234C">
              <w:rPr>
                <w:sz w:val="17"/>
              </w:rPr>
              <w:t>518</w:t>
            </w:r>
          </w:p>
        </w:tc>
      </w:tr>
    </w:tbl>
    <w:p w:rsidR="0007234C" w:rsidRPr="0007234C" w:rsidRDefault="0007234C" w:rsidP="0007234C">
      <w:pPr>
        <w:pStyle w:val="SingleTxt"/>
        <w:spacing w:after="0" w:line="120" w:lineRule="exact"/>
        <w:rPr>
          <w:rFonts w:hint="eastAsia"/>
          <w:sz w:val="10"/>
        </w:rPr>
      </w:pPr>
    </w:p>
    <w:p w:rsidR="00EF3339" w:rsidRDefault="0007234C" w:rsidP="00EF3339">
      <w:pPr>
        <w:pStyle w:val="SingleTxt"/>
        <w:rPr>
          <w:rFonts w:hint="eastAsia"/>
        </w:rPr>
      </w:pPr>
      <w:r>
        <w:rPr>
          <w:rFonts w:hint="eastAsia"/>
        </w:rPr>
        <w:tab/>
      </w:r>
      <w:r w:rsidR="00EF3339">
        <w:rPr>
          <w:rFonts w:hint="eastAsia"/>
        </w:rPr>
        <w:t>为了了解监狱和拘留所的情况，检察官到实地访问，了解囚犯和被拘留者的状况。在2012年作了13 111次访问。此外，属于人权部的小组也经常访问监狱和拘留设施，了解囚犯和被拘留者的状况。在2012年作了245次这样的访问。</w:t>
      </w:r>
    </w:p>
    <w:p w:rsidR="00EF3339" w:rsidRDefault="00EF3339" w:rsidP="00EF3339">
      <w:pPr>
        <w:pStyle w:val="SingleTxt"/>
        <w:rPr>
          <w:rFonts w:hint="eastAsia"/>
        </w:rPr>
      </w:pPr>
      <w:r>
        <w:rPr>
          <w:rFonts w:hint="eastAsia"/>
        </w:rPr>
        <w:tab/>
      </w:r>
      <w:r w:rsidR="0007234C">
        <w:rPr>
          <w:rFonts w:hint="eastAsia"/>
        </w:rPr>
        <w:t>四</w:t>
      </w:r>
      <w:r>
        <w:rPr>
          <w:rFonts w:hint="eastAsia"/>
        </w:rPr>
        <w:t>.</w:t>
      </w:r>
      <w:r w:rsidR="0007234C">
        <w:rPr>
          <w:rFonts w:hint="eastAsia"/>
        </w:rPr>
        <w:tab/>
      </w:r>
      <w:r>
        <w:rPr>
          <w:rFonts w:hint="eastAsia"/>
        </w:rPr>
        <w:t>高级司法委员会正在与各部和国家机构、民间社会组织、开发署和欧洲联盟伊拉克综合法治特派团协调，培养其工作人员的专门知识，以提高司法公正的标准，由伊拉克国内外各种课程的法官、检察官办公室成员、司法调查员和官员参加，目的是培训能够在所有领域开展工作的小组，包括使个人能够获得司法救助的工作。这样的培训课程在2012年有9个。此外，许多国家和国际民间社会组织以及律师协会正在培训律师，为出不起律师费的男女被告提供法律援助和诉讼代理。这些组织指定律师为这样的人辩护，进行诉讼，直到诉讼程序的最后阶段。</w:t>
      </w:r>
    </w:p>
    <w:p w:rsidR="00EF3339" w:rsidRDefault="00EF3339" w:rsidP="00EF3339">
      <w:pPr>
        <w:pStyle w:val="SingleTxt"/>
        <w:rPr>
          <w:rFonts w:hint="eastAsia"/>
        </w:rPr>
      </w:pPr>
      <w:r>
        <w:rPr>
          <w:rFonts w:hint="eastAsia"/>
        </w:rPr>
        <w:tab/>
      </w:r>
      <w:r w:rsidR="0007234C">
        <w:rPr>
          <w:rFonts w:hint="eastAsia"/>
        </w:rPr>
        <w:t>五.</w:t>
      </w:r>
      <w:r w:rsidR="0007234C">
        <w:rPr>
          <w:rFonts w:hint="eastAsia"/>
        </w:rPr>
        <w:tab/>
      </w:r>
      <w:r>
        <w:rPr>
          <w:rFonts w:hint="eastAsia"/>
        </w:rPr>
        <w:t>《宪法》第</w:t>
      </w:r>
      <w:hyperlink r:id="rId25" w:history="1">
        <w:r w:rsidRPr="00D209BE">
          <w:rPr>
            <w:rStyle w:val="Hyperlink"/>
            <w:rFonts w:hint="eastAsia"/>
          </w:rPr>
          <w:t>19/12</w:t>
        </w:r>
      </w:hyperlink>
      <w:r>
        <w:rPr>
          <w:rFonts w:hint="eastAsia"/>
        </w:rPr>
        <w:t>条规定：“A.</w:t>
      </w:r>
      <w:r w:rsidR="00472ED8">
        <w:t xml:space="preserve"> </w:t>
      </w:r>
      <w:r>
        <w:rPr>
          <w:rFonts w:hint="eastAsia"/>
        </w:rPr>
        <w:t>禁止非法拘留。B.</w:t>
      </w:r>
      <w:r w:rsidR="00472ED8">
        <w:t xml:space="preserve"> </w:t>
      </w:r>
      <w:r>
        <w:rPr>
          <w:rFonts w:hint="eastAsia"/>
        </w:rPr>
        <w:t>监禁或拘留地点须遵守监狱卫生法并由国家当局管理，不得在其他地点监禁或拘留”。因此，妇女只能拘留在妇女拘留中心，完全与男子拘留中心分开，并有警卫保护。此种中心由受过训练的女工作人员管理，包括专门女囚犯管理员和社会研究人员。下表载列按年龄分列的女性被拘留者人数：</w:t>
      </w:r>
    </w:p>
    <w:p w:rsidR="00442FBD" w:rsidRPr="00442FBD" w:rsidRDefault="00442FBD" w:rsidP="00EF3339">
      <w:pPr>
        <w:pStyle w:val="SingleTxt"/>
        <w:rPr>
          <w:rFonts w:ascii="SimHei" w:eastAsia="SimHei" w:hint="eastAsia"/>
        </w:rPr>
      </w:pPr>
      <w:r w:rsidRPr="00442FBD">
        <w:rPr>
          <w:rFonts w:ascii="SimHei" w:eastAsia="SimHei" w:hint="eastAsia"/>
        </w:rPr>
        <w:t>按年龄分列的女性被拘留者和罪犯</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442FBD" w:rsidRPr="00442FBD" w:rsidTr="00442FBD">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rPr>
                <w:rFonts w:ascii="KaiTi_GB2312" w:eastAsia="KaiTi_GB2312"/>
                <w:sz w:val="15"/>
              </w:rPr>
            </w:pPr>
            <w:r>
              <w:rPr>
                <w:rFonts w:ascii="KaiTi_GB2312" w:eastAsia="KaiTi_GB2312"/>
                <w:sz w:val="15"/>
              </w:rPr>
              <w:tab/>
            </w:r>
            <w:r w:rsidRPr="00442FBD">
              <w:rPr>
                <w:rFonts w:ascii="KaiTi_GB2312" w:eastAsia="KaiTi_GB2312" w:hint="eastAsia"/>
                <w:sz w:val="15"/>
              </w:rPr>
              <w:t>年份</w:t>
            </w:r>
          </w:p>
        </w:tc>
        <w:tc>
          <w:tcPr>
            <w:tcW w:w="1464"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18岁以上女性</w:t>
            </w:r>
            <w:r>
              <w:rPr>
                <w:rFonts w:ascii="KaiTi_GB2312" w:eastAsia="KaiTi_GB2312"/>
                <w:sz w:val="15"/>
              </w:rPr>
              <w:br/>
            </w:r>
            <w:r w:rsidRPr="00442FBD">
              <w:rPr>
                <w:rFonts w:ascii="KaiTi_GB2312" w:eastAsia="KaiTi_GB2312" w:hint="eastAsia"/>
                <w:sz w:val="15"/>
              </w:rPr>
              <w:t>被拘留者</w:t>
            </w:r>
          </w:p>
        </w:tc>
        <w:tc>
          <w:tcPr>
            <w:tcW w:w="1464"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18岁以下女性</w:t>
            </w:r>
            <w:r>
              <w:rPr>
                <w:rFonts w:ascii="KaiTi_GB2312" w:eastAsia="KaiTi_GB2312"/>
                <w:sz w:val="15"/>
              </w:rPr>
              <w:br/>
            </w:r>
            <w:r w:rsidRPr="00442FBD">
              <w:rPr>
                <w:rFonts w:ascii="KaiTi_GB2312" w:eastAsia="KaiTi_GB2312" w:hint="eastAsia"/>
                <w:sz w:val="15"/>
              </w:rPr>
              <w:t>被拘留者</w:t>
            </w:r>
          </w:p>
        </w:tc>
        <w:tc>
          <w:tcPr>
            <w:tcW w:w="1464"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18岁以上</w:t>
            </w:r>
            <w:r>
              <w:rPr>
                <w:rFonts w:ascii="KaiTi_GB2312" w:eastAsia="KaiTi_GB2312"/>
                <w:sz w:val="15"/>
              </w:rPr>
              <w:br/>
            </w:r>
            <w:r w:rsidRPr="00442FBD">
              <w:rPr>
                <w:rFonts w:ascii="KaiTi_GB2312" w:eastAsia="KaiTi_GB2312" w:hint="eastAsia"/>
                <w:sz w:val="15"/>
              </w:rPr>
              <w:t>女性罪犯</w:t>
            </w:r>
          </w:p>
        </w:tc>
        <w:tc>
          <w:tcPr>
            <w:tcW w:w="1464"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18岁以下</w:t>
            </w:r>
            <w:r>
              <w:rPr>
                <w:rFonts w:ascii="KaiTi_GB2312" w:eastAsia="KaiTi_GB2312"/>
                <w:sz w:val="15"/>
              </w:rPr>
              <w:br/>
            </w:r>
            <w:r w:rsidRPr="00442FBD">
              <w:rPr>
                <w:rFonts w:ascii="KaiTi_GB2312" w:eastAsia="KaiTi_GB2312" w:hint="eastAsia"/>
                <w:sz w:val="15"/>
              </w:rPr>
              <w:t>女性罪犯</w:t>
            </w:r>
          </w:p>
        </w:tc>
      </w:tr>
      <w:tr w:rsidR="00442FBD" w:rsidRPr="00442FBD" w:rsidTr="00442FBD">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rPr>
                <w:sz w:val="17"/>
              </w:rPr>
            </w:pPr>
          </w:p>
        </w:tc>
        <w:tc>
          <w:tcPr>
            <w:tcW w:w="1464"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r>
      <w:tr w:rsidR="00442FBD" w:rsidRPr="00442FBD" w:rsidTr="00442FBD">
        <w:tblPrEx>
          <w:tblCellMar>
            <w:top w:w="0" w:type="dxa"/>
            <w:bottom w:w="0" w:type="dxa"/>
          </w:tblCellMar>
        </w:tblPrEx>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sz w:val="17"/>
              </w:rPr>
              <w:t>1.</w:t>
            </w:r>
            <w:r w:rsidRPr="00442FBD">
              <w:rPr>
                <w:sz w:val="17"/>
              </w:rPr>
              <w:tab/>
              <w:t>2010</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238</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1</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324</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5</w:t>
            </w:r>
          </w:p>
        </w:tc>
      </w:tr>
      <w:tr w:rsidR="00442FBD" w:rsidRPr="00442FBD" w:rsidTr="00442FBD">
        <w:tblPrEx>
          <w:tblCellMar>
            <w:top w:w="0" w:type="dxa"/>
            <w:bottom w:w="0" w:type="dxa"/>
          </w:tblCellMar>
        </w:tblPrEx>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sz w:val="17"/>
              </w:rPr>
              <w:t>2.</w:t>
            </w:r>
            <w:r w:rsidRPr="00442FBD">
              <w:rPr>
                <w:sz w:val="17"/>
              </w:rPr>
              <w:tab/>
              <w:t>2011</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327</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3</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462</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8</w:t>
            </w:r>
          </w:p>
        </w:tc>
      </w:tr>
      <w:tr w:rsidR="00442FBD" w:rsidRPr="00442FBD" w:rsidTr="00442FBD">
        <w:tblPrEx>
          <w:tblCellMar>
            <w:top w:w="0" w:type="dxa"/>
            <w:bottom w:w="0" w:type="dxa"/>
          </w:tblCellMar>
        </w:tblPrEx>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sz w:val="17"/>
              </w:rPr>
              <w:t>3.</w:t>
            </w:r>
            <w:r w:rsidRPr="00442FBD">
              <w:rPr>
                <w:sz w:val="17"/>
              </w:rPr>
              <w:tab/>
              <w:t>2102</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350</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10</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612</w:t>
            </w:r>
          </w:p>
        </w:tc>
        <w:tc>
          <w:tcPr>
            <w:tcW w:w="1464"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sz w:val="17"/>
              </w:rPr>
              <w:t>8</w:t>
            </w:r>
          </w:p>
        </w:tc>
      </w:tr>
      <w:tr w:rsidR="00442FBD" w:rsidRPr="00442FBD" w:rsidTr="00442FBD">
        <w:tblPrEx>
          <w:tblCellMar>
            <w:top w:w="0" w:type="dxa"/>
            <w:bottom w:w="0" w:type="dxa"/>
          </w:tblCellMar>
        </w:tblPrEx>
        <w:tc>
          <w:tcPr>
            <w:tcW w:w="1464" w:type="dxa"/>
            <w:tcBorders>
              <w:bottom w:val="single" w:sz="12" w:space="0" w:color="auto"/>
            </w:tcBorders>
            <w:shd w:val="clear" w:color="auto" w:fill="auto"/>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rFonts w:hint="eastAsia"/>
                <w:sz w:val="17"/>
              </w:rPr>
              <w:t>4.</w:t>
            </w:r>
            <w:r w:rsidRPr="00442FBD">
              <w:rPr>
                <w:rFonts w:hint="eastAsia"/>
                <w:sz w:val="17"/>
              </w:rPr>
              <w:tab/>
            </w:r>
            <w:r w:rsidRPr="00442FBD">
              <w:rPr>
                <w:rFonts w:hint="eastAsia"/>
                <w:spacing w:val="-6"/>
                <w:sz w:val="17"/>
              </w:rPr>
              <w:t>2013至2013年</w:t>
            </w:r>
            <w:r>
              <w:rPr>
                <w:sz w:val="17"/>
              </w:rPr>
              <w:tab/>
            </w:r>
            <w:r w:rsidRPr="00442FBD">
              <w:rPr>
                <w:rFonts w:hint="eastAsia"/>
                <w:sz w:val="17"/>
              </w:rPr>
              <w:t>7月29日</w:t>
            </w:r>
          </w:p>
        </w:tc>
        <w:tc>
          <w:tcPr>
            <w:tcW w:w="1464" w:type="dxa"/>
            <w:tcBorders>
              <w:bottom w:val="single" w:sz="12" w:space="0" w:color="auto"/>
            </w:tcBorders>
            <w:shd w:val="clear" w:color="auto" w:fill="auto"/>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236</w:t>
            </w:r>
          </w:p>
        </w:tc>
        <w:tc>
          <w:tcPr>
            <w:tcW w:w="1464" w:type="dxa"/>
            <w:tcBorders>
              <w:bottom w:val="single" w:sz="12" w:space="0" w:color="auto"/>
            </w:tcBorders>
            <w:shd w:val="clear" w:color="auto" w:fill="auto"/>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8</w:t>
            </w:r>
          </w:p>
        </w:tc>
        <w:tc>
          <w:tcPr>
            <w:tcW w:w="1464" w:type="dxa"/>
            <w:tcBorders>
              <w:bottom w:val="single" w:sz="12" w:space="0" w:color="auto"/>
            </w:tcBorders>
            <w:shd w:val="clear" w:color="auto" w:fill="auto"/>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662</w:t>
            </w:r>
          </w:p>
        </w:tc>
        <w:tc>
          <w:tcPr>
            <w:tcW w:w="1464" w:type="dxa"/>
            <w:tcBorders>
              <w:bottom w:val="single" w:sz="12" w:space="0" w:color="auto"/>
            </w:tcBorders>
            <w:shd w:val="clear" w:color="auto" w:fill="auto"/>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8</w:t>
            </w:r>
          </w:p>
        </w:tc>
      </w:tr>
    </w:tbl>
    <w:p w:rsidR="00442FBD" w:rsidRPr="00442FBD" w:rsidRDefault="00442FBD" w:rsidP="00442FBD">
      <w:pPr>
        <w:pStyle w:val="SingleTxt"/>
        <w:spacing w:after="0" w:line="120" w:lineRule="exact"/>
        <w:rPr>
          <w:rFonts w:hint="eastAsia"/>
          <w:sz w:val="10"/>
        </w:rPr>
      </w:pPr>
    </w:p>
    <w:p w:rsidR="00EF3339" w:rsidRDefault="00EF3339" w:rsidP="00442FBD">
      <w:pPr>
        <w:pStyle w:val="SingleTxt"/>
        <w:spacing w:line="330" w:lineRule="exact"/>
        <w:rPr>
          <w:rFonts w:hint="eastAsia"/>
        </w:rPr>
      </w:pPr>
      <w:r>
        <w:rPr>
          <w:rFonts w:hint="eastAsia"/>
        </w:rPr>
        <w:tab/>
      </w:r>
      <w:r w:rsidR="00442FBD">
        <w:rPr>
          <w:rFonts w:hint="eastAsia"/>
        </w:rPr>
        <w:t>六</w:t>
      </w:r>
      <w:r>
        <w:rPr>
          <w:rFonts w:hint="eastAsia"/>
        </w:rPr>
        <w:t>.</w:t>
      </w:r>
      <w:r w:rsidR="00442FBD">
        <w:rPr>
          <w:rFonts w:hint="eastAsia"/>
        </w:rPr>
        <w:tab/>
      </w:r>
      <w:r>
        <w:rPr>
          <w:rFonts w:hint="eastAsia"/>
        </w:rPr>
        <w:t>2012年有22名妇女被判死刑。只有4名妇女被判无期徒刑。对于犯罪者被判死刑的案件，伊拉克法律只对最严重的罪行判处死刑，由以下法律规定：</w:t>
      </w:r>
    </w:p>
    <w:p w:rsidR="00EF3339" w:rsidRDefault="00EF3339" w:rsidP="00442FBD">
      <w:pPr>
        <w:pStyle w:val="SingleTxt"/>
        <w:spacing w:line="330" w:lineRule="exact"/>
        <w:ind w:left="1695"/>
        <w:rPr>
          <w:rFonts w:hint="eastAsia"/>
        </w:rPr>
      </w:pPr>
      <w:r>
        <w:rPr>
          <w:rFonts w:hint="eastAsia"/>
        </w:rPr>
        <w:t>1.</w:t>
      </w:r>
      <w:r>
        <w:rPr>
          <w:rFonts w:hint="eastAsia"/>
        </w:rPr>
        <w:tab/>
        <w:t>第111(1969</w:t>
      </w:r>
      <w:r w:rsidR="00442FBD">
        <w:rPr>
          <w:rFonts w:hint="eastAsia"/>
        </w:rPr>
        <w:t>，</w:t>
      </w:r>
      <w:r>
        <w:rPr>
          <w:rFonts w:hint="eastAsia"/>
        </w:rPr>
        <w:t>修正版)号法律，刑法：</w:t>
      </w:r>
    </w:p>
    <w:p w:rsidR="00EF3339" w:rsidRDefault="00EF3339" w:rsidP="00442FBD">
      <w:pPr>
        <w:pStyle w:val="SingleTxt"/>
        <w:spacing w:line="330" w:lineRule="exact"/>
        <w:ind w:left="1695"/>
        <w:rPr>
          <w:rFonts w:hint="eastAsia"/>
        </w:rPr>
      </w:pPr>
      <w:r>
        <w:rPr>
          <w:rFonts w:hint="eastAsia"/>
        </w:rPr>
        <w:t>2.</w:t>
      </w:r>
      <w:r>
        <w:rPr>
          <w:rFonts w:hint="eastAsia"/>
        </w:rPr>
        <w:tab/>
        <w:t>第13(2005)号法律，反恐怖主义法，内载上述刑法。</w:t>
      </w:r>
    </w:p>
    <w:p w:rsidR="00EF3339" w:rsidRDefault="00442FBD" w:rsidP="00442FBD">
      <w:pPr>
        <w:pStyle w:val="SingleTxt"/>
        <w:spacing w:line="330" w:lineRule="exact"/>
        <w:rPr>
          <w:rFonts w:hint="eastAsia"/>
        </w:rPr>
      </w:pPr>
      <w:r>
        <w:rPr>
          <w:rFonts w:hint="eastAsia"/>
        </w:rPr>
        <w:tab/>
      </w:r>
      <w:r w:rsidR="00EF3339">
        <w:rPr>
          <w:rFonts w:hint="eastAsia"/>
        </w:rPr>
        <w:t xml:space="preserve">死刑包括严重攻击个人的罪行和某些严重恐怖性质的罪行。死刑的性质尽管严厉，却是符合法律和《宪法》的处罚，由主管法院根据法律做出司法判决。应该指出，死刑判决必须向联邦最高上诉法院上诉，由该法院全体委员会审理，委员会由27名一级主管法官组成。他们审查该案，仔细检查证据和法律，然后推翻或修正判决，或发交适当机构执行。该法院可以做出另一判决取代原判决，或下令释放，或确认死刑判决。  </w:t>
      </w:r>
    </w:p>
    <w:p w:rsidR="00EF3339" w:rsidRDefault="00442FBD" w:rsidP="00442FBD">
      <w:pPr>
        <w:pStyle w:val="SingleTxt"/>
        <w:spacing w:line="330" w:lineRule="exact"/>
        <w:rPr>
          <w:rFonts w:hint="eastAsia"/>
        </w:rPr>
      </w:pPr>
      <w:r>
        <w:rPr>
          <w:rFonts w:hint="eastAsia"/>
        </w:rPr>
        <w:tab/>
      </w:r>
      <w:r w:rsidR="00EF3339">
        <w:rPr>
          <w:rFonts w:hint="eastAsia"/>
        </w:rPr>
        <w:t>在我国目前情况下，废除死刑将不利于刑事政策。我们面对的是有组织的和无组织的恐怖主义的冷酷残忍的罪行以及有组织犯罪，它们的目的是破坏民主制度的稳定。面对岌岌可危的治安状况，必须根据当前的基本条件来保留死刑，以对付基于种族、族裔或宗教信仰采取的暴力行为。不过，司法界渴望看到，法院不会只因为被告犯有可以处死的罪行就宣判死刑。必须向法院证明，被定罪者对社会构成严重威胁，而且无法予以改造，使其重新融入社会。此外，2005年永久《宪法》第3条第</w:t>
      </w:r>
      <w:r w:rsidRPr="00065B7A">
        <w:rPr>
          <w:rFonts w:hint="eastAsia"/>
          <w:lang w:val="fr-FR"/>
        </w:rPr>
        <w:t>⑴</w:t>
      </w:r>
      <w:r w:rsidR="00EF3339">
        <w:rPr>
          <w:rFonts w:hint="eastAsia"/>
        </w:rPr>
        <w:t xml:space="preserve">款赋予共和国总统以下权力：“共和国总统具有以下权力：第一，经总理建议颁布特赦，但涉及私人索赔以及因国际罪行、恐怖主义或财务腐败与行政腐败而被定罪者除外。”因此，共和国总统可使用《宪法》赋予他的权力颁布特赦，在公共利益需要时停止死刑的执行。  </w:t>
      </w:r>
    </w:p>
    <w:p w:rsidR="00EF3339" w:rsidRDefault="00442FBD" w:rsidP="00EF3339">
      <w:pPr>
        <w:pStyle w:val="SingleTxt"/>
        <w:rPr>
          <w:rFonts w:hint="eastAsia"/>
        </w:rPr>
      </w:pPr>
      <w:r>
        <w:rPr>
          <w:rFonts w:hint="eastAsia"/>
        </w:rPr>
        <w:tab/>
      </w:r>
      <w:r w:rsidR="00EF3339">
        <w:rPr>
          <w:rFonts w:hint="eastAsia"/>
        </w:rPr>
        <w:t>国家妇女事务部根据第8(2012)号行政命令设立了一个委员会，研究女性被拘留者和罪犯的问题。该委员会成员包括：高级司法委员会、部长会议总秘书处、内政部、人权部以及劳动和社会事务部。委员会的主要工作是监测女性被拘留者和罪犯的案件得到解决的速度，监督她们在监狱的状况与她们在监狱内获得适当条件的程度，以及确保她们的人权得到尊重。</w:t>
      </w:r>
    </w:p>
    <w:p w:rsidR="00EF3339" w:rsidRDefault="00442FBD" w:rsidP="00EF3339">
      <w:pPr>
        <w:pStyle w:val="SingleTxt"/>
        <w:rPr>
          <w:rFonts w:hint="eastAsia"/>
        </w:rPr>
      </w:pPr>
      <w:r>
        <w:rPr>
          <w:rFonts w:hint="eastAsia"/>
        </w:rPr>
        <w:tab/>
      </w:r>
      <w:r w:rsidR="00EF3339">
        <w:rPr>
          <w:rFonts w:hint="eastAsia"/>
        </w:rPr>
        <w:t>下表载列2011-2013年按罪行类别分列的女性罪犯人数：</w:t>
      </w:r>
    </w:p>
    <w:tbl>
      <w:tblPr>
        <w:tblW w:w="0" w:type="auto"/>
        <w:tblInd w:w="1260" w:type="dxa"/>
        <w:tblLayout w:type="fixed"/>
        <w:tblCellMar>
          <w:left w:w="0" w:type="dxa"/>
          <w:right w:w="0" w:type="dxa"/>
        </w:tblCellMar>
        <w:tblLook w:val="0000"/>
      </w:tblPr>
      <w:tblGrid>
        <w:gridCol w:w="1830"/>
        <w:gridCol w:w="1830"/>
        <w:gridCol w:w="1830"/>
        <w:gridCol w:w="1830"/>
      </w:tblGrid>
      <w:tr w:rsidR="00442FBD" w:rsidRPr="00442FBD" w:rsidTr="00442FB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rPr>
                <w:rFonts w:ascii="KaiTi_GB2312" w:eastAsia="KaiTi_GB2312"/>
                <w:sz w:val="15"/>
              </w:rPr>
            </w:pPr>
            <w:r>
              <w:rPr>
                <w:rFonts w:ascii="KaiTi_GB2312" w:eastAsia="KaiTi_GB2312"/>
                <w:sz w:val="15"/>
              </w:rPr>
              <w:tab/>
            </w:r>
            <w:r w:rsidRPr="00442FBD">
              <w:rPr>
                <w:rFonts w:ascii="KaiTi_GB2312" w:eastAsia="KaiTi_GB2312" w:hint="eastAsia"/>
                <w:sz w:val="15"/>
              </w:rPr>
              <w:t>罪行类别</w:t>
            </w:r>
          </w:p>
        </w:tc>
        <w:tc>
          <w:tcPr>
            <w:tcW w:w="1830"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2011</w:t>
            </w:r>
          </w:p>
        </w:tc>
        <w:tc>
          <w:tcPr>
            <w:tcW w:w="1830"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2012</w:t>
            </w:r>
          </w:p>
        </w:tc>
        <w:tc>
          <w:tcPr>
            <w:tcW w:w="1830" w:type="dxa"/>
            <w:tcBorders>
              <w:top w:val="single" w:sz="4" w:space="0" w:color="auto"/>
              <w:bottom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2013</w:t>
            </w:r>
          </w:p>
        </w:tc>
      </w:tr>
      <w:tr w:rsidR="00442FBD" w:rsidRPr="00442FBD" w:rsidTr="00442FB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rPr>
                <w:sz w:val="17"/>
              </w:rPr>
            </w:pPr>
          </w:p>
        </w:tc>
        <w:tc>
          <w:tcPr>
            <w:tcW w:w="1830"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42FBD" w:rsidRPr="00442FBD" w:rsidRDefault="00442FBD" w:rsidP="00442FBD">
            <w:pPr>
              <w:tabs>
                <w:tab w:val="left" w:pos="360"/>
                <w:tab w:val="left" w:pos="720"/>
                <w:tab w:val="left" w:pos="1080"/>
                <w:tab w:val="left" w:pos="1440"/>
              </w:tabs>
              <w:suppressAutoHyphens/>
              <w:spacing w:after="60" w:line="280" w:lineRule="exact"/>
              <w:ind w:right="57"/>
              <w:jc w:val="right"/>
              <w:rPr>
                <w:sz w:val="17"/>
              </w:rPr>
            </w:pPr>
          </w:p>
        </w:tc>
      </w:tr>
      <w:tr w:rsidR="00442FBD" w:rsidRPr="00442FBD" w:rsidTr="00442FBD">
        <w:tblPrEx>
          <w:tblCellMar>
            <w:top w:w="0" w:type="dxa"/>
            <w:bottom w:w="0" w:type="dxa"/>
          </w:tblCellMar>
        </w:tblPrEx>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rFonts w:hint="eastAsia"/>
                <w:sz w:val="17"/>
              </w:rPr>
              <w:t>1.</w:t>
            </w:r>
            <w:r w:rsidRPr="00442FBD">
              <w:rPr>
                <w:rFonts w:hint="eastAsia"/>
                <w:sz w:val="17"/>
              </w:rPr>
              <w:tab/>
              <w:t>卖淫</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19</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25</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29</w:t>
            </w:r>
          </w:p>
        </w:tc>
      </w:tr>
      <w:tr w:rsidR="00442FBD" w:rsidRPr="00442FBD" w:rsidTr="00442FBD">
        <w:tblPrEx>
          <w:tblCellMar>
            <w:top w:w="0" w:type="dxa"/>
            <w:bottom w:w="0" w:type="dxa"/>
          </w:tblCellMar>
        </w:tblPrEx>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rFonts w:hint="eastAsia"/>
                <w:sz w:val="17"/>
              </w:rPr>
              <w:t>2.</w:t>
            </w:r>
            <w:r w:rsidRPr="00442FBD">
              <w:rPr>
                <w:rFonts w:hint="eastAsia"/>
                <w:sz w:val="17"/>
              </w:rPr>
              <w:tab/>
              <w:t>绑架</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0</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w:t>
            </w:r>
          </w:p>
        </w:tc>
        <w:tc>
          <w:tcPr>
            <w:tcW w:w="1830" w:type="dxa"/>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w:t>
            </w:r>
          </w:p>
        </w:tc>
      </w:tr>
      <w:tr w:rsidR="00442FBD" w:rsidRPr="00442FBD" w:rsidTr="00442FBD">
        <w:tblPrEx>
          <w:tblCellMar>
            <w:top w:w="0" w:type="dxa"/>
            <w:bottom w:w="0" w:type="dxa"/>
          </w:tblCellMar>
        </w:tblPrEx>
        <w:tc>
          <w:tcPr>
            <w:tcW w:w="1830" w:type="dxa"/>
            <w:tcBorders>
              <w:bottom w:val="single" w:sz="12" w:space="0" w:color="auto"/>
            </w:tcBorders>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rPr>
                <w:sz w:val="17"/>
              </w:rPr>
            </w:pPr>
            <w:r w:rsidRPr="00442FBD">
              <w:rPr>
                <w:rFonts w:hint="eastAsia"/>
                <w:sz w:val="17"/>
              </w:rPr>
              <w:t>3.</w:t>
            </w:r>
            <w:r w:rsidRPr="00442FBD">
              <w:rPr>
                <w:rFonts w:hint="eastAsia"/>
                <w:sz w:val="17"/>
              </w:rPr>
              <w:tab/>
              <w:t>恐怖主义</w:t>
            </w:r>
          </w:p>
        </w:tc>
        <w:tc>
          <w:tcPr>
            <w:tcW w:w="1830" w:type="dxa"/>
            <w:tcBorders>
              <w:bottom w:val="single" w:sz="12" w:space="0" w:color="auto"/>
            </w:tcBorders>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11</w:t>
            </w:r>
          </w:p>
        </w:tc>
        <w:tc>
          <w:tcPr>
            <w:tcW w:w="1830" w:type="dxa"/>
            <w:tcBorders>
              <w:bottom w:val="single" w:sz="12" w:space="0" w:color="auto"/>
            </w:tcBorders>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12</w:t>
            </w:r>
          </w:p>
        </w:tc>
        <w:tc>
          <w:tcPr>
            <w:tcW w:w="1830" w:type="dxa"/>
            <w:tcBorders>
              <w:bottom w:val="single" w:sz="12" w:space="0" w:color="auto"/>
            </w:tcBorders>
            <w:shd w:val="clear" w:color="auto" w:fill="auto"/>
            <w:vAlign w:val="bottom"/>
          </w:tcPr>
          <w:p w:rsidR="00442FBD" w:rsidRPr="00442FBD" w:rsidRDefault="00442FBD" w:rsidP="00442FBD">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9</w:t>
            </w:r>
          </w:p>
        </w:tc>
      </w:tr>
    </w:tbl>
    <w:p w:rsidR="00442FBD" w:rsidRPr="00442FBD" w:rsidRDefault="00442FBD" w:rsidP="00442FBD">
      <w:pPr>
        <w:pStyle w:val="SingleTxt"/>
        <w:spacing w:after="0" w:line="120" w:lineRule="exact"/>
        <w:rPr>
          <w:rFonts w:hint="eastAsia"/>
          <w:sz w:val="10"/>
        </w:rPr>
      </w:pPr>
    </w:p>
    <w:p w:rsidR="00EF3339" w:rsidRDefault="00442FBD" w:rsidP="00EF3339">
      <w:pPr>
        <w:pStyle w:val="SingleTxt"/>
        <w:rPr>
          <w:rFonts w:hint="eastAsia"/>
        </w:rPr>
      </w:pPr>
      <w:r>
        <w:rPr>
          <w:rFonts w:hint="eastAsia"/>
        </w:rPr>
        <w:tab/>
      </w:r>
      <w:r w:rsidR="00EF3339">
        <w:rPr>
          <w:rFonts w:hint="eastAsia"/>
        </w:rPr>
        <w:t>下表载列2011-2013年按罪行类别分列的女性被拘留者人数：</w:t>
      </w:r>
    </w:p>
    <w:tbl>
      <w:tblPr>
        <w:tblW w:w="0" w:type="auto"/>
        <w:tblInd w:w="1260" w:type="dxa"/>
        <w:tblLayout w:type="fixed"/>
        <w:tblCellMar>
          <w:left w:w="0" w:type="dxa"/>
          <w:right w:w="0" w:type="dxa"/>
        </w:tblCellMar>
        <w:tblLook w:val="0000"/>
      </w:tblPr>
      <w:tblGrid>
        <w:gridCol w:w="1830"/>
        <w:gridCol w:w="1830"/>
        <w:gridCol w:w="1830"/>
        <w:gridCol w:w="1830"/>
      </w:tblGrid>
      <w:tr w:rsidR="00442FBD" w:rsidRPr="00442FBD" w:rsidTr="002B20A0">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before="60" w:after="60" w:line="200" w:lineRule="exact"/>
              <w:ind w:right="57"/>
              <w:rPr>
                <w:rFonts w:ascii="KaiTi_GB2312" w:eastAsia="KaiTi_GB2312"/>
                <w:sz w:val="15"/>
              </w:rPr>
            </w:pPr>
            <w:r>
              <w:rPr>
                <w:rFonts w:ascii="KaiTi_GB2312" w:eastAsia="KaiTi_GB2312"/>
                <w:sz w:val="15"/>
              </w:rPr>
              <w:tab/>
            </w:r>
            <w:r w:rsidRPr="00442FBD">
              <w:rPr>
                <w:rFonts w:ascii="KaiTi_GB2312" w:eastAsia="KaiTi_GB2312" w:hint="eastAsia"/>
                <w:sz w:val="15"/>
              </w:rPr>
              <w:t>罪行类别</w:t>
            </w:r>
          </w:p>
        </w:tc>
        <w:tc>
          <w:tcPr>
            <w:tcW w:w="1830" w:type="dxa"/>
            <w:tcBorders>
              <w:top w:val="single" w:sz="4" w:space="0" w:color="auto"/>
              <w:bottom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2011</w:t>
            </w:r>
          </w:p>
        </w:tc>
        <w:tc>
          <w:tcPr>
            <w:tcW w:w="1830" w:type="dxa"/>
            <w:tcBorders>
              <w:top w:val="single" w:sz="4" w:space="0" w:color="auto"/>
              <w:bottom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2012</w:t>
            </w:r>
          </w:p>
        </w:tc>
        <w:tc>
          <w:tcPr>
            <w:tcW w:w="1830" w:type="dxa"/>
            <w:tcBorders>
              <w:top w:val="single" w:sz="4" w:space="0" w:color="auto"/>
              <w:bottom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42FBD">
              <w:rPr>
                <w:rFonts w:ascii="KaiTi_GB2312" w:eastAsia="KaiTi_GB2312" w:hint="eastAsia"/>
                <w:sz w:val="15"/>
              </w:rPr>
              <w:t>2013</w:t>
            </w:r>
          </w:p>
        </w:tc>
      </w:tr>
      <w:tr w:rsidR="00442FBD" w:rsidRPr="00442FBD" w:rsidTr="002B20A0">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after="60" w:line="280" w:lineRule="exact"/>
              <w:ind w:right="57"/>
              <w:rPr>
                <w:sz w:val="17"/>
              </w:rPr>
            </w:pPr>
          </w:p>
        </w:tc>
        <w:tc>
          <w:tcPr>
            <w:tcW w:w="1830" w:type="dxa"/>
            <w:tcBorders>
              <w:top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42FBD" w:rsidRPr="00442FBD" w:rsidRDefault="00442FBD" w:rsidP="002B20A0">
            <w:pPr>
              <w:tabs>
                <w:tab w:val="left" w:pos="360"/>
                <w:tab w:val="left" w:pos="720"/>
                <w:tab w:val="left" w:pos="1080"/>
                <w:tab w:val="left" w:pos="1440"/>
              </w:tabs>
              <w:suppressAutoHyphens/>
              <w:spacing w:after="60" w:line="280" w:lineRule="exact"/>
              <w:ind w:right="57"/>
              <w:jc w:val="right"/>
              <w:rPr>
                <w:sz w:val="17"/>
              </w:rPr>
            </w:pPr>
          </w:p>
        </w:tc>
      </w:tr>
      <w:tr w:rsidR="00442FBD" w:rsidRPr="00442FBD" w:rsidTr="002B20A0">
        <w:tblPrEx>
          <w:tblCellMar>
            <w:top w:w="0" w:type="dxa"/>
            <w:bottom w:w="0" w:type="dxa"/>
          </w:tblCellMar>
        </w:tblPrEx>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rPr>
                <w:sz w:val="17"/>
              </w:rPr>
            </w:pPr>
            <w:r w:rsidRPr="00442FBD">
              <w:rPr>
                <w:rFonts w:hint="eastAsia"/>
                <w:sz w:val="17"/>
              </w:rPr>
              <w:t>1.</w:t>
            </w:r>
            <w:r w:rsidRPr="00442FBD">
              <w:rPr>
                <w:rFonts w:hint="eastAsia"/>
                <w:sz w:val="17"/>
              </w:rPr>
              <w:tab/>
              <w:t>卖淫</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8</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6</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2</w:t>
            </w:r>
          </w:p>
        </w:tc>
      </w:tr>
      <w:tr w:rsidR="00442FBD" w:rsidRPr="00442FBD" w:rsidTr="002B20A0">
        <w:tblPrEx>
          <w:tblCellMar>
            <w:top w:w="0" w:type="dxa"/>
            <w:bottom w:w="0" w:type="dxa"/>
          </w:tblCellMar>
        </w:tblPrEx>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rPr>
                <w:sz w:val="17"/>
              </w:rPr>
            </w:pPr>
            <w:r w:rsidRPr="00442FBD">
              <w:rPr>
                <w:rFonts w:hint="eastAsia"/>
                <w:sz w:val="17"/>
              </w:rPr>
              <w:t>2.</w:t>
            </w:r>
            <w:r w:rsidRPr="00442FBD">
              <w:rPr>
                <w:rFonts w:hint="eastAsia"/>
                <w:sz w:val="17"/>
              </w:rPr>
              <w:tab/>
              <w:t>绑架</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3</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0</w:t>
            </w:r>
          </w:p>
        </w:tc>
        <w:tc>
          <w:tcPr>
            <w:tcW w:w="1830" w:type="dxa"/>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1</w:t>
            </w:r>
          </w:p>
        </w:tc>
      </w:tr>
      <w:tr w:rsidR="00442FBD" w:rsidRPr="00442FBD" w:rsidTr="002B20A0">
        <w:tblPrEx>
          <w:tblCellMar>
            <w:top w:w="0" w:type="dxa"/>
            <w:bottom w:w="0" w:type="dxa"/>
          </w:tblCellMar>
        </w:tblPrEx>
        <w:tc>
          <w:tcPr>
            <w:tcW w:w="1830" w:type="dxa"/>
            <w:tcBorders>
              <w:bottom w:val="single" w:sz="12" w:space="0" w:color="auto"/>
            </w:tcBorders>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rPr>
                <w:sz w:val="17"/>
              </w:rPr>
            </w:pPr>
            <w:r w:rsidRPr="00442FBD">
              <w:rPr>
                <w:rFonts w:hint="eastAsia"/>
                <w:sz w:val="17"/>
              </w:rPr>
              <w:t>3.</w:t>
            </w:r>
            <w:r w:rsidRPr="00442FBD">
              <w:rPr>
                <w:rFonts w:hint="eastAsia"/>
                <w:sz w:val="17"/>
              </w:rPr>
              <w:tab/>
              <w:t>恐怖主义</w:t>
            </w:r>
          </w:p>
        </w:tc>
        <w:tc>
          <w:tcPr>
            <w:tcW w:w="1830" w:type="dxa"/>
            <w:tcBorders>
              <w:bottom w:val="single" w:sz="12" w:space="0" w:color="auto"/>
            </w:tcBorders>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3</w:t>
            </w:r>
          </w:p>
        </w:tc>
        <w:tc>
          <w:tcPr>
            <w:tcW w:w="1830" w:type="dxa"/>
            <w:tcBorders>
              <w:bottom w:val="single" w:sz="12" w:space="0" w:color="auto"/>
            </w:tcBorders>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3</w:t>
            </w:r>
          </w:p>
        </w:tc>
        <w:tc>
          <w:tcPr>
            <w:tcW w:w="1830" w:type="dxa"/>
            <w:tcBorders>
              <w:bottom w:val="single" w:sz="12" w:space="0" w:color="auto"/>
            </w:tcBorders>
            <w:shd w:val="clear" w:color="auto" w:fill="auto"/>
            <w:vAlign w:val="bottom"/>
          </w:tcPr>
          <w:p w:rsidR="00442FBD" w:rsidRPr="00442FBD" w:rsidRDefault="00442FBD" w:rsidP="002B20A0">
            <w:pPr>
              <w:tabs>
                <w:tab w:val="left" w:pos="334"/>
                <w:tab w:val="left" w:pos="669"/>
                <w:tab w:val="left" w:pos="1003"/>
                <w:tab w:val="left" w:pos="1338"/>
              </w:tabs>
              <w:suppressAutoHyphens/>
              <w:spacing w:after="60" w:line="280" w:lineRule="exact"/>
              <w:ind w:right="57"/>
              <w:jc w:val="right"/>
              <w:rPr>
                <w:sz w:val="17"/>
              </w:rPr>
            </w:pPr>
            <w:r w:rsidRPr="00442FBD">
              <w:rPr>
                <w:rFonts w:hint="eastAsia"/>
                <w:sz w:val="17"/>
              </w:rPr>
              <w:t>0</w:t>
            </w:r>
          </w:p>
        </w:tc>
      </w:tr>
    </w:tbl>
    <w:p w:rsidR="00442FBD" w:rsidRPr="00442FBD" w:rsidRDefault="00442FBD" w:rsidP="00442FBD">
      <w:pPr>
        <w:pStyle w:val="SingleTxt"/>
        <w:spacing w:after="0" w:line="120" w:lineRule="exact"/>
        <w:rPr>
          <w:rFonts w:hint="eastAsia"/>
          <w:sz w:val="10"/>
        </w:rPr>
      </w:pPr>
    </w:p>
    <w:p w:rsidR="00442FBD" w:rsidRPr="00442FBD" w:rsidRDefault="00442FBD" w:rsidP="00442FBD">
      <w:pPr>
        <w:pStyle w:val="SingleTxt"/>
        <w:spacing w:after="0" w:line="120" w:lineRule="exact"/>
        <w:rPr>
          <w:rFonts w:hint="eastAsia"/>
          <w:sz w:val="10"/>
        </w:rPr>
      </w:pPr>
    </w:p>
    <w:p w:rsidR="00EF3339" w:rsidRDefault="00442FBD" w:rsidP="00442F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提高妇女地位的国家机制</w:t>
      </w:r>
    </w:p>
    <w:p w:rsidR="00442FBD" w:rsidRPr="00442FBD" w:rsidRDefault="00442FBD" w:rsidP="00442FBD">
      <w:pPr>
        <w:pStyle w:val="SingleTxt"/>
        <w:spacing w:after="0" w:line="120" w:lineRule="exact"/>
        <w:rPr>
          <w:rFonts w:hint="eastAsia"/>
          <w:sz w:val="10"/>
        </w:rPr>
      </w:pPr>
    </w:p>
    <w:p w:rsidR="00442FBD" w:rsidRPr="00442FBD" w:rsidRDefault="00442FBD" w:rsidP="00442FBD">
      <w:pPr>
        <w:pStyle w:val="SingleTxt"/>
        <w:spacing w:after="0" w:line="120" w:lineRule="exact"/>
        <w:rPr>
          <w:rFonts w:hint="eastAsia"/>
          <w:sz w:val="10"/>
        </w:rPr>
      </w:pPr>
    </w:p>
    <w:p w:rsidR="00EF3339" w:rsidRDefault="00EF3339" w:rsidP="00EF3339">
      <w:pPr>
        <w:pStyle w:val="SingleTxt"/>
        <w:rPr>
          <w:rFonts w:hint="eastAsia"/>
        </w:rPr>
      </w:pPr>
      <w:r>
        <w:rPr>
          <w:rFonts w:hint="eastAsia"/>
        </w:rPr>
        <w:t>7.</w:t>
      </w:r>
      <w:r>
        <w:rPr>
          <w:rFonts w:hint="eastAsia"/>
        </w:rPr>
        <w:tab/>
        <w:t>国家妇女事务部于 2004年成立，负责在教育、卫生、经济和政治等基本领域实现性别平等，向国家提出计划和建议，并协调有关政府机构的工作，确保这些机构的发展计划和方案能够满足伊拉克社会各阶层妇女的自然需要和特殊需要。取名“国家妇女事务部”是因为这是个在行政和财务上不具法人人格的不管部，有20名工作人员，但在国家总预算中没有专项拨款。该部的任务是专门解决占全社会人口一半的妇女的需求，包括相当数目的寡妇，她们的贫穷率和文盲率的比例最高。2007年，该部拟订法律草案，要使该部具有部长职务，并改名为“妇女和家庭部”。该法案经部长会议核准后送交国民议会，迄今还未获得通过成为法律。这个法律的目的是适用各项普遍的权力来源，例如：</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2005年伊拉克《宪法》，其中保证法律面前男女平等原则；</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《消除对妇女一切形式歧视公约》；</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《世界人权宣言》；</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安全理事会关于妇女、和平与安全问题的第</w:t>
      </w:r>
      <w:hyperlink r:id="rId26" w:history="1">
        <w:r w:rsidR="00EF3339" w:rsidRPr="00D209BE">
          <w:rPr>
            <w:rStyle w:val="Hyperlink"/>
            <w:rFonts w:hint="eastAsia"/>
          </w:rPr>
          <w:t>1325(2000)</w:t>
        </w:r>
      </w:hyperlink>
      <w:r w:rsidR="00EF3339">
        <w:rPr>
          <w:rFonts w:hint="eastAsia"/>
        </w:rPr>
        <w:t>号决议；</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千年发展目标。</w:t>
      </w:r>
    </w:p>
    <w:p w:rsidR="00EF3339" w:rsidRDefault="00442FBD" w:rsidP="00EF3339">
      <w:pPr>
        <w:pStyle w:val="SingleTxt"/>
        <w:rPr>
          <w:rFonts w:hint="eastAsia"/>
        </w:rPr>
      </w:pPr>
      <w:r>
        <w:rPr>
          <w:rFonts w:hint="eastAsia"/>
        </w:rPr>
        <w:tab/>
      </w:r>
      <w:r w:rsidR="00EF3339">
        <w:rPr>
          <w:rFonts w:hint="eastAsia"/>
        </w:rPr>
        <w:t>在此情况下，国家妇女事务部通过2012-2014年计划如下：</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政府拟订制止暴力侵害妇女行为的战略；</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政府拟订赋予妇女权力战略；</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颁布防止家庭暴力法；</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为各国家机构草拟促进性别平等的预算；</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在各部和部以外机构成立性别事务股；</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制订向妇女提供法律服务的方案；</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设立家庭保护警察科；</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增强妇女的经济权能，确保妇女获得一定比例的任命、借款和住宅区，增加社会福利金，为农村妇女设立发展基金。</w:t>
      </w:r>
    </w:p>
    <w:p w:rsidR="00EF3339" w:rsidRDefault="00442FBD" w:rsidP="00EF3339">
      <w:pPr>
        <w:pStyle w:val="SingleTxt"/>
        <w:rPr>
          <w:rFonts w:hint="eastAsia"/>
        </w:rPr>
      </w:pPr>
      <w:r>
        <w:rPr>
          <w:rFonts w:hint="eastAsia"/>
        </w:rPr>
        <w:tab/>
      </w:r>
      <w:r w:rsidR="00EF3339">
        <w:rPr>
          <w:rFonts w:hint="eastAsia"/>
        </w:rPr>
        <w:t>国家妇女事务部主持下列委员会：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提高妇女地位高级委员会(经常每月开会，监测与伊拉克妇女有关的情况、立法和法律，就其实施和执行提出建议，并解决赋予妇女权力和保护妇女的所有必要问题)</w:t>
      </w:r>
      <w:r>
        <w:rPr>
          <w:rFonts w:hint="eastAsia"/>
        </w:rPr>
        <w:t>；</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提高农村妇女地位高级委员会；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保护家庭高级委员会(第80(2009)号行政命令)</w:t>
      </w:r>
      <w:r>
        <w:rPr>
          <w:rFonts w:hint="eastAsia"/>
        </w:rPr>
        <w:t>；</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研究女性被拘留者和罪犯案卷委员会；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负责执行安全理事会第</w:t>
      </w:r>
      <w:hyperlink r:id="rId27" w:history="1">
        <w:r w:rsidR="00EF3339" w:rsidRPr="00D209BE">
          <w:rPr>
            <w:rStyle w:val="Hyperlink"/>
            <w:rFonts w:hint="eastAsia"/>
          </w:rPr>
          <w:t>1325(2000)</w:t>
        </w:r>
      </w:hyperlink>
      <w:r w:rsidR="00EF3339">
        <w:rPr>
          <w:rFonts w:hint="eastAsia"/>
        </w:rPr>
        <w:t>号决议国家计划小组。</w:t>
      </w:r>
    </w:p>
    <w:p w:rsidR="00EF3339" w:rsidRDefault="00442FBD" w:rsidP="00EF3339">
      <w:pPr>
        <w:pStyle w:val="SingleTxt"/>
        <w:rPr>
          <w:rFonts w:hint="eastAsia"/>
        </w:rPr>
      </w:pPr>
      <w:r>
        <w:rPr>
          <w:rFonts w:hint="eastAsia"/>
        </w:rPr>
        <w:tab/>
      </w:r>
      <w:r w:rsidR="00EF3339">
        <w:rPr>
          <w:rFonts w:hint="eastAsia"/>
        </w:rPr>
        <w:t>国家妇女事务部是以下机构的合作伙伴：</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减贫战略高级委员会；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人口问题最高委员会；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伊拉克妇女综合社会和卫生调查国家技术委员会；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青年问题高级国家委员会；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卫生教育和宣传国家委员会；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起草伊拉克普遍定期审议报告委员会；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有特殊需要者委员会；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高级普查局；</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就业问题高级委员会；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劳动和社会事务委员会；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儿童福利局；</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课程设计高级委员会；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启动人权计划国家委员会；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打击贩运人口高级委员会；</w:t>
      </w:r>
    </w:p>
    <w:p w:rsidR="00EF3339" w:rsidRDefault="00442FBD" w:rsidP="00442FBD">
      <w:pPr>
        <w:pStyle w:val="SingleTxt"/>
        <w:ind w:left="2126" w:hanging="431"/>
        <w:rPr>
          <w:rFonts w:hint="eastAsia"/>
        </w:rPr>
      </w:pPr>
      <w:r>
        <w:rPr>
          <w:rFonts w:hint="eastAsia"/>
        </w:rPr>
        <w:sym w:font="Symbol" w:char="F0B7"/>
      </w:r>
      <w:r>
        <w:tab/>
      </w:r>
      <w:r w:rsidR="00EF3339">
        <w:rPr>
          <w:rFonts w:hint="eastAsia"/>
        </w:rPr>
        <w:t>国家扫盲局，</w:t>
      </w:r>
    </w:p>
    <w:p w:rsidR="00442FBD" w:rsidRPr="00442FBD" w:rsidRDefault="00442FBD" w:rsidP="00442FBD">
      <w:pPr>
        <w:pStyle w:val="SingleTxt"/>
        <w:spacing w:after="0" w:line="120" w:lineRule="exact"/>
        <w:rPr>
          <w:rFonts w:hint="eastAsia"/>
          <w:sz w:val="10"/>
        </w:rPr>
      </w:pPr>
    </w:p>
    <w:p w:rsidR="00EF3339" w:rsidRDefault="00442FBD" w:rsidP="00442F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暂行特别措施</w:t>
      </w:r>
    </w:p>
    <w:p w:rsidR="00442FBD" w:rsidRPr="00442FBD" w:rsidRDefault="00442FBD" w:rsidP="00442FBD">
      <w:pPr>
        <w:pStyle w:val="SingleTxt"/>
        <w:spacing w:after="0" w:line="120" w:lineRule="exact"/>
        <w:rPr>
          <w:rFonts w:hint="eastAsia"/>
          <w:sz w:val="10"/>
        </w:rPr>
      </w:pPr>
    </w:p>
    <w:p w:rsidR="00442FBD" w:rsidRPr="00442FBD" w:rsidRDefault="00442FBD" w:rsidP="00442FBD">
      <w:pPr>
        <w:pStyle w:val="SingleTxt"/>
        <w:spacing w:after="0" w:line="120" w:lineRule="exact"/>
        <w:rPr>
          <w:rFonts w:hint="eastAsia"/>
          <w:sz w:val="10"/>
        </w:rPr>
      </w:pPr>
    </w:p>
    <w:p w:rsidR="00EF3339" w:rsidRDefault="00EF3339" w:rsidP="00EF3339">
      <w:pPr>
        <w:pStyle w:val="SingleTxt"/>
        <w:rPr>
          <w:rFonts w:hint="eastAsia"/>
        </w:rPr>
      </w:pPr>
      <w:r>
        <w:rPr>
          <w:rFonts w:hint="eastAsia"/>
        </w:rPr>
        <w:t>8.</w:t>
      </w:r>
      <w:r>
        <w:rPr>
          <w:rFonts w:hint="eastAsia"/>
        </w:rPr>
        <w:tab/>
      </w:r>
      <w:r w:rsidRPr="00442FBD">
        <w:rPr>
          <w:rFonts w:hint="eastAsia"/>
          <w:spacing w:val="2"/>
        </w:rPr>
        <w:t>按照《宪法》第14条保证的法律面前人人平等原则，所有法律平等适用于伊拉克人，不论其性别、宗教、种族或教派：“伊拉克人在法律面前人人平等，不受基于性别、种族、族裔、国籍、出身、肤色、宗教、教派、信仰或意见、经济或社会地位的歧视”。该原则适用于国家在上述领域通过的所有政策。议会选举法(2010)以及省、区和县议会选举法(2008)要求各政党承诺，选举名单上至少25%是女性。此外，独立高级选举委员会法规定，选举结果必须适用同样的原则。国家妇女事务部十分注意，与内阁顾问委员会和妇女署合作，设立培训讲习班，提高私营部门发展方案工作人员能力，在经济生活中把性别观念纳入主流。201</w:t>
      </w:r>
      <w:r>
        <w:rPr>
          <w:rFonts w:hint="eastAsia"/>
        </w:rPr>
        <w:t>2年，国家妇女事务部与妇女署和有关专业协会合作，支持女企业家协会基金会。</w:t>
      </w:r>
    </w:p>
    <w:p w:rsidR="00442FBD" w:rsidRPr="00442FBD" w:rsidRDefault="00442FBD" w:rsidP="00442FBD">
      <w:pPr>
        <w:pStyle w:val="SingleTxt"/>
        <w:spacing w:after="0" w:line="120" w:lineRule="exact"/>
        <w:rPr>
          <w:rFonts w:hint="eastAsia"/>
          <w:sz w:val="10"/>
        </w:rPr>
      </w:pPr>
    </w:p>
    <w:p w:rsidR="00EF3339" w:rsidRDefault="00442FBD" w:rsidP="00442F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定型观念和有害习俗</w:t>
      </w:r>
    </w:p>
    <w:p w:rsidR="00442FBD" w:rsidRPr="00442FBD" w:rsidRDefault="00442FBD" w:rsidP="00442FBD">
      <w:pPr>
        <w:pStyle w:val="SingleTxt"/>
        <w:spacing w:after="0" w:line="120" w:lineRule="exact"/>
        <w:rPr>
          <w:rFonts w:hint="eastAsia"/>
          <w:sz w:val="10"/>
        </w:rPr>
      </w:pPr>
    </w:p>
    <w:p w:rsidR="00442FBD" w:rsidRPr="00442FBD" w:rsidRDefault="00442FBD" w:rsidP="00442FBD">
      <w:pPr>
        <w:pStyle w:val="SingleTxt"/>
        <w:spacing w:after="0" w:line="120" w:lineRule="exact"/>
        <w:rPr>
          <w:rFonts w:hint="eastAsia"/>
          <w:sz w:val="10"/>
        </w:rPr>
      </w:pPr>
    </w:p>
    <w:p w:rsidR="00EF3339" w:rsidRDefault="00EF3339" w:rsidP="00EF3339">
      <w:pPr>
        <w:pStyle w:val="SingleTxt"/>
        <w:rPr>
          <w:rFonts w:hint="eastAsia"/>
        </w:rPr>
      </w:pPr>
      <w:r>
        <w:rPr>
          <w:rFonts w:hint="eastAsia"/>
        </w:rPr>
        <w:t>9.</w:t>
      </w:r>
      <w:r>
        <w:rPr>
          <w:rFonts w:hint="eastAsia"/>
        </w:rPr>
        <w:tab/>
        <w:t>社会定型观念认为妇女的角色只是生儿育女，伊拉克政府的一项任务是努力削弱和限制这种观念的影响力，把它作为国家关心的所有生活方面的一部分加以解决，同时考虑到妇女的特点。为巩固妇女在社会的作用，并根据妇女的表现赋予平等权力，必须考虑到这一重要因素。这表现于妇女在政治舞台上获得接受，例如在国民议会以及省、区和县议会。</w:t>
      </w:r>
    </w:p>
    <w:p w:rsidR="00EF3339" w:rsidRDefault="00442FBD" w:rsidP="00EF3339">
      <w:pPr>
        <w:pStyle w:val="SingleTxt"/>
        <w:rPr>
          <w:rFonts w:hint="eastAsia"/>
        </w:rPr>
      </w:pPr>
      <w:r>
        <w:rPr>
          <w:rFonts w:hint="eastAsia"/>
        </w:rPr>
        <w:tab/>
      </w:r>
      <w:r w:rsidR="00EF3339">
        <w:rPr>
          <w:rFonts w:hint="eastAsia"/>
        </w:rPr>
        <w:t>此外，妇女现在开始在伊拉克司法和刑事法律系统担任职位，这些原来是男性法官的专属领域。妇女现在普遍出现在个人身份司法机构，那里原来完全不准妇女工作，尤其是在个人身份领域。今天，有8名女法官在个人身份法庭工作，都是在十分保守的地区，例如纳杰夫、安巴尔和迪亚拉；其他各省也都有女法官。妇女在这个领域以及在其他领域的能力已越来越得到肯定。</w:t>
      </w:r>
    </w:p>
    <w:p w:rsidR="00EF3339" w:rsidRDefault="00442FBD" w:rsidP="00EF3339">
      <w:pPr>
        <w:pStyle w:val="SingleTxt"/>
        <w:rPr>
          <w:rFonts w:hint="eastAsia"/>
        </w:rPr>
      </w:pPr>
      <w:r>
        <w:rPr>
          <w:rFonts w:hint="eastAsia"/>
        </w:rPr>
        <w:tab/>
      </w:r>
      <w:r w:rsidR="00EF3339">
        <w:rPr>
          <w:rFonts w:hint="eastAsia"/>
        </w:rPr>
        <w:t>另一方面，人权部、国家妇女事务部和规划部等部委正在进行研究调查，以了解问题的范围和制订适当解决办法。这项工作继续在进行。例如，伊拉克妇女综合经济和社会定期调查把遗传下来的概念以及社会和文化定型观念作为源数据的一部分，构成健全的研究基础，并找出解决办法。</w:t>
      </w:r>
    </w:p>
    <w:p w:rsidR="00EF3339" w:rsidRDefault="00442FBD" w:rsidP="00EF3339">
      <w:pPr>
        <w:pStyle w:val="SingleTxt"/>
        <w:rPr>
          <w:rFonts w:hint="eastAsia"/>
        </w:rPr>
      </w:pPr>
      <w:r>
        <w:rPr>
          <w:rFonts w:hint="eastAsia"/>
        </w:rPr>
        <w:tab/>
      </w:r>
      <w:r w:rsidR="00EF3339">
        <w:rPr>
          <w:rFonts w:hint="eastAsia"/>
        </w:rPr>
        <w:t>不仅如此，文化部专门为各部代表举办论坛，讨论伊拉克妇女在生活所有领域的角色、妇女积极参与的重要性、以及抛弃那些歧视妇女的习俗的必要性，特别是在农村地区。文化部还专门针对工会和民间社会组织宣传关于妇女权利的文化、关于提高妇女认识的重要性以及关于抛弃那些歧视妇女的习俗的必要性。此外，文化部专门举办论坛来说明国际人权法和标准。</w:t>
      </w:r>
    </w:p>
    <w:p w:rsidR="00EF3339" w:rsidRPr="00244FD0" w:rsidRDefault="00EF3339" w:rsidP="00EF3339">
      <w:pPr>
        <w:pStyle w:val="SingleTxt"/>
        <w:rPr>
          <w:rFonts w:hint="eastAsia"/>
          <w:spacing w:val="4"/>
        </w:rPr>
      </w:pPr>
      <w:r>
        <w:rPr>
          <w:rFonts w:hint="eastAsia"/>
        </w:rPr>
        <w:t>10.</w:t>
      </w:r>
      <w:r>
        <w:rPr>
          <w:rFonts w:hint="eastAsia"/>
        </w:rPr>
        <w:tab/>
      </w:r>
      <w:r w:rsidRPr="00244FD0">
        <w:rPr>
          <w:rFonts w:hint="eastAsia"/>
          <w:spacing w:val="4"/>
        </w:rPr>
        <w:t xml:space="preserve">人权部和国家妇女事务部正在与各种宗教团体和民间社会组织合作进行法律研究，彻底取消任何“为维护名誉而杀人”的理由。所有杀人案都列为“杀人罪”，但经过仔细检查，2009年的统计数字中属于这个罪行的共有68个案例。 </w:t>
      </w:r>
    </w:p>
    <w:p w:rsidR="00EF3339" w:rsidRDefault="00EF3339" w:rsidP="00EF3339">
      <w:pPr>
        <w:pStyle w:val="SingleTxt"/>
        <w:rPr>
          <w:rFonts w:hint="eastAsia"/>
        </w:rPr>
      </w:pPr>
      <w:r>
        <w:rPr>
          <w:rFonts w:hint="eastAsia"/>
        </w:rPr>
        <w:t>11.</w:t>
      </w:r>
      <w:r>
        <w:rPr>
          <w:rFonts w:hint="eastAsia"/>
        </w:rPr>
        <w:tab/>
        <w:t>(a)</w:t>
      </w:r>
      <w:r w:rsidR="00244FD0">
        <w:tab/>
      </w:r>
      <w:r>
        <w:rPr>
          <w:rFonts w:hint="eastAsia"/>
        </w:rPr>
        <w:t xml:space="preserve">女性割礼现象无法详述，因为这种现象不存在于伊拉克中部和南部，在这些地区的大多数社区极少出现。该现象曾经在伊拉克库尔德斯坦一再出现，特别是在过去的农村和偏远地区。这是无知造成的，也是因为不了解这种习俗对妇女身心造成的危害。通过媒体、论坛和讲习班在库尔德斯坦地区进行教育和提高认识，说明并强调这种现象不容于文明社会，发生的频率已经减少。库尔德斯坦地区政府采取了几项法律措施取缔该现象，关于蓄意伤害、殴打和攻击的刑法第412条将该现象视为犯罪。该条规定： </w:t>
      </w:r>
    </w:p>
    <w:p w:rsidR="00EF3339" w:rsidRDefault="00244FD0" w:rsidP="00EF3339">
      <w:pPr>
        <w:pStyle w:val="SingleTxt"/>
        <w:rPr>
          <w:rFonts w:hint="eastAsia"/>
        </w:rPr>
      </w:pPr>
      <w:r>
        <w:rPr>
          <w:rFonts w:hint="eastAsia"/>
        </w:rPr>
        <w:tab/>
      </w:r>
      <w:r w:rsidR="00EF3339">
        <w:rPr>
          <w:rFonts w:hint="eastAsia"/>
        </w:rPr>
        <w:t>“</w:t>
      </w:r>
      <w:r>
        <w:rPr>
          <w:rFonts w:hint="eastAsia"/>
        </w:rPr>
        <w:t>(a)</w:t>
      </w:r>
      <w:r>
        <w:t xml:space="preserve"> </w:t>
      </w:r>
      <w:r w:rsidR="00EF3339">
        <w:rPr>
          <w:rFonts w:hint="eastAsia"/>
        </w:rPr>
        <w:t xml:space="preserve">任何人蓄意攻击另一人，伤害或殴打他，或使用暴力或有害物质，或采取意图造成终生残疾的其他非法行动，可处以15年以下监禁。 </w:t>
      </w:r>
    </w:p>
    <w:p w:rsidR="00EF3339" w:rsidRDefault="00244FD0" w:rsidP="00EF3339">
      <w:pPr>
        <w:pStyle w:val="SingleTxt"/>
        <w:rPr>
          <w:rFonts w:hint="eastAsia"/>
        </w:rPr>
      </w:pPr>
      <w:r>
        <w:tab/>
        <w:t>(</w:t>
      </w:r>
      <w:r w:rsidR="00EF3339">
        <w:rPr>
          <w:rFonts w:hint="eastAsia"/>
        </w:rPr>
        <w:t>b</w:t>
      </w:r>
      <w:r>
        <w:t>)</w:t>
      </w:r>
      <w:r>
        <w:tab/>
      </w:r>
      <w:r w:rsidR="00EF3339">
        <w:rPr>
          <w:rFonts w:hint="eastAsia"/>
        </w:rPr>
        <w:t>如果罪行造成终生残疾但并非出于犯罪者本意，可处以7年以下监禁或拘留。”</w:t>
      </w:r>
    </w:p>
    <w:p w:rsidR="00EF3339" w:rsidRDefault="00EF3339" w:rsidP="00EF3339">
      <w:pPr>
        <w:pStyle w:val="SingleTxt"/>
        <w:rPr>
          <w:rFonts w:hint="eastAsia"/>
        </w:rPr>
      </w:pPr>
      <w:r>
        <w:rPr>
          <w:rFonts w:hint="eastAsia"/>
        </w:rPr>
        <w:tab/>
        <w:t>(b)</w:t>
      </w:r>
      <w:r w:rsidR="00244FD0">
        <w:tab/>
      </w:r>
      <w:r>
        <w:rPr>
          <w:rFonts w:hint="eastAsia"/>
        </w:rPr>
        <w:t>伊拉克库尔德斯坦议会最近批准了关于防止家庭暴力的法律草案，其中包括禁止女性割礼。这是朝着消除该现象跨出了重要一步。</w:t>
      </w:r>
    </w:p>
    <w:p w:rsidR="00EF3339" w:rsidRDefault="00EF3339" w:rsidP="00EF3339">
      <w:pPr>
        <w:pStyle w:val="SingleTxt"/>
        <w:rPr>
          <w:rFonts w:hint="eastAsia"/>
        </w:rPr>
      </w:pPr>
      <w:r>
        <w:rPr>
          <w:rFonts w:hint="eastAsia"/>
        </w:rPr>
        <w:tab/>
        <w:t>(c)</w:t>
      </w:r>
      <w:r w:rsidR="00244FD0">
        <w:tab/>
      </w:r>
      <w:r>
        <w:rPr>
          <w:rFonts w:hint="eastAsia"/>
        </w:rPr>
        <w:t>在实施上述所有措施之后，包括教育和提高认识措施以及制止性立法和法律措施，可以说已经大幅度减少了这种现象记录在案的次数。有关机构正继续采取彻底消除这种现象的措施。</w:t>
      </w:r>
    </w:p>
    <w:p w:rsidR="00244FD0" w:rsidRPr="00244FD0" w:rsidRDefault="00244FD0" w:rsidP="00244FD0">
      <w:pPr>
        <w:pStyle w:val="SingleTxt"/>
        <w:spacing w:after="0" w:line="120" w:lineRule="exact"/>
        <w:rPr>
          <w:rFonts w:hint="eastAsia"/>
          <w:sz w:val="10"/>
        </w:rPr>
      </w:pPr>
    </w:p>
    <w:p w:rsidR="00EF3339" w:rsidRDefault="00244FD0" w:rsidP="00244F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EF3339">
        <w:rPr>
          <w:rFonts w:hint="eastAsia"/>
        </w:rPr>
        <w:t>暴力侵害妇女行为</w:t>
      </w:r>
    </w:p>
    <w:p w:rsidR="00244FD0" w:rsidRPr="00244FD0" w:rsidRDefault="00244FD0" w:rsidP="00244FD0">
      <w:pPr>
        <w:pStyle w:val="SingleTxt"/>
        <w:spacing w:after="0" w:line="120" w:lineRule="exact"/>
        <w:rPr>
          <w:rFonts w:hint="eastAsia"/>
          <w:sz w:val="10"/>
        </w:rPr>
      </w:pPr>
    </w:p>
    <w:p w:rsidR="00244FD0" w:rsidRPr="00244FD0" w:rsidRDefault="00244FD0" w:rsidP="00244FD0">
      <w:pPr>
        <w:pStyle w:val="SingleTxt"/>
        <w:spacing w:after="0" w:line="120" w:lineRule="exact"/>
        <w:rPr>
          <w:rFonts w:hint="eastAsia"/>
          <w:sz w:val="10"/>
        </w:rPr>
      </w:pPr>
    </w:p>
    <w:p w:rsidR="00EF3339" w:rsidRDefault="00EF3339" w:rsidP="00EF3339">
      <w:pPr>
        <w:pStyle w:val="SingleTxt"/>
        <w:rPr>
          <w:rFonts w:hint="eastAsia"/>
        </w:rPr>
      </w:pPr>
      <w:r>
        <w:rPr>
          <w:rFonts w:hint="eastAsia"/>
        </w:rPr>
        <w:t>12.</w:t>
      </w:r>
      <w:r>
        <w:rPr>
          <w:rFonts w:hint="eastAsia"/>
        </w:rPr>
        <w:tab/>
        <w:t>(a)</w:t>
      </w:r>
      <w:r w:rsidR="00244FD0">
        <w:tab/>
      </w:r>
      <w:r>
        <w:rPr>
          <w:rFonts w:hint="eastAsia"/>
        </w:rPr>
        <w:t>国家妇女事务部自成立以来，就以打击暴力侵害妇女行为为目标，过去两年中，该部特别拟定了与有关政府机构和非政府机构协商和咨询的计划。在拟定打击暴力侵害妇女行为的国家战略过程中，在巴格达、埃尔比勒和几个邻国进行了无数次谈判、咨询和会议，并得到一个由国家专家、妇女署、人口基金、阿拉伯组织(约旦河基金会与阿拉伯妇女训练和研究中心)地方民间社会组织组成的小组的协助。该战略制定后提交给部长会议，并按照第96(2013)号决议获得批准。战略的目标是加强各年龄段的伊拉克妇女的权利，保护她们免于任何不利的歧视，终止这种歧视的影响。该战略包含四个主题：防止、福利、保护和政策执行。战略根据的资料来源有两个方面：国际方面——有关妇女的协定和条约以及伊拉克作为联合国会员国所作的国际承诺，如《世界人权宣言》以及伊拉克批准的人权公约和协定；国内方面——伊拉克《宪法》所载的无数关于法律面前人人平等的条款。此外，打击暴力侵害妇女行为国家战略以一些主要国家文件为基础，其中最重要的有五年计划、扶贫战略、国家人权计划和伊拉克妇女综合社会和卫生调查。更重要的是，这项战略是出于伊拉克政府决心使伊拉克跳出过去政策造成的困境和摆脱不稳定的安全状况，这种情况产生的极端主义意识形态环境影响到伊拉克妇女。</w:t>
      </w:r>
    </w:p>
    <w:p w:rsidR="00EF3339" w:rsidRDefault="00244FD0" w:rsidP="00EF3339">
      <w:pPr>
        <w:pStyle w:val="SingleTxt"/>
        <w:rPr>
          <w:rFonts w:hint="eastAsia"/>
        </w:rPr>
      </w:pPr>
      <w:r>
        <w:tab/>
      </w:r>
      <w:r w:rsidR="00EF3339">
        <w:rPr>
          <w:rFonts w:hint="eastAsia"/>
        </w:rPr>
        <w:t>(b)</w:t>
      </w:r>
      <w:r>
        <w:tab/>
      </w:r>
      <w:r w:rsidR="00EF3339">
        <w:rPr>
          <w:rFonts w:hint="eastAsia"/>
        </w:rPr>
        <w:t>打击暴力侵害妇女行为国家战略是所有有关机构的责任，卫生部与有关机构合作，进行了一些活动，目的在提高认识，教育民众了解摈弃暴力的重要性，特别是对妇女的暴力，因为妇女是社会中极为重要的基本群体。这方面的工作属于性别活动部门。此外，女性割礼已被列为暴力侵害女孩(妇女)行为，并与规划部中央统计组织协调，列入伊拉克妇女综合社会和卫生调查，以了解问题的范围，从而制订解决办法。卫生部也在大约80个保健中心设立心理卫生股，以改善心理卫生服务。它还为暴力行为的幸存妇女设立了心里和社会服务项目。国家妇女事务部与内政部、人口基金和开发署合作，组织了三个进修培训课程，以提高家庭保护警察成员的能力。课程的重点是如何对待在家庭保护警察中心避难的暴力行为的幸存妇女。</w:t>
      </w:r>
    </w:p>
    <w:p w:rsidR="00EF3339" w:rsidRDefault="00EF3339" w:rsidP="00EF3339">
      <w:pPr>
        <w:pStyle w:val="SingleTxt"/>
        <w:rPr>
          <w:rFonts w:hint="eastAsia"/>
        </w:rPr>
      </w:pPr>
      <w:r>
        <w:rPr>
          <w:rFonts w:hint="eastAsia"/>
        </w:rPr>
        <w:tab/>
        <w:t>(c)</w:t>
      </w:r>
      <w:r w:rsidR="00244FD0">
        <w:tab/>
      </w:r>
      <w:r>
        <w:rPr>
          <w:rFonts w:hint="eastAsia"/>
        </w:rPr>
        <w:t>国家妇女事务部主持根据第80(2009)号行政命令成立的家庭保护高级委员会。该委员会的一项工作成果是设立了家庭保护局，因为该部的总的目标是支持家庭，创造一个环境，让伊拉克各阶层人民对司法体系产生信心，知道它有能力加强和保护《宪法》、现行法律和伊拉克国际承诺载列的家庭价值和人权。此外，该机构努力创造和平的家庭，使妇女、男子和儿童在家庭中获得尊重和人道待遇。这样，家庭保护局致力于建设一个安全和没有暴力的社会。</w:t>
      </w:r>
    </w:p>
    <w:p w:rsidR="00EF3339" w:rsidRDefault="00244FD0" w:rsidP="00EF3339">
      <w:pPr>
        <w:pStyle w:val="SingleTxt"/>
        <w:rPr>
          <w:rFonts w:hint="eastAsia"/>
        </w:rPr>
      </w:pPr>
      <w:r>
        <w:tab/>
      </w:r>
      <w:r w:rsidR="00EF3339">
        <w:rPr>
          <w:rFonts w:hint="eastAsia"/>
        </w:rPr>
        <w:t>(d)</w:t>
      </w:r>
      <w:r>
        <w:tab/>
      </w:r>
      <w:r w:rsidR="00EF3339">
        <w:rPr>
          <w:rFonts w:hint="eastAsia"/>
        </w:rPr>
        <w:t>国家妇女事务部与劳动和社会事务部、内政部、人权部、高级司法委员会、民间社会代表和妇女署代表合作，拟订了防止家庭暴力法草案。该草案已于2012年1月11日送交部长会议总秘书处，正由国家咨询委员会的一个特别机构审查；国家咨询委员会在防止家庭暴力的法律颁布前，负责审查第111(1969</w:t>
      </w:r>
      <w:r>
        <w:rPr>
          <w:rFonts w:hint="eastAsia"/>
        </w:rPr>
        <w:t>，</w:t>
      </w:r>
      <w:r w:rsidR="00EF3339">
        <w:rPr>
          <w:rFonts w:hint="eastAsia"/>
        </w:rPr>
        <w:t>修正版)号刑法典所述的家庭暴力案件。截至2012年12月底，有7 137件案件记录在案，其中5 253件结案，1 687件待决。此外，巴格达省Rusafah家庭和儿</w:t>
      </w:r>
      <w:r w:rsidR="00EF3339" w:rsidRPr="00244FD0">
        <w:rPr>
          <w:rFonts w:hint="eastAsia"/>
          <w:spacing w:val="-2"/>
        </w:rPr>
        <w:t>童保护科截至2009年7月31日收到的关于家庭保护问题的统计数字表明，有285</w:t>
      </w:r>
      <w:r w:rsidR="00EF3339">
        <w:rPr>
          <w:rFonts w:hint="eastAsia"/>
        </w:rPr>
        <w:t>件案件记录在案，其中140件结案，145件待决。家庭和儿童保护部门的工作人员由男女警官组成，还有女性调查员、法律干事和其他人员。下表简单介绍关于妇女和家庭暴力的统计数字：</w:t>
      </w:r>
    </w:p>
    <w:p w:rsidR="00244FD0" w:rsidRDefault="00244FD0" w:rsidP="00EF3339">
      <w:pPr>
        <w:pStyle w:val="SingleTxt"/>
        <w:rPr>
          <w:rFonts w:hint="eastAsia"/>
        </w:rPr>
      </w:pPr>
    </w:p>
    <w:tbl>
      <w:tblPr>
        <w:tblW w:w="0" w:type="auto"/>
        <w:tblInd w:w="1260" w:type="dxa"/>
        <w:tblLayout w:type="fixed"/>
        <w:tblCellMar>
          <w:left w:w="0" w:type="dxa"/>
          <w:right w:w="0" w:type="dxa"/>
        </w:tblCellMar>
        <w:tblLook w:val="0000"/>
      </w:tblPr>
      <w:tblGrid>
        <w:gridCol w:w="5490"/>
        <w:gridCol w:w="1830"/>
      </w:tblGrid>
      <w:tr w:rsidR="00244FD0" w:rsidRPr="00244FD0" w:rsidTr="00244FD0">
        <w:tblPrEx>
          <w:tblCellMar>
            <w:top w:w="0" w:type="dxa"/>
            <w:bottom w:w="0" w:type="dxa"/>
          </w:tblCellMar>
        </w:tblPrEx>
        <w:trPr>
          <w:tblHeader/>
        </w:trPr>
        <w:tc>
          <w:tcPr>
            <w:tcW w:w="5490" w:type="dxa"/>
            <w:tcBorders>
              <w:top w:val="single" w:sz="4" w:space="0" w:color="auto"/>
              <w:bottom w:val="single" w:sz="12" w:space="0" w:color="auto"/>
            </w:tcBorders>
            <w:shd w:val="clear" w:color="auto" w:fill="auto"/>
            <w:vAlign w:val="bottom"/>
          </w:tcPr>
          <w:p w:rsidR="00244FD0" w:rsidRPr="00244FD0" w:rsidRDefault="00244FD0" w:rsidP="00244FD0">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244FD0">
              <w:rPr>
                <w:rFonts w:ascii="KaiTi_GB2312" w:eastAsia="KaiTi_GB2312" w:hint="eastAsia"/>
                <w:sz w:val="15"/>
              </w:rPr>
              <w:t>说明</w:t>
            </w:r>
          </w:p>
        </w:tc>
        <w:tc>
          <w:tcPr>
            <w:tcW w:w="1830" w:type="dxa"/>
            <w:tcBorders>
              <w:top w:val="single" w:sz="4" w:space="0" w:color="auto"/>
              <w:bottom w:val="single" w:sz="12" w:space="0" w:color="auto"/>
            </w:tcBorders>
            <w:shd w:val="clear" w:color="auto" w:fill="auto"/>
            <w:vAlign w:val="bottom"/>
          </w:tcPr>
          <w:p w:rsidR="00244FD0" w:rsidRPr="00244FD0" w:rsidRDefault="00244FD0" w:rsidP="00244FD0">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244FD0">
              <w:rPr>
                <w:rFonts w:ascii="KaiTi_GB2312" w:eastAsia="KaiTi_GB2312" w:hint="eastAsia"/>
                <w:sz w:val="15"/>
              </w:rPr>
              <w:t>数目</w:t>
            </w:r>
          </w:p>
        </w:tc>
      </w:tr>
      <w:tr w:rsidR="00244FD0" w:rsidRPr="00244FD0" w:rsidTr="00244FD0">
        <w:tblPrEx>
          <w:tblCellMar>
            <w:top w:w="0" w:type="dxa"/>
            <w:bottom w:w="0" w:type="dxa"/>
          </w:tblCellMar>
        </w:tblPrEx>
        <w:trPr>
          <w:trHeight w:hRule="exact" w:val="115"/>
          <w:tblHeader/>
        </w:trPr>
        <w:tc>
          <w:tcPr>
            <w:tcW w:w="5490" w:type="dxa"/>
            <w:tcBorders>
              <w:top w:val="single" w:sz="12" w:space="0" w:color="auto"/>
            </w:tcBorders>
            <w:shd w:val="clear" w:color="auto" w:fill="auto"/>
            <w:vAlign w:val="bottom"/>
          </w:tcPr>
          <w:p w:rsidR="00244FD0" w:rsidRPr="00244FD0" w:rsidRDefault="00244FD0" w:rsidP="00244FD0">
            <w:pPr>
              <w:tabs>
                <w:tab w:val="left" w:pos="360"/>
                <w:tab w:val="left" w:pos="720"/>
                <w:tab w:val="left" w:pos="1080"/>
                <w:tab w:val="left" w:pos="1440"/>
              </w:tabs>
              <w:suppressAutoHyphens/>
              <w:spacing w:after="60" w:line="280" w:lineRule="exact"/>
              <w:ind w:right="57"/>
              <w:rPr>
                <w:rFonts w:hint="eastAsia"/>
                <w:sz w:val="17"/>
              </w:rPr>
            </w:pPr>
          </w:p>
        </w:tc>
        <w:tc>
          <w:tcPr>
            <w:tcW w:w="1830" w:type="dxa"/>
            <w:tcBorders>
              <w:top w:val="single" w:sz="12" w:space="0" w:color="auto"/>
            </w:tcBorders>
            <w:shd w:val="clear" w:color="auto" w:fill="auto"/>
            <w:vAlign w:val="bottom"/>
          </w:tcPr>
          <w:p w:rsidR="00244FD0" w:rsidRPr="00244FD0" w:rsidRDefault="00244FD0" w:rsidP="00244FD0">
            <w:pPr>
              <w:tabs>
                <w:tab w:val="left" w:pos="360"/>
                <w:tab w:val="left" w:pos="720"/>
                <w:tab w:val="left" w:pos="1080"/>
                <w:tab w:val="left" w:pos="1440"/>
              </w:tabs>
              <w:suppressAutoHyphens/>
              <w:spacing w:after="60" w:line="280" w:lineRule="exact"/>
              <w:ind w:right="57"/>
              <w:jc w:val="right"/>
              <w:rPr>
                <w:rFonts w:hint="eastAsia"/>
                <w:sz w:val="17"/>
              </w:rPr>
            </w:pPr>
          </w:p>
        </w:tc>
      </w:tr>
      <w:tr w:rsidR="00244FD0" w:rsidRPr="00244FD0" w:rsidTr="00244FD0">
        <w:tblPrEx>
          <w:tblCellMar>
            <w:top w:w="0" w:type="dxa"/>
            <w:bottom w:w="0" w:type="dxa"/>
          </w:tblCellMar>
        </w:tblPrEx>
        <w:tc>
          <w:tcPr>
            <w:tcW w:w="549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1.</w:t>
            </w:r>
            <w:r w:rsidRPr="00244FD0">
              <w:rPr>
                <w:rFonts w:hint="eastAsia"/>
                <w:sz w:val="17"/>
              </w:rPr>
              <w:tab/>
              <w:t>受到家庭暴力的女性囚犯和被拘留者</w:t>
            </w:r>
          </w:p>
        </w:tc>
        <w:tc>
          <w:tcPr>
            <w:tcW w:w="183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6</w:t>
            </w:r>
          </w:p>
        </w:tc>
      </w:tr>
      <w:tr w:rsidR="00244FD0" w:rsidRPr="00244FD0" w:rsidTr="00244FD0">
        <w:tblPrEx>
          <w:tblCellMar>
            <w:top w:w="0" w:type="dxa"/>
            <w:bottom w:w="0" w:type="dxa"/>
          </w:tblCellMar>
        </w:tblPrEx>
        <w:tc>
          <w:tcPr>
            <w:tcW w:w="549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2.</w:t>
            </w:r>
            <w:r w:rsidRPr="00244FD0">
              <w:rPr>
                <w:rFonts w:hint="eastAsia"/>
                <w:sz w:val="17"/>
              </w:rPr>
              <w:tab/>
              <w:t>声称受到家庭暴力的女性囚犯和被拘留者</w:t>
            </w:r>
          </w:p>
        </w:tc>
        <w:tc>
          <w:tcPr>
            <w:tcW w:w="183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32</w:t>
            </w:r>
          </w:p>
        </w:tc>
      </w:tr>
      <w:tr w:rsidR="00244FD0" w:rsidRPr="00244FD0" w:rsidTr="00244FD0">
        <w:tblPrEx>
          <w:tblCellMar>
            <w:top w:w="0" w:type="dxa"/>
            <w:bottom w:w="0" w:type="dxa"/>
          </w:tblCellMar>
        </w:tblPrEx>
        <w:tc>
          <w:tcPr>
            <w:tcW w:w="5490" w:type="dxa"/>
            <w:tcBorders>
              <w:bottom w:val="single" w:sz="12"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3.</w:t>
            </w:r>
            <w:r w:rsidRPr="00244FD0">
              <w:rPr>
                <w:rFonts w:hint="eastAsia"/>
                <w:sz w:val="17"/>
              </w:rPr>
              <w:tab/>
              <w:t>在巴格达被判定犯家庭暴力罪的女性囚犯和被拘留者</w:t>
            </w:r>
          </w:p>
        </w:tc>
        <w:tc>
          <w:tcPr>
            <w:tcW w:w="1830" w:type="dxa"/>
            <w:tcBorders>
              <w:bottom w:val="single" w:sz="12"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36</w:t>
            </w:r>
          </w:p>
        </w:tc>
      </w:tr>
    </w:tbl>
    <w:p w:rsidR="00244FD0" w:rsidRPr="00244FD0" w:rsidRDefault="00244FD0" w:rsidP="00244FD0">
      <w:pPr>
        <w:pStyle w:val="SingleTxt"/>
        <w:spacing w:after="0" w:line="120" w:lineRule="exact"/>
        <w:rPr>
          <w:rFonts w:hint="eastAsia"/>
          <w:sz w:val="10"/>
        </w:rPr>
      </w:pPr>
    </w:p>
    <w:p w:rsidR="00EF3339" w:rsidRDefault="00EF3339" w:rsidP="00EF3339">
      <w:pPr>
        <w:pStyle w:val="SingleTxt"/>
        <w:rPr>
          <w:rFonts w:hint="eastAsia"/>
        </w:rPr>
      </w:pPr>
      <w:r>
        <w:rPr>
          <w:rFonts w:hint="eastAsia"/>
        </w:rPr>
        <w:tab/>
        <w:t>采取了一些措施来遏制家庭暴力：</w:t>
      </w:r>
    </w:p>
    <w:p w:rsidR="00EF3339" w:rsidRDefault="00EF3339" w:rsidP="00244FD0">
      <w:pPr>
        <w:pStyle w:val="SingleTxt"/>
        <w:ind w:left="1695"/>
        <w:rPr>
          <w:rFonts w:hint="eastAsia"/>
        </w:rPr>
      </w:pPr>
      <w:r>
        <w:rPr>
          <w:rFonts w:hint="eastAsia"/>
        </w:rPr>
        <w:t>1.</w:t>
      </w:r>
      <w:r>
        <w:rPr>
          <w:rFonts w:hint="eastAsia"/>
        </w:rPr>
        <w:tab/>
        <w:t>将家庭暴力问题列为学校里家庭教育课程的一部分；</w:t>
      </w:r>
    </w:p>
    <w:p w:rsidR="00EF3339" w:rsidRDefault="00EF3339" w:rsidP="00244FD0">
      <w:pPr>
        <w:pStyle w:val="SingleTxt"/>
        <w:ind w:left="1695"/>
        <w:rPr>
          <w:rFonts w:hint="eastAsia"/>
        </w:rPr>
      </w:pPr>
      <w:r>
        <w:rPr>
          <w:rFonts w:hint="eastAsia"/>
        </w:rPr>
        <w:t>2.</w:t>
      </w:r>
      <w:r>
        <w:rPr>
          <w:rFonts w:hint="eastAsia"/>
        </w:rPr>
        <w:tab/>
        <w:t>为家庭保护警察成员、包括女警官和其他警员开设培训课程；</w:t>
      </w:r>
    </w:p>
    <w:p w:rsidR="00EF3339" w:rsidRDefault="00EF3339" w:rsidP="00244FD0">
      <w:pPr>
        <w:pStyle w:val="SingleTxt"/>
        <w:ind w:left="1695"/>
        <w:rPr>
          <w:rFonts w:hint="eastAsia"/>
        </w:rPr>
      </w:pPr>
      <w:r>
        <w:rPr>
          <w:rFonts w:hint="eastAsia"/>
        </w:rPr>
        <w:t>3.</w:t>
      </w:r>
      <w:r>
        <w:rPr>
          <w:rFonts w:hint="eastAsia"/>
        </w:rPr>
        <w:tab/>
        <w:t>将人权和家庭暴力列入警察学校的课程；</w:t>
      </w:r>
    </w:p>
    <w:p w:rsidR="00EF3339" w:rsidRDefault="00EF3339" w:rsidP="00244FD0">
      <w:pPr>
        <w:pStyle w:val="SingleTxt"/>
        <w:ind w:left="1695"/>
        <w:rPr>
          <w:rFonts w:hint="eastAsia"/>
        </w:rPr>
      </w:pPr>
      <w:r>
        <w:rPr>
          <w:rFonts w:hint="eastAsia"/>
        </w:rPr>
        <w:t>4.</w:t>
      </w:r>
      <w:r>
        <w:rPr>
          <w:rFonts w:hint="eastAsia"/>
        </w:rPr>
        <w:tab/>
        <w:t>在2012年制定战略，制止库尔德斯坦地区的暴力侵害妇女行为；</w:t>
      </w:r>
    </w:p>
    <w:p w:rsidR="00EF3339" w:rsidRDefault="00EF3339" w:rsidP="00244FD0">
      <w:pPr>
        <w:pStyle w:val="SingleTxt"/>
        <w:ind w:left="1695"/>
        <w:rPr>
          <w:rFonts w:hint="eastAsia"/>
        </w:rPr>
      </w:pPr>
      <w:r>
        <w:rPr>
          <w:rFonts w:hint="eastAsia"/>
        </w:rPr>
        <w:t>5.</w:t>
      </w:r>
      <w:r>
        <w:rPr>
          <w:rFonts w:hint="eastAsia"/>
        </w:rPr>
        <w:tab/>
        <w:t xml:space="preserve">在2012年制定法律，保护库尔德斯坦地区的妇女免遭暴力(该法将女性割礼视为罪行，必须承担法律责任)。 </w:t>
      </w:r>
    </w:p>
    <w:p w:rsidR="00244FD0" w:rsidRPr="00244FD0" w:rsidRDefault="00244FD0" w:rsidP="00244FD0">
      <w:pPr>
        <w:pStyle w:val="SingleTxt"/>
        <w:spacing w:after="0" w:line="120" w:lineRule="exact"/>
        <w:rPr>
          <w:rFonts w:hint="eastAsia"/>
          <w:sz w:val="10"/>
        </w:rPr>
      </w:pPr>
    </w:p>
    <w:p w:rsidR="00EF3339" w:rsidRDefault="00244FD0" w:rsidP="00244F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贩运人口和利用妇女卖淫营利</w:t>
      </w:r>
    </w:p>
    <w:p w:rsidR="00244FD0" w:rsidRPr="00244FD0" w:rsidRDefault="00244FD0" w:rsidP="00244FD0">
      <w:pPr>
        <w:pStyle w:val="SingleTxt"/>
        <w:spacing w:after="0" w:line="120" w:lineRule="exact"/>
        <w:rPr>
          <w:rFonts w:hint="eastAsia"/>
          <w:sz w:val="10"/>
        </w:rPr>
      </w:pPr>
    </w:p>
    <w:p w:rsidR="00244FD0" w:rsidRPr="00244FD0" w:rsidRDefault="00244FD0" w:rsidP="00244FD0">
      <w:pPr>
        <w:pStyle w:val="SingleTxt"/>
        <w:spacing w:after="0" w:line="120" w:lineRule="exact"/>
        <w:rPr>
          <w:rFonts w:hint="eastAsia"/>
          <w:sz w:val="10"/>
        </w:rPr>
      </w:pPr>
    </w:p>
    <w:p w:rsidR="00EF3339" w:rsidRDefault="00EF3339" w:rsidP="00EF3339">
      <w:pPr>
        <w:pStyle w:val="SingleTxt"/>
        <w:rPr>
          <w:rFonts w:hint="eastAsia"/>
        </w:rPr>
      </w:pPr>
      <w:r>
        <w:rPr>
          <w:rFonts w:hint="eastAsia"/>
        </w:rPr>
        <w:t>13.</w:t>
      </w:r>
      <w:r>
        <w:rPr>
          <w:rFonts w:hint="eastAsia"/>
        </w:rPr>
        <w:tab/>
        <w:t xml:space="preserve">伊拉克共和国政府已经采取措施来遏制贩运人口现象；这些措施包括使伊拉克加入打击贩运人口的国际协定。为了将国际承诺转变成具有约束力的现行法律，颁布了关于打击贩运人口的第28(2012)号法律，把贩运人口的行为定为犯罪。该法涵盖各个方面，包括处罚和贩运者、界定贩运情况和说明对受害者的待遇。该法第1条将贩运人口界定为：招募、运送、收容或接收某人，目的是予以贩卖，对其进行剥削，包括恐怖主义活动和武装冲突、卖淫、性虐待、无偿劳动、强迫劳动、奴役、乞讨、贩卖人体器官或医学实验。新法还包括关于受害方的定义和保护受害者的方式。新法规定了设立各个委员会来执行该法和制止贩运人口的一般条款。该法将强迫卖淫的受害者视为性剥削受害者，制定了保护她们的法规。此外，关于打击贩运人口的第28(2012)号法律将被贩运者视为受害者，国家有责任照顾她们的身心健康，给予她们支持。该法的以下条款规定： </w:t>
      </w:r>
    </w:p>
    <w:p w:rsidR="00EF3339" w:rsidRDefault="00244FD0" w:rsidP="00244FD0">
      <w:pPr>
        <w:pStyle w:val="SingleTxt"/>
        <w:ind w:left="2126" w:hanging="431"/>
        <w:rPr>
          <w:rFonts w:hint="eastAsia"/>
        </w:rPr>
      </w:pPr>
      <w:r>
        <w:rPr>
          <w:rFonts w:hint="eastAsia"/>
        </w:rPr>
        <w:sym w:font="Symbol" w:char="F0B7"/>
      </w:r>
      <w:r>
        <w:tab/>
      </w:r>
      <w:r w:rsidR="00EF3339">
        <w:rPr>
          <w:rFonts w:hint="eastAsia"/>
        </w:rPr>
        <w:t>第3条第</w:t>
      </w:r>
      <w:r w:rsidRPr="00065B7A">
        <w:rPr>
          <w:rFonts w:hint="eastAsia"/>
          <w:lang w:val="fr-FR"/>
        </w:rPr>
        <w:t>⑷</w:t>
      </w:r>
      <w:r w:rsidR="00EF3339">
        <w:rPr>
          <w:rFonts w:hint="eastAsia"/>
        </w:rPr>
        <w:t>款规定，有关机构协调合作，帮助贩运人口的受害者，并与邻国和主管国际组织交流信息和专门知识；</w:t>
      </w:r>
    </w:p>
    <w:p w:rsidR="00EF3339" w:rsidRDefault="00244FD0" w:rsidP="00244FD0">
      <w:pPr>
        <w:pStyle w:val="SingleTxt"/>
        <w:ind w:left="2126" w:hanging="431"/>
        <w:rPr>
          <w:rFonts w:hint="eastAsia"/>
        </w:rPr>
      </w:pPr>
      <w:r>
        <w:rPr>
          <w:rFonts w:hint="eastAsia"/>
        </w:rPr>
        <w:sym w:font="Symbol" w:char="F0B7"/>
      </w:r>
      <w:r>
        <w:tab/>
      </w:r>
      <w:r w:rsidR="00EF3339">
        <w:rPr>
          <w:rFonts w:hint="eastAsia"/>
        </w:rPr>
        <w:t>第3条第</w:t>
      </w:r>
      <w:r w:rsidRPr="00065B7A">
        <w:rPr>
          <w:rFonts w:hint="eastAsia"/>
          <w:lang w:val="fr-FR"/>
        </w:rPr>
        <w:t>⑸</w:t>
      </w:r>
      <w:r w:rsidR="00EF3339">
        <w:rPr>
          <w:rFonts w:hint="eastAsia"/>
        </w:rPr>
        <w:t>款规定，建议适当措施，帮助贩运人口的受害者，并保护证人和受害方；</w:t>
      </w:r>
    </w:p>
    <w:p w:rsidR="00EF3339" w:rsidRDefault="00244FD0" w:rsidP="00244FD0">
      <w:pPr>
        <w:pStyle w:val="SingleTxt"/>
        <w:ind w:left="2126" w:hanging="431"/>
        <w:rPr>
          <w:rFonts w:hint="eastAsia"/>
        </w:rPr>
      </w:pPr>
      <w:r>
        <w:rPr>
          <w:rFonts w:hint="eastAsia"/>
        </w:rPr>
        <w:sym w:font="Symbol" w:char="F0B7"/>
      </w:r>
      <w:r>
        <w:tab/>
      </w:r>
      <w:r w:rsidR="00EF3339">
        <w:rPr>
          <w:rFonts w:hint="eastAsia"/>
        </w:rPr>
        <w:t>第10条规定，贩运人口的受害者的同意在任何情况下不能作为辩护理由；</w:t>
      </w:r>
    </w:p>
    <w:p w:rsidR="00EF3339" w:rsidRDefault="00244FD0" w:rsidP="00244FD0">
      <w:pPr>
        <w:pStyle w:val="SingleTxt"/>
        <w:ind w:left="2126" w:hanging="431"/>
        <w:rPr>
          <w:rFonts w:hint="eastAsia"/>
        </w:rPr>
      </w:pPr>
      <w:r>
        <w:rPr>
          <w:rFonts w:hint="eastAsia"/>
        </w:rPr>
        <w:sym w:font="Symbol" w:char="F0B7"/>
      </w:r>
      <w:r>
        <w:tab/>
      </w:r>
      <w:r w:rsidR="00EF3339">
        <w:rPr>
          <w:rFonts w:hint="eastAsia"/>
        </w:rPr>
        <w:t>第11条规定，有关国家机关考虑到婴儿的特殊需要，采取下列措施帮助贩运人口的受害者：</w:t>
      </w:r>
    </w:p>
    <w:p w:rsidR="00EF3339" w:rsidRDefault="00EF3339" w:rsidP="007D3A7D">
      <w:pPr>
        <w:pStyle w:val="SingleTxt"/>
        <w:spacing w:after="120"/>
        <w:ind w:left="2126"/>
        <w:rPr>
          <w:rFonts w:hint="eastAsia"/>
        </w:rPr>
      </w:pPr>
      <w:r>
        <w:rPr>
          <w:rFonts w:hint="eastAsia"/>
        </w:rPr>
        <w:t>1.</w:t>
      </w:r>
      <w:r>
        <w:rPr>
          <w:rFonts w:hint="eastAsia"/>
        </w:rPr>
        <w:tab/>
        <w:t>将受害者转送合格的医生治疗；</w:t>
      </w:r>
    </w:p>
    <w:p w:rsidR="00EF3339" w:rsidRDefault="00EF3339" w:rsidP="007D3A7D">
      <w:pPr>
        <w:pStyle w:val="SingleTxt"/>
        <w:spacing w:after="120"/>
        <w:ind w:left="2126"/>
        <w:rPr>
          <w:rFonts w:hint="eastAsia"/>
        </w:rPr>
      </w:pPr>
      <w:r>
        <w:rPr>
          <w:rFonts w:hint="eastAsia"/>
        </w:rPr>
        <w:t>2.</w:t>
      </w:r>
      <w:r>
        <w:rPr>
          <w:rFonts w:hint="eastAsia"/>
        </w:rPr>
        <w:tab/>
        <w:t>为非伊拉克籍的受害者提供语言协助；</w:t>
      </w:r>
    </w:p>
    <w:p w:rsidR="00EF3339" w:rsidRDefault="00EF3339" w:rsidP="007D3A7D">
      <w:pPr>
        <w:pStyle w:val="SingleTxt"/>
        <w:spacing w:after="120"/>
        <w:ind w:left="2126"/>
        <w:rPr>
          <w:rFonts w:hint="eastAsia"/>
        </w:rPr>
      </w:pPr>
      <w:r>
        <w:rPr>
          <w:rFonts w:hint="eastAsia"/>
        </w:rPr>
        <w:t>3.</w:t>
      </w:r>
      <w:r>
        <w:rPr>
          <w:rFonts w:hint="eastAsia"/>
        </w:rPr>
        <w:tab/>
        <w:t>为受害者提供法律协助、咨询和指导；</w:t>
      </w:r>
    </w:p>
    <w:p w:rsidR="00EF3339" w:rsidRPr="007D3A7D" w:rsidRDefault="00EF3339" w:rsidP="007D3A7D">
      <w:pPr>
        <w:pStyle w:val="SingleTxt"/>
        <w:spacing w:after="120"/>
        <w:ind w:left="2126"/>
        <w:rPr>
          <w:rFonts w:hint="eastAsia"/>
          <w:spacing w:val="-4"/>
        </w:rPr>
      </w:pPr>
      <w:r>
        <w:rPr>
          <w:rFonts w:hint="eastAsia"/>
        </w:rPr>
        <w:t>4.</w:t>
      </w:r>
      <w:r>
        <w:rPr>
          <w:rFonts w:hint="eastAsia"/>
        </w:rPr>
        <w:tab/>
      </w:r>
      <w:r w:rsidRPr="007D3A7D">
        <w:rPr>
          <w:rFonts w:hint="eastAsia"/>
          <w:spacing w:val="-4"/>
        </w:rPr>
        <w:t>联络受害者的家人或国籍国和民间社会团体，为她们取得必要协助；</w:t>
      </w:r>
    </w:p>
    <w:p w:rsidR="00EF3339" w:rsidRDefault="00EF3339" w:rsidP="007D3A7D">
      <w:pPr>
        <w:pStyle w:val="SingleTxt"/>
        <w:spacing w:after="120"/>
        <w:ind w:left="2126"/>
        <w:rPr>
          <w:rFonts w:hint="eastAsia"/>
        </w:rPr>
      </w:pPr>
      <w:r>
        <w:rPr>
          <w:rFonts w:hint="eastAsia"/>
        </w:rPr>
        <w:t>5.</w:t>
      </w:r>
      <w:r>
        <w:rPr>
          <w:rFonts w:hint="eastAsia"/>
        </w:rPr>
        <w:tab/>
        <w:t>为受害者和证人提供必要保护；</w:t>
      </w:r>
    </w:p>
    <w:p w:rsidR="00EF3339" w:rsidRDefault="00EF3339" w:rsidP="007D3A7D">
      <w:pPr>
        <w:pStyle w:val="SingleTxt"/>
        <w:spacing w:after="120"/>
        <w:ind w:left="2126"/>
        <w:rPr>
          <w:rFonts w:hint="eastAsia"/>
        </w:rPr>
      </w:pPr>
      <w:r>
        <w:rPr>
          <w:rFonts w:hint="eastAsia"/>
        </w:rPr>
        <w:t>6.</w:t>
      </w:r>
      <w:r>
        <w:rPr>
          <w:rFonts w:hint="eastAsia"/>
        </w:rPr>
        <w:tab/>
        <w:t>对受害者的有关信息保密，尊重其隐私和尊严；</w:t>
      </w:r>
    </w:p>
    <w:p w:rsidR="00EF3339" w:rsidRDefault="00EF3339" w:rsidP="007D3A7D">
      <w:pPr>
        <w:pStyle w:val="SingleTxt"/>
        <w:spacing w:after="120"/>
        <w:ind w:left="2126"/>
        <w:rPr>
          <w:rFonts w:hint="eastAsia"/>
        </w:rPr>
      </w:pPr>
      <w:r>
        <w:rPr>
          <w:rFonts w:hint="eastAsia"/>
        </w:rPr>
        <w:t>7.</w:t>
      </w:r>
      <w:r>
        <w:rPr>
          <w:rFonts w:hint="eastAsia"/>
        </w:rPr>
        <w:tab/>
        <w:t>按照受害者的性别和年龄向其提供财务援助和临时住所；</w:t>
      </w:r>
    </w:p>
    <w:p w:rsidR="00EF3339" w:rsidRPr="007D3A7D" w:rsidRDefault="00EF3339" w:rsidP="007D3A7D">
      <w:pPr>
        <w:pStyle w:val="SingleTxt"/>
        <w:spacing w:after="120"/>
        <w:ind w:left="2126"/>
        <w:rPr>
          <w:rFonts w:hint="eastAsia"/>
          <w:spacing w:val="-4"/>
        </w:rPr>
      </w:pPr>
      <w:r>
        <w:rPr>
          <w:rFonts w:hint="eastAsia"/>
        </w:rPr>
        <w:t>8.</w:t>
      </w:r>
      <w:r>
        <w:rPr>
          <w:rFonts w:hint="eastAsia"/>
        </w:rPr>
        <w:tab/>
      </w:r>
      <w:r w:rsidRPr="007D3A7D">
        <w:rPr>
          <w:rFonts w:hint="eastAsia"/>
          <w:spacing w:val="-4"/>
        </w:rPr>
        <w:t>按照受害者重新融入社会的特别方案，设立附属于劳动和社会事务部的康复中心/庇护所或护理院，为受害者提供社会、心理和身体康复服务；</w:t>
      </w:r>
    </w:p>
    <w:p w:rsidR="00EF3339" w:rsidRDefault="00EF3339" w:rsidP="007D3A7D">
      <w:pPr>
        <w:pStyle w:val="SingleTxt"/>
        <w:spacing w:after="120"/>
        <w:ind w:left="2126"/>
        <w:rPr>
          <w:rFonts w:hint="eastAsia"/>
        </w:rPr>
      </w:pPr>
      <w:r>
        <w:rPr>
          <w:rFonts w:hint="eastAsia"/>
        </w:rPr>
        <w:t>9.</w:t>
      </w:r>
      <w:r>
        <w:rPr>
          <w:rFonts w:hint="eastAsia"/>
        </w:rPr>
        <w:tab/>
        <w:t>提供工作、培训和教育机会；</w:t>
      </w:r>
    </w:p>
    <w:p w:rsidR="00EF3339" w:rsidRDefault="00EF3339" w:rsidP="007D3A7D">
      <w:pPr>
        <w:pStyle w:val="SingleTxt"/>
        <w:spacing w:after="120"/>
        <w:ind w:left="2126"/>
        <w:rPr>
          <w:rFonts w:hint="eastAsia"/>
        </w:rPr>
      </w:pPr>
      <w:r>
        <w:rPr>
          <w:rFonts w:hint="eastAsia"/>
        </w:rPr>
        <w:t>10.</w:t>
      </w:r>
      <w:r>
        <w:rPr>
          <w:rFonts w:hint="eastAsia"/>
        </w:rPr>
        <w:tab/>
        <w:t>发给临时入境和居留签证，必要时发给特别旅行证件，协助她们在伊拉克居住；</w:t>
      </w:r>
    </w:p>
    <w:p w:rsidR="00EF3339" w:rsidRDefault="00EF3339" w:rsidP="007D3A7D">
      <w:pPr>
        <w:pStyle w:val="SingleTxt"/>
        <w:spacing w:after="120"/>
        <w:ind w:left="2126"/>
        <w:rPr>
          <w:rFonts w:hint="eastAsia"/>
        </w:rPr>
      </w:pPr>
      <w:r>
        <w:rPr>
          <w:rFonts w:hint="eastAsia"/>
        </w:rPr>
        <w:t>11.</w:t>
      </w:r>
      <w:r>
        <w:rPr>
          <w:rFonts w:hint="eastAsia"/>
        </w:rPr>
        <w:tab/>
        <w:t xml:space="preserve">为非伊拉克籍的受害者提供外交支持，协助她们回返本国。 </w:t>
      </w:r>
    </w:p>
    <w:p w:rsidR="00EF3339" w:rsidRDefault="00244FD0" w:rsidP="00244FD0">
      <w:pPr>
        <w:pStyle w:val="SingleTxt"/>
        <w:spacing w:after="120"/>
        <w:rPr>
          <w:rFonts w:hint="eastAsia"/>
        </w:rPr>
      </w:pPr>
      <w:r>
        <w:rPr>
          <w:rFonts w:hint="eastAsia"/>
        </w:rPr>
        <w:tab/>
      </w:r>
      <w:r w:rsidR="00EF3339">
        <w:rPr>
          <w:rFonts w:hint="eastAsia"/>
        </w:rPr>
        <w:t>已经采取一系列措施来协助该法的执行，包括：</w:t>
      </w:r>
    </w:p>
    <w:p w:rsidR="00EF3339" w:rsidRDefault="00244FD0" w:rsidP="00244FD0">
      <w:pPr>
        <w:pStyle w:val="SingleTxt"/>
        <w:spacing w:after="120"/>
        <w:ind w:left="2126" w:hanging="431"/>
        <w:rPr>
          <w:rFonts w:hint="eastAsia"/>
        </w:rPr>
      </w:pPr>
      <w:r>
        <w:rPr>
          <w:rFonts w:hint="eastAsia"/>
        </w:rPr>
        <w:sym w:font="Symbol" w:char="F0B7"/>
      </w:r>
      <w:r>
        <w:tab/>
      </w:r>
      <w:r w:rsidR="00EF3339">
        <w:rPr>
          <w:rFonts w:hint="eastAsia"/>
        </w:rPr>
        <w:t xml:space="preserve">按照第75(2012)号行政命令，在内政部设立打击贩运人口中央委员会，成员包括内政部、人权部、司法部、财政部、交通部、劳动和社会事务部和流离失所问题和移民部，此外还有人权事务高级委员会及库尔德斯坦地区、中央情报局和各省的代表。在各省设立了由省长担任主席的小组委员会。 </w:t>
      </w:r>
    </w:p>
    <w:p w:rsidR="00EF3339" w:rsidRDefault="00244FD0" w:rsidP="00244FD0">
      <w:pPr>
        <w:pStyle w:val="SingleTxt"/>
        <w:spacing w:after="120"/>
        <w:ind w:left="2126" w:hanging="431"/>
        <w:rPr>
          <w:rFonts w:hint="eastAsia"/>
        </w:rPr>
      </w:pPr>
      <w:r>
        <w:rPr>
          <w:rFonts w:hint="eastAsia"/>
        </w:rPr>
        <w:sym w:font="Symbol" w:char="F0B7"/>
      </w:r>
      <w:r>
        <w:tab/>
      </w:r>
      <w:r w:rsidR="00EF3339">
        <w:rPr>
          <w:rFonts w:hint="eastAsia"/>
        </w:rPr>
        <w:t>在巴格达新建了贩运人口受害者庇护所的大楼。</w:t>
      </w:r>
    </w:p>
    <w:p w:rsidR="00EF3339" w:rsidRDefault="00244FD0" w:rsidP="00244FD0">
      <w:pPr>
        <w:pStyle w:val="SingleTxt"/>
        <w:spacing w:after="120"/>
        <w:ind w:left="2126" w:hanging="431"/>
        <w:rPr>
          <w:rFonts w:hint="eastAsia"/>
        </w:rPr>
      </w:pPr>
      <w:r>
        <w:rPr>
          <w:rFonts w:hint="eastAsia"/>
        </w:rPr>
        <w:sym w:font="Symbol" w:char="F0B7"/>
      </w:r>
      <w:r>
        <w:tab/>
      </w:r>
      <w:r w:rsidR="00EF3339">
        <w:rPr>
          <w:rFonts w:hint="eastAsia"/>
        </w:rPr>
        <w:t>国家人权计划确认采取若干措施来防止和打击贩运人口，包括：制订社会援助法案来保护受害者，使她们融入社会和经济生活；报告关于贩运人口的信息；发起防止贩运人口的运动；为执法机构人员(例如在国家妇女事务部)办理培训课程，帮助制止贩运人口</w:t>
      </w:r>
    </w:p>
    <w:p w:rsidR="00EF3339" w:rsidRDefault="00244FD0" w:rsidP="00244FD0">
      <w:pPr>
        <w:pStyle w:val="SingleTxt"/>
        <w:spacing w:after="120"/>
        <w:ind w:left="2126" w:hanging="431"/>
        <w:rPr>
          <w:rFonts w:hint="eastAsia"/>
        </w:rPr>
      </w:pPr>
      <w:r>
        <w:rPr>
          <w:rFonts w:hint="eastAsia"/>
        </w:rPr>
        <w:sym w:font="Symbol" w:char="F0B7"/>
      </w:r>
      <w:r>
        <w:tab/>
      </w:r>
      <w:r w:rsidR="00EF3339">
        <w:rPr>
          <w:rFonts w:hint="eastAsia"/>
        </w:rPr>
        <w:t>该现象由人权部的特别部门不断监督。这是持续调查的对象，专门针对因卖淫和淫媒被定罪的女性被拘留者和罪犯以及在监狱以外的个别案件，以了解造成妇女成为被剥削者的所有因素。</w:t>
      </w:r>
    </w:p>
    <w:p w:rsidR="00244FD0" w:rsidRPr="00244FD0" w:rsidRDefault="00244FD0" w:rsidP="00244FD0">
      <w:pPr>
        <w:pStyle w:val="SingleTxt"/>
        <w:spacing w:after="0" w:line="120" w:lineRule="exact"/>
        <w:rPr>
          <w:rFonts w:hint="eastAsia"/>
          <w:sz w:val="10"/>
        </w:rPr>
      </w:pPr>
    </w:p>
    <w:p w:rsidR="00EF3339" w:rsidRDefault="00244FD0" w:rsidP="00244F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参加政治和公共生活</w:t>
      </w:r>
    </w:p>
    <w:p w:rsidR="00244FD0" w:rsidRPr="00244FD0" w:rsidRDefault="00244FD0" w:rsidP="00244FD0">
      <w:pPr>
        <w:pStyle w:val="SingleTxt"/>
        <w:spacing w:after="0" w:line="120" w:lineRule="exact"/>
        <w:rPr>
          <w:rFonts w:hint="eastAsia"/>
          <w:sz w:val="10"/>
        </w:rPr>
      </w:pPr>
    </w:p>
    <w:p w:rsidR="00244FD0" w:rsidRPr="00244FD0" w:rsidRDefault="00244FD0" w:rsidP="00244FD0">
      <w:pPr>
        <w:pStyle w:val="SingleTxt"/>
        <w:spacing w:after="0" w:line="120" w:lineRule="exact"/>
        <w:rPr>
          <w:rFonts w:hint="eastAsia"/>
          <w:sz w:val="10"/>
        </w:rPr>
      </w:pPr>
    </w:p>
    <w:p w:rsidR="00EF3339" w:rsidRDefault="00EF3339" w:rsidP="00EF3339">
      <w:pPr>
        <w:pStyle w:val="SingleTxt"/>
        <w:rPr>
          <w:rFonts w:hint="eastAsia"/>
        </w:rPr>
      </w:pPr>
      <w:r>
        <w:rPr>
          <w:rFonts w:hint="eastAsia"/>
        </w:rPr>
        <w:t>14.</w:t>
      </w:r>
      <w:r>
        <w:rPr>
          <w:rFonts w:hint="eastAsia"/>
        </w:rPr>
        <w:tab/>
        <w:t>如本问题清单第7段所述，国家妇女事务部积极参加制订各项主要战略。高级司法委员会任命了女性法官到轻罪法庭、调查法庭、甚至重罪法庭和青少年法庭。应该指出，青少年法庭根据刑法典和青少年法运作，按照司法和法律准则平等处理男女法官的晋升。下表载列妇女担任法官的人数：</w:t>
      </w:r>
    </w:p>
    <w:tbl>
      <w:tblPr>
        <w:tblW w:w="0" w:type="auto"/>
        <w:tblInd w:w="1260" w:type="dxa"/>
        <w:tblLayout w:type="fixed"/>
        <w:tblCellMar>
          <w:left w:w="0" w:type="dxa"/>
          <w:right w:w="0" w:type="dxa"/>
        </w:tblCellMar>
        <w:tblLook w:val="0000"/>
      </w:tblPr>
      <w:tblGrid>
        <w:gridCol w:w="5490"/>
        <w:gridCol w:w="1830"/>
      </w:tblGrid>
      <w:tr w:rsidR="00244FD0" w:rsidRPr="00244FD0" w:rsidTr="007D3A7D">
        <w:tblPrEx>
          <w:tblCellMar>
            <w:top w:w="0" w:type="dxa"/>
            <w:bottom w:w="0" w:type="dxa"/>
          </w:tblCellMar>
        </w:tblPrEx>
        <w:tc>
          <w:tcPr>
            <w:tcW w:w="5490" w:type="dxa"/>
            <w:tcBorders>
              <w:top w:val="single" w:sz="6"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1.</w:t>
            </w:r>
            <w:r w:rsidRPr="00244FD0">
              <w:rPr>
                <w:rFonts w:hint="eastAsia"/>
                <w:sz w:val="17"/>
              </w:rPr>
              <w:tab/>
              <w:t>重罪法庭和轻罪法庭的女法官</w:t>
            </w:r>
          </w:p>
        </w:tc>
        <w:tc>
          <w:tcPr>
            <w:tcW w:w="1830" w:type="dxa"/>
            <w:tcBorders>
              <w:top w:val="single" w:sz="6"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22</w:t>
            </w:r>
          </w:p>
        </w:tc>
      </w:tr>
      <w:tr w:rsidR="00244FD0" w:rsidRPr="00244FD0" w:rsidTr="00244FD0">
        <w:tblPrEx>
          <w:tblCellMar>
            <w:top w:w="0" w:type="dxa"/>
            <w:bottom w:w="0" w:type="dxa"/>
          </w:tblCellMar>
        </w:tblPrEx>
        <w:tc>
          <w:tcPr>
            <w:tcW w:w="549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2.</w:t>
            </w:r>
            <w:r w:rsidRPr="00244FD0">
              <w:rPr>
                <w:rFonts w:hint="eastAsia"/>
                <w:sz w:val="17"/>
              </w:rPr>
              <w:tab/>
              <w:t>调查法庭的女法官</w:t>
            </w:r>
            <w:r w:rsidRPr="00244FD0">
              <w:rPr>
                <w:rFonts w:hint="eastAsia"/>
                <w:sz w:val="17"/>
              </w:rPr>
              <w:tab/>
            </w:r>
          </w:p>
        </w:tc>
        <w:tc>
          <w:tcPr>
            <w:tcW w:w="183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10</w:t>
            </w:r>
          </w:p>
        </w:tc>
      </w:tr>
      <w:tr w:rsidR="00244FD0" w:rsidRPr="00244FD0" w:rsidTr="00244FD0">
        <w:tblPrEx>
          <w:tblCellMar>
            <w:top w:w="0" w:type="dxa"/>
            <w:bottom w:w="0" w:type="dxa"/>
          </w:tblCellMar>
        </w:tblPrEx>
        <w:tc>
          <w:tcPr>
            <w:tcW w:w="549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3.</w:t>
            </w:r>
            <w:r w:rsidRPr="00244FD0">
              <w:rPr>
                <w:rFonts w:hint="eastAsia"/>
                <w:sz w:val="17"/>
              </w:rPr>
              <w:tab/>
              <w:t>临时调任检察官办公室的女法官</w:t>
            </w:r>
          </w:p>
        </w:tc>
        <w:tc>
          <w:tcPr>
            <w:tcW w:w="1830" w:type="dxa"/>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36</w:t>
            </w:r>
          </w:p>
        </w:tc>
      </w:tr>
      <w:tr w:rsidR="00244FD0" w:rsidRPr="00244FD0" w:rsidTr="00244FD0">
        <w:tblPrEx>
          <w:tblCellMar>
            <w:top w:w="0" w:type="dxa"/>
            <w:bottom w:w="0" w:type="dxa"/>
          </w:tblCellMar>
        </w:tblPrEx>
        <w:tc>
          <w:tcPr>
            <w:tcW w:w="5490" w:type="dxa"/>
            <w:tcBorders>
              <w:bottom w:val="single" w:sz="12"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rPr>
                <w:rFonts w:hint="eastAsia"/>
                <w:sz w:val="17"/>
              </w:rPr>
            </w:pPr>
            <w:r w:rsidRPr="00244FD0">
              <w:rPr>
                <w:rFonts w:hint="eastAsia"/>
                <w:sz w:val="17"/>
              </w:rPr>
              <w:t>4.</w:t>
            </w:r>
            <w:r w:rsidRPr="00244FD0">
              <w:rPr>
                <w:rFonts w:hint="eastAsia"/>
                <w:sz w:val="17"/>
              </w:rPr>
              <w:tab/>
              <w:t>目前在司法研究所就读的女法官</w:t>
            </w:r>
          </w:p>
        </w:tc>
        <w:tc>
          <w:tcPr>
            <w:tcW w:w="1830" w:type="dxa"/>
            <w:tcBorders>
              <w:bottom w:val="single" w:sz="12" w:space="0" w:color="auto"/>
            </w:tcBorders>
            <w:shd w:val="clear" w:color="auto" w:fill="auto"/>
            <w:vAlign w:val="bottom"/>
          </w:tcPr>
          <w:p w:rsidR="00244FD0" w:rsidRPr="00244FD0" w:rsidRDefault="00244FD0" w:rsidP="00244FD0">
            <w:pPr>
              <w:tabs>
                <w:tab w:val="left" w:pos="334"/>
                <w:tab w:val="left" w:pos="669"/>
                <w:tab w:val="left" w:pos="1003"/>
                <w:tab w:val="left" w:pos="1338"/>
              </w:tabs>
              <w:suppressAutoHyphens/>
              <w:spacing w:after="60" w:line="280" w:lineRule="exact"/>
              <w:ind w:right="57"/>
              <w:jc w:val="right"/>
              <w:rPr>
                <w:rFonts w:hint="eastAsia"/>
                <w:sz w:val="17"/>
              </w:rPr>
            </w:pPr>
            <w:r w:rsidRPr="00244FD0">
              <w:rPr>
                <w:rFonts w:hint="eastAsia"/>
                <w:sz w:val="17"/>
              </w:rPr>
              <w:t>12</w:t>
            </w:r>
          </w:p>
        </w:tc>
      </w:tr>
    </w:tbl>
    <w:p w:rsidR="00244FD0" w:rsidRPr="00244FD0" w:rsidRDefault="00244FD0" w:rsidP="00244FD0">
      <w:pPr>
        <w:pStyle w:val="SingleTxt"/>
        <w:spacing w:after="0" w:line="120" w:lineRule="exact"/>
        <w:rPr>
          <w:rFonts w:hint="eastAsia"/>
          <w:sz w:val="10"/>
        </w:rPr>
      </w:pPr>
    </w:p>
    <w:p w:rsidR="00EF3339" w:rsidRDefault="00244FD0" w:rsidP="00EF3339">
      <w:pPr>
        <w:pStyle w:val="SingleTxt"/>
        <w:rPr>
          <w:rFonts w:hint="eastAsia"/>
        </w:rPr>
      </w:pPr>
      <w:r>
        <w:rPr>
          <w:rFonts w:hint="eastAsia"/>
        </w:rPr>
        <w:tab/>
      </w:r>
      <w:r w:rsidR="00EF3339">
        <w:rPr>
          <w:rFonts w:hint="eastAsia"/>
        </w:rPr>
        <w:t>此外，妇女担任附属于高级司法委员会所有机构的调查员的人数从2005年的79人增加到2012年 的123人。妇女占据了人权事务高级委员会的三个主要职位和一个候补职位。目前正在设法使另一位妇女担任候补职位，以执行2012年9月联邦法院的裁决，实施人权事务高级委员会规定的配额原则。</w:t>
      </w:r>
    </w:p>
    <w:p w:rsidR="00244FD0" w:rsidRPr="00244FD0" w:rsidRDefault="00244FD0" w:rsidP="00244FD0">
      <w:pPr>
        <w:pStyle w:val="SingleTxt"/>
        <w:spacing w:after="0" w:line="120" w:lineRule="exact"/>
        <w:rPr>
          <w:rFonts w:hint="eastAsia"/>
          <w:sz w:val="10"/>
        </w:rPr>
      </w:pPr>
    </w:p>
    <w:p w:rsidR="00EF3339" w:rsidRDefault="00244FD0" w:rsidP="00244F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教育</w:t>
      </w:r>
    </w:p>
    <w:p w:rsidR="00244FD0" w:rsidRPr="00244FD0" w:rsidRDefault="00244FD0" w:rsidP="00244FD0">
      <w:pPr>
        <w:pStyle w:val="SingleTxt"/>
        <w:spacing w:after="0" w:line="120" w:lineRule="exact"/>
        <w:rPr>
          <w:rFonts w:hint="eastAsia"/>
          <w:sz w:val="10"/>
        </w:rPr>
      </w:pPr>
    </w:p>
    <w:p w:rsidR="00244FD0" w:rsidRPr="00244FD0" w:rsidRDefault="00244FD0" w:rsidP="00244FD0">
      <w:pPr>
        <w:pStyle w:val="SingleTxt"/>
        <w:spacing w:after="0" w:line="120" w:lineRule="exact"/>
        <w:rPr>
          <w:rFonts w:hint="eastAsia"/>
          <w:sz w:val="10"/>
        </w:rPr>
      </w:pPr>
    </w:p>
    <w:p w:rsidR="00EF3339" w:rsidRDefault="00EF3339" w:rsidP="00EF3339">
      <w:pPr>
        <w:pStyle w:val="SingleTxt"/>
        <w:rPr>
          <w:rFonts w:hint="eastAsia"/>
        </w:rPr>
      </w:pPr>
      <w:r>
        <w:rPr>
          <w:rFonts w:hint="eastAsia"/>
        </w:rPr>
        <w:t>15.</w:t>
      </w:r>
      <w:r>
        <w:rPr>
          <w:rFonts w:hint="eastAsia"/>
        </w:rPr>
        <w:tab/>
        <w:t>伊拉克为促进教育而采取的最重要步骤是通过了2011-2012年教育和高等教育国家战略。该战略的实施对象是教育领域的所有计划、课程和工作人员，以期遏止全国、尤其是农村地区妇女文盲率上升的趋势。伊拉克《宪法》第34条第</w:t>
      </w:r>
      <w:r w:rsidR="00244FD0" w:rsidRPr="00244FD0">
        <w:rPr>
          <w:rFonts w:hint="eastAsia"/>
        </w:rPr>
        <w:t>⑴</w:t>
      </w:r>
      <w:r>
        <w:rPr>
          <w:rFonts w:hint="eastAsia"/>
        </w:rPr>
        <w:t>款规定：“教育是生活进步的基本因素，是国家保证的权利。小学教育是义务性质，国家必须保证要消除文盲。”因此，关于扫盲的第23(2011)号法律得以颁布和生效，并据以采取以下措施：</w:t>
      </w:r>
    </w:p>
    <w:p w:rsidR="00EF3339" w:rsidRDefault="00244FD0" w:rsidP="00470B6D">
      <w:pPr>
        <w:pStyle w:val="SingleTxt"/>
        <w:ind w:left="1695"/>
        <w:rPr>
          <w:rFonts w:hint="eastAsia"/>
        </w:rPr>
      </w:pPr>
      <w:r>
        <w:rPr>
          <w:rFonts w:hint="eastAsia"/>
        </w:rPr>
        <w:t>一</w:t>
      </w:r>
      <w:r w:rsidR="00EF3339">
        <w:rPr>
          <w:rFonts w:hint="eastAsia"/>
        </w:rPr>
        <w:t>.</w:t>
      </w:r>
      <w:r w:rsidR="00EF3339">
        <w:rPr>
          <w:rFonts w:hint="eastAsia"/>
        </w:rPr>
        <w:tab/>
      </w:r>
      <w:r w:rsidR="00EF3339" w:rsidRPr="00C70BCC">
        <w:rPr>
          <w:rFonts w:hint="eastAsia"/>
          <w:spacing w:val="2"/>
        </w:rPr>
        <w:t>教育部成立了一个行政机构，负责制订扫盲项目的计划，协调不同机构间的行动，并培训扫盲工作人员以提高他们的工作绩效。教育和高等教育国家战略规定，按照人口普查使女生在各级教育的入学比例占50%。国家妇女事务部提出了按照尊重两性平等原则设计学校课程的工作文件，于2012年2月19日提交教育部的全国课程设计委员会。按照扫盲法的规定，在各省教育总局成立了扫盲科，并按照法律规定在每个县和区成立了扫盲委员会。而且，不论入学人数多少，在镇、县、区、乡和居住地区开办了扫盲中心。</w:t>
      </w:r>
    </w:p>
    <w:p w:rsidR="00EF3339" w:rsidRDefault="00244FD0" w:rsidP="00470B6D">
      <w:pPr>
        <w:pStyle w:val="SingleTxt"/>
        <w:ind w:left="1695"/>
        <w:rPr>
          <w:rFonts w:hint="eastAsia"/>
        </w:rPr>
      </w:pPr>
      <w:r>
        <w:rPr>
          <w:rFonts w:hint="eastAsia"/>
        </w:rPr>
        <w:t>二</w:t>
      </w:r>
      <w:r w:rsidR="00EF3339">
        <w:rPr>
          <w:rFonts w:hint="eastAsia"/>
        </w:rPr>
        <w:t>.</w:t>
      </w:r>
      <w:r w:rsidR="00EF3339">
        <w:rPr>
          <w:rFonts w:hint="eastAsia"/>
        </w:rPr>
        <w:tab/>
        <w:t>采取的行政措施如下：</w:t>
      </w:r>
    </w:p>
    <w:p w:rsidR="00EF3339" w:rsidRPr="007D3A7D" w:rsidRDefault="00C70BCC" w:rsidP="007D3A7D">
      <w:pPr>
        <w:pStyle w:val="SingleTxt"/>
        <w:ind w:left="2557" w:hanging="431"/>
        <w:rPr>
          <w:rFonts w:hint="eastAsia"/>
          <w:spacing w:val="-4"/>
        </w:rPr>
      </w:pPr>
      <w:r>
        <w:rPr>
          <w:rFonts w:hint="eastAsia"/>
        </w:rPr>
        <w:sym w:font="Symbol" w:char="F0B7"/>
      </w:r>
      <w:r>
        <w:tab/>
      </w:r>
      <w:r w:rsidR="00EF3339" w:rsidRPr="007D3A7D">
        <w:rPr>
          <w:rFonts w:hint="eastAsia"/>
          <w:spacing w:val="-4"/>
        </w:rPr>
        <w:t>文化部与扫盲委员会协调，开展提高民众、特别是文盲对扫盲法认识的运动，宣传消除文盲及其文化、社会、职业和法律影响的重要性；</w:t>
      </w:r>
    </w:p>
    <w:p w:rsidR="00EF3339" w:rsidRDefault="00C70BCC" w:rsidP="007D3A7D">
      <w:pPr>
        <w:pStyle w:val="SingleTxt"/>
        <w:ind w:left="2557" w:hanging="431"/>
        <w:rPr>
          <w:rFonts w:hint="eastAsia"/>
        </w:rPr>
      </w:pPr>
      <w:r>
        <w:rPr>
          <w:rFonts w:hint="eastAsia"/>
        </w:rPr>
        <w:sym w:font="Symbol" w:char="F0B7"/>
      </w:r>
      <w:r>
        <w:tab/>
      </w:r>
      <w:r w:rsidR="00EF3339">
        <w:rPr>
          <w:rFonts w:hint="eastAsia"/>
        </w:rPr>
        <w:t>各省、县和区之间经常举行识字比赛，由行政部门向优胜者颁发荣誉证书，以示嘉奖；</w:t>
      </w:r>
    </w:p>
    <w:p w:rsidR="00EF3339" w:rsidRDefault="00C70BCC" w:rsidP="007D3A7D">
      <w:pPr>
        <w:pStyle w:val="SingleTxt"/>
        <w:ind w:left="2557" w:hanging="431"/>
        <w:rPr>
          <w:rFonts w:hint="eastAsia"/>
        </w:rPr>
      </w:pPr>
      <w:r>
        <w:rPr>
          <w:rFonts w:hint="eastAsia"/>
        </w:rPr>
        <w:sym w:font="Symbol" w:char="F0B7"/>
      </w:r>
      <w:r>
        <w:tab/>
      </w:r>
      <w:r w:rsidR="00EF3339">
        <w:rPr>
          <w:rFonts w:hint="eastAsia"/>
        </w:rPr>
        <w:t>与国家机构、公私立和混合部门协调合作，协助适用扫盲法规定的人入学，加入扫盲中心；</w:t>
      </w:r>
    </w:p>
    <w:p w:rsidR="00EF3339" w:rsidRDefault="00C70BCC" w:rsidP="007D3A7D">
      <w:pPr>
        <w:pStyle w:val="SingleTxt"/>
        <w:spacing w:after="120" w:line="300" w:lineRule="exact"/>
        <w:ind w:left="2557" w:hanging="431"/>
        <w:rPr>
          <w:rFonts w:hint="eastAsia"/>
        </w:rPr>
      </w:pPr>
      <w:r>
        <w:rPr>
          <w:rFonts w:hint="eastAsia"/>
        </w:rPr>
        <w:sym w:font="Symbol" w:char="F0B7"/>
      </w:r>
      <w:r>
        <w:tab/>
      </w:r>
      <w:r w:rsidR="00EF3339">
        <w:rPr>
          <w:rFonts w:hint="eastAsia"/>
        </w:rPr>
        <w:t>扫盲中心的学习分为基础和辅助两个阶段，分别为期7个月。基础阶段使男女学生能够到辅助阶段入学；</w:t>
      </w:r>
    </w:p>
    <w:p w:rsidR="00EF3339" w:rsidRDefault="00C70BCC" w:rsidP="007D3A7D">
      <w:pPr>
        <w:pStyle w:val="SingleTxt"/>
        <w:spacing w:after="120" w:line="300" w:lineRule="exact"/>
        <w:ind w:left="2557" w:hanging="431"/>
        <w:rPr>
          <w:rFonts w:hint="eastAsia"/>
        </w:rPr>
      </w:pPr>
      <w:r>
        <w:rPr>
          <w:rFonts w:hint="eastAsia"/>
        </w:rPr>
        <w:sym w:font="Symbol" w:char="F0B7"/>
      </w:r>
      <w:r>
        <w:tab/>
      </w:r>
      <w:r w:rsidR="00EF3339">
        <w:rPr>
          <w:rFonts w:hint="eastAsia"/>
        </w:rPr>
        <w:t>举行两轮考试：第一轮考试失败的人可以在第二轮重考；</w:t>
      </w:r>
    </w:p>
    <w:p w:rsidR="00EF3339" w:rsidRDefault="00C70BCC" w:rsidP="007D3A7D">
      <w:pPr>
        <w:pStyle w:val="SingleTxt"/>
        <w:spacing w:after="120" w:line="300" w:lineRule="exact"/>
        <w:ind w:left="2557" w:hanging="431"/>
        <w:rPr>
          <w:rFonts w:hint="eastAsia"/>
        </w:rPr>
      </w:pPr>
      <w:r>
        <w:rPr>
          <w:rFonts w:hint="eastAsia"/>
        </w:rPr>
        <w:sym w:font="Symbol" w:char="F0B7"/>
      </w:r>
      <w:r>
        <w:tab/>
      </w:r>
      <w:r w:rsidR="00EF3339" w:rsidRPr="007738FF">
        <w:rPr>
          <w:rFonts w:hint="eastAsia"/>
          <w:spacing w:val="-6"/>
        </w:rPr>
        <w:t>取得五年级辅助阶段证书的人可以继续学习，有资格参加公立小学的考试。</w:t>
      </w:r>
    </w:p>
    <w:p w:rsidR="00EF3339" w:rsidRDefault="00244FD0" w:rsidP="007D3A7D">
      <w:pPr>
        <w:pStyle w:val="SingleTxt"/>
        <w:spacing w:after="120" w:line="300" w:lineRule="exact"/>
        <w:ind w:left="1695"/>
        <w:rPr>
          <w:rFonts w:hint="eastAsia"/>
        </w:rPr>
      </w:pPr>
      <w:r>
        <w:rPr>
          <w:rFonts w:hint="eastAsia"/>
        </w:rPr>
        <w:t>三</w:t>
      </w:r>
      <w:r w:rsidR="00EF3339">
        <w:rPr>
          <w:rFonts w:hint="eastAsia"/>
        </w:rPr>
        <w:t>.</w:t>
      </w:r>
      <w:r w:rsidR="00EF3339">
        <w:rPr>
          <w:rFonts w:hint="eastAsia"/>
        </w:rPr>
        <w:tab/>
        <w:t>全国各地开设了5 548所成人教育和扫盲中心，由366名主任督导。2012-2013学年学生总数494 473人，其中275 361名是妇女。</w:t>
      </w:r>
    </w:p>
    <w:p w:rsidR="00EF3339" w:rsidRDefault="00C70BCC" w:rsidP="007D3A7D">
      <w:pPr>
        <w:pStyle w:val="SingleTxt"/>
        <w:spacing w:after="120" w:line="300" w:lineRule="exact"/>
        <w:ind w:left="1695"/>
        <w:rPr>
          <w:rFonts w:hint="eastAsia"/>
        </w:rPr>
      </w:pPr>
      <w:r>
        <w:rPr>
          <w:rFonts w:hint="eastAsia"/>
        </w:rPr>
        <w:tab/>
      </w:r>
      <w:r w:rsidR="00EF3339">
        <w:rPr>
          <w:rFonts w:hint="eastAsia"/>
        </w:rPr>
        <w:t>正准备在青少年感化和改造所开办六个教育和扫盲中心。该方案入学学生217人，其中14人是妇女。</w:t>
      </w:r>
    </w:p>
    <w:p w:rsidR="00EF3339" w:rsidRDefault="00244FD0" w:rsidP="007D3A7D">
      <w:pPr>
        <w:pStyle w:val="SingleTxt"/>
        <w:spacing w:after="120" w:line="300" w:lineRule="exact"/>
        <w:ind w:left="1695"/>
        <w:rPr>
          <w:rFonts w:hint="eastAsia"/>
        </w:rPr>
      </w:pPr>
      <w:r>
        <w:rPr>
          <w:rFonts w:hint="eastAsia"/>
        </w:rPr>
        <w:t>四</w:t>
      </w:r>
      <w:r w:rsidR="00EF3339">
        <w:rPr>
          <w:rFonts w:hint="eastAsia"/>
        </w:rPr>
        <w:t>.</w:t>
      </w:r>
      <w:r w:rsidR="00EF3339">
        <w:rPr>
          <w:rFonts w:hint="eastAsia"/>
        </w:rPr>
        <w:tab/>
        <w:t xml:space="preserve">在制订基础和辅助一级的成人教育和扫盲课程时，列入了一般文化课程，使学生能够获得读、写、算术和生活技能。课程中也包括人权内容，对男女学生一律开放。 </w:t>
      </w:r>
    </w:p>
    <w:p w:rsidR="00EF3339" w:rsidRDefault="00244FD0" w:rsidP="007D3A7D">
      <w:pPr>
        <w:pStyle w:val="SingleTxt"/>
        <w:spacing w:after="120" w:line="300" w:lineRule="exact"/>
        <w:ind w:left="1695"/>
        <w:rPr>
          <w:rFonts w:hint="eastAsia"/>
        </w:rPr>
      </w:pPr>
      <w:r>
        <w:rPr>
          <w:rFonts w:hint="eastAsia"/>
        </w:rPr>
        <w:t>五</w:t>
      </w:r>
      <w:r w:rsidR="00EF3339">
        <w:rPr>
          <w:rFonts w:hint="eastAsia"/>
        </w:rPr>
        <w:t>.</w:t>
      </w:r>
      <w:r w:rsidR="00EF3339">
        <w:rPr>
          <w:rFonts w:hint="eastAsia"/>
        </w:rPr>
        <w:tab/>
        <w:t>不断举行培训，以提高成人教育和扫盲中心教师的能力。</w:t>
      </w:r>
    </w:p>
    <w:p w:rsidR="00EF3339" w:rsidRDefault="00C70BCC" w:rsidP="007D3A7D">
      <w:pPr>
        <w:pStyle w:val="SingleTxt"/>
        <w:spacing w:after="120" w:line="300" w:lineRule="exact"/>
        <w:rPr>
          <w:rFonts w:hint="eastAsia"/>
        </w:rPr>
      </w:pPr>
      <w:r>
        <w:rPr>
          <w:rFonts w:hint="eastAsia"/>
        </w:rPr>
        <w:tab/>
      </w:r>
      <w:r w:rsidR="00EF3339">
        <w:rPr>
          <w:rFonts w:hint="eastAsia"/>
        </w:rPr>
        <w:t>遏止辍学现象的重要措施：</w:t>
      </w:r>
    </w:p>
    <w:p w:rsidR="00EF3339" w:rsidRDefault="00C70BCC" w:rsidP="007D3A7D">
      <w:pPr>
        <w:pStyle w:val="SingleTxt"/>
        <w:spacing w:after="120" w:line="300" w:lineRule="exact"/>
        <w:ind w:left="2126" w:hanging="431"/>
        <w:rPr>
          <w:rFonts w:hint="eastAsia"/>
        </w:rPr>
      </w:pPr>
      <w:r>
        <w:rPr>
          <w:rFonts w:hint="eastAsia"/>
        </w:rPr>
        <w:sym w:font="Symbol" w:char="F0B7"/>
      </w:r>
      <w:r>
        <w:tab/>
      </w:r>
      <w:r w:rsidR="00EF3339">
        <w:rPr>
          <w:rFonts w:hint="eastAsia"/>
        </w:rPr>
        <w:t>教育部花了很大力气来遏止小学和中学的辍学现象。建立了一个平行教育体系，使得辍学率从2011-2012学年的2%下降到2012-2013学年的1.8%。</w:t>
      </w:r>
    </w:p>
    <w:p w:rsidR="00EF3339" w:rsidRDefault="00C70BCC" w:rsidP="007D3A7D">
      <w:pPr>
        <w:pStyle w:val="SingleTxt"/>
        <w:spacing w:after="120" w:line="300" w:lineRule="exact"/>
        <w:ind w:left="2126" w:hanging="431"/>
        <w:rPr>
          <w:rFonts w:hint="eastAsia"/>
        </w:rPr>
      </w:pPr>
      <w:r>
        <w:rPr>
          <w:rFonts w:hint="eastAsia"/>
        </w:rPr>
        <w:sym w:font="Symbol" w:char="F0B7"/>
      </w:r>
      <w:r>
        <w:tab/>
      </w:r>
      <w:r w:rsidR="00EF3339">
        <w:rPr>
          <w:rFonts w:hint="eastAsia"/>
        </w:rPr>
        <w:t xml:space="preserve">中等教育(中学和预科)的辍学率在2011-2012学年是2.5%，2012-2013学年下降到2.4%。 </w:t>
      </w:r>
    </w:p>
    <w:p w:rsidR="00EF3339" w:rsidRDefault="00C70BCC" w:rsidP="007D3A7D">
      <w:pPr>
        <w:pStyle w:val="SingleTxt"/>
        <w:spacing w:after="120" w:line="300" w:lineRule="exact"/>
        <w:rPr>
          <w:rFonts w:hint="eastAsia"/>
        </w:rPr>
      </w:pPr>
      <w:r>
        <w:rPr>
          <w:rFonts w:hint="eastAsia"/>
        </w:rPr>
        <w:tab/>
      </w:r>
      <w:r w:rsidR="00EF3339">
        <w:rPr>
          <w:rFonts w:hint="eastAsia"/>
        </w:rPr>
        <w:t>教育部训令全国各地办事处协助女孩到住所附近的学校入学。此外，内政部所属的保护建筑物和人员总局采取了加强学校安全措施，确保上学道路的安全，并使学校得到警察和巡逻队的保护。由于2006-2008期间的严重安全局势，女孩普遍面临困难和障碍；紧急情况结束后，这些困难和障碍已经排除，妇女的安全情况大有改善。女孩在各级学校的入学人数增加就足以说明这一点。教育部努力执行千年发展目标，提高入学率，从下表可以看出这方面的成绩：</w:t>
      </w:r>
    </w:p>
    <w:tbl>
      <w:tblPr>
        <w:tblW w:w="0" w:type="auto"/>
        <w:tblInd w:w="1260" w:type="dxa"/>
        <w:tblLayout w:type="fixed"/>
        <w:tblCellMar>
          <w:left w:w="0" w:type="dxa"/>
          <w:right w:w="0" w:type="dxa"/>
        </w:tblCellMar>
        <w:tblLook w:val="0000"/>
      </w:tblPr>
      <w:tblGrid>
        <w:gridCol w:w="2625"/>
        <w:gridCol w:w="1050"/>
        <w:gridCol w:w="840"/>
        <w:gridCol w:w="936"/>
        <w:gridCol w:w="945"/>
        <w:gridCol w:w="945"/>
      </w:tblGrid>
      <w:tr w:rsidR="00C70BCC" w:rsidRPr="00C70BCC" w:rsidTr="008F7460">
        <w:tblPrEx>
          <w:tblCellMar>
            <w:top w:w="0" w:type="dxa"/>
            <w:bottom w:w="0" w:type="dxa"/>
          </w:tblCellMar>
        </w:tblPrEx>
        <w:trPr>
          <w:tblHeader/>
        </w:trPr>
        <w:tc>
          <w:tcPr>
            <w:tcW w:w="2625" w:type="dxa"/>
            <w:tcBorders>
              <w:top w:val="single" w:sz="4" w:space="0" w:color="auto"/>
              <w:bottom w:val="single" w:sz="12" w:space="0" w:color="auto"/>
            </w:tcBorders>
            <w:shd w:val="clear" w:color="auto" w:fill="auto"/>
            <w:vAlign w:val="bottom"/>
          </w:tcPr>
          <w:p w:rsidR="00C70BCC" w:rsidRPr="00C70BCC" w:rsidRDefault="00BA22E5" w:rsidP="00C70BCC">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Pr>
                <w:rFonts w:ascii="KaiTi_GB2312" w:eastAsia="KaiTi_GB2312"/>
                <w:sz w:val="15"/>
              </w:rPr>
              <w:tab/>
            </w:r>
            <w:r w:rsidR="00C70BCC" w:rsidRPr="00C70BCC">
              <w:rPr>
                <w:rFonts w:ascii="KaiTi_GB2312" w:eastAsia="KaiTi_GB2312" w:hint="eastAsia"/>
                <w:sz w:val="15"/>
              </w:rPr>
              <w:t>年级</w:t>
            </w:r>
          </w:p>
        </w:tc>
        <w:tc>
          <w:tcPr>
            <w:tcW w:w="1050" w:type="dxa"/>
            <w:tcBorders>
              <w:top w:val="single" w:sz="4" w:space="0" w:color="auto"/>
              <w:bottom w:val="single" w:sz="12" w:space="0" w:color="auto"/>
            </w:tcBorders>
            <w:shd w:val="clear" w:color="auto" w:fill="auto"/>
            <w:vAlign w:val="bottom"/>
          </w:tcPr>
          <w:p w:rsidR="00C70BCC" w:rsidRPr="00C70BCC" w:rsidRDefault="00C70BCC" w:rsidP="00BA22E5">
            <w:pPr>
              <w:tabs>
                <w:tab w:val="left" w:pos="360"/>
                <w:tab w:val="left" w:pos="720"/>
                <w:tab w:val="left" w:pos="1080"/>
                <w:tab w:val="left" w:pos="1440"/>
              </w:tabs>
              <w:suppressAutoHyphens/>
              <w:spacing w:before="60" w:after="60" w:line="200" w:lineRule="exact"/>
              <w:ind w:right="57"/>
              <w:jc w:val="left"/>
              <w:rPr>
                <w:rFonts w:ascii="KaiTi_GB2312" w:eastAsia="KaiTi_GB2312" w:hint="eastAsia"/>
                <w:sz w:val="15"/>
              </w:rPr>
            </w:pPr>
            <w:r w:rsidRPr="00C70BCC">
              <w:rPr>
                <w:rFonts w:ascii="KaiTi_GB2312" w:eastAsia="KaiTi_GB2312" w:hint="eastAsia"/>
                <w:sz w:val="15"/>
              </w:rPr>
              <w:t>学年</w:t>
            </w:r>
          </w:p>
        </w:tc>
        <w:tc>
          <w:tcPr>
            <w:tcW w:w="840" w:type="dxa"/>
            <w:tcBorders>
              <w:top w:val="single" w:sz="4" w:space="0" w:color="auto"/>
              <w:bottom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C70BCC">
              <w:rPr>
                <w:rFonts w:ascii="KaiTi_GB2312" w:eastAsia="KaiTi_GB2312" w:hint="eastAsia"/>
                <w:sz w:val="15"/>
              </w:rPr>
              <w:t>入学百分比</w:t>
            </w:r>
          </w:p>
        </w:tc>
        <w:tc>
          <w:tcPr>
            <w:tcW w:w="936" w:type="dxa"/>
            <w:tcBorders>
              <w:top w:val="single" w:sz="4" w:space="0" w:color="auto"/>
              <w:bottom w:val="single" w:sz="12" w:space="0" w:color="auto"/>
            </w:tcBorders>
            <w:shd w:val="clear" w:color="auto" w:fill="auto"/>
            <w:vAlign w:val="bottom"/>
          </w:tcPr>
          <w:p w:rsidR="00C70BCC" w:rsidRPr="00C70BCC" w:rsidRDefault="008647F3" w:rsidP="00C70BC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C70BCC">
              <w:rPr>
                <w:rFonts w:ascii="KaiTi_GB2312" w:eastAsia="KaiTi_GB2312" w:hint="eastAsia"/>
                <w:sz w:val="15"/>
              </w:rPr>
              <w:t>女生</w:t>
            </w:r>
          </w:p>
        </w:tc>
        <w:tc>
          <w:tcPr>
            <w:tcW w:w="945" w:type="dxa"/>
            <w:tcBorders>
              <w:top w:val="single" w:sz="4" w:space="0" w:color="auto"/>
              <w:bottom w:val="single" w:sz="12" w:space="0" w:color="auto"/>
            </w:tcBorders>
            <w:shd w:val="clear" w:color="auto" w:fill="auto"/>
            <w:vAlign w:val="bottom"/>
          </w:tcPr>
          <w:p w:rsidR="00C70BCC" w:rsidRPr="00C70BCC" w:rsidRDefault="008647F3" w:rsidP="00C70BC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C70BCC">
              <w:rPr>
                <w:rFonts w:ascii="KaiTi_GB2312" w:eastAsia="KaiTi_GB2312" w:hint="eastAsia"/>
                <w:sz w:val="15"/>
              </w:rPr>
              <w:t>男生</w:t>
            </w:r>
          </w:p>
        </w:tc>
        <w:tc>
          <w:tcPr>
            <w:tcW w:w="945" w:type="dxa"/>
            <w:tcBorders>
              <w:top w:val="single" w:sz="4" w:space="0" w:color="auto"/>
              <w:bottom w:val="single" w:sz="12" w:space="0" w:color="auto"/>
            </w:tcBorders>
            <w:shd w:val="clear" w:color="auto" w:fill="auto"/>
            <w:vAlign w:val="bottom"/>
          </w:tcPr>
          <w:p w:rsidR="00C70BCC" w:rsidRPr="00C70BCC" w:rsidRDefault="008647F3" w:rsidP="00C70BC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C70BCC">
              <w:rPr>
                <w:rFonts w:ascii="KaiTi_GB2312" w:eastAsia="KaiTi_GB2312" w:hint="eastAsia"/>
                <w:sz w:val="15"/>
              </w:rPr>
              <w:t>共计</w:t>
            </w:r>
          </w:p>
        </w:tc>
      </w:tr>
      <w:tr w:rsidR="00C70BCC" w:rsidRPr="00C70BCC" w:rsidTr="008F7460">
        <w:tblPrEx>
          <w:tblCellMar>
            <w:top w:w="0" w:type="dxa"/>
            <w:bottom w:w="0" w:type="dxa"/>
          </w:tblCellMar>
        </w:tblPrEx>
        <w:trPr>
          <w:trHeight w:hRule="exact" w:val="115"/>
          <w:tblHeader/>
        </w:trPr>
        <w:tc>
          <w:tcPr>
            <w:tcW w:w="2625" w:type="dxa"/>
            <w:tcBorders>
              <w:top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after="60" w:line="280" w:lineRule="exact"/>
              <w:ind w:right="57"/>
              <w:rPr>
                <w:rFonts w:hint="eastAsia"/>
                <w:sz w:val="17"/>
              </w:rPr>
            </w:pPr>
          </w:p>
        </w:tc>
        <w:tc>
          <w:tcPr>
            <w:tcW w:w="1050" w:type="dxa"/>
            <w:tcBorders>
              <w:top w:val="single" w:sz="12" w:space="0" w:color="auto"/>
            </w:tcBorders>
            <w:shd w:val="clear" w:color="auto" w:fill="auto"/>
            <w:vAlign w:val="bottom"/>
          </w:tcPr>
          <w:p w:rsidR="00C70BCC" w:rsidRPr="00C70BCC" w:rsidRDefault="00C70BCC" w:rsidP="00BA22E5">
            <w:pPr>
              <w:tabs>
                <w:tab w:val="left" w:pos="360"/>
                <w:tab w:val="left" w:pos="720"/>
                <w:tab w:val="left" w:pos="1080"/>
                <w:tab w:val="left" w:pos="1440"/>
              </w:tabs>
              <w:suppressAutoHyphens/>
              <w:spacing w:after="60" w:line="280" w:lineRule="exact"/>
              <w:ind w:right="57"/>
              <w:jc w:val="left"/>
              <w:rPr>
                <w:rFonts w:hint="eastAsia"/>
                <w:sz w:val="17"/>
              </w:rPr>
            </w:pPr>
          </w:p>
        </w:tc>
        <w:tc>
          <w:tcPr>
            <w:tcW w:w="840" w:type="dxa"/>
            <w:tcBorders>
              <w:top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after="60" w:line="280" w:lineRule="exact"/>
              <w:ind w:right="57"/>
              <w:jc w:val="right"/>
              <w:rPr>
                <w:rFonts w:hint="eastAsia"/>
                <w:sz w:val="17"/>
              </w:rPr>
            </w:pPr>
          </w:p>
        </w:tc>
        <w:tc>
          <w:tcPr>
            <w:tcW w:w="936" w:type="dxa"/>
            <w:tcBorders>
              <w:top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after="60" w:line="280" w:lineRule="exact"/>
              <w:ind w:right="57"/>
              <w:jc w:val="right"/>
              <w:rPr>
                <w:rFonts w:hint="eastAsia"/>
                <w:sz w:val="17"/>
              </w:rPr>
            </w:pPr>
          </w:p>
        </w:tc>
        <w:tc>
          <w:tcPr>
            <w:tcW w:w="945" w:type="dxa"/>
            <w:tcBorders>
              <w:top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after="60" w:line="280" w:lineRule="exact"/>
              <w:ind w:right="57"/>
              <w:jc w:val="right"/>
              <w:rPr>
                <w:rFonts w:hint="eastAsia"/>
                <w:sz w:val="17"/>
              </w:rPr>
            </w:pPr>
          </w:p>
        </w:tc>
        <w:tc>
          <w:tcPr>
            <w:tcW w:w="945" w:type="dxa"/>
            <w:tcBorders>
              <w:top w:val="single" w:sz="12" w:space="0" w:color="auto"/>
            </w:tcBorders>
            <w:shd w:val="clear" w:color="auto" w:fill="auto"/>
            <w:vAlign w:val="bottom"/>
          </w:tcPr>
          <w:p w:rsidR="00C70BCC" w:rsidRPr="00C70BCC" w:rsidRDefault="00C70BCC" w:rsidP="00C70BCC">
            <w:pPr>
              <w:tabs>
                <w:tab w:val="left" w:pos="360"/>
                <w:tab w:val="left" w:pos="720"/>
                <w:tab w:val="left" w:pos="1080"/>
                <w:tab w:val="left" w:pos="1440"/>
              </w:tabs>
              <w:suppressAutoHyphens/>
              <w:spacing w:after="60" w:line="280" w:lineRule="exact"/>
              <w:ind w:right="57"/>
              <w:jc w:val="right"/>
              <w:rPr>
                <w:rFonts w:hint="eastAsia"/>
                <w:sz w:val="17"/>
              </w:rPr>
            </w:pP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rPr>
                <w:sz w:val="17"/>
              </w:rPr>
            </w:pPr>
            <w:r w:rsidRPr="00BA22E5">
              <w:rPr>
                <w:rFonts w:hint="eastAsia"/>
                <w:sz w:val="17"/>
              </w:rPr>
              <w:t>1.</w:t>
            </w:r>
            <w:r>
              <w:rPr>
                <w:sz w:val="17"/>
              </w:rPr>
              <w:tab/>
            </w:r>
            <w:r w:rsidRPr="00BA22E5">
              <w:rPr>
                <w:rFonts w:hint="eastAsia"/>
                <w:sz w:val="17"/>
              </w:rPr>
              <w:t>幼儿园，4-5岁</w:t>
            </w:r>
          </w:p>
        </w:tc>
        <w:tc>
          <w:tcPr>
            <w:tcW w:w="1050" w:type="dxa"/>
            <w:shd w:val="clear" w:color="auto" w:fill="auto"/>
            <w:vAlign w:val="bottom"/>
          </w:tcPr>
          <w:p w:rsidR="00C70BCC" w:rsidRPr="00C70BCC" w:rsidRDefault="00BA22E5"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10</w:t>
            </w:r>
          </w:p>
        </w:tc>
        <w:tc>
          <w:tcPr>
            <w:tcW w:w="936"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86 407</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89 428</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175 853</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rPr>
                <w:sz w:val="17"/>
              </w:rPr>
            </w:pPr>
            <w:r>
              <w:rPr>
                <w:sz w:val="17"/>
              </w:rPr>
              <w:tab/>
            </w:r>
            <w:r w:rsidRPr="00BA22E5">
              <w:rPr>
                <w:rFonts w:hint="eastAsia"/>
                <w:sz w:val="17"/>
              </w:rPr>
              <w:t>幼儿园，4-5岁</w:t>
            </w:r>
          </w:p>
        </w:tc>
        <w:tc>
          <w:tcPr>
            <w:tcW w:w="1050" w:type="dxa"/>
            <w:shd w:val="clear" w:color="auto" w:fill="auto"/>
            <w:vAlign w:val="bottom"/>
          </w:tcPr>
          <w:p w:rsidR="00C70BCC" w:rsidRPr="00C70BCC" w:rsidRDefault="00BA22E5"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12</w:t>
            </w:r>
          </w:p>
        </w:tc>
        <w:tc>
          <w:tcPr>
            <w:tcW w:w="936"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95 451</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97 907</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193 358</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rPr>
                <w:rFonts w:hint="eastAsia"/>
                <w:sz w:val="17"/>
              </w:rPr>
            </w:pPr>
            <w:r w:rsidRPr="00BA22E5">
              <w:rPr>
                <w:rFonts w:hint="eastAsia"/>
                <w:sz w:val="17"/>
              </w:rPr>
              <w:t>2.</w:t>
            </w:r>
            <w:r w:rsidRPr="00BA22E5">
              <w:rPr>
                <w:rFonts w:hint="eastAsia"/>
                <w:sz w:val="17"/>
              </w:rPr>
              <w:tab/>
              <w:t>小学，6-11岁</w:t>
            </w:r>
          </w:p>
        </w:tc>
        <w:tc>
          <w:tcPr>
            <w:tcW w:w="1050" w:type="dxa"/>
            <w:shd w:val="clear" w:color="auto" w:fill="auto"/>
            <w:vAlign w:val="bottom"/>
          </w:tcPr>
          <w:p w:rsidR="00C70BCC" w:rsidRPr="00C70BCC" w:rsidRDefault="00BA22E5"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93</w:t>
            </w:r>
          </w:p>
        </w:tc>
        <w:tc>
          <w:tcPr>
            <w:tcW w:w="936"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2 100 861</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2 426 932</w:t>
            </w:r>
          </w:p>
        </w:tc>
        <w:tc>
          <w:tcPr>
            <w:tcW w:w="945" w:type="dxa"/>
            <w:shd w:val="clear" w:color="auto" w:fill="auto"/>
            <w:vAlign w:val="bottom"/>
          </w:tcPr>
          <w:p w:rsidR="00C70BCC" w:rsidRPr="00C70BCC" w:rsidRDefault="00BA22E5"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4 527 793</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rPr>
                <w:rFonts w:hint="eastAsia"/>
                <w:sz w:val="17"/>
              </w:rPr>
            </w:pPr>
            <w:r>
              <w:rPr>
                <w:sz w:val="17"/>
              </w:rPr>
              <w:tab/>
            </w:r>
            <w:r w:rsidRPr="00BA22E5">
              <w:rPr>
                <w:rFonts w:hint="eastAsia"/>
                <w:sz w:val="17"/>
              </w:rPr>
              <w:t>小学，6-11岁</w:t>
            </w:r>
          </w:p>
        </w:tc>
        <w:tc>
          <w:tcPr>
            <w:tcW w:w="1050" w:type="dxa"/>
            <w:shd w:val="clear" w:color="auto" w:fill="auto"/>
            <w:vAlign w:val="bottom"/>
          </w:tcPr>
          <w:p w:rsidR="00C70BCC" w:rsidRPr="00C70BCC" w:rsidRDefault="004E558C"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97</w:t>
            </w:r>
          </w:p>
        </w:tc>
        <w:tc>
          <w:tcPr>
            <w:tcW w:w="936"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2 171 401</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2 488 516</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4 659 917</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rPr>
                <w:rFonts w:hint="eastAsia"/>
                <w:sz w:val="17"/>
              </w:rPr>
            </w:pPr>
            <w:r w:rsidRPr="00BA22E5">
              <w:rPr>
                <w:rFonts w:hint="eastAsia"/>
                <w:sz w:val="17"/>
              </w:rPr>
              <w:t>3.</w:t>
            </w:r>
            <w:r w:rsidRPr="00BA22E5">
              <w:rPr>
                <w:rFonts w:hint="eastAsia"/>
                <w:sz w:val="17"/>
              </w:rPr>
              <w:tab/>
              <w:t>中学，12-14岁</w:t>
            </w:r>
          </w:p>
        </w:tc>
        <w:tc>
          <w:tcPr>
            <w:tcW w:w="1050" w:type="dxa"/>
            <w:shd w:val="clear" w:color="auto" w:fill="auto"/>
            <w:vAlign w:val="bottom"/>
          </w:tcPr>
          <w:p w:rsidR="00C70BCC" w:rsidRPr="00C70BCC" w:rsidRDefault="004E558C"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40</w:t>
            </w:r>
          </w:p>
        </w:tc>
        <w:tc>
          <w:tcPr>
            <w:tcW w:w="936"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387 956</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463 645</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851 601</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rPr>
                <w:rFonts w:hint="eastAsia"/>
                <w:sz w:val="17"/>
              </w:rPr>
            </w:pPr>
            <w:r>
              <w:rPr>
                <w:sz w:val="17"/>
              </w:rPr>
              <w:tab/>
            </w:r>
            <w:r w:rsidRPr="00BA22E5">
              <w:rPr>
                <w:rFonts w:hint="eastAsia"/>
                <w:sz w:val="17"/>
              </w:rPr>
              <w:t>中学，12-14岁</w:t>
            </w:r>
          </w:p>
        </w:tc>
        <w:tc>
          <w:tcPr>
            <w:tcW w:w="1050" w:type="dxa"/>
            <w:shd w:val="clear" w:color="auto" w:fill="auto"/>
            <w:vAlign w:val="bottom"/>
          </w:tcPr>
          <w:p w:rsidR="00C70BCC" w:rsidRPr="00C70BCC" w:rsidRDefault="004E558C"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45</w:t>
            </w:r>
          </w:p>
        </w:tc>
        <w:tc>
          <w:tcPr>
            <w:tcW w:w="936"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433 085</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619 166</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952 251</w:t>
            </w:r>
          </w:p>
        </w:tc>
      </w:tr>
      <w:tr w:rsidR="00C70BCC" w:rsidRPr="00C70BCC" w:rsidTr="008F7460">
        <w:tblPrEx>
          <w:tblCellMar>
            <w:top w:w="0" w:type="dxa"/>
            <w:bottom w:w="0" w:type="dxa"/>
          </w:tblCellMar>
        </w:tblPrEx>
        <w:tc>
          <w:tcPr>
            <w:tcW w:w="262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rPr>
                <w:rFonts w:hint="eastAsia"/>
                <w:sz w:val="17"/>
              </w:rPr>
            </w:pPr>
            <w:r w:rsidRPr="00BA22E5">
              <w:rPr>
                <w:rFonts w:hint="eastAsia"/>
                <w:sz w:val="17"/>
              </w:rPr>
              <w:t>4.</w:t>
            </w:r>
            <w:r w:rsidRPr="00BA22E5">
              <w:rPr>
                <w:rFonts w:hint="eastAsia"/>
                <w:sz w:val="17"/>
              </w:rPr>
              <w:tab/>
              <w:t>预科，15-17岁</w:t>
            </w:r>
          </w:p>
        </w:tc>
        <w:tc>
          <w:tcPr>
            <w:tcW w:w="1050" w:type="dxa"/>
            <w:shd w:val="clear" w:color="auto" w:fill="auto"/>
            <w:vAlign w:val="bottom"/>
          </w:tcPr>
          <w:p w:rsidR="00C70BCC" w:rsidRPr="00C70BCC" w:rsidRDefault="004E558C"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22</w:t>
            </w:r>
          </w:p>
        </w:tc>
        <w:tc>
          <w:tcPr>
            <w:tcW w:w="936"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204 901</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207 835</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412 736</w:t>
            </w:r>
          </w:p>
        </w:tc>
      </w:tr>
      <w:tr w:rsidR="00C70BCC" w:rsidRPr="00C70BCC" w:rsidTr="004E558C">
        <w:tblPrEx>
          <w:tblCellMar>
            <w:top w:w="0" w:type="dxa"/>
            <w:bottom w:w="0" w:type="dxa"/>
          </w:tblCellMar>
        </w:tblPrEx>
        <w:tc>
          <w:tcPr>
            <w:tcW w:w="262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rPr>
                <w:rFonts w:hint="eastAsia"/>
                <w:sz w:val="17"/>
              </w:rPr>
            </w:pPr>
            <w:r>
              <w:rPr>
                <w:sz w:val="17"/>
              </w:rPr>
              <w:tab/>
            </w:r>
            <w:r w:rsidRPr="00BA22E5">
              <w:rPr>
                <w:rFonts w:hint="eastAsia"/>
                <w:sz w:val="17"/>
              </w:rPr>
              <w:t>预科，15-17岁</w:t>
            </w:r>
          </w:p>
        </w:tc>
        <w:tc>
          <w:tcPr>
            <w:tcW w:w="1050" w:type="dxa"/>
            <w:shd w:val="clear" w:color="auto" w:fill="auto"/>
            <w:vAlign w:val="bottom"/>
          </w:tcPr>
          <w:p w:rsidR="00C70BCC" w:rsidRPr="00C70BCC" w:rsidRDefault="004E558C" w:rsidP="00BA22E5">
            <w:pPr>
              <w:tabs>
                <w:tab w:val="left" w:pos="334"/>
                <w:tab w:val="left" w:pos="669"/>
                <w:tab w:val="left" w:pos="1003"/>
                <w:tab w:val="left" w:pos="1338"/>
              </w:tabs>
              <w:suppressAutoHyphens/>
              <w:spacing w:after="60" w:line="28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24</w:t>
            </w:r>
          </w:p>
        </w:tc>
        <w:tc>
          <w:tcPr>
            <w:tcW w:w="936"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229 280</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243 361</w:t>
            </w:r>
          </w:p>
        </w:tc>
        <w:tc>
          <w:tcPr>
            <w:tcW w:w="945" w:type="dxa"/>
            <w:shd w:val="clear" w:color="auto" w:fill="auto"/>
            <w:vAlign w:val="bottom"/>
          </w:tcPr>
          <w:p w:rsidR="00C70BCC" w:rsidRPr="00C70BCC" w:rsidRDefault="004E558C" w:rsidP="00C70BCC">
            <w:pPr>
              <w:tabs>
                <w:tab w:val="left" w:pos="334"/>
                <w:tab w:val="left" w:pos="669"/>
                <w:tab w:val="left" w:pos="1003"/>
                <w:tab w:val="left" w:pos="1338"/>
              </w:tabs>
              <w:suppressAutoHyphens/>
              <w:spacing w:after="60" w:line="280" w:lineRule="exact"/>
              <w:ind w:right="57"/>
              <w:jc w:val="right"/>
              <w:rPr>
                <w:rFonts w:hint="eastAsia"/>
                <w:sz w:val="17"/>
              </w:rPr>
            </w:pPr>
            <w:r w:rsidRPr="00BA22E5">
              <w:rPr>
                <w:rFonts w:hint="eastAsia"/>
                <w:sz w:val="17"/>
              </w:rPr>
              <w:t>472 641</w:t>
            </w:r>
          </w:p>
        </w:tc>
      </w:tr>
      <w:tr w:rsidR="004E558C" w:rsidRPr="00C70BCC" w:rsidTr="004E558C">
        <w:tblPrEx>
          <w:tblCellMar>
            <w:top w:w="0" w:type="dxa"/>
            <w:bottom w:w="0" w:type="dxa"/>
          </w:tblCellMar>
        </w:tblPrEx>
        <w:tc>
          <w:tcPr>
            <w:tcW w:w="262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rPr>
                <w:rFonts w:hint="eastAsia"/>
                <w:sz w:val="17"/>
              </w:rPr>
            </w:pPr>
            <w:r w:rsidRPr="00BA22E5">
              <w:rPr>
                <w:rFonts w:hint="eastAsia"/>
                <w:sz w:val="17"/>
              </w:rPr>
              <w:t>5.</w:t>
            </w:r>
            <w:r w:rsidRPr="00BA22E5">
              <w:rPr>
                <w:rFonts w:hint="eastAsia"/>
                <w:sz w:val="17"/>
              </w:rPr>
              <w:tab/>
              <w:t>职业教育，15-17岁</w:t>
            </w:r>
          </w:p>
        </w:tc>
        <w:tc>
          <w:tcPr>
            <w:tcW w:w="105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w:t>
            </w:r>
          </w:p>
        </w:tc>
        <w:tc>
          <w:tcPr>
            <w:tcW w:w="936"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6 089</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13 808</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19 897</w:t>
            </w:r>
          </w:p>
        </w:tc>
      </w:tr>
      <w:tr w:rsidR="004E558C" w:rsidRPr="00C70BCC" w:rsidTr="004E558C">
        <w:tblPrEx>
          <w:tblCellMar>
            <w:top w:w="0" w:type="dxa"/>
            <w:bottom w:w="0" w:type="dxa"/>
          </w:tblCellMar>
        </w:tblPrEx>
        <w:tc>
          <w:tcPr>
            <w:tcW w:w="262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rPr>
                <w:rFonts w:hint="eastAsia"/>
                <w:sz w:val="17"/>
              </w:rPr>
            </w:pPr>
            <w:r>
              <w:rPr>
                <w:sz w:val="17"/>
              </w:rPr>
              <w:tab/>
            </w:r>
            <w:r w:rsidRPr="00BA22E5">
              <w:rPr>
                <w:rFonts w:hint="eastAsia"/>
                <w:sz w:val="17"/>
              </w:rPr>
              <w:t>职业教育，15-17岁</w:t>
            </w:r>
          </w:p>
        </w:tc>
        <w:tc>
          <w:tcPr>
            <w:tcW w:w="105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5.1</w:t>
            </w:r>
          </w:p>
        </w:tc>
        <w:tc>
          <w:tcPr>
            <w:tcW w:w="936"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6 682</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15 116</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29 163</w:t>
            </w:r>
          </w:p>
        </w:tc>
      </w:tr>
      <w:tr w:rsidR="004E558C" w:rsidRPr="00C70BCC" w:rsidTr="004E558C">
        <w:tblPrEx>
          <w:tblCellMar>
            <w:top w:w="0" w:type="dxa"/>
            <w:bottom w:w="0" w:type="dxa"/>
          </w:tblCellMar>
        </w:tblPrEx>
        <w:tc>
          <w:tcPr>
            <w:tcW w:w="262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rPr>
                <w:rFonts w:hint="eastAsia"/>
                <w:sz w:val="17"/>
              </w:rPr>
            </w:pPr>
            <w:r w:rsidRPr="00BA22E5">
              <w:rPr>
                <w:rFonts w:hint="eastAsia"/>
                <w:sz w:val="17"/>
              </w:rPr>
              <w:t>6.</w:t>
            </w:r>
            <w:r w:rsidRPr="00BA22E5">
              <w:rPr>
                <w:rFonts w:hint="eastAsia"/>
                <w:sz w:val="17"/>
              </w:rPr>
              <w:tab/>
              <w:t>速成班，12-18岁</w:t>
            </w:r>
          </w:p>
        </w:tc>
        <w:tc>
          <w:tcPr>
            <w:tcW w:w="105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sz w:val="17"/>
              </w:rPr>
            </w:pPr>
            <w:r>
              <w:rPr>
                <w:sz w:val="17"/>
              </w:rPr>
              <w:t>—</w:t>
            </w:r>
          </w:p>
        </w:tc>
        <w:tc>
          <w:tcPr>
            <w:tcW w:w="936"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8 689</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43 727</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43 416</w:t>
            </w:r>
          </w:p>
        </w:tc>
      </w:tr>
      <w:tr w:rsidR="004E558C" w:rsidRPr="00C70BCC" w:rsidTr="004E558C">
        <w:tblPrEx>
          <w:tblCellMar>
            <w:top w:w="0" w:type="dxa"/>
            <w:bottom w:w="0" w:type="dxa"/>
          </w:tblCellMar>
        </w:tblPrEx>
        <w:tc>
          <w:tcPr>
            <w:tcW w:w="2625" w:type="dxa"/>
            <w:shd w:val="clear" w:color="auto" w:fill="auto"/>
            <w:vAlign w:val="bottom"/>
          </w:tcPr>
          <w:p w:rsidR="004E558C" w:rsidRPr="00BA22E5" w:rsidRDefault="0083070E" w:rsidP="007738FF">
            <w:pPr>
              <w:tabs>
                <w:tab w:val="left" w:pos="334"/>
                <w:tab w:val="left" w:pos="669"/>
                <w:tab w:val="left" w:pos="1003"/>
                <w:tab w:val="left" w:pos="1338"/>
              </w:tabs>
              <w:suppressAutoHyphens/>
              <w:spacing w:after="60" w:line="300" w:lineRule="exact"/>
              <w:ind w:right="57"/>
              <w:rPr>
                <w:rFonts w:hint="eastAsia"/>
                <w:sz w:val="17"/>
              </w:rPr>
            </w:pPr>
            <w:r>
              <w:rPr>
                <w:sz w:val="17"/>
              </w:rPr>
              <w:tab/>
            </w:r>
            <w:r w:rsidR="004E558C" w:rsidRPr="00BA22E5">
              <w:rPr>
                <w:rFonts w:hint="eastAsia"/>
                <w:sz w:val="17"/>
              </w:rPr>
              <w:t>速成班，12-18岁</w:t>
            </w:r>
            <w:r w:rsidR="004E558C" w:rsidRPr="00BA22E5">
              <w:rPr>
                <w:rFonts w:hint="eastAsia"/>
                <w:sz w:val="17"/>
              </w:rPr>
              <w:tab/>
            </w:r>
          </w:p>
        </w:tc>
        <w:tc>
          <w:tcPr>
            <w:tcW w:w="105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2012-2013</w:t>
            </w:r>
          </w:p>
        </w:tc>
        <w:tc>
          <w:tcPr>
            <w:tcW w:w="840" w:type="dxa"/>
            <w:shd w:val="clear" w:color="auto" w:fill="auto"/>
            <w:vAlign w:val="bottom"/>
          </w:tcPr>
          <w:p w:rsidR="004E558C" w:rsidRDefault="004E558C" w:rsidP="007738FF">
            <w:pPr>
              <w:tabs>
                <w:tab w:val="left" w:pos="334"/>
                <w:tab w:val="left" w:pos="669"/>
                <w:tab w:val="left" w:pos="1003"/>
                <w:tab w:val="left" w:pos="1338"/>
              </w:tabs>
              <w:suppressAutoHyphens/>
              <w:spacing w:after="60" w:line="300" w:lineRule="exact"/>
              <w:ind w:right="57"/>
              <w:jc w:val="right"/>
              <w:rPr>
                <w:sz w:val="17"/>
              </w:rPr>
            </w:pPr>
            <w:r>
              <w:rPr>
                <w:sz w:val="17"/>
              </w:rPr>
              <w:t>—</w:t>
            </w:r>
          </w:p>
        </w:tc>
        <w:tc>
          <w:tcPr>
            <w:tcW w:w="936"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7 480</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29 539</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37 019</w:t>
            </w:r>
          </w:p>
        </w:tc>
      </w:tr>
      <w:tr w:rsidR="004E558C" w:rsidRPr="00C70BCC" w:rsidTr="004E558C">
        <w:tblPrEx>
          <w:tblCellMar>
            <w:top w:w="0" w:type="dxa"/>
            <w:bottom w:w="0" w:type="dxa"/>
          </w:tblCellMar>
        </w:tblPrEx>
        <w:tc>
          <w:tcPr>
            <w:tcW w:w="262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rPr>
                <w:rFonts w:hint="eastAsia"/>
                <w:sz w:val="17"/>
              </w:rPr>
            </w:pPr>
            <w:r w:rsidRPr="00BA22E5">
              <w:rPr>
                <w:rFonts w:hint="eastAsia"/>
                <w:sz w:val="17"/>
              </w:rPr>
              <w:t>7.</w:t>
            </w:r>
            <w:r w:rsidRPr="00BA22E5">
              <w:rPr>
                <w:rFonts w:hint="eastAsia"/>
                <w:sz w:val="17"/>
              </w:rPr>
              <w:tab/>
              <w:t>青少年教育</w:t>
            </w:r>
          </w:p>
        </w:tc>
        <w:tc>
          <w:tcPr>
            <w:tcW w:w="1050"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2011-2012</w:t>
            </w:r>
          </w:p>
        </w:tc>
        <w:tc>
          <w:tcPr>
            <w:tcW w:w="840" w:type="dxa"/>
            <w:shd w:val="clear" w:color="auto" w:fill="auto"/>
            <w:vAlign w:val="bottom"/>
          </w:tcPr>
          <w:p w:rsidR="004E558C" w:rsidRDefault="004E558C" w:rsidP="007738FF">
            <w:pPr>
              <w:tabs>
                <w:tab w:val="left" w:pos="334"/>
                <w:tab w:val="left" w:pos="669"/>
                <w:tab w:val="left" w:pos="1003"/>
                <w:tab w:val="left" w:pos="1338"/>
              </w:tabs>
              <w:suppressAutoHyphens/>
              <w:spacing w:after="60" w:line="300" w:lineRule="exact"/>
              <w:ind w:right="57"/>
              <w:jc w:val="right"/>
              <w:rPr>
                <w:sz w:val="17"/>
              </w:rPr>
            </w:pPr>
            <w:r>
              <w:rPr>
                <w:sz w:val="17"/>
              </w:rPr>
              <w:t>—</w:t>
            </w:r>
          </w:p>
        </w:tc>
        <w:tc>
          <w:tcPr>
            <w:tcW w:w="936"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1 229</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8 294</w:t>
            </w:r>
          </w:p>
        </w:tc>
        <w:tc>
          <w:tcPr>
            <w:tcW w:w="945" w:type="dxa"/>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9 523</w:t>
            </w:r>
          </w:p>
        </w:tc>
      </w:tr>
      <w:tr w:rsidR="004E558C" w:rsidRPr="00C70BCC" w:rsidTr="008F7460">
        <w:tblPrEx>
          <w:tblCellMar>
            <w:top w:w="0" w:type="dxa"/>
            <w:bottom w:w="0" w:type="dxa"/>
          </w:tblCellMar>
        </w:tblPrEx>
        <w:tc>
          <w:tcPr>
            <w:tcW w:w="2625" w:type="dxa"/>
            <w:tcBorders>
              <w:bottom w:val="single" w:sz="12" w:space="0" w:color="auto"/>
            </w:tcBorders>
            <w:shd w:val="clear" w:color="auto" w:fill="auto"/>
            <w:vAlign w:val="bottom"/>
          </w:tcPr>
          <w:p w:rsidR="004E558C" w:rsidRPr="00BA22E5" w:rsidRDefault="0083070E" w:rsidP="007738FF">
            <w:pPr>
              <w:tabs>
                <w:tab w:val="left" w:pos="334"/>
                <w:tab w:val="left" w:pos="669"/>
                <w:tab w:val="left" w:pos="1003"/>
                <w:tab w:val="left" w:pos="1338"/>
              </w:tabs>
              <w:suppressAutoHyphens/>
              <w:spacing w:after="60" w:line="300" w:lineRule="exact"/>
              <w:ind w:right="57"/>
              <w:rPr>
                <w:rFonts w:hint="eastAsia"/>
                <w:sz w:val="17"/>
              </w:rPr>
            </w:pPr>
            <w:r>
              <w:rPr>
                <w:sz w:val="17"/>
              </w:rPr>
              <w:tab/>
            </w:r>
            <w:r w:rsidR="004E558C" w:rsidRPr="00BA22E5">
              <w:rPr>
                <w:rFonts w:hint="eastAsia"/>
                <w:sz w:val="17"/>
              </w:rPr>
              <w:t>青少年教育</w:t>
            </w:r>
          </w:p>
        </w:tc>
        <w:tc>
          <w:tcPr>
            <w:tcW w:w="1050" w:type="dxa"/>
            <w:tcBorders>
              <w:bottom w:val="single" w:sz="12" w:space="0" w:color="auto"/>
            </w:tcBorders>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left"/>
              <w:rPr>
                <w:rFonts w:hint="eastAsia"/>
                <w:sz w:val="17"/>
              </w:rPr>
            </w:pPr>
            <w:r w:rsidRPr="00BA22E5">
              <w:rPr>
                <w:rFonts w:hint="eastAsia"/>
                <w:sz w:val="17"/>
              </w:rPr>
              <w:t>2012-2013</w:t>
            </w:r>
          </w:p>
        </w:tc>
        <w:tc>
          <w:tcPr>
            <w:tcW w:w="840" w:type="dxa"/>
            <w:tcBorders>
              <w:bottom w:val="single" w:sz="12" w:space="0" w:color="auto"/>
            </w:tcBorders>
            <w:shd w:val="clear" w:color="auto" w:fill="auto"/>
            <w:vAlign w:val="bottom"/>
          </w:tcPr>
          <w:p w:rsidR="004E558C" w:rsidRDefault="004E558C" w:rsidP="007738FF">
            <w:pPr>
              <w:tabs>
                <w:tab w:val="left" w:pos="334"/>
                <w:tab w:val="left" w:pos="669"/>
                <w:tab w:val="left" w:pos="1003"/>
                <w:tab w:val="left" w:pos="1338"/>
              </w:tabs>
              <w:suppressAutoHyphens/>
              <w:spacing w:after="60" w:line="300" w:lineRule="exact"/>
              <w:ind w:right="57"/>
              <w:jc w:val="right"/>
              <w:rPr>
                <w:sz w:val="17"/>
              </w:rPr>
            </w:pPr>
            <w:r>
              <w:rPr>
                <w:sz w:val="17"/>
              </w:rPr>
              <w:t>—</w:t>
            </w:r>
          </w:p>
        </w:tc>
        <w:tc>
          <w:tcPr>
            <w:tcW w:w="936" w:type="dxa"/>
            <w:tcBorders>
              <w:bottom w:val="single" w:sz="12" w:space="0" w:color="auto"/>
            </w:tcBorders>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980</w:t>
            </w:r>
          </w:p>
        </w:tc>
        <w:tc>
          <w:tcPr>
            <w:tcW w:w="945" w:type="dxa"/>
            <w:tcBorders>
              <w:bottom w:val="single" w:sz="12" w:space="0" w:color="auto"/>
            </w:tcBorders>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744</w:t>
            </w:r>
          </w:p>
        </w:tc>
        <w:tc>
          <w:tcPr>
            <w:tcW w:w="945" w:type="dxa"/>
            <w:tcBorders>
              <w:bottom w:val="single" w:sz="12" w:space="0" w:color="auto"/>
            </w:tcBorders>
            <w:shd w:val="clear" w:color="auto" w:fill="auto"/>
            <w:vAlign w:val="bottom"/>
          </w:tcPr>
          <w:p w:rsidR="004E558C" w:rsidRPr="00BA22E5" w:rsidRDefault="004E558C" w:rsidP="007738FF">
            <w:pPr>
              <w:tabs>
                <w:tab w:val="left" w:pos="334"/>
                <w:tab w:val="left" w:pos="669"/>
                <w:tab w:val="left" w:pos="1003"/>
                <w:tab w:val="left" w:pos="1338"/>
              </w:tabs>
              <w:suppressAutoHyphens/>
              <w:spacing w:after="60" w:line="300" w:lineRule="exact"/>
              <w:ind w:right="57"/>
              <w:jc w:val="right"/>
              <w:rPr>
                <w:rFonts w:hint="eastAsia"/>
                <w:sz w:val="17"/>
              </w:rPr>
            </w:pPr>
            <w:r w:rsidRPr="00BA22E5">
              <w:rPr>
                <w:rFonts w:hint="eastAsia"/>
                <w:sz w:val="17"/>
              </w:rPr>
              <w:t>1 724</w:t>
            </w:r>
          </w:p>
        </w:tc>
      </w:tr>
    </w:tbl>
    <w:p w:rsidR="004E558C" w:rsidRPr="004E558C" w:rsidRDefault="004E558C" w:rsidP="004E558C">
      <w:pPr>
        <w:pStyle w:val="SingleTxt"/>
        <w:spacing w:after="0" w:line="120" w:lineRule="exact"/>
        <w:rPr>
          <w:rFonts w:hint="eastAsia"/>
          <w:sz w:val="10"/>
        </w:rPr>
      </w:pPr>
    </w:p>
    <w:p w:rsidR="004E558C" w:rsidRPr="004E558C" w:rsidRDefault="004E558C" w:rsidP="004E558C">
      <w:pPr>
        <w:pStyle w:val="SingleTxt"/>
        <w:spacing w:after="0" w:line="120" w:lineRule="exact"/>
        <w:rPr>
          <w:rFonts w:hint="eastAsia"/>
          <w:sz w:val="10"/>
        </w:rPr>
      </w:pPr>
    </w:p>
    <w:p w:rsidR="00EF3339" w:rsidRDefault="004E558C" w:rsidP="004E55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EF3339">
        <w:rPr>
          <w:rFonts w:hint="eastAsia"/>
        </w:rPr>
        <w:t>速成班</w:t>
      </w:r>
    </w:p>
    <w:p w:rsidR="004E558C" w:rsidRPr="004E558C" w:rsidRDefault="004E558C" w:rsidP="004E558C">
      <w:pPr>
        <w:pStyle w:val="SingleTxt"/>
        <w:spacing w:after="0" w:line="120" w:lineRule="exact"/>
        <w:rPr>
          <w:rFonts w:hint="eastAsia"/>
          <w:sz w:val="10"/>
        </w:rPr>
      </w:pPr>
    </w:p>
    <w:p w:rsidR="004E558C" w:rsidRPr="004E558C" w:rsidRDefault="004E558C" w:rsidP="004E558C">
      <w:pPr>
        <w:pStyle w:val="SingleTxt"/>
        <w:spacing w:after="0" w:line="120" w:lineRule="exact"/>
        <w:rPr>
          <w:rFonts w:hint="eastAsia"/>
          <w:sz w:val="10"/>
        </w:rPr>
      </w:pPr>
    </w:p>
    <w:p w:rsidR="00EF3339" w:rsidRDefault="004E558C" w:rsidP="00EF3339">
      <w:pPr>
        <w:pStyle w:val="SingleTxt"/>
        <w:rPr>
          <w:rFonts w:hint="eastAsia"/>
        </w:rPr>
      </w:pPr>
      <w:r>
        <w:tab/>
      </w:r>
      <w:r w:rsidR="00EF3339">
        <w:rPr>
          <w:rFonts w:hint="eastAsia"/>
        </w:rPr>
        <w:t>速成班是教育部为遏止辍学率而采取的办法，以帮助辍学者完成学业。这个方法已引起重视，由全国各省采用。根据教育部2012-2013学年的统计数字，男生的速成学校有272所，女生有134所，男女合校有58所。这些学校在城市地区有358所，在农村地区有106所。学校中有男教师1 737人，女教师1 162人。此外，教育部又决定用平行教育方式减少普通小学和中学的辍学率。辍学率因此有所下降，普通小学从2004-2005年的36%降到2012-2013年的1.8%，中学从2004-2005年的3.1%降到2012-2013年的2.4%。</w:t>
      </w:r>
    </w:p>
    <w:p w:rsidR="004E558C" w:rsidRPr="004E558C" w:rsidRDefault="004E558C" w:rsidP="004E558C">
      <w:pPr>
        <w:pStyle w:val="SingleTxt"/>
        <w:spacing w:after="0" w:line="120" w:lineRule="exact"/>
        <w:rPr>
          <w:rFonts w:hint="eastAsia"/>
          <w:sz w:val="10"/>
        </w:rPr>
      </w:pPr>
    </w:p>
    <w:p w:rsidR="00EF3339" w:rsidRDefault="004E558C" w:rsidP="004E55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EF3339">
        <w:rPr>
          <w:rFonts w:hint="eastAsia"/>
        </w:rPr>
        <w:t>就业</w:t>
      </w:r>
    </w:p>
    <w:p w:rsidR="004E558C" w:rsidRPr="004E558C" w:rsidRDefault="004E558C" w:rsidP="004E558C">
      <w:pPr>
        <w:pStyle w:val="SingleTxt"/>
        <w:spacing w:after="0" w:line="120" w:lineRule="exact"/>
        <w:rPr>
          <w:rFonts w:hint="eastAsia"/>
          <w:sz w:val="10"/>
        </w:rPr>
      </w:pPr>
    </w:p>
    <w:p w:rsidR="004E558C" w:rsidRPr="004E558C" w:rsidRDefault="004E558C" w:rsidP="004E558C">
      <w:pPr>
        <w:pStyle w:val="SingleTxt"/>
        <w:spacing w:after="0" w:line="120" w:lineRule="exact"/>
        <w:rPr>
          <w:rFonts w:hint="eastAsia"/>
          <w:sz w:val="10"/>
        </w:rPr>
      </w:pPr>
    </w:p>
    <w:p w:rsidR="00EF3339" w:rsidRDefault="00EF3339" w:rsidP="00EF3339">
      <w:pPr>
        <w:pStyle w:val="SingleTxt"/>
        <w:rPr>
          <w:rFonts w:hint="eastAsia"/>
        </w:rPr>
      </w:pPr>
      <w:r>
        <w:rPr>
          <w:rFonts w:hint="eastAsia"/>
        </w:rPr>
        <w:t>16.</w:t>
      </w:r>
      <w:r>
        <w:rPr>
          <w:rFonts w:hint="eastAsia"/>
        </w:rPr>
        <w:tab/>
        <w:t>劳动和社会事务部设法提高工作妇女的技能，为她们找到适合其资历的工作。下表载列妇女每年经由该部就业部门找到工作的人数：</w:t>
      </w:r>
    </w:p>
    <w:tbl>
      <w:tblPr>
        <w:tblW w:w="0" w:type="auto"/>
        <w:tblInd w:w="1260" w:type="dxa"/>
        <w:tblLayout w:type="fixed"/>
        <w:tblCellMar>
          <w:left w:w="0" w:type="dxa"/>
          <w:right w:w="0" w:type="dxa"/>
        </w:tblCellMar>
        <w:tblLook w:val="0000"/>
      </w:tblPr>
      <w:tblGrid>
        <w:gridCol w:w="3660"/>
        <w:gridCol w:w="1220"/>
        <w:gridCol w:w="1220"/>
        <w:gridCol w:w="1220"/>
      </w:tblGrid>
      <w:tr w:rsidR="007738FF" w:rsidRPr="007738FF" w:rsidTr="007738FF">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220" w:type="dxa"/>
            <w:tcBorders>
              <w:top w:val="single" w:sz="4" w:space="0" w:color="auto"/>
              <w:bottom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2011</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2012</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7738FF">
              <w:rPr>
                <w:rFonts w:ascii="KaiTi_GB2312" w:eastAsia="KaiTi_GB2312" w:hint="eastAsia"/>
                <w:sz w:val="15"/>
              </w:rPr>
              <w:t>2013</w:t>
            </w:r>
            <w:r>
              <w:rPr>
                <w:rFonts w:ascii="KaiTi_GB2312" w:eastAsia="KaiTi_GB2312" w:hint="eastAsia"/>
                <w:sz w:val="15"/>
              </w:rPr>
              <w:t>年</w:t>
            </w:r>
            <w:r>
              <w:rPr>
                <w:rFonts w:ascii="KaiTi_GB2312" w:eastAsia="KaiTi_GB2312"/>
                <w:sz w:val="15"/>
              </w:rPr>
              <w:br/>
            </w:r>
            <w:r w:rsidRPr="007738FF">
              <w:rPr>
                <w:rFonts w:ascii="KaiTi_GB2312" w:eastAsia="KaiTi_GB2312" w:hint="eastAsia"/>
                <w:sz w:val="15"/>
              </w:rPr>
              <w:t>(截至8月</w:t>
            </w:r>
            <w:r>
              <w:rPr>
                <w:rFonts w:ascii="KaiTi_GB2312" w:eastAsia="KaiTi_GB2312" w:hint="eastAsia"/>
                <w:sz w:val="15"/>
              </w:rPr>
              <w:t>31</w:t>
            </w:r>
            <w:r w:rsidRPr="007738FF">
              <w:rPr>
                <w:rFonts w:ascii="KaiTi_GB2312" w:eastAsia="KaiTi_GB2312" w:hint="eastAsia"/>
                <w:sz w:val="15"/>
              </w:rPr>
              <w:t>日)</w:t>
            </w:r>
          </w:p>
        </w:tc>
      </w:tr>
      <w:tr w:rsidR="007738FF" w:rsidRPr="007738FF" w:rsidTr="007738FF">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after="60" w:line="280" w:lineRule="exact"/>
              <w:ind w:right="57"/>
              <w:rPr>
                <w:sz w:val="17"/>
              </w:rPr>
            </w:pPr>
          </w:p>
        </w:tc>
        <w:tc>
          <w:tcPr>
            <w:tcW w:w="1220" w:type="dxa"/>
            <w:tcBorders>
              <w:top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7738FF">
            <w:pPr>
              <w:tabs>
                <w:tab w:val="left" w:pos="360"/>
                <w:tab w:val="left" w:pos="720"/>
                <w:tab w:val="left" w:pos="1080"/>
                <w:tab w:val="left" w:pos="1440"/>
              </w:tabs>
              <w:suppressAutoHyphens/>
              <w:spacing w:after="60" w:line="280" w:lineRule="exact"/>
              <w:ind w:right="57"/>
              <w:jc w:val="right"/>
              <w:rPr>
                <w:sz w:val="17"/>
              </w:rPr>
            </w:pPr>
          </w:p>
        </w:tc>
      </w:tr>
      <w:tr w:rsidR="007738FF" w:rsidRPr="007738FF" w:rsidTr="007738FF">
        <w:tblPrEx>
          <w:tblCellMar>
            <w:top w:w="0" w:type="dxa"/>
            <w:bottom w:w="0" w:type="dxa"/>
          </w:tblCellMar>
        </w:tblPrEx>
        <w:tc>
          <w:tcPr>
            <w:tcW w:w="3660" w:type="dxa"/>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57"/>
              <w:rPr>
                <w:sz w:val="17"/>
              </w:rPr>
            </w:pPr>
            <w:r w:rsidRPr="007738FF">
              <w:rPr>
                <w:rFonts w:hint="eastAsia"/>
                <w:sz w:val="17"/>
              </w:rPr>
              <w:t>数据库中的工作妇女人数</w:t>
            </w:r>
          </w:p>
        </w:tc>
        <w:tc>
          <w:tcPr>
            <w:tcW w:w="1220" w:type="dxa"/>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52 500</w:t>
            </w:r>
          </w:p>
        </w:tc>
        <w:tc>
          <w:tcPr>
            <w:tcW w:w="1220" w:type="dxa"/>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13 536</w:t>
            </w:r>
          </w:p>
        </w:tc>
        <w:tc>
          <w:tcPr>
            <w:tcW w:w="1220" w:type="dxa"/>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57"/>
              <w:jc w:val="right"/>
              <w:rPr>
                <w:sz w:val="17"/>
              </w:rPr>
            </w:pPr>
            <w:r w:rsidRPr="007738FF">
              <w:rPr>
                <w:rFonts w:hint="eastAsia"/>
                <w:sz w:val="17"/>
              </w:rPr>
              <w:t>29</w:t>
            </w:r>
          </w:p>
        </w:tc>
      </w:tr>
      <w:tr w:rsidR="007738FF" w:rsidRPr="007738FF" w:rsidTr="007738FF">
        <w:tblPrEx>
          <w:tblCellMar>
            <w:top w:w="0" w:type="dxa"/>
            <w:bottom w:w="0" w:type="dxa"/>
          </w:tblCellMar>
        </w:tblPrEx>
        <w:tc>
          <w:tcPr>
            <w:tcW w:w="3660" w:type="dxa"/>
            <w:tcBorders>
              <w:bottom w:val="single" w:sz="12" w:space="0" w:color="auto"/>
            </w:tcBorders>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57"/>
              <w:rPr>
                <w:sz w:val="17"/>
              </w:rPr>
            </w:pPr>
            <w:r w:rsidRPr="007738FF">
              <w:rPr>
                <w:rFonts w:hint="eastAsia"/>
                <w:sz w:val="17"/>
              </w:rPr>
              <w:t>经由就业部门找到工作的妇女人数</w:t>
            </w:r>
          </w:p>
        </w:tc>
        <w:tc>
          <w:tcPr>
            <w:tcW w:w="1220" w:type="dxa"/>
            <w:tcBorders>
              <w:bottom w:val="single" w:sz="12" w:space="0" w:color="auto"/>
            </w:tcBorders>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47</w:t>
            </w:r>
          </w:p>
        </w:tc>
        <w:tc>
          <w:tcPr>
            <w:tcW w:w="1220" w:type="dxa"/>
            <w:tcBorders>
              <w:bottom w:val="single" w:sz="12" w:space="0" w:color="auto"/>
            </w:tcBorders>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140</w:t>
            </w:r>
          </w:p>
        </w:tc>
        <w:tc>
          <w:tcPr>
            <w:tcW w:w="1220" w:type="dxa"/>
            <w:tcBorders>
              <w:bottom w:val="single" w:sz="12" w:space="0" w:color="auto"/>
            </w:tcBorders>
            <w:shd w:val="clear" w:color="auto" w:fill="auto"/>
            <w:vAlign w:val="bottom"/>
          </w:tcPr>
          <w:p w:rsidR="007738FF" w:rsidRPr="007738FF" w:rsidRDefault="007738FF" w:rsidP="007738FF">
            <w:pPr>
              <w:tabs>
                <w:tab w:val="left" w:pos="334"/>
                <w:tab w:val="left" w:pos="669"/>
                <w:tab w:val="left" w:pos="1003"/>
                <w:tab w:val="left" w:pos="1338"/>
              </w:tabs>
              <w:suppressAutoHyphens/>
              <w:spacing w:after="60" w:line="280" w:lineRule="exact"/>
              <w:ind w:right="57"/>
              <w:jc w:val="right"/>
              <w:rPr>
                <w:sz w:val="17"/>
              </w:rPr>
            </w:pPr>
            <w:r>
              <w:rPr>
                <w:sz w:val="17"/>
              </w:rPr>
              <w:t>—</w:t>
            </w:r>
          </w:p>
        </w:tc>
      </w:tr>
    </w:tbl>
    <w:p w:rsidR="007738FF" w:rsidRPr="007738FF" w:rsidRDefault="007738FF" w:rsidP="007738FF">
      <w:pPr>
        <w:pStyle w:val="SingleTxt"/>
        <w:spacing w:after="0" w:line="120" w:lineRule="exact"/>
        <w:rPr>
          <w:rFonts w:hint="eastAsia"/>
          <w:sz w:val="10"/>
        </w:rPr>
      </w:pPr>
    </w:p>
    <w:p w:rsidR="00EF3339" w:rsidRDefault="007738FF" w:rsidP="00EF3339">
      <w:pPr>
        <w:pStyle w:val="SingleTxt"/>
        <w:rPr>
          <w:rFonts w:hint="eastAsia"/>
        </w:rPr>
      </w:pPr>
      <w:r>
        <w:rPr>
          <w:rFonts w:hint="eastAsia"/>
        </w:rPr>
        <w:tab/>
      </w:r>
      <w:r w:rsidR="00EF3339">
        <w:rPr>
          <w:rFonts w:hint="eastAsia"/>
        </w:rPr>
        <w:t>此外，劳动和社会事务部为最近的毕业生开设培训课程，让她们取得符合其专业的工作经验如下：</w:t>
      </w:r>
    </w:p>
    <w:tbl>
      <w:tblPr>
        <w:tblW w:w="0" w:type="auto"/>
        <w:tblInd w:w="1260" w:type="dxa"/>
        <w:tblLayout w:type="fixed"/>
        <w:tblCellMar>
          <w:left w:w="0" w:type="dxa"/>
          <w:right w:w="0" w:type="dxa"/>
        </w:tblCellMar>
        <w:tblLook w:val="0000"/>
      </w:tblPr>
      <w:tblGrid>
        <w:gridCol w:w="3660"/>
        <w:gridCol w:w="1220"/>
        <w:gridCol w:w="1220"/>
        <w:gridCol w:w="1220"/>
      </w:tblGrid>
      <w:tr w:rsidR="007738FF" w:rsidRPr="007738FF" w:rsidTr="001C2F29">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2011</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2012</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7738FF">
              <w:rPr>
                <w:rFonts w:ascii="KaiTi_GB2312" w:eastAsia="KaiTi_GB2312" w:hint="eastAsia"/>
                <w:sz w:val="15"/>
              </w:rPr>
              <w:t>2013</w:t>
            </w:r>
            <w:r>
              <w:rPr>
                <w:rFonts w:ascii="KaiTi_GB2312" w:eastAsia="KaiTi_GB2312" w:hint="eastAsia"/>
                <w:sz w:val="15"/>
              </w:rPr>
              <w:t>年</w:t>
            </w:r>
            <w:r>
              <w:rPr>
                <w:rFonts w:ascii="KaiTi_GB2312" w:eastAsia="KaiTi_GB2312"/>
                <w:sz w:val="15"/>
              </w:rPr>
              <w:br/>
            </w:r>
            <w:r w:rsidRPr="007738FF">
              <w:rPr>
                <w:rFonts w:ascii="KaiTi_GB2312" w:eastAsia="KaiTi_GB2312" w:hint="eastAsia"/>
                <w:sz w:val="15"/>
              </w:rPr>
              <w:t>(截至8月</w:t>
            </w:r>
            <w:r>
              <w:rPr>
                <w:rFonts w:ascii="KaiTi_GB2312" w:eastAsia="KaiTi_GB2312" w:hint="eastAsia"/>
                <w:sz w:val="15"/>
              </w:rPr>
              <w:t>31</w:t>
            </w:r>
            <w:r w:rsidRPr="007738FF">
              <w:rPr>
                <w:rFonts w:ascii="KaiTi_GB2312" w:eastAsia="KaiTi_GB2312" w:hint="eastAsia"/>
                <w:sz w:val="15"/>
              </w:rPr>
              <w:t>日)</w:t>
            </w:r>
          </w:p>
        </w:tc>
      </w:tr>
      <w:tr w:rsidR="007738FF" w:rsidRPr="007738FF" w:rsidTr="001C2F29">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57"/>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57"/>
              <w:jc w:val="right"/>
              <w:rPr>
                <w:sz w:val="17"/>
              </w:rPr>
            </w:pPr>
          </w:p>
        </w:tc>
      </w:tr>
      <w:tr w:rsidR="007738FF" w:rsidRPr="007738FF" w:rsidTr="001C2F29">
        <w:tblPrEx>
          <w:tblCellMar>
            <w:top w:w="0" w:type="dxa"/>
            <w:bottom w:w="0" w:type="dxa"/>
          </w:tblCellMar>
        </w:tblPrEx>
        <w:tc>
          <w:tcPr>
            <w:tcW w:w="366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rPr>
                <w:sz w:val="17"/>
              </w:rPr>
            </w:pPr>
            <w:r w:rsidRPr="007738FF">
              <w:rPr>
                <w:rFonts w:hint="eastAsia"/>
                <w:sz w:val="17"/>
              </w:rPr>
              <w:t>从培训课程毕业的妇女人数</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6 370</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8 045</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jc w:val="right"/>
              <w:rPr>
                <w:sz w:val="17"/>
              </w:rPr>
            </w:pPr>
            <w:r w:rsidRPr="007738FF">
              <w:rPr>
                <w:rFonts w:hint="eastAsia"/>
                <w:sz w:val="17"/>
              </w:rPr>
              <w:t>7 069</w:t>
            </w:r>
          </w:p>
        </w:tc>
      </w:tr>
    </w:tbl>
    <w:p w:rsidR="007738FF" w:rsidRPr="007738FF" w:rsidRDefault="007738FF" w:rsidP="007738FF">
      <w:pPr>
        <w:pStyle w:val="SingleTxt"/>
        <w:spacing w:after="0" w:line="120" w:lineRule="exact"/>
        <w:rPr>
          <w:rFonts w:hint="eastAsia"/>
          <w:sz w:val="10"/>
        </w:rPr>
      </w:pPr>
    </w:p>
    <w:p w:rsidR="00EF3339" w:rsidRDefault="007738FF" w:rsidP="00EF3339">
      <w:pPr>
        <w:pStyle w:val="SingleTxt"/>
        <w:rPr>
          <w:rFonts w:hint="eastAsia"/>
        </w:rPr>
      </w:pPr>
      <w:r>
        <w:rPr>
          <w:rFonts w:hint="eastAsia"/>
        </w:rPr>
        <w:tab/>
      </w:r>
      <w:r w:rsidR="00EF3339">
        <w:rPr>
          <w:rFonts w:hint="eastAsia"/>
        </w:rPr>
        <w:t>劳动和社会事务部负责巡视私营部门的工作场所，确定场所的卫生和和安全条件，确保劳动法得到实施，纪录违规事件，追究失职雇主的责任。通过这些巡视获得了私营部门妇女工人的人数，并列入该部纪录如下：</w:t>
      </w:r>
    </w:p>
    <w:tbl>
      <w:tblPr>
        <w:tblW w:w="0" w:type="auto"/>
        <w:tblInd w:w="1260" w:type="dxa"/>
        <w:tblLayout w:type="fixed"/>
        <w:tblCellMar>
          <w:left w:w="0" w:type="dxa"/>
          <w:right w:w="0" w:type="dxa"/>
        </w:tblCellMar>
        <w:tblLook w:val="0000"/>
      </w:tblPr>
      <w:tblGrid>
        <w:gridCol w:w="3660"/>
        <w:gridCol w:w="1220"/>
        <w:gridCol w:w="1220"/>
        <w:gridCol w:w="1220"/>
      </w:tblGrid>
      <w:tr w:rsidR="007738FF" w:rsidRPr="007738FF" w:rsidTr="001C2F29">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2011</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113"/>
              <w:jc w:val="right"/>
              <w:rPr>
                <w:rFonts w:ascii="KaiTi_GB2312" w:eastAsia="KaiTi_GB2312"/>
                <w:sz w:val="15"/>
              </w:rPr>
            </w:pPr>
            <w:r w:rsidRPr="007738FF">
              <w:rPr>
                <w:rFonts w:ascii="KaiTi_GB2312" w:eastAsia="KaiTi_GB2312" w:hint="eastAsia"/>
                <w:sz w:val="15"/>
              </w:rPr>
              <w:t>2012</w:t>
            </w:r>
            <w:r>
              <w:rPr>
                <w:rFonts w:ascii="KaiTi_GB2312" w:eastAsia="KaiTi_GB2312" w:hint="eastAsia"/>
                <w:sz w:val="15"/>
              </w:rPr>
              <w:t>年</w:t>
            </w:r>
          </w:p>
        </w:tc>
        <w:tc>
          <w:tcPr>
            <w:tcW w:w="1220" w:type="dxa"/>
            <w:tcBorders>
              <w:top w:val="single" w:sz="4" w:space="0" w:color="auto"/>
              <w:bottom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7738FF">
              <w:rPr>
                <w:rFonts w:ascii="KaiTi_GB2312" w:eastAsia="KaiTi_GB2312" w:hint="eastAsia"/>
                <w:sz w:val="15"/>
              </w:rPr>
              <w:t>2013</w:t>
            </w:r>
            <w:r>
              <w:rPr>
                <w:rFonts w:ascii="KaiTi_GB2312" w:eastAsia="KaiTi_GB2312" w:hint="eastAsia"/>
                <w:sz w:val="15"/>
              </w:rPr>
              <w:t>年</w:t>
            </w:r>
            <w:r>
              <w:rPr>
                <w:rFonts w:ascii="KaiTi_GB2312" w:eastAsia="KaiTi_GB2312"/>
                <w:sz w:val="15"/>
              </w:rPr>
              <w:br/>
            </w:r>
            <w:r w:rsidRPr="007738FF">
              <w:rPr>
                <w:rFonts w:ascii="KaiTi_GB2312" w:eastAsia="KaiTi_GB2312" w:hint="eastAsia"/>
                <w:sz w:val="15"/>
              </w:rPr>
              <w:t>(截至8月</w:t>
            </w:r>
            <w:r>
              <w:rPr>
                <w:rFonts w:ascii="KaiTi_GB2312" w:eastAsia="KaiTi_GB2312" w:hint="eastAsia"/>
                <w:sz w:val="15"/>
              </w:rPr>
              <w:t>31</w:t>
            </w:r>
            <w:r w:rsidRPr="007738FF">
              <w:rPr>
                <w:rFonts w:ascii="KaiTi_GB2312" w:eastAsia="KaiTi_GB2312" w:hint="eastAsia"/>
                <w:sz w:val="15"/>
              </w:rPr>
              <w:t>日)</w:t>
            </w:r>
          </w:p>
        </w:tc>
      </w:tr>
      <w:tr w:rsidR="007738FF" w:rsidRPr="007738FF" w:rsidTr="001C2F29">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57"/>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113"/>
              <w:jc w:val="right"/>
              <w:rPr>
                <w:sz w:val="17"/>
              </w:rPr>
            </w:pPr>
          </w:p>
        </w:tc>
        <w:tc>
          <w:tcPr>
            <w:tcW w:w="1220" w:type="dxa"/>
            <w:tcBorders>
              <w:top w:val="single" w:sz="12" w:space="0" w:color="auto"/>
            </w:tcBorders>
            <w:shd w:val="clear" w:color="auto" w:fill="auto"/>
            <w:vAlign w:val="bottom"/>
          </w:tcPr>
          <w:p w:rsidR="007738FF" w:rsidRPr="007738FF" w:rsidRDefault="007738FF" w:rsidP="001C2F29">
            <w:pPr>
              <w:tabs>
                <w:tab w:val="left" w:pos="360"/>
                <w:tab w:val="left" w:pos="720"/>
                <w:tab w:val="left" w:pos="1080"/>
                <w:tab w:val="left" w:pos="1440"/>
              </w:tabs>
              <w:suppressAutoHyphens/>
              <w:spacing w:after="60" w:line="280" w:lineRule="exact"/>
              <w:ind w:right="57"/>
              <w:jc w:val="right"/>
              <w:rPr>
                <w:sz w:val="17"/>
              </w:rPr>
            </w:pPr>
          </w:p>
        </w:tc>
      </w:tr>
      <w:tr w:rsidR="007738FF" w:rsidRPr="007738FF" w:rsidTr="001C2F29">
        <w:tblPrEx>
          <w:tblCellMar>
            <w:top w:w="0" w:type="dxa"/>
            <w:bottom w:w="0" w:type="dxa"/>
          </w:tblCellMar>
        </w:tblPrEx>
        <w:tc>
          <w:tcPr>
            <w:tcW w:w="3660" w:type="dxa"/>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rPr>
                <w:sz w:val="17"/>
              </w:rPr>
            </w:pPr>
            <w:r w:rsidRPr="007738FF">
              <w:rPr>
                <w:rFonts w:hint="eastAsia"/>
                <w:sz w:val="17"/>
              </w:rPr>
              <w:t>在私营部门就业的妇女人数</w:t>
            </w:r>
          </w:p>
        </w:tc>
        <w:tc>
          <w:tcPr>
            <w:tcW w:w="1220" w:type="dxa"/>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10 614</w:t>
            </w:r>
          </w:p>
        </w:tc>
        <w:tc>
          <w:tcPr>
            <w:tcW w:w="1220" w:type="dxa"/>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12 996</w:t>
            </w:r>
          </w:p>
        </w:tc>
        <w:tc>
          <w:tcPr>
            <w:tcW w:w="1220" w:type="dxa"/>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jc w:val="right"/>
              <w:rPr>
                <w:sz w:val="17"/>
              </w:rPr>
            </w:pPr>
            <w:r w:rsidRPr="007738FF">
              <w:rPr>
                <w:rFonts w:hint="eastAsia"/>
                <w:sz w:val="17"/>
              </w:rPr>
              <w:t>4 206</w:t>
            </w:r>
          </w:p>
        </w:tc>
      </w:tr>
      <w:tr w:rsidR="007738FF" w:rsidRPr="007738FF" w:rsidTr="001C2F29">
        <w:tblPrEx>
          <w:tblCellMar>
            <w:top w:w="0" w:type="dxa"/>
            <w:bottom w:w="0" w:type="dxa"/>
          </w:tblCellMar>
        </w:tblPrEx>
        <w:tc>
          <w:tcPr>
            <w:tcW w:w="366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rPr>
                <w:sz w:val="17"/>
              </w:rPr>
            </w:pPr>
            <w:r w:rsidRPr="007738FF">
              <w:rPr>
                <w:rFonts w:hint="eastAsia"/>
                <w:sz w:val="17"/>
              </w:rPr>
              <w:t>在劳动部数据库登记的无业妇女人数</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55 443</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113"/>
              <w:jc w:val="right"/>
              <w:rPr>
                <w:sz w:val="17"/>
              </w:rPr>
            </w:pPr>
            <w:r w:rsidRPr="007738FF">
              <w:rPr>
                <w:rFonts w:hint="eastAsia"/>
                <w:sz w:val="17"/>
              </w:rPr>
              <w:t>17 233</w:t>
            </w:r>
          </w:p>
        </w:tc>
        <w:tc>
          <w:tcPr>
            <w:tcW w:w="1220" w:type="dxa"/>
            <w:tcBorders>
              <w:bottom w:val="single" w:sz="12" w:space="0" w:color="auto"/>
            </w:tcBorders>
            <w:shd w:val="clear" w:color="auto" w:fill="auto"/>
            <w:vAlign w:val="bottom"/>
          </w:tcPr>
          <w:p w:rsidR="007738FF" w:rsidRPr="007738FF" w:rsidRDefault="007738FF" w:rsidP="001C2F29">
            <w:pPr>
              <w:tabs>
                <w:tab w:val="left" w:pos="334"/>
                <w:tab w:val="left" w:pos="669"/>
                <w:tab w:val="left" w:pos="1003"/>
                <w:tab w:val="left" w:pos="1338"/>
              </w:tabs>
              <w:suppressAutoHyphens/>
              <w:spacing w:after="60" w:line="280" w:lineRule="exact"/>
              <w:ind w:right="57"/>
              <w:jc w:val="right"/>
              <w:rPr>
                <w:sz w:val="17"/>
              </w:rPr>
            </w:pPr>
            <w:r w:rsidRPr="007738FF">
              <w:rPr>
                <w:rFonts w:hint="eastAsia"/>
                <w:sz w:val="17"/>
              </w:rPr>
              <w:t>10 293</w:t>
            </w:r>
          </w:p>
        </w:tc>
      </w:tr>
    </w:tbl>
    <w:p w:rsidR="007738FF" w:rsidRPr="007738FF" w:rsidRDefault="007738FF" w:rsidP="007738FF">
      <w:pPr>
        <w:pStyle w:val="SingleTxt"/>
        <w:spacing w:after="0" w:line="120" w:lineRule="exact"/>
        <w:rPr>
          <w:rFonts w:hint="eastAsia"/>
          <w:sz w:val="10"/>
        </w:rPr>
      </w:pPr>
    </w:p>
    <w:p w:rsidR="00EF3339" w:rsidRDefault="007738FF" w:rsidP="00EF3339">
      <w:pPr>
        <w:pStyle w:val="SingleTxt"/>
        <w:rPr>
          <w:rFonts w:hint="eastAsia"/>
        </w:rPr>
      </w:pPr>
      <w:r>
        <w:rPr>
          <w:rFonts w:hint="eastAsia"/>
        </w:rPr>
        <w:tab/>
      </w:r>
      <w:r w:rsidR="00EF3339">
        <w:rPr>
          <w:rFonts w:hint="eastAsia"/>
        </w:rPr>
        <w:t>工作妇女获得工人社会保险的有10 529人。</w:t>
      </w:r>
    </w:p>
    <w:p w:rsidR="00EF3339" w:rsidRDefault="007738FF" w:rsidP="00EF3339">
      <w:pPr>
        <w:pStyle w:val="SingleTxt"/>
        <w:rPr>
          <w:rFonts w:hint="eastAsia"/>
        </w:rPr>
      </w:pPr>
      <w:r>
        <w:rPr>
          <w:rFonts w:hint="eastAsia"/>
        </w:rPr>
        <w:tab/>
      </w:r>
      <w:r w:rsidR="00EF3339">
        <w:rPr>
          <w:rFonts w:hint="eastAsia"/>
        </w:rPr>
        <w:t>国家扶贫战略是与世界银行合作制定，其中包括一些旨在改善穷人生活的方案和活动。由于政府致力于减少贫穷率，包括针对就业和无业的妇女，伊拉克的贫穷率稍有下降，从2007年的22.9%降到2012年的18.9%。共有87项旨在扶贫的战略活动，举例如下：</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教育部与劳动和社会事务部之间的交流信息机制；</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各省指定就业办公室的一个股听取受雇劳工关于雇主违法的举报；</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就业办公室与私营部门合作提供工作机会；</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 xml:space="preserve">发起提高认识运动，鼓励穷人、包括妇女参加培训中心； </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由民间社会组织参加开办培训中心；</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建立不断监测系统，以评价妇女的培训和资格方案；</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建立与私营部门的合作框架，鼓励私营部门支持资格方案；</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实施特别方案，特别是在贫穷地区宣传入学就读文化，促进女孩接受公立学校教育；</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推动提高认识方案，使伊拉克农村妇女参加社会保护制度；</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建立有效的监测系统，贯彻执行社会保护法，以确保工作妇女的权利；</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支持国家就业高级委员会；</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进行视察，监测法律得到适当执行；</w:t>
      </w:r>
    </w:p>
    <w:p w:rsidR="00EF3339" w:rsidRDefault="007738FF" w:rsidP="007738FF">
      <w:pPr>
        <w:pStyle w:val="SingleTxt"/>
        <w:ind w:left="2126" w:hanging="431"/>
        <w:rPr>
          <w:rFonts w:hint="eastAsia"/>
        </w:rPr>
      </w:pPr>
      <w:r>
        <w:rPr>
          <w:rFonts w:hint="eastAsia"/>
        </w:rPr>
        <w:sym w:font="Symbol" w:char="F0B7"/>
      </w:r>
      <w:r>
        <w:tab/>
      </w:r>
      <w:r w:rsidR="00EF3339">
        <w:rPr>
          <w:rFonts w:hint="eastAsia"/>
        </w:rPr>
        <w:t>劳动和社会事务部的就业和贷款部门努力以男女平等方式提供软贷款服务，正在使巴格达和各省的业务标准化，向合格的男女公民提供小型创收项目的贷款。</w:t>
      </w:r>
    </w:p>
    <w:p w:rsidR="007738FF" w:rsidRPr="007738FF" w:rsidRDefault="007738FF" w:rsidP="007738FF">
      <w:pPr>
        <w:pStyle w:val="SingleTxt"/>
        <w:spacing w:after="0" w:line="120" w:lineRule="exact"/>
        <w:rPr>
          <w:rFonts w:hint="eastAsia"/>
          <w:sz w:val="10"/>
        </w:rPr>
      </w:pPr>
    </w:p>
    <w:p w:rsidR="00EF3339" w:rsidRDefault="007738FF" w:rsidP="007738F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卫生保健</w:t>
      </w:r>
    </w:p>
    <w:p w:rsidR="007738FF" w:rsidRPr="007738FF" w:rsidRDefault="007738FF" w:rsidP="007738FF">
      <w:pPr>
        <w:pStyle w:val="SingleTxt"/>
        <w:spacing w:after="0" w:line="120" w:lineRule="exact"/>
        <w:rPr>
          <w:rFonts w:hint="eastAsia"/>
          <w:sz w:val="10"/>
        </w:rPr>
      </w:pPr>
    </w:p>
    <w:p w:rsidR="007738FF" w:rsidRPr="007738FF" w:rsidRDefault="007738FF" w:rsidP="007738FF">
      <w:pPr>
        <w:pStyle w:val="SingleTxt"/>
        <w:spacing w:after="0" w:line="120" w:lineRule="exact"/>
        <w:rPr>
          <w:rFonts w:hint="eastAsia"/>
          <w:sz w:val="10"/>
        </w:rPr>
      </w:pPr>
    </w:p>
    <w:p w:rsidR="00EF3339" w:rsidRDefault="00EF3339" w:rsidP="00EF3339">
      <w:pPr>
        <w:pStyle w:val="SingleTxt"/>
        <w:rPr>
          <w:rFonts w:hint="eastAsia"/>
        </w:rPr>
      </w:pPr>
      <w:r>
        <w:rPr>
          <w:rFonts w:hint="eastAsia"/>
        </w:rPr>
        <w:t>17.</w:t>
      </w:r>
      <w:r>
        <w:rPr>
          <w:rFonts w:hint="eastAsia"/>
        </w:rPr>
        <w:tab/>
      </w:r>
      <w:r w:rsidRPr="007738FF">
        <w:rPr>
          <w:rFonts w:hint="eastAsia"/>
          <w:spacing w:val="2"/>
        </w:rPr>
        <w:t>伊拉克政府通过卫生部致力于支持和加强提供给妇女的初级、二级和三级卫生保健服务，按照初级卫生保健原则，尤其向妇女提供预防和治疗服务。此外，政府致力于向偏远地区推广此种服务，设立医院和保健中心，为生育年龄妇女提供生殖健康服务，并免费提供预防和治疗服务，增进所有年龄层妇女的健康。</w:t>
      </w:r>
      <w:r>
        <w:rPr>
          <w:rFonts w:hint="eastAsia"/>
        </w:rPr>
        <w:t xml:space="preserve"> </w:t>
      </w:r>
    </w:p>
    <w:p w:rsidR="00EF3339" w:rsidRDefault="007738FF" w:rsidP="00EF3339">
      <w:pPr>
        <w:pStyle w:val="SingleTxt"/>
        <w:rPr>
          <w:rFonts w:hint="eastAsia"/>
        </w:rPr>
      </w:pPr>
      <w:r>
        <w:rPr>
          <w:rFonts w:hint="eastAsia"/>
        </w:rPr>
        <w:tab/>
        <w:t>一</w:t>
      </w:r>
      <w:r w:rsidR="00EF3339">
        <w:rPr>
          <w:rFonts w:hint="eastAsia"/>
        </w:rPr>
        <w:t>.</w:t>
      </w:r>
      <w:r w:rsidR="00EF3339">
        <w:rPr>
          <w:rFonts w:hint="eastAsia"/>
        </w:rPr>
        <w:tab/>
        <w:t>截至2012年底提供生殖健康服务的保健机构：</w:t>
      </w:r>
    </w:p>
    <w:p w:rsidR="00EF3339" w:rsidRDefault="00EF3339" w:rsidP="007738FF">
      <w:pPr>
        <w:pStyle w:val="SingleTxt"/>
        <w:ind w:left="2126"/>
        <w:rPr>
          <w:rFonts w:hint="eastAsia"/>
        </w:rPr>
      </w:pPr>
      <w:r>
        <w:rPr>
          <w:rFonts w:hint="eastAsia"/>
        </w:rPr>
        <w:t>1.</w:t>
      </w:r>
      <w:r>
        <w:rPr>
          <w:rFonts w:hint="eastAsia"/>
        </w:rPr>
        <w:tab/>
        <w:t>初级保健中心：1 174个主要中心，1 364个分中心，239个家庭诊所，77个流动小组，以及26个培训中心。还有99个家庭医学中心，都为妇女和儿童免费提供服务。</w:t>
      </w:r>
    </w:p>
    <w:p w:rsidR="00EF3339" w:rsidRDefault="00EF3339" w:rsidP="007738FF">
      <w:pPr>
        <w:pStyle w:val="SingleTxt"/>
        <w:ind w:left="2126"/>
        <w:rPr>
          <w:rFonts w:hint="eastAsia"/>
        </w:rPr>
      </w:pPr>
      <w:r>
        <w:rPr>
          <w:rFonts w:hint="eastAsia"/>
        </w:rPr>
        <w:t>2.</w:t>
      </w:r>
      <w:r>
        <w:rPr>
          <w:rFonts w:hint="eastAsia"/>
        </w:rPr>
        <w:tab/>
        <w:t>全国有102所免疫缺陷病诊断中心。</w:t>
      </w:r>
    </w:p>
    <w:p w:rsidR="00EF3339" w:rsidRDefault="00EF3339" w:rsidP="007738FF">
      <w:pPr>
        <w:pStyle w:val="SingleTxt"/>
        <w:ind w:left="2126"/>
        <w:rPr>
          <w:rFonts w:hint="eastAsia"/>
        </w:rPr>
      </w:pPr>
      <w:r>
        <w:rPr>
          <w:rFonts w:hint="eastAsia"/>
        </w:rPr>
        <w:t>3.</w:t>
      </w:r>
      <w:r>
        <w:rPr>
          <w:rFonts w:hint="eastAsia"/>
        </w:rPr>
        <w:tab/>
        <w:t>在偏远地区的一些初级卫生保健中心设置了136间产房。</w:t>
      </w:r>
    </w:p>
    <w:p w:rsidR="00EF3339" w:rsidRDefault="00EF3339" w:rsidP="007738FF">
      <w:pPr>
        <w:pStyle w:val="SingleTxt"/>
        <w:ind w:left="2126"/>
        <w:rPr>
          <w:rFonts w:hint="eastAsia"/>
        </w:rPr>
      </w:pPr>
      <w:r>
        <w:rPr>
          <w:rFonts w:hint="eastAsia"/>
        </w:rPr>
        <w:t>4.</w:t>
      </w:r>
      <w:r>
        <w:rPr>
          <w:rFonts w:hint="eastAsia"/>
        </w:rPr>
        <w:tab/>
        <w:t>伊拉克有(公私立)医院335所。239所公立医院中，有152所是总医院，提供所有医疗服务，包括妇科、产科和儿科服务。专门医院包括16所儿科医院与15所产妇和儿童医院；此外。全国有13所产科和妇科医院。以下是一些值得注意的指数：</w:t>
      </w:r>
    </w:p>
    <w:p w:rsidR="00EF3339" w:rsidRDefault="007738FF" w:rsidP="007738FF">
      <w:pPr>
        <w:pStyle w:val="SingleTxt"/>
        <w:ind w:left="2126"/>
        <w:rPr>
          <w:rFonts w:hint="eastAsia"/>
        </w:rPr>
      </w:pPr>
      <w:r>
        <w:rPr>
          <w:rFonts w:hint="eastAsia"/>
        </w:rPr>
        <w:t>(</w:t>
      </w:r>
      <w:r w:rsidR="00EF3339">
        <w:rPr>
          <w:rFonts w:hint="eastAsia"/>
        </w:rPr>
        <w:t>a)</w:t>
      </w:r>
      <w:r w:rsidR="00EF3339">
        <w:rPr>
          <w:rFonts w:hint="eastAsia"/>
        </w:rPr>
        <w:tab/>
        <w:t>产科和妇科病床每一万人的平均分配率是1.4；</w:t>
      </w:r>
    </w:p>
    <w:p w:rsidR="00EF3339" w:rsidRDefault="007738FF" w:rsidP="007738FF">
      <w:pPr>
        <w:pStyle w:val="SingleTxt"/>
        <w:ind w:left="2126"/>
        <w:rPr>
          <w:rFonts w:hint="eastAsia"/>
        </w:rPr>
      </w:pPr>
      <w:r>
        <w:rPr>
          <w:rFonts w:hint="eastAsia"/>
        </w:rPr>
        <w:t>(</w:t>
      </w:r>
      <w:r w:rsidR="00EF3339">
        <w:rPr>
          <w:rFonts w:hint="eastAsia"/>
        </w:rPr>
        <w:t>b)</w:t>
      </w:r>
      <w:r w:rsidR="00EF3339">
        <w:rPr>
          <w:rFonts w:hint="eastAsia"/>
        </w:rPr>
        <w:tab/>
        <w:t>儿科病床每一万人的平均分配率是1.8；</w:t>
      </w:r>
    </w:p>
    <w:p w:rsidR="00EF3339" w:rsidRDefault="007738FF" w:rsidP="007738FF">
      <w:pPr>
        <w:pStyle w:val="SingleTxt"/>
        <w:ind w:left="2126"/>
        <w:rPr>
          <w:rFonts w:hint="eastAsia"/>
        </w:rPr>
      </w:pPr>
      <w:r>
        <w:rPr>
          <w:rFonts w:hint="eastAsia"/>
        </w:rPr>
        <w:t>(</w:t>
      </w:r>
      <w:r w:rsidR="00EF3339">
        <w:rPr>
          <w:rFonts w:hint="eastAsia"/>
        </w:rPr>
        <w:t>c)</w:t>
      </w:r>
      <w:r w:rsidR="00EF3339">
        <w:rPr>
          <w:rFonts w:hint="eastAsia"/>
        </w:rPr>
        <w:tab/>
        <w:t>早产婴儿保育箱有1 523个(每10张病床有2.5个)。</w:t>
      </w:r>
    </w:p>
    <w:p w:rsidR="00EF3339" w:rsidRDefault="007738FF" w:rsidP="007738FF">
      <w:pPr>
        <w:pStyle w:val="SingleTxt"/>
        <w:ind w:left="1695"/>
        <w:rPr>
          <w:rFonts w:hint="eastAsia"/>
        </w:rPr>
      </w:pPr>
      <w:r>
        <w:rPr>
          <w:rFonts w:hint="eastAsia"/>
        </w:rPr>
        <w:t>二</w:t>
      </w:r>
      <w:r w:rsidR="00EF3339">
        <w:rPr>
          <w:rFonts w:hint="eastAsia"/>
        </w:rPr>
        <w:t>.</w:t>
      </w:r>
      <w:r w:rsidR="00EF3339">
        <w:rPr>
          <w:rFonts w:hint="eastAsia"/>
        </w:rPr>
        <w:tab/>
        <w:t>制订关于妇幼保健和生殖健康的战略，设法降低孕产妇发病率和死亡率，使孕产妇死亡原因调查成为机构后续行动的一部分，实施安全检查和迅速诊断，以期减少死亡率，到2015年实现第五项千年发展目标，1990年的平均孕产妇死亡率为每10万活产中有117人。根据1999年关于孕产妇死亡率的调查，伊拉克全国平均孕产妇死亡率为每10万活产中有291人；根据2006-2007年伊拉克家庭健康调查，孕产妇死亡率降为每10万活产中有84人。根据卫生部统计数字，2012年的孕产妇死亡率为每10万活产中有25人。</w:t>
      </w:r>
    </w:p>
    <w:p w:rsidR="00EF3339" w:rsidRDefault="007738FF" w:rsidP="007738FF">
      <w:pPr>
        <w:pStyle w:val="SingleTxt"/>
        <w:ind w:left="1695"/>
        <w:rPr>
          <w:rFonts w:hint="eastAsia"/>
        </w:rPr>
      </w:pPr>
      <w:r>
        <w:rPr>
          <w:rFonts w:hint="eastAsia"/>
        </w:rPr>
        <w:t>三</w:t>
      </w:r>
      <w:r w:rsidR="00EF3339">
        <w:rPr>
          <w:rFonts w:hint="eastAsia"/>
        </w:rPr>
        <w:t>.</w:t>
      </w:r>
      <w:r w:rsidR="00EF3339">
        <w:rPr>
          <w:rFonts w:hint="eastAsia"/>
        </w:rPr>
        <w:tab/>
        <w:t>卫生保健机构的生殖健康服务：</w:t>
      </w:r>
    </w:p>
    <w:p w:rsidR="00EF3339" w:rsidRDefault="00EF3339" w:rsidP="007738FF">
      <w:pPr>
        <w:pStyle w:val="SingleTxt"/>
        <w:ind w:left="2126"/>
        <w:rPr>
          <w:rFonts w:hint="eastAsia"/>
        </w:rPr>
      </w:pPr>
      <w:r>
        <w:rPr>
          <w:rFonts w:hint="eastAsia"/>
        </w:rPr>
        <w:t>1.</w:t>
      </w:r>
      <w:r>
        <w:rPr>
          <w:rFonts w:hint="eastAsia"/>
        </w:rPr>
        <w:tab/>
        <w:t>订婚的情侣必须根据测试结果才能取得结婚证书；这些测试由初级保健部门提供，内容包括：</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血型和恒河猴因子 (决定血液相容性)；</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遗传性血液疾病，特别是地中海贫血病和镰状细胞贫血；</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性传播疾病；</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艾滋病毒/艾滋病；</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乙肝病毒和丙肝病毒；</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结核病(如果咳嗽超过三星期)；</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身体和精神残疾；</w:t>
      </w:r>
    </w:p>
    <w:p w:rsidR="00EF3339" w:rsidRDefault="00524C82" w:rsidP="00524C82">
      <w:pPr>
        <w:pStyle w:val="SingleTxt"/>
        <w:ind w:left="2988" w:hanging="431"/>
        <w:rPr>
          <w:rFonts w:hint="eastAsia"/>
        </w:rPr>
      </w:pPr>
      <w:r>
        <w:rPr>
          <w:rFonts w:hint="eastAsia"/>
        </w:rPr>
        <w:sym w:font="Symbol" w:char="F0B7"/>
      </w:r>
      <w:r>
        <w:tab/>
      </w:r>
      <w:r w:rsidR="00EF3339">
        <w:rPr>
          <w:rFonts w:hint="eastAsia"/>
        </w:rPr>
        <w:t>慢性和心理疾病。</w:t>
      </w:r>
    </w:p>
    <w:p w:rsidR="00EF3339" w:rsidRDefault="00EF3339" w:rsidP="00524C82">
      <w:pPr>
        <w:pStyle w:val="SingleTxt"/>
        <w:ind w:left="2126"/>
        <w:rPr>
          <w:rFonts w:hint="eastAsia"/>
        </w:rPr>
      </w:pPr>
      <w:r>
        <w:rPr>
          <w:rFonts w:hint="eastAsia"/>
        </w:rPr>
        <w:t>2.</w:t>
      </w:r>
      <w:r>
        <w:rPr>
          <w:rFonts w:hint="eastAsia"/>
        </w:rPr>
        <w:tab/>
        <w:t>孕妇保健： 在妇女首次出现怀孕迹象时提供这些服务，内容包括：测试、辨识风险因素、预防、贫血症治疗、接种破伤风类毒素疫苗以预防新生儿破伤风、提供关于健康营养的说明和教育、决定分娩所在地点和接生人员。</w:t>
      </w:r>
    </w:p>
    <w:p w:rsidR="00EF3339" w:rsidRDefault="00EF3339" w:rsidP="00524C82">
      <w:pPr>
        <w:pStyle w:val="SingleTxt"/>
        <w:ind w:left="2126"/>
        <w:rPr>
          <w:rFonts w:hint="eastAsia"/>
        </w:rPr>
      </w:pPr>
      <w:r>
        <w:rPr>
          <w:rFonts w:hint="eastAsia"/>
        </w:rPr>
        <w:t>3.</w:t>
      </w:r>
      <w:r>
        <w:rPr>
          <w:rFonts w:hint="eastAsia"/>
        </w:rPr>
        <w:tab/>
        <w:t>在一般医院和专门医院以及在偏远地区的一些初级卫生保健中心的产房为自然分娩提供助产士护理。医院在需要时可以提供紧急助产服务。</w:t>
      </w:r>
    </w:p>
    <w:p w:rsidR="00EF3339" w:rsidRDefault="00EF3339" w:rsidP="00524C82">
      <w:pPr>
        <w:pStyle w:val="SingleTxt"/>
        <w:ind w:left="2126"/>
        <w:rPr>
          <w:rFonts w:hint="eastAsia"/>
        </w:rPr>
      </w:pPr>
      <w:r>
        <w:rPr>
          <w:rFonts w:hint="eastAsia"/>
        </w:rPr>
        <w:t>4.</w:t>
      </w:r>
      <w:r>
        <w:rPr>
          <w:rFonts w:hint="eastAsia"/>
        </w:rPr>
        <w:tab/>
        <w:t>培训有执照的助产士实行家中分娩。助产士直接附属于居住地所在的初级卫生保健中心，其工作包括减少分娩时的错误做法，以维护母亲和婴儿的健康。</w:t>
      </w:r>
    </w:p>
    <w:p w:rsidR="00EF3339" w:rsidRDefault="00EF3339" w:rsidP="00524C82">
      <w:pPr>
        <w:pStyle w:val="SingleTxt"/>
        <w:ind w:left="2126"/>
        <w:rPr>
          <w:rFonts w:hint="eastAsia"/>
        </w:rPr>
      </w:pPr>
      <w:r>
        <w:rPr>
          <w:rFonts w:hint="eastAsia"/>
        </w:rPr>
        <w:t>5.</w:t>
      </w:r>
      <w:r>
        <w:rPr>
          <w:rFonts w:hint="eastAsia"/>
        </w:rPr>
        <w:tab/>
        <w:t>提供产后产妇护理，进行必要的医疗测试，供应有助于健康的药物，督促母乳喂养，以及提供计划生育咨询。</w:t>
      </w:r>
    </w:p>
    <w:p w:rsidR="00EF3339" w:rsidRDefault="00EF3339" w:rsidP="00524C82">
      <w:pPr>
        <w:pStyle w:val="SingleTxt"/>
        <w:ind w:left="2126"/>
        <w:rPr>
          <w:rFonts w:hint="eastAsia"/>
        </w:rPr>
      </w:pPr>
      <w:r>
        <w:rPr>
          <w:rFonts w:hint="eastAsia"/>
        </w:rPr>
        <w:t>6.</w:t>
      </w:r>
      <w:r>
        <w:rPr>
          <w:rFonts w:hint="eastAsia"/>
        </w:rPr>
        <w:tab/>
        <w:t>由伊拉克全国每一个保健部门的计划生育诊所提供计划生育服务，此外，医院的咨询诊所和一些公共诊所在正常工作时间之外提供服务。第四轮多指标类集调查的结果显示，使用现代计划生育方法的占33%，使用其他计划生育方法的占1%。</w:t>
      </w:r>
    </w:p>
    <w:p w:rsidR="00EF3339" w:rsidRDefault="00EF3339" w:rsidP="00524C82">
      <w:pPr>
        <w:pStyle w:val="SingleTxt"/>
        <w:ind w:left="2126"/>
        <w:rPr>
          <w:rFonts w:hint="eastAsia"/>
        </w:rPr>
      </w:pPr>
      <w:r>
        <w:rPr>
          <w:rFonts w:hint="eastAsia"/>
        </w:rPr>
        <w:t>7.</w:t>
      </w:r>
      <w:r>
        <w:rPr>
          <w:rFonts w:hint="eastAsia"/>
        </w:rPr>
        <w:tab/>
        <w:t>在一些卫生保健中心实施和推动对孕妇测试乙肝病毒的计划。</w:t>
      </w:r>
    </w:p>
    <w:p w:rsidR="00EF3339" w:rsidRDefault="00EF3339" w:rsidP="00524C82">
      <w:pPr>
        <w:pStyle w:val="SingleTxt"/>
        <w:ind w:left="2126"/>
        <w:rPr>
          <w:rFonts w:hint="eastAsia"/>
        </w:rPr>
      </w:pPr>
      <w:r>
        <w:rPr>
          <w:rFonts w:hint="eastAsia"/>
        </w:rPr>
        <w:t>8.</w:t>
      </w:r>
      <w:r>
        <w:rPr>
          <w:rFonts w:hint="eastAsia"/>
        </w:rPr>
        <w:tab/>
        <w:t>在每一个初级卫生保健部门的一个保健中心开展早期发现乳癌和子宫颈癌测试，将可疑病例送交咨询诊所，以完成诊断检测。</w:t>
      </w:r>
    </w:p>
    <w:p w:rsidR="00EF3339" w:rsidRDefault="00EF3339" w:rsidP="00524C82">
      <w:pPr>
        <w:pStyle w:val="SingleTxt"/>
        <w:ind w:left="2126"/>
        <w:rPr>
          <w:rFonts w:hint="eastAsia"/>
        </w:rPr>
      </w:pPr>
      <w:r>
        <w:rPr>
          <w:rFonts w:hint="eastAsia"/>
        </w:rPr>
        <w:t>9.</w:t>
      </w:r>
      <w:r>
        <w:rPr>
          <w:rFonts w:hint="eastAsia"/>
        </w:rPr>
        <w:tab/>
        <w:t>在南部各省(迈桑、济加尔和巴士拉)的沼泽地区，与人口基金合作执行方案，培训当地人民担任志愿保健工作人员，进行家访，向妇女介绍定期前往保健中心的重要性以及由专门人员协助分娩的重要性，并传播计划生育等信息。</w:t>
      </w:r>
    </w:p>
    <w:p w:rsidR="00EF3339" w:rsidRDefault="00EF3339" w:rsidP="00524C82">
      <w:pPr>
        <w:pStyle w:val="SingleTxt"/>
        <w:ind w:left="2126"/>
        <w:rPr>
          <w:rFonts w:hint="eastAsia"/>
        </w:rPr>
      </w:pPr>
      <w:r>
        <w:rPr>
          <w:rFonts w:hint="eastAsia"/>
        </w:rPr>
        <w:t>10.</w:t>
      </w:r>
      <w:r>
        <w:rPr>
          <w:rFonts w:hint="eastAsia"/>
        </w:rPr>
        <w:tab/>
        <w:t>推广家庭医护方案，这样的中心在2009年有8个，2010年37个，2012年99个。</w:t>
      </w:r>
    </w:p>
    <w:p w:rsidR="00EF3339" w:rsidRDefault="00EF3339" w:rsidP="00524C82">
      <w:pPr>
        <w:pStyle w:val="SingleTxt"/>
        <w:ind w:left="2126"/>
        <w:rPr>
          <w:rFonts w:hint="eastAsia"/>
        </w:rPr>
      </w:pPr>
      <w:r>
        <w:rPr>
          <w:rFonts w:hint="eastAsia"/>
        </w:rPr>
        <w:t>11.</w:t>
      </w:r>
      <w:r>
        <w:rPr>
          <w:rFonts w:hint="eastAsia"/>
        </w:rPr>
        <w:tab/>
        <w:t>自2010年以来，每年3月8日定为伊拉克妇女健康日，由卫生部各部门采取各种行动，向妇女提供保健服务，并评价成绩，以便拟订促进妇女健康的服务。</w:t>
      </w:r>
    </w:p>
    <w:p w:rsidR="00EF3339" w:rsidRDefault="00EF3339" w:rsidP="00524C82">
      <w:pPr>
        <w:pStyle w:val="SingleTxt"/>
        <w:ind w:left="2126"/>
        <w:rPr>
          <w:rFonts w:hint="eastAsia"/>
        </w:rPr>
      </w:pPr>
      <w:r>
        <w:rPr>
          <w:rFonts w:hint="eastAsia"/>
        </w:rPr>
        <w:t>12.</w:t>
      </w:r>
      <w:r>
        <w:rPr>
          <w:rFonts w:hint="eastAsia"/>
        </w:rPr>
        <w:tab/>
        <w:t>编制关于助产士和新生婴儿护理的工作手册和培训手册。</w:t>
      </w:r>
    </w:p>
    <w:p w:rsidR="00EF3339" w:rsidRDefault="00524C82" w:rsidP="00524C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防治乳癌的措施</w:t>
      </w:r>
    </w:p>
    <w:p w:rsidR="00524C82" w:rsidRPr="00524C82" w:rsidRDefault="00524C82" w:rsidP="00524C82">
      <w:pPr>
        <w:pStyle w:val="SingleTxt"/>
        <w:spacing w:after="0" w:line="120" w:lineRule="exact"/>
        <w:rPr>
          <w:rFonts w:hint="eastAsia"/>
          <w:sz w:val="10"/>
        </w:rPr>
      </w:pPr>
    </w:p>
    <w:p w:rsidR="00524C82" w:rsidRPr="00524C82" w:rsidRDefault="00524C82" w:rsidP="00524C82">
      <w:pPr>
        <w:pStyle w:val="SingleTxt"/>
        <w:spacing w:after="0" w:line="120" w:lineRule="exact"/>
        <w:rPr>
          <w:rFonts w:hint="eastAsia"/>
          <w:sz w:val="10"/>
        </w:rPr>
      </w:pPr>
    </w:p>
    <w:p w:rsidR="00EF3339" w:rsidRDefault="00EF3339" w:rsidP="00524C82">
      <w:pPr>
        <w:pStyle w:val="SingleTxt"/>
        <w:ind w:left="1695"/>
        <w:rPr>
          <w:rFonts w:hint="eastAsia"/>
        </w:rPr>
      </w:pPr>
      <w:r>
        <w:rPr>
          <w:rFonts w:hint="eastAsia"/>
        </w:rPr>
        <w:t>1.</w:t>
      </w:r>
      <w:r>
        <w:rPr>
          <w:rFonts w:hint="eastAsia"/>
        </w:rPr>
        <w:tab/>
        <w:t>卫生部成立了一个高级国家委员会，负责与其他部门合作拟订减少乳癌风险的必要计划。此外，每个省的卫生部都设立了监测委员会。</w:t>
      </w:r>
    </w:p>
    <w:p w:rsidR="00EF3339" w:rsidRDefault="00EF3339" w:rsidP="00524C82">
      <w:pPr>
        <w:pStyle w:val="SingleTxt"/>
        <w:ind w:left="1695"/>
        <w:rPr>
          <w:rFonts w:hint="eastAsia"/>
        </w:rPr>
      </w:pPr>
      <w:r>
        <w:rPr>
          <w:rFonts w:hint="eastAsia"/>
        </w:rPr>
        <w:t>2.</w:t>
      </w:r>
      <w:r>
        <w:rPr>
          <w:rFonts w:hint="eastAsia"/>
        </w:rPr>
        <w:tab/>
        <w:t>早期发现乳癌的方案自2000年来开始实施。早期发现乳癌的全国性运动已经实行了好几年，目前仍在进行。</w:t>
      </w:r>
    </w:p>
    <w:p w:rsidR="00EF3339" w:rsidRDefault="00EF3339" w:rsidP="00524C82">
      <w:pPr>
        <w:pStyle w:val="SingleTxt"/>
        <w:ind w:left="1695"/>
        <w:rPr>
          <w:rFonts w:hint="eastAsia"/>
        </w:rPr>
      </w:pPr>
      <w:r>
        <w:rPr>
          <w:rFonts w:hint="eastAsia"/>
        </w:rPr>
        <w:t>3.</w:t>
      </w:r>
      <w:r>
        <w:rPr>
          <w:rFonts w:hint="eastAsia"/>
        </w:rPr>
        <w:tab/>
        <w:t>在每一个省设立乳癌转诊和早期发现诊所如下：</w:t>
      </w:r>
    </w:p>
    <w:p w:rsidR="00EF3339" w:rsidRDefault="00524C82" w:rsidP="00524C82">
      <w:pPr>
        <w:pStyle w:val="SingleTxt"/>
        <w:ind w:left="2557" w:hanging="431"/>
        <w:rPr>
          <w:rFonts w:hint="eastAsia"/>
        </w:rPr>
      </w:pPr>
      <w:r>
        <w:rPr>
          <w:rFonts w:hint="eastAsia"/>
        </w:rPr>
        <w:sym w:font="Symbol" w:char="F0B7"/>
      </w:r>
      <w:r>
        <w:tab/>
      </w:r>
      <w:r w:rsidR="00EF3339">
        <w:rPr>
          <w:rFonts w:hint="eastAsia"/>
        </w:rPr>
        <w:t>巴格达10个乳癌早期发现诊所；</w:t>
      </w:r>
    </w:p>
    <w:p w:rsidR="00EF3339" w:rsidRDefault="00524C82" w:rsidP="00524C82">
      <w:pPr>
        <w:pStyle w:val="SingleTxt"/>
        <w:ind w:left="2557" w:hanging="431"/>
        <w:rPr>
          <w:rFonts w:hint="eastAsia"/>
        </w:rPr>
      </w:pPr>
      <w:r>
        <w:rPr>
          <w:rFonts w:hint="eastAsia"/>
        </w:rPr>
        <w:sym w:font="Symbol" w:char="F0B7"/>
      </w:r>
      <w:r>
        <w:tab/>
      </w:r>
      <w:r w:rsidR="00EF3339">
        <w:rPr>
          <w:rFonts w:hint="eastAsia"/>
        </w:rPr>
        <w:t>每一个省一个或两个乳癌早期发现中心；</w:t>
      </w:r>
    </w:p>
    <w:p w:rsidR="00EF3339" w:rsidRDefault="00524C82" w:rsidP="00524C82">
      <w:pPr>
        <w:pStyle w:val="SingleTxt"/>
        <w:ind w:left="2557" w:hanging="431"/>
        <w:rPr>
          <w:rFonts w:hint="eastAsia"/>
        </w:rPr>
      </w:pPr>
      <w:r>
        <w:rPr>
          <w:rFonts w:hint="eastAsia"/>
        </w:rPr>
        <w:sym w:font="Symbol" w:char="F0B7"/>
      </w:r>
      <w:r>
        <w:tab/>
      </w:r>
      <w:r w:rsidR="00EF3339">
        <w:rPr>
          <w:rFonts w:hint="eastAsia"/>
        </w:rPr>
        <w:t>在巴格达、巴士拉和摩苏尔设立三个转诊中心；</w:t>
      </w:r>
    </w:p>
    <w:p w:rsidR="00EF3339" w:rsidRDefault="00524C82" w:rsidP="00524C82">
      <w:pPr>
        <w:pStyle w:val="SingleTxt"/>
        <w:ind w:left="2557" w:hanging="431"/>
        <w:rPr>
          <w:rFonts w:hint="eastAsia"/>
        </w:rPr>
      </w:pPr>
      <w:r>
        <w:rPr>
          <w:rFonts w:hint="eastAsia"/>
        </w:rPr>
        <w:sym w:font="Symbol" w:char="F0B7"/>
      </w:r>
      <w:r>
        <w:tab/>
      </w:r>
      <w:r w:rsidR="00EF3339">
        <w:rPr>
          <w:rFonts w:hint="eastAsia"/>
        </w:rPr>
        <w:t>提供三个早期发现胸部肿瘤的流动诊所，使用声纳、乳房X光造影检查、放射学和组织测试实验室等现代设备，这些诊所还备有各种医疗专家，包括普通外科医生、实验室专家、放射科医生和声纳专家各一名，以及护士和其他保健人员。</w:t>
      </w:r>
    </w:p>
    <w:p w:rsidR="00EF3339" w:rsidRDefault="00EF3339" w:rsidP="00524C82">
      <w:pPr>
        <w:pStyle w:val="SingleTxt"/>
        <w:ind w:left="1695"/>
        <w:rPr>
          <w:rFonts w:hint="eastAsia"/>
        </w:rPr>
      </w:pPr>
      <w:r>
        <w:rPr>
          <w:rFonts w:hint="eastAsia"/>
        </w:rPr>
        <w:t>4.</w:t>
      </w:r>
      <w:r>
        <w:rPr>
          <w:rFonts w:hint="eastAsia"/>
        </w:rPr>
        <w:tab/>
        <w:t>卫生部癌症委员会每年收集转诊到公私立保健机构的新数据，予以发布和分发。2009年 的报告载列全伊拉克、包括库尔德斯坦地区的癌症病例。这些数据根据国际标准每隔两年半至三年发布，使用全球和区域肿瘤登记软件(CanReg4)，将全国病例登记在案。</w:t>
      </w:r>
    </w:p>
    <w:p w:rsidR="00EF3339" w:rsidRDefault="00EF3339" w:rsidP="00524C82">
      <w:pPr>
        <w:pStyle w:val="SingleTxt"/>
        <w:ind w:left="1695"/>
        <w:rPr>
          <w:rFonts w:hint="eastAsia"/>
        </w:rPr>
      </w:pPr>
      <w:r>
        <w:rPr>
          <w:rFonts w:hint="eastAsia"/>
        </w:rPr>
        <w:t>5.</w:t>
      </w:r>
      <w:r>
        <w:rPr>
          <w:rFonts w:hint="eastAsia"/>
        </w:rPr>
        <w:tab/>
        <w:t>在保健中心、清真寺和国家机构针对不同阶层的妇女开展教育运动，并与民间社会组织合作。此外，教导妇女如何自己检查胸部。这些活动使用现代教学方法，每月举行。</w:t>
      </w:r>
    </w:p>
    <w:p w:rsidR="00EF3339" w:rsidRDefault="00EF3339" w:rsidP="00524C82">
      <w:pPr>
        <w:pStyle w:val="SingleTxt"/>
        <w:ind w:left="1695"/>
        <w:rPr>
          <w:rFonts w:hint="eastAsia"/>
        </w:rPr>
      </w:pPr>
      <w:r>
        <w:rPr>
          <w:rFonts w:hint="eastAsia"/>
        </w:rPr>
        <w:t>6.</w:t>
      </w:r>
      <w:r>
        <w:rPr>
          <w:rFonts w:hint="eastAsia"/>
        </w:rPr>
        <w:tab/>
        <w:t>在国家机构和保健中心开展活动，让妇女检查是否有未发现的胸部肿瘤；这项活动与民间社会组织合作，由后者提供医学仪器和咨询。</w:t>
      </w:r>
    </w:p>
    <w:p w:rsidR="00EF3339" w:rsidRDefault="00EF3339" w:rsidP="00524C82">
      <w:pPr>
        <w:pStyle w:val="SingleTxt"/>
        <w:ind w:left="1695"/>
        <w:rPr>
          <w:rFonts w:hint="eastAsia"/>
        </w:rPr>
      </w:pPr>
      <w:r>
        <w:rPr>
          <w:rFonts w:hint="eastAsia"/>
        </w:rPr>
        <w:t>7.</w:t>
      </w:r>
      <w:r>
        <w:rPr>
          <w:rFonts w:hint="eastAsia"/>
        </w:rPr>
        <w:tab/>
        <w:t xml:space="preserve">按照症状，在医院和专科中心为乳癌病人免费治疗。全国各地都可以化疗，但放射疗法只在某些省才有。 </w:t>
      </w:r>
    </w:p>
    <w:p w:rsidR="00EF3339" w:rsidRDefault="00EF3339" w:rsidP="00524C82">
      <w:pPr>
        <w:pStyle w:val="SingleTxt"/>
        <w:ind w:left="1695"/>
        <w:rPr>
          <w:rFonts w:hint="eastAsia"/>
        </w:rPr>
      </w:pPr>
      <w:r>
        <w:rPr>
          <w:rFonts w:hint="eastAsia"/>
        </w:rPr>
        <w:t>8.</w:t>
      </w:r>
      <w:r>
        <w:rPr>
          <w:rFonts w:hint="eastAsia"/>
        </w:rPr>
        <w:tab/>
        <w:t>提高保健中心的保健人员的能力，以发现病例和疾病类型，将病人转诊于专科中心和诊所，从而提早发现胸部肿瘤，尤其是乳癌。</w:t>
      </w:r>
    </w:p>
    <w:p w:rsidR="00EF3339" w:rsidRDefault="00EF3339" w:rsidP="00524C82">
      <w:pPr>
        <w:pStyle w:val="SingleTxt"/>
        <w:ind w:left="1695"/>
        <w:rPr>
          <w:rFonts w:hint="eastAsia"/>
        </w:rPr>
      </w:pPr>
      <w:r>
        <w:rPr>
          <w:rFonts w:hint="eastAsia"/>
        </w:rPr>
        <w:t>9.</w:t>
      </w:r>
      <w:r>
        <w:rPr>
          <w:rFonts w:hint="eastAsia"/>
        </w:rPr>
        <w:tab/>
        <w:t>提供和分发关于诊断、评估和治疗不同乳癌在各个阶段的工作手册，并提供必要的医疗服务。应该指出，伊拉克制定了2013-2017年母亲、儿童和生殖健康战略，由部长会议于2013年6月4日核准。战略的内容按照世界卫生组织的标准，采取以性别和权利为基础的观点。</w:t>
      </w:r>
    </w:p>
    <w:p w:rsidR="00524C82" w:rsidRDefault="00524C82" w:rsidP="00EF3339">
      <w:pPr>
        <w:pStyle w:val="SingleTxt"/>
        <w:rPr>
          <w:rFonts w:hint="eastAsia"/>
        </w:rPr>
      </w:pPr>
    </w:p>
    <w:p w:rsidR="00EF3339" w:rsidRDefault="00524C82" w:rsidP="00524C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农村妇女</w:t>
      </w:r>
    </w:p>
    <w:p w:rsidR="00524C82" w:rsidRPr="00524C82" w:rsidRDefault="00524C82" w:rsidP="00524C82">
      <w:pPr>
        <w:pStyle w:val="SingleTxt"/>
        <w:spacing w:after="0" w:line="120" w:lineRule="exact"/>
        <w:rPr>
          <w:rFonts w:hint="eastAsia"/>
          <w:sz w:val="10"/>
        </w:rPr>
      </w:pPr>
    </w:p>
    <w:p w:rsidR="00524C82" w:rsidRPr="00524C82" w:rsidRDefault="00524C82" w:rsidP="00524C82">
      <w:pPr>
        <w:pStyle w:val="SingleTxt"/>
        <w:spacing w:after="0" w:line="120" w:lineRule="exact"/>
        <w:rPr>
          <w:rFonts w:hint="eastAsia"/>
          <w:sz w:val="10"/>
        </w:rPr>
      </w:pPr>
    </w:p>
    <w:p w:rsidR="00EF3339" w:rsidRDefault="00EF3339" w:rsidP="00524C82">
      <w:pPr>
        <w:pStyle w:val="SingleTxt"/>
        <w:spacing w:after="120" w:line="310" w:lineRule="exact"/>
        <w:rPr>
          <w:rFonts w:hint="eastAsia"/>
        </w:rPr>
      </w:pPr>
      <w:r>
        <w:rPr>
          <w:rFonts w:hint="eastAsia"/>
        </w:rPr>
        <w:t>18.</w:t>
      </w:r>
      <w:r>
        <w:rPr>
          <w:rFonts w:hint="eastAsia"/>
        </w:rPr>
        <w:tab/>
        <w:t>伊拉克关注农村妇女的地位，国家妇女事务部主持按照第481(2013年10月30日)号行政命令成立的提高农村妇女地位高级委员会。已经采取措施来拟订提高农村妇女地位的战略以及农村妇女发展手册和行动计划，并在各省成立小组委员会。请看以下统计数字：</w:t>
      </w:r>
    </w:p>
    <w:p w:rsidR="00EF3339" w:rsidRDefault="00524C82" w:rsidP="00524C82">
      <w:pPr>
        <w:pStyle w:val="SingleTxt"/>
        <w:spacing w:after="120" w:line="310" w:lineRule="exact"/>
        <w:ind w:left="2126" w:hanging="431"/>
        <w:rPr>
          <w:rFonts w:hint="eastAsia"/>
        </w:rPr>
      </w:pPr>
      <w:r>
        <w:rPr>
          <w:rFonts w:hint="eastAsia"/>
        </w:rPr>
        <w:sym w:font="Symbol" w:char="F0B7"/>
      </w:r>
      <w:r>
        <w:tab/>
      </w:r>
      <w:r w:rsidR="00EF3339">
        <w:rPr>
          <w:rFonts w:hint="eastAsia"/>
        </w:rPr>
        <w:t>第1阶段：在所有领域(法律、保健、农业、家事、扫盲和媒体)开办讲习班和培训课程，促进农村妇女生活的所有方面；</w:t>
      </w:r>
    </w:p>
    <w:p w:rsidR="00EF3339" w:rsidRDefault="00524C82" w:rsidP="00524C82">
      <w:pPr>
        <w:pStyle w:val="SingleTxt"/>
        <w:spacing w:after="120" w:line="310" w:lineRule="exact"/>
        <w:ind w:left="2126" w:hanging="431"/>
        <w:rPr>
          <w:rFonts w:hint="eastAsia"/>
        </w:rPr>
      </w:pPr>
      <w:r>
        <w:rPr>
          <w:rFonts w:hint="eastAsia"/>
        </w:rPr>
        <w:sym w:font="Symbol" w:char="F0B7"/>
      </w:r>
      <w:r>
        <w:tab/>
      </w:r>
      <w:r w:rsidR="00EF3339">
        <w:rPr>
          <w:rFonts w:hint="eastAsia"/>
        </w:rPr>
        <w:t xml:space="preserve">第2阶段：向离婚农村妇女或寡妇以及向有特别需要的女户主、妻子、母亲和妇女贷款5 000 000到25 000 000伊拉克第纳尔(等于4 000到20 000美元)。Sabbiat被选为第1阶段的试验地区，2013年5月28日首次到该地访问，参加提高农村妇女地位高级委员会的所有成员都积极投入工作。 </w:t>
      </w:r>
    </w:p>
    <w:p w:rsidR="00EF3339" w:rsidRDefault="00524C82" w:rsidP="00524C82">
      <w:pPr>
        <w:pStyle w:val="SingleTxt"/>
        <w:spacing w:after="120" w:line="310" w:lineRule="exact"/>
        <w:ind w:left="2126" w:hanging="431"/>
        <w:rPr>
          <w:rFonts w:hint="eastAsia"/>
        </w:rPr>
      </w:pPr>
      <w:r>
        <w:rPr>
          <w:rFonts w:hint="eastAsia"/>
        </w:rPr>
        <w:sym w:font="Symbol" w:char="F0B7"/>
      </w:r>
      <w:r>
        <w:tab/>
      </w:r>
      <w:r w:rsidR="00EF3339" w:rsidRPr="00524C82">
        <w:rPr>
          <w:rFonts w:hint="eastAsia"/>
          <w:spacing w:val="-6"/>
        </w:rPr>
        <w:t>成立了农村妇女发展基金，获得拨款1 300 000 000伊拉克第纳尔(1 800 000</w:t>
      </w:r>
      <w:r w:rsidR="00EF3339">
        <w:rPr>
          <w:rFonts w:hint="eastAsia"/>
        </w:rPr>
        <w:t>美元)。农业部门已经开始接受贷款申请。此外，根据关于将农业改革土地租给农业公司和个人的第35(1983，修正版)号法律，农村妇女只要符合条件，就(与男子一样)可以租用农地。</w:t>
      </w:r>
    </w:p>
    <w:p w:rsidR="00EF3339" w:rsidRDefault="00524C82" w:rsidP="00524C82">
      <w:pPr>
        <w:pStyle w:val="SingleTxt"/>
        <w:spacing w:after="120" w:line="310" w:lineRule="exact"/>
        <w:ind w:left="2126" w:hanging="431"/>
        <w:rPr>
          <w:rFonts w:hint="eastAsia"/>
        </w:rPr>
      </w:pPr>
      <w:r>
        <w:rPr>
          <w:rFonts w:hint="eastAsia"/>
        </w:rPr>
        <w:sym w:font="Symbol" w:char="F0B7"/>
      </w:r>
      <w:r>
        <w:tab/>
      </w:r>
      <w:r w:rsidR="00EF3339">
        <w:rPr>
          <w:rFonts w:hint="eastAsia"/>
        </w:rPr>
        <w:t>劳动和社会事务部在执行扶贫战略时，实施针对伊拉克农村妇女的特别方案，教育她们必须遵守社会保护法。</w:t>
      </w:r>
    </w:p>
    <w:p w:rsidR="00524C82" w:rsidRPr="00524C82" w:rsidRDefault="00524C82" w:rsidP="00524C82">
      <w:pPr>
        <w:pStyle w:val="SingleTxt"/>
        <w:spacing w:after="0" w:line="120" w:lineRule="exact"/>
        <w:rPr>
          <w:rFonts w:hint="eastAsia"/>
          <w:sz w:val="10"/>
        </w:rPr>
      </w:pPr>
    </w:p>
    <w:p w:rsidR="00EF3339" w:rsidRDefault="00524C82" w:rsidP="00524C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寡妇和离婚妇女</w:t>
      </w:r>
    </w:p>
    <w:p w:rsidR="00524C82" w:rsidRPr="00524C82" w:rsidRDefault="00524C82" w:rsidP="00524C82">
      <w:pPr>
        <w:pStyle w:val="SingleTxt"/>
        <w:spacing w:after="0" w:line="120" w:lineRule="exact"/>
        <w:rPr>
          <w:rFonts w:hint="eastAsia"/>
          <w:sz w:val="10"/>
        </w:rPr>
      </w:pPr>
    </w:p>
    <w:p w:rsidR="00524C82" w:rsidRPr="00524C82" w:rsidRDefault="00524C82" w:rsidP="00524C82">
      <w:pPr>
        <w:pStyle w:val="SingleTxt"/>
        <w:spacing w:after="0" w:line="120" w:lineRule="exact"/>
        <w:rPr>
          <w:rFonts w:hint="eastAsia"/>
          <w:sz w:val="10"/>
        </w:rPr>
      </w:pPr>
    </w:p>
    <w:p w:rsidR="00EF3339" w:rsidRDefault="00EF3339" w:rsidP="00524C82">
      <w:pPr>
        <w:pStyle w:val="SingleTxt"/>
        <w:spacing w:line="310" w:lineRule="exact"/>
        <w:rPr>
          <w:rFonts w:hint="eastAsia"/>
        </w:rPr>
      </w:pPr>
      <w:r>
        <w:rPr>
          <w:rFonts w:hint="eastAsia"/>
        </w:rPr>
        <w:t>19.</w:t>
      </w:r>
      <w:r>
        <w:rPr>
          <w:rFonts w:hint="eastAsia"/>
        </w:rPr>
        <w:tab/>
        <w:t>伊拉克的寡妇现在是伊拉克妇女在国家、国际和人道主义方面的头号问题之一。一旦成为寡妇，就代表着在社会和经济上都缺乏保障；她们每下愈况的处境对整个社会构成威胁。而且，由于缺乏官方的某些统计数字，而某些国家主管机构发表的数字与几个有关的非政府组织的数字又前后不一致，以至于无法拟订可行办法来解决问题和评估她们的处境，或制订计划和政府政策来减轻寡妇的负担。尽管一些公布的数字夸大了伊拉克寡妇的人数，它仍然显示这是个真实存在的社会问题，反映出社会认为情况很严重。不同媒体都反映了这个问题，它们抢着报道关于伊拉克寡妇问题的新闻和分析。2010年底，国际救济组织(伊拉克办事处)的法律和人权咨询中心与规划部的中央统计组织合作进行调查，让我们能够最好地了解问题的真实情况，该调查取样的可接受统计可信度是99.93%。一共采取了约1 800个样本：安巴尔、巴比伦、基尔库克、瓦西特和迈桑每省200个，巴格达和埃尔比勒省各400个。由于调查反映了实地情况，它提供的数字和分析被认为最接近事实。根据该调查，可以确定伊拉克寡妇的人数，并以此为基础提出临时解决办法。等到进行人口普查之后，才可能使用规划部中央统计组织公布的官方数字。</w:t>
      </w:r>
    </w:p>
    <w:p w:rsidR="00EF3339" w:rsidRDefault="00524C82" w:rsidP="00524C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寡妇就业及其经济状况</w:t>
      </w:r>
    </w:p>
    <w:p w:rsidR="00524C82" w:rsidRPr="00524C82" w:rsidRDefault="00524C82" w:rsidP="00524C82">
      <w:pPr>
        <w:pStyle w:val="SingleTxt"/>
        <w:spacing w:after="0" w:line="120" w:lineRule="exact"/>
        <w:rPr>
          <w:rFonts w:hint="eastAsia"/>
          <w:sz w:val="10"/>
        </w:rPr>
      </w:pPr>
    </w:p>
    <w:p w:rsidR="00524C82" w:rsidRPr="00524C82" w:rsidRDefault="00524C82" w:rsidP="00524C82">
      <w:pPr>
        <w:pStyle w:val="SingleTxt"/>
        <w:spacing w:after="0" w:line="120" w:lineRule="exact"/>
        <w:rPr>
          <w:rFonts w:hint="eastAsia"/>
          <w:sz w:val="10"/>
        </w:rPr>
      </w:pPr>
    </w:p>
    <w:p w:rsidR="00EF3339" w:rsidRDefault="0083070E" w:rsidP="00524C82">
      <w:pPr>
        <w:pStyle w:val="SingleTxt"/>
        <w:rPr>
          <w:rFonts w:hint="eastAsia"/>
        </w:rPr>
      </w:pPr>
      <w:r>
        <w:tab/>
      </w:r>
      <w:r w:rsidR="00EF3339">
        <w:rPr>
          <w:rFonts w:hint="eastAsia"/>
        </w:rPr>
        <w:t>数据显示，87%的寡妇无业，8%在公营部门工作，2%在私营部门工作。一些伊拉克青年男子与工作妇女结婚后，要求她们放弃工作。此外，基于安全考量，许多妇女不得不停工留在家里，使家庭失去了一份收入。寡妇的收入情况如下：</w:t>
      </w:r>
    </w:p>
    <w:tbl>
      <w:tblPr>
        <w:tblW w:w="0" w:type="auto"/>
        <w:tblInd w:w="1260" w:type="dxa"/>
        <w:tblLayout w:type="fixed"/>
        <w:tblCellMar>
          <w:left w:w="0" w:type="dxa"/>
          <w:right w:w="0" w:type="dxa"/>
        </w:tblCellMar>
        <w:tblLook w:val="0000"/>
      </w:tblPr>
      <w:tblGrid>
        <w:gridCol w:w="5490"/>
        <w:gridCol w:w="1830"/>
      </w:tblGrid>
      <w:tr w:rsidR="00524C82" w:rsidRPr="00524C82" w:rsidTr="00524C82">
        <w:tblPrEx>
          <w:tblCellMar>
            <w:top w:w="0" w:type="dxa"/>
            <w:bottom w:w="0" w:type="dxa"/>
          </w:tblCellMar>
        </w:tblPrEx>
        <w:tc>
          <w:tcPr>
            <w:tcW w:w="5490" w:type="dxa"/>
            <w:tcBorders>
              <w:top w:val="single" w:sz="4"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1.</w:t>
            </w:r>
            <w:r w:rsidRPr="00524C82">
              <w:rPr>
                <w:rFonts w:hint="eastAsia"/>
                <w:sz w:val="17"/>
              </w:rPr>
              <w:tab/>
              <w:t>第1组</w:t>
            </w:r>
            <w:r>
              <w:rPr>
                <w:rFonts w:hint="eastAsia"/>
                <w:sz w:val="17"/>
              </w:rPr>
              <w:t>：</w:t>
            </w:r>
            <w:r w:rsidRPr="00524C82">
              <w:rPr>
                <w:rFonts w:hint="eastAsia"/>
                <w:sz w:val="17"/>
              </w:rPr>
              <w:t>50 000</w:t>
            </w:r>
            <w:r>
              <w:rPr>
                <w:rFonts w:hint="eastAsia"/>
                <w:sz w:val="17"/>
              </w:rPr>
              <w:t>-</w:t>
            </w:r>
            <w:r w:rsidRPr="00524C82">
              <w:rPr>
                <w:rFonts w:hint="eastAsia"/>
                <w:sz w:val="17"/>
              </w:rPr>
              <w:t>150 000伊拉克第纳尔</w:t>
            </w:r>
          </w:p>
        </w:tc>
        <w:tc>
          <w:tcPr>
            <w:tcW w:w="1830" w:type="dxa"/>
            <w:tcBorders>
              <w:top w:val="single" w:sz="4"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21%</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2.</w:t>
            </w:r>
            <w:r w:rsidRPr="00524C82">
              <w:rPr>
                <w:rFonts w:hint="eastAsia"/>
                <w:sz w:val="17"/>
              </w:rPr>
              <w:tab/>
              <w:t>第2组</w:t>
            </w:r>
            <w:r>
              <w:rPr>
                <w:rFonts w:hint="eastAsia"/>
                <w:sz w:val="17"/>
              </w:rPr>
              <w:t>：</w:t>
            </w:r>
            <w:r w:rsidRPr="00524C82">
              <w:rPr>
                <w:rFonts w:hint="eastAsia"/>
                <w:sz w:val="17"/>
              </w:rPr>
              <w:t>150 000</w:t>
            </w:r>
            <w:r>
              <w:rPr>
                <w:rFonts w:hint="eastAsia"/>
                <w:sz w:val="17"/>
              </w:rPr>
              <w:t>-</w:t>
            </w:r>
            <w:r w:rsidRPr="00524C82">
              <w:rPr>
                <w:rFonts w:hint="eastAsia"/>
                <w:sz w:val="17"/>
              </w:rPr>
              <w:t>350 000伊拉克第纳尔</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39%</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3.</w:t>
            </w:r>
            <w:r w:rsidRPr="00524C82">
              <w:rPr>
                <w:rFonts w:hint="eastAsia"/>
                <w:sz w:val="17"/>
              </w:rPr>
              <w:tab/>
              <w:t>第3组</w:t>
            </w:r>
            <w:r>
              <w:rPr>
                <w:rFonts w:hint="eastAsia"/>
                <w:sz w:val="17"/>
              </w:rPr>
              <w:t>：</w:t>
            </w:r>
            <w:r w:rsidRPr="00524C82">
              <w:rPr>
                <w:rFonts w:hint="eastAsia"/>
                <w:sz w:val="17"/>
              </w:rPr>
              <w:t>350 000</w:t>
            </w:r>
            <w:r>
              <w:rPr>
                <w:rFonts w:hint="eastAsia"/>
                <w:sz w:val="17"/>
              </w:rPr>
              <w:t>-</w:t>
            </w:r>
            <w:r w:rsidRPr="00524C82">
              <w:rPr>
                <w:rFonts w:hint="eastAsia"/>
                <w:sz w:val="17"/>
              </w:rPr>
              <w:t>600 000伊拉克第纳尔</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33%</w:t>
            </w:r>
          </w:p>
        </w:tc>
      </w:tr>
      <w:tr w:rsidR="00524C82" w:rsidRPr="00524C82" w:rsidTr="00524C82">
        <w:tblPrEx>
          <w:tblCellMar>
            <w:top w:w="0" w:type="dxa"/>
            <w:bottom w:w="0" w:type="dxa"/>
          </w:tblCellMar>
        </w:tblPrEx>
        <w:tc>
          <w:tcPr>
            <w:tcW w:w="5490" w:type="dxa"/>
            <w:tcBorders>
              <w:bottom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4.</w:t>
            </w:r>
            <w:r w:rsidRPr="00524C82">
              <w:rPr>
                <w:rFonts w:hint="eastAsia"/>
                <w:sz w:val="17"/>
              </w:rPr>
              <w:tab/>
              <w:t>第4组</w:t>
            </w:r>
            <w:r>
              <w:rPr>
                <w:rFonts w:hint="eastAsia"/>
                <w:sz w:val="17"/>
              </w:rPr>
              <w:t>：</w:t>
            </w:r>
            <w:r w:rsidRPr="00524C82">
              <w:rPr>
                <w:rFonts w:hint="eastAsia"/>
                <w:sz w:val="17"/>
              </w:rPr>
              <w:t>600 000伊拉克第纳尔以上</w:t>
            </w:r>
          </w:p>
        </w:tc>
        <w:tc>
          <w:tcPr>
            <w:tcW w:w="1830" w:type="dxa"/>
            <w:tcBorders>
              <w:bottom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7%</w:t>
            </w:r>
          </w:p>
        </w:tc>
      </w:tr>
    </w:tbl>
    <w:p w:rsidR="00524C82" w:rsidRPr="00524C82" w:rsidRDefault="00524C82" w:rsidP="00524C82">
      <w:pPr>
        <w:pStyle w:val="SingleTxt"/>
        <w:spacing w:after="0" w:line="120" w:lineRule="exact"/>
        <w:rPr>
          <w:sz w:val="10"/>
        </w:rPr>
      </w:pPr>
    </w:p>
    <w:p w:rsidR="00EF3339" w:rsidRDefault="00524C82" w:rsidP="00EF3339">
      <w:pPr>
        <w:pStyle w:val="SingleTxt"/>
        <w:rPr>
          <w:rFonts w:hint="eastAsia"/>
        </w:rPr>
      </w:pPr>
      <w:r>
        <w:rPr>
          <w:rFonts w:hint="eastAsia"/>
        </w:rPr>
        <w:tab/>
      </w:r>
      <w:r w:rsidR="00EF3339">
        <w:rPr>
          <w:rFonts w:hint="eastAsia"/>
        </w:rPr>
        <w:t xml:space="preserve">上表表明，寡妇中有五分之一的收入低于150 000伊拉克第纳尔，40%的收入高于350 000伊拉克第纳尔。假定一个寡妇只有两个子女，收入是150 000伊拉克第纳尔，她的家庭收入就低于每月77 000伊拉克第纳尔的贫穷线。一个家庭的收入是350 000伊拉克第纳尔，家里有4个人口(母亲和三个子女)，也接近贫穷线，因为它的人均收入是87 500伊拉克第纳尔。因此收入的多寡取决于家庭人口的多少、生活环境以及是否有住房，并考虑到健康和教育等因素。  </w:t>
      </w:r>
    </w:p>
    <w:p w:rsidR="00EF3339" w:rsidRDefault="00524C82" w:rsidP="00EF3339">
      <w:pPr>
        <w:pStyle w:val="SingleTxt"/>
        <w:rPr>
          <w:rFonts w:hint="eastAsia"/>
        </w:rPr>
      </w:pPr>
      <w:r>
        <w:rPr>
          <w:rFonts w:hint="eastAsia"/>
        </w:rPr>
        <w:tab/>
      </w:r>
      <w:r w:rsidR="00EF3339">
        <w:rPr>
          <w:rFonts w:hint="eastAsia"/>
        </w:rPr>
        <w:t>上文指出87%的寡妇不工作。通过问卷，可以知道她们不工作的原因如下：</w:t>
      </w:r>
    </w:p>
    <w:tbl>
      <w:tblPr>
        <w:tblW w:w="0" w:type="auto"/>
        <w:tblInd w:w="1260" w:type="dxa"/>
        <w:tblLayout w:type="fixed"/>
        <w:tblCellMar>
          <w:left w:w="0" w:type="dxa"/>
          <w:right w:w="0" w:type="dxa"/>
        </w:tblCellMar>
        <w:tblLook w:val="0000"/>
      </w:tblPr>
      <w:tblGrid>
        <w:gridCol w:w="5490"/>
        <w:gridCol w:w="1830"/>
      </w:tblGrid>
      <w:tr w:rsidR="00524C82" w:rsidRPr="00524C82" w:rsidTr="00524C82">
        <w:tblPrEx>
          <w:tblCellMar>
            <w:top w:w="0" w:type="dxa"/>
            <w:bottom w:w="0" w:type="dxa"/>
          </w:tblCellMar>
        </w:tblPrEx>
        <w:trPr>
          <w:tblHeader/>
        </w:trPr>
        <w:tc>
          <w:tcPr>
            <w:tcW w:w="5490" w:type="dxa"/>
            <w:tcBorders>
              <w:top w:val="single" w:sz="4" w:space="0" w:color="auto"/>
              <w:bottom w:val="single" w:sz="12" w:space="0" w:color="auto"/>
            </w:tcBorders>
            <w:shd w:val="clear" w:color="auto" w:fill="auto"/>
            <w:vAlign w:val="bottom"/>
          </w:tcPr>
          <w:p w:rsidR="00524C82" w:rsidRPr="00524C82" w:rsidRDefault="003630D7" w:rsidP="00524C82">
            <w:pPr>
              <w:tabs>
                <w:tab w:val="left" w:pos="334"/>
                <w:tab w:val="left" w:pos="669"/>
                <w:tab w:val="left" w:pos="1003"/>
                <w:tab w:val="left" w:pos="1338"/>
              </w:tabs>
              <w:suppressAutoHyphens/>
              <w:spacing w:before="60" w:after="60" w:line="200" w:lineRule="exact"/>
              <w:ind w:right="57"/>
              <w:rPr>
                <w:rFonts w:ascii="KaiTi_GB2312" w:eastAsia="KaiTi_GB2312"/>
                <w:sz w:val="15"/>
              </w:rPr>
            </w:pPr>
            <w:r>
              <w:rPr>
                <w:rFonts w:ascii="KaiTi_GB2312" w:eastAsia="KaiTi_GB2312"/>
                <w:sz w:val="15"/>
              </w:rPr>
              <w:tab/>
            </w:r>
            <w:r w:rsidR="00524C82" w:rsidRPr="00524C82">
              <w:rPr>
                <w:rFonts w:ascii="KaiTi_GB2312" w:eastAsia="KaiTi_GB2312" w:hint="eastAsia"/>
                <w:sz w:val="15"/>
              </w:rPr>
              <w:t>原因</w:t>
            </w:r>
          </w:p>
        </w:tc>
        <w:tc>
          <w:tcPr>
            <w:tcW w:w="1830" w:type="dxa"/>
            <w:tcBorders>
              <w:top w:val="single" w:sz="4" w:space="0" w:color="auto"/>
              <w:bottom w:val="single" w:sz="12" w:space="0" w:color="auto"/>
            </w:tcBorders>
            <w:shd w:val="clear" w:color="auto" w:fill="auto"/>
            <w:vAlign w:val="bottom"/>
          </w:tcPr>
          <w:p w:rsidR="00524C82" w:rsidRPr="00524C82" w:rsidRDefault="003630D7" w:rsidP="00524C82">
            <w:pPr>
              <w:tabs>
                <w:tab w:val="left" w:pos="334"/>
                <w:tab w:val="left" w:pos="669"/>
                <w:tab w:val="left" w:pos="1003"/>
                <w:tab w:val="left" w:pos="1338"/>
              </w:tabs>
              <w:suppressAutoHyphens/>
              <w:spacing w:before="60" w:after="60" w:line="200" w:lineRule="exact"/>
              <w:ind w:right="57"/>
              <w:jc w:val="right"/>
              <w:rPr>
                <w:rFonts w:ascii="KaiTi_GB2312" w:eastAsia="KaiTi_GB2312" w:hint="eastAsia"/>
                <w:sz w:val="15"/>
              </w:rPr>
            </w:pPr>
            <w:r>
              <w:rPr>
                <w:rFonts w:ascii="KaiTi_GB2312" w:eastAsia="KaiTi_GB2312" w:hint="eastAsia"/>
                <w:sz w:val="15"/>
              </w:rPr>
              <w:t>百分比</w:t>
            </w:r>
          </w:p>
        </w:tc>
      </w:tr>
      <w:tr w:rsidR="00524C82" w:rsidRPr="00524C82" w:rsidTr="00524C82">
        <w:tblPrEx>
          <w:tblCellMar>
            <w:top w:w="0" w:type="dxa"/>
            <w:bottom w:w="0" w:type="dxa"/>
          </w:tblCellMar>
        </w:tblPrEx>
        <w:trPr>
          <w:trHeight w:hRule="exact" w:val="115"/>
          <w:tblHeader/>
        </w:trPr>
        <w:tc>
          <w:tcPr>
            <w:tcW w:w="5490" w:type="dxa"/>
            <w:tcBorders>
              <w:top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p>
        </w:tc>
        <w:tc>
          <w:tcPr>
            <w:tcW w:w="1830" w:type="dxa"/>
            <w:tcBorders>
              <w:top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1.</w:t>
            </w:r>
            <w:r w:rsidRPr="00524C82">
              <w:rPr>
                <w:rFonts w:hint="eastAsia"/>
                <w:sz w:val="17"/>
              </w:rPr>
              <w:tab/>
              <w:t>没有工作机会</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13</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2.</w:t>
            </w:r>
            <w:r w:rsidRPr="00524C82">
              <w:rPr>
                <w:rFonts w:hint="eastAsia"/>
                <w:sz w:val="17"/>
              </w:rPr>
              <w:tab/>
              <w:t>缺乏工作技能</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43</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sz w:val="17"/>
              </w:rPr>
            </w:pPr>
            <w:r w:rsidRPr="00524C82">
              <w:rPr>
                <w:rFonts w:hint="eastAsia"/>
                <w:sz w:val="17"/>
              </w:rPr>
              <w:t>3.</w:t>
            </w:r>
            <w:r w:rsidRPr="00524C82">
              <w:rPr>
                <w:rFonts w:hint="eastAsia"/>
                <w:sz w:val="17"/>
              </w:rPr>
              <w:tab/>
              <w:t>不知道去哪里找工作</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sz w:val="17"/>
              </w:rPr>
            </w:pPr>
            <w:r w:rsidRPr="00524C82">
              <w:rPr>
                <w:rFonts w:hint="eastAsia"/>
                <w:sz w:val="17"/>
              </w:rPr>
              <w:t>4</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rFonts w:hint="eastAsia"/>
                <w:sz w:val="17"/>
              </w:rPr>
            </w:pPr>
            <w:r w:rsidRPr="00524C82">
              <w:rPr>
                <w:rFonts w:hint="eastAsia"/>
                <w:sz w:val="17"/>
              </w:rPr>
              <w:t>4.</w:t>
            </w:r>
            <w:r w:rsidRPr="00524C82">
              <w:rPr>
                <w:rFonts w:hint="eastAsia"/>
                <w:sz w:val="17"/>
              </w:rPr>
              <w:tab/>
              <w:t>负责照顾子女</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rFonts w:hint="eastAsia"/>
                <w:sz w:val="17"/>
              </w:rPr>
            </w:pPr>
            <w:r w:rsidRPr="00524C82">
              <w:rPr>
                <w:rFonts w:hint="eastAsia"/>
                <w:sz w:val="17"/>
              </w:rPr>
              <w:t>12</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rFonts w:hint="eastAsia"/>
                <w:sz w:val="17"/>
              </w:rPr>
            </w:pPr>
            <w:r w:rsidRPr="00524C82">
              <w:rPr>
                <w:rFonts w:hint="eastAsia"/>
                <w:sz w:val="17"/>
              </w:rPr>
              <w:t>5.</w:t>
            </w:r>
            <w:r w:rsidRPr="00524C82">
              <w:rPr>
                <w:rFonts w:hint="eastAsia"/>
                <w:sz w:val="17"/>
              </w:rPr>
              <w:tab/>
              <w:t>领有抚恤金</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rFonts w:hint="eastAsia"/>
                <w:sz w:val="17"/>
              </w:rPr>
            </w:pPr>
            <w:r w:rsidRPr="00524C82">
              <w:rPr>
                <w:rFonts w:hint="eastAsia"/>
                <w:sz w:val="17"/>
              </w:rPr>
              <w:t>17</w:t>
            </w:r>
          </w:p>
        </w:tc>
      </w:tr>
      <w:tr w:rsidR="00524C82" w:rsidRPr="00524C82" w:rsidTr="00524C82">
        <w:tblPrEx>
          <w:tblCellMar>
            <w:top w:w="0" w:type="dxa"/>
            <w:bottom w:w="0" w:type="dxa"/>
          </w:tblCellMar>
        </w:tblPrEx>
        <w:tc>
          <w:tcPr>
            <w:tcW w:w="549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rFonts w:hint="eastAsia"/>
                <w:sz w:val="17"/>
              </w:rPr>
            </w:pPr>
            <w:r w:rsidRPr="00524C82">
              <w:rPr>
                <w:rFonts w:hint="eastAsia"/>
                <w:sz w:val="17"/>
              </w:rPr>
              <w:t>6.</w:t>
            </w:r>
            <w:r w:rsidRPr="00524C82">
              <w:rPr>
                <w:rFonts w:hint="eastAsia"/>
                <w:sz w:val="17"/>
              </w:rPr>
              <w:tab/>
              <w:t>家庭反对</w:t>
            </w:r>
          </w:p>
        </w:tc>
        <w:tc>
          <w:tcPr>
            <w:tcW w:w="1830" w:type="dxa"/>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rFonts w:hint="eastAsia"/>
                <w:sz w:val="17"/>
              </w:rPr>
            </w:pPr>
            <w:r w:rsidRPr="00524C82">
              <w:rPr>
                <w:rFonts w:hint="eastAsia"/>
                <w:sz w:val="17"/>
              </w:rPr>
              <w:t>8</w:t>
            </w:r>
          </w:p>
        </w:tc>
      </w:tr>
      <w:tr w:rsidR="00524C82" w:rsidRPr="00524C82" w:rsidTr="00524C82">
        <w:tblPrEx>
          <w:tblCellMar>
            <w:top w:w="0" w:type="dxa"/>
            <w:bottom w:w="0" w:type="dxa"/>
          </w:tblCellMar>
        </w:tblPrEx>
        <w:tc>
          <w:tcPr>
            <w:tcW w:w="5490" w:type="dxa"/>
            <w:tcBorders>
              <w:bottom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rPr>
                <w:rFonts w:hint="eastAsia"/>
                <w:sz w:val="17"/>
              </w:rPr>
            </w:pPr>
            <w:r w:rsidRPr="00524C82">
              <w:rPr>
                <w:rFonts w:hint="eastAsia"/>
                <w:sz w:val="17"/>
              </w:rPr>
              <w:t>7.</w:t>
            </w:r>
            <w:r w:rsidRPr="00524C82">
              <w:rPr>
                <w:rFonts w:hint="eastAsia"/>
                <w:sz w:val="17"/>
              </w:rPr>
              <w:tab/>
              <w:t>拥有资产</w:t>
            </w:r>
          </w:p>
        </w:tc>
        <w:tc>
          <w:tcPr>
            <w:tcW w:w="1830" w:type="dxa"/>
            <w:tcBorders>
              <w:bottom w:val="single" w:sz="12" w:space="0" w:color="auto"/>
            </w:tcBorders>
            <w:shd w:val="clear" w:color="auto" w:fill="auto"/>
            <w:vAlign w:val="bottom"/>
          </w:tcPr>
          <w:p w:rsidR="00524C82" w:rsidRPr="00524C82" w:rsidRDefault="00524C82" w:rsidP="00524C82">
            <w:pPr>
              <w:tabs>
                <w:tab w:val="left" w:pos="334"/>
                <w:tab w:val="left" w:pos="669"/>
                <w:tab w:val="left" w:pos="1003"/>
                <w:tab w:val="left" w:pos="1338"/>
              </w:tabs>
              <w:suppressAutoHyphens/>
              <w:spacing w:after="60" w:line="280" w:lineRule="exact"/>
              <w:ind w:right="57"/>
              <w:jc w:val="right"/>
              <w:rPr>
                <w:rFonts w:hint="eastAsia"/>
                <w:sz w:val="17"/>
              </w:rPr>
            </w:pPr>
            <w:r w:rsidRPr="00524C82">
              <w:rPr>
                <w:rFonts w:hint="eastAsia"/>
                <w:sz w:val="17"/>
              </w:rPr>
              <w:t>3</w:t>
            </w:r>
          </w:p>
        </w:tc>
      </w:tr>
    </w:tbl>
    <w:p w:rsidR="00524C82" w:rsidRPr="00524C82" w:rsidRDefault="00524C82" w:rsidP="00524C82">
      <w:pPr>
        <w:pStyle w:val="SingleTxt"/>
        <w:spacing w:after="0" w:line="120" w:lineRule="exact"/>
        <w:rPr>
          <w:sz w:val="10"/>
        </w:rPr>
      </w:pPr>
    </w:p>
    <w:p w:rsidR="00EF3339" w:rsidRDefault="00524C82" w:rsidP="00EF3339">
      <w:pPr>
        <w:pStyle w:val="SingleTxt"/>
        <w:rPr>
          <w:rFonts w:hint="eastAsia"/>
        </w:rPr>
      </w:pPr>
      <w:r>
        <w:rPr>
          <w:rFonts w:hint="eastAsia"/>
        </w:rPr>
        <w:tab/>
      </w:r>
      <w:r w:rsidR="00EF3339">
        <w:rPr>
          <w:rFonts w:hint="eastAsia"/>
        </w:rPr>
        <w:t xml:space="preserve">以上数据显示，最大比例的寡妇——43%——不工作，是因为她们缺乏某项工作所需要的资格。这个比例与教育程度低相关。17%的寡妇领有抚恤金，还有13%没有工作，就是说她们能够工作，但没有机会。  </w:t>
      </w:r>
    </w:p>
    <w:p w:rsidR="003630D7" w:rsidRPr="003630D7" w:rsidRDefault="003630D7" w:rsidP="003630D7">
      <w:pPr>
        <w:pStyle w:val="SingleTxt"/>
        <w:spacing w:after="0" w:line="120" w:lineRule="exact"/>
        <w:rPr>
          <w:rFonts w:hint="eastAsia"/>
          <w:sz w:val="10"/>
        </w:rPr>
      </w:pPr>
    </w:p>
    <w:p w:rsidR="00EF3339" w:rsidRDefault="003630D7" w:rsidP="003630D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政府设法解决寡妇和失去养家糊口男子的妇女的问题</w:t>
      </w:r>
    </w:p>
    <w:p w:rsidR="003630D7" w:rsidRPr="003630D7" w:rsidRDefault="003630D7" w:rsidP="003630D7">
      <w:pPr>
        <w:pStyle w:val="SingleTxt"/>
        <w:spacing w:after="0" w:line="120" w:lineRule="exact"/>
        <w:rPr>
          <w:rFonts w:hint="eastAsia"/>
          <w:sz w:val="10"/>
        </w:rPr>
      </w:pPr>
    </w:p>
    <w:p w:rsidR="003630D7" w:rsidRPr="003630D7" w:rsidRDefault="003630D7" w:rsidP="003630D7">
      <w:pPr>
        <w:pStyle w:val="SingleTxt"/>
        <w:spacing w:after="0" w:line="120" w:lineRule="exact"/>
        <w:rPr>
          <w:rFonts w:hint="eastAsia"/>
          <w:sz w:val="10"/>
        </w:rPr>
      </w:pPr>
    </w:p>
    <w:p w:rsidR="00EF3339" w:rsidRDefault="003630D7" w:rsidP="00EF3339">
      <w:pPr>
        <w:pStyle w:val="SingleTxt"/>
        <w:rPr>
          <w:rFonts w:hint="eastAsia"/>
        </w:rPr>
      </w:pPr>
      <w:r>
        <w:rPr>
          <w:rFonts w:hint="eastAsia"/>
        </w:rPr>
        <w:tab/>
      </w:r>
      <w:r w:rsidR="00EF3339">
        <w:rPr>
          <w:rFonts w:hint="eastAsia"/>
        </w:rPr>
        <w:t>劳动部的妇女社会福利部门于2003年成立。2008年7月22日，该部门划归部长会议总秘书处，成为负责伊拉克寡妇问题的机构(原来是劳动和社会事务部社会保护网的责任)。该部门于2009年1月15日开始工作，直到2012年底。根据第77(2012)号总统命令，对第8(2006)号劳动和社会事务部法律作出第一次修正，把妇女社会福利部门划归劳动部。该部门涵盖的妇女包括：寡妇、离婚妇女、失踪者的妻子、罪犯妻子、有特别需要的妇女、以及老年人、流离失所者、盲人、孤儿和无家可归的妇女。以下是表示妇女社会福利部门成绩的一些统计数字：</w:t>
      </w:r>
    </w:p>
    <w:p w:rsidR="00EF3339" w:rsidRDefault="00EF3339" w:rsidP="003630D7">
      <w:pPr>
        <w:pStyle w:val="SingleTxt"/>
        <w:ind w:left="1695"/>
        <w:rPr>
          <w:rFonts w:hint="eastAsia"/>
        </w:rPr>
      </w:pPr>
      <w:r>
        <w:rPr>
          <w:rFonts w:hint="eastAsia"/>
        </w:rPr>
        <w:t>1.</w:t>
      </w:r>
      <w:r>
        <w:rPr>
          <w:rFonts w:hint="eastAsia"/>
        </w:rPr>
        <w:tab/>
        <w:t>目前由妇女社会福利部门照顾的妇女人数，连同以前或最近登记的妇女人数，共470 000人，再加上约二百万未成年子女。</w:t>
      </w:r>
    </w:p>
    <w:p w:rsidR="00EF3339" w:rsidRDefault="00EF3339" w:rsidP="003630D7">
      <w:pPr>
        <w:pStyle w:val="SingleTxt"/>
        <w:ind w:left="1695"/>
        <w:rPr>
          <w:rFonts w:hint="eastAsia"/>
        </w:rPr>
      </w:pPr>
      <w:r>
        <w:rPr>
          <w:rFonts w:hint="eastAsia"/>
        </w:rPr>
        <w:t>2.</w:t>
      </w:r>
      <w:r>
        <w:rPr>
          <w:rFonts w:hint="eastAsia"/>
        </w:rPr>
        <w:tab/>
        <w:t>全国有412 000个家庭收到抚恤金。</w:t>
      </w:r>
    </w:p>
    <w:p w:rsidR="00EF3339" w:rsidRDefault="00EF3339" w:rsidP="003630D7">
      <w:pPr>
        <w:pStyle w:val="SingleTxt"/>
        <w:ind w:left="1695"/>
        <w:rPr>
          <w:rFonts w:hint="eastAsia"/>
        </w:rPr>
      </w:pPr>
      <w:r>
        <w:rPr>
          <w:rFonts w:hint="eastAsia"/>
        </w:rPr>
        <w:t>3.</w:t>
      </w:r>
      <w:r>
        <w:rPr>
          <w:rFonts w:hint="eastAsia"/>
        </w:rPr>
        <w:tab/>
        <w:t>大约85 000个妇女的抚恤金曾因预防措施暂停发放，现在恢复并补发欠款。</w:t>
      </w:r>
    </w:p>
    <w:p w:rsidR="00EF3339" w:rsidRDefault="00EF3339" w:rsidP="003630D7">
      <w:pPr>
        <w:pStyle w:val="SingleTxt"/>
        <w:ind w:left="1695"/>
        <w:rPr>
          <w:rFonts w:hint="eastAsia"/>
        </w:rPr>
      </w:pPr>
      <w:r>
        <w:rPr>
          <w:rFonts w:hint="eastAsia"/>
        </w:rPr>
        <w:t>4.</w:t>
      </w:r>
      <w:r>
        <w:rPr>
          <w:rFonts w:hint="eastAsia"/>
        </w:rPr>
        <w:tab/>
        <w:t>巴格达和各省超过81 000名妇女最近列入社会福利。</w:t>
      </w:r>
    </w:p>
    <w:p w:rsidR="00EF3339" w:rsidRDefault="00EF3339" w:rsidP="003630D7">
      <w:pPr>
        <w:pStyle w:val="SingleTxt"/>
        <w:ind w:left="1695"/>
        <w:rPr>
          <w:rFonts w:hint="eastAsia"/>
        </w:rPr>
      </w:pPr>
      <w:r>
        <w:rPr>
          <w:rFonts w:hint="eastAsia"/>
        </w:rPr>
        <w:t>5.</w:t>
      </w:r>
      <w:r>
        <w:rPr>
          <w:rFonts w:hint="eastAsia"/>
        </w:rPr>
        <w:tab/>
        <w:t>2010年发出150 000 多张智能卡。抚恤金经由智能卡在银行发放。</w:t>
      </w:r>
    </w:p>
    <w:p w:rsidR="00EF3339" w:rsidRDefault="00EF3339" w:rsidP="003630D7">
      <w:pPr>
        <w:pStyle w:val="SingleTxt"/>
        <w:ind w:left="1695"/>
        <w:rPr>
          <w:rFonts w:hint="eastAsia"/>
        </w:rPr>
      </w:pPr>
      <w:r>
        <w:rPr>
          <w:rFonts w:hint="eastAsia"/>
        </w:rPr>
        <w:t>6.</w:t>
      </w:r>
      <w:r>
        <w:rPr>
          <w:rFonts w:hint="eastAsia"/>
        </w:rPr>
        <w:tab/>
      </w:r>
      <w:r w:rsidRPr="007D3A7D">
        <w:rPr>
          <w:rFonts w:hint="eastAsia"/>
          <w:spacing w:val="4"/>
        </w:rPr>
        <w:t>以前受到照顾的妇女家庭是328 105家，最近受到照顾的妇女家庭是</w:t>
      </w:r>
      <w:r>
        <w:rPr>
          <w:rFonts w:hint="eastAsia"/>
        </w:rPr>
        <w:t>84 850家，总数是412 955家。</w:t>
      </w:r>
    </w:p>
    <w:p w:rsidR="00EF3339" w:rsidRDefault="00EF3339" w:rsidP="003630D7">
      <w:pPr>
        <w:pStyle w:val="SingleTxt"/>
        <w:ind w:left="1695"/>
        <w:rPr>
          <w:rFonts w:hint="eastAsia"/>
        </w:rPr>
      </w:pPr>
      <w:r>
        <w:rPr>
          <w:rFonts w:hint="eastAsia"/>
        </w:rPr>
        <w:t>7.</w:t>
      </w:r>
      <w:r>
        <w:rPr>
          <w:rFonts w:hint="eastAsia"/>
        </w:rPr>
        <w:tab/>
      </w:r>
      <w:r w:rsidRPr="007D3A7D">
        <w:rPr>
          <w:rFonts w:hint="eastAsia"/>
          <w:spacing w:val="4"/>
        </w:rPr>
        <w:t>收到100 000伊拉克第纳尔(约83美元)抚恤金的寡妇和离婚妇女有237 999人。收到50 000伊拉克第纳尔(约42美元)抚恤金的残疾妇女有</w:t>
      </w:r>
      <w:r>
        <w:rPr>
          <w:rFonts w:hint="eastAsia"/>
        </w:rPr>
        <w:t>175 638人。</w:t>
      </w:r>
    </w:p>
    <w:p w:rsidR="00EF3339" w:rsidRDefault="003630D7" w:rsidP="00EF3339">
      <w:pPr>
        <w:pStyle w:val="SingleTxt"/>
        <w:rPr>
          <w:rFonts w:hint="eastAsia"/>
        </w:rPr>
      </w:pPr>
      <w:r>
        <w:rPr>
          <w:rFonts w:hint="eastAsia"/>
        </w:rPr>
        <w:tab/>
      </w:r>
      <w:r w:rsidR="00EF3339">
        <w:rPr>
          <w:rFonts w:hint="eastAsia"/>
        </w:rPr>
        <w:t>劳动和社会事务部关于社会保护网的数据和统计数字如下：</w:t>
      </w:r>
    </w:p>
    <w:p w:rsidR="00EF3339" w:rsidRDefault="00EF3339" w:rsidP="003630D7">
      <w:pPr>
        <w:pStyle w:val="SingleTxt"/>
        <w:ind w:left="1695"/>
        <w:rPr>
          <w:rFonts w:hint="eastAsia"/>
        </w:rPr>
      </w:pPr>
      <w:r>
        <w:rPr>
          <w:rFonts w:hint="eastAsia"/>
        </w:rPr>
        <w:t>1.</w:t>
      </w:r>
      <w:r>
        <w:rPr>
          <w:rFonts w:hint="eastAsia"/>
        </w:rPr>
        <w:tab/>
        <w:t xml:space="preserve">寡妇：寡妇和离婚妇女总数是10 185 178人。大约136 714人继续接受援助。42 666人的援助因预防措施而暂停，707人的援助已永远停止。 </w:t>
      </w:r>
    </w:p>
    <w:p w:rsidR="00EF3339" w:rsidRDefault="00EF3339" w:rsidP="003630D7">
      <w:pPr>
        <w:pStyle w:val="SingleTxt"/>
        <w:ind w:left="1695"/>
        <w:rPr>
          <w:rFonts w:hint="eastAsia"/>
        </w:rPr>
      </w:pPr>
      <w:r>
        <w:rPr>
          <w:rFonts w:hint="eastAsia"/>
        </w:rPr>
        <w:t>2.</w:t>
      </w:r>
      <w:r>
        <w:rPr>
          <w:rFonts w:hint="eastAsia"/>
        </w:rPr>
        <w:tab/>
        <w:t>残疾妇女：残疾妇女总数是155 132人，其中118 287人继续收到抚恤金。大约32 424人的抚恤金因预防措施而暂停，4 421人的抚恤金已永远停止。</w:t>
      </w:r>
    </w:p>
    <w:p w:rsidR="00EF3339" w:rsidRDefault="003630D7" w:rsidP="00EF3339">
      <w:pPr>
        <w:pStyle w:val="SingleTxt"/>
        <w:rPr>
          <w:rFonts w:hint="eastAsia"/>
        </w:rPr>
      </w:pPr>
      <w:r>
        <w:rPr>
          <w:rFonts w:hint="eastAsia"/>
        </w:rPr>
        <w:tab/>
      </w:r>
      <w:r w:rsidR="00EF3339">
        <w:rPr>
          <w:rFonts w:hint="eastAsia"/>
        </w:rPr>
        <w:t>为了提供适当住所给寡妇和离婚妇女，由国家妇女事务部主持成立了一个高级委员会，成员包括住房和建築部、规划部以及妇女社会福利部门的代表。该委员会的任务是拟订条例，分配住房单元给寡妇。全国迄今已分配了319个单元给寡妇。为了推动扶贫战略并减少穷人家庭的贫穷程度，劳动和社会事务部采取了以下措施：</w:t>
      </w:r>
    </w:p>
    <w:p w:rsidR="00EF3339" w:rsidRDefault="003630D7" w:rsidP="003630D7">
      <w:pPr>
        <w:pStyle w:val="SingleTxt"/>
        <w:ind w:left="2126" w:hanging="431"/>
        <w:rPr>
          <w:rFonts w:hint="eastAsia"/>
        </w:rPr>
      </w:pPr>
      <w:r>
        <w:rPr>
          <w:rFonts w:hint="eastAsia"/>
        </w:rPr>
        <w:sym w:font="Symbol" w:char="F0B7"/>
      </w:r>
      <w:r>
        <w:tab/>
      </w:r>
      <w:r w:rsidR="00EF3339">
        <w:rPr>
          <w:rFonts w:hint="eastAsia"/>
        </w:rPr>
        <w:t>采取措施，把社会保护网的管理权力下放；</w:t>
      </w:r>
    </w:p>
    <w:p w:rsidR="00EF3339" w:rsidRDefault="003630D7" w:rsidP="003630D7">
      <w:pPr>
        <w:pStyle w:val="SingleTxt"/>
        <w:ind w:left="2126" w:hanging="431"/>
        <w:rPr>
          <w:rFonts w:hint="eastAsia"/>
        </w:rPr>
      </w:pPr>
      <w:r>
        <w:rPr>
          <w:rFonts w:hint="eastAsia"/>
        </w:rPr>
        <w:sym w:font="Symbol" w:char="F0B7"/>
      </w:r>
      <w:r>
        <w:tab/>
      </w:r>
      <w:r w:rsidR="00EF3339">
        <w:rPr>
          <w:rFonts w:hint="eastAsia"/>
        </w:rPr>
        <w:t>建立和定期更新关于社会保护网家庭的数据库；</w:t>
      </w:r>
    </w:p>
    <w:p w:rsidR="00EF3339" w:rsidRDefault="00AB65FD" w:rsidP="00AB65FD">
      <w:pPr>
        <w:pStyle w:val="SingleTxt"/>
        <w:ind w:left="2126" w:hanging="431"/>
        <w:rPr>
          <w:rFonts w:hint="eastAsia"/>
        </w:rPr>
      </w:pPr>
      <w:r>
        <w:rPr>
          <w:rFonts w:hint="eastAsia"/>
        </w:rPr>
        <w:sym w:font="Symbol" w:char="F0B7"/>
      </w:r>
      <w:r>
        <w:tab/>
      </w:r>
      <w:r w:rsidR="00EF3339">
        <w:rPr>
          <w:rFonts w:hint="eastAsia"/>
        </w:rPr>
        <w:t>拟订方案，提高工作人员的能力，使他们能够适当实施社会保护网系统；</w:t>
      </w:r>
    </w:p>
    <w:p w:rsidR="00EF3339" w:rsidRDefault="00AB65FD" w:rsidP="00AB65FD">
      <w:pPr>
        <w:pStyle w:val="SingleTxt"/>
        <w:ind w:left="2126" w:hanging="431"/>
        <w:rPr>
          <w:rFonts w:hint="eastAsia"/>
        </w:rPr>
      </w:pPr>
      <w:r>
        <w:rPr>
          <w:rFonts w:hint="eastAsia"/>
        </w:rPr>
        <w:sym w:font="Symbol" w:char="F0B7"/>
      </w:r>
      <w:r>
        <w:tab/>
      </w:r>
      <w:r w:rsidR="00EF3339">
        <w:rPr>
          <w:rFonts w:hint="eastAsia"/>
        </w:rPr>
        <w:t>制订关于系统内工作机制的严格安排、条例和准则；</w:t>
      </w:r>
    </w:p>
    <w:p w:rsidR="00EF3339" w:rsidRDefault="00AB65FD" w:rsidP="00AB65FD">
      <w:pPr>
        <w:pStyle w:val="SingleTxt"/>
        <w:ind w:left="2126" w:hanging="431"/>
        <w:rPr>
          <w:rFonts w:hint="eastAsia"/>
        </w:rPr>
      </w:pPr>
      <w:r>
        <w:rPr>
          <w:rFonts w:hint="eastAsia"/>
        </w:rPr>
        <w:sym w:font="Symbol" w:char="F0B7"/>
      </w:r>
      <w:r>
        <w:tab/>
      </w:r>
      <w:r w:rsidR="00EF3339">
        <w:rPr>
          <w:rFonts w:hint="eastAsia"/>
        </w:rPr>
        <w:t>提高口粮卡系统程序的速度；</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与民间社会组织合作，以穷人为对象，评估社会保护网系统；</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制订使援助数量与通胀率挂钩的机制，可能时与基本商品的通胀率挂钩；</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制订机制，纳入社会保护网系统下的人；</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在省、县和区各级建立社会保护网下贫穷家庭学龄儿童的数据库；</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审查社会保护网的法律和指示，确保保护网下家庭的学龄儿童登记和继续参加；</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制订规则，使更多穷人参加关于设立创收项目的贷款计划，进行培训，帮助他们利用贷款，并使他们认识到贷款计划的好处；</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制订机制，使教育部与劳动和社会事务部交流信息。</w:t>
      </w:r>
    </w:p>
    <w:p w:rsidR="00EF3339" w:rsidRDefault="00AB65FD" w:rsidP="00AB65FD">
      <w:pPr>
        <w:pStyle w:val="SingleTxt"/>
        <w:spacing w:after="120"/>
        <w:rPr>
          <w:rFonts w:hint="eastAsia"/>
        </w:rPr>
      </w:pPr>
      <w:r>
        <w:rPr>
          <w:rFonts w:hint="eastAsia"/>
        </w:rPr>
        <w:tab/>
      </w:r>
      <w:r w:rsidR="00EF3339">
        <w:rPr>
          <w:rFonts w:hint="eastAsia"/>
        </w:rPr>
        <w:t>根据2012年12月27日和2013年3月29日的两个命令，国家妇女事务部取得国家住房理事会同意，由住房理事会用透明、竞争性的方式，以住房单元价格75%的优惠，把10%的住房单元分配给寡妇，余款分50年付清。</w:t>
      </w:r>
    </w:p>
    <w:p w:rsidR="00AB65FD" w:rsidRPr="00AB65FD" w:rsidRDefault="00AB65FD" w:rsidP="00AB65FD">
      <w:pPr>
        <w:pStyle w:val="SingleTxt"/>
        <w:spacing w:after="0" w:line="120" w:lineRule="exact"/>
        <w:rPr>
          <w:rFonts w:hint="eastAsia"/>
          <w:sz w:val="10"/>
        </w:rPr>
      </w:pPr>
    </w:p>
    <w:p w:rsidR="00EF3339" w:rsidRDefault="00AB65FD" w:rsidP="00AB65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离婚妇女</w:t>
      </w:r>
    </w:p>
    <w:p w:rsidR="00AB65FD" w:rsidRPr="00AB65FD" w:rsidRDefault="00AB65FD" w:rsidP="00AB65FD">
      <w:pPr>
        <w:pStyle w:val="SingleTxt"/>
        <w:spacing w:after="0" w:line="120" w:lineRule="exact"/>
        <w:rPr>
          <w:rFonts w:hint="eastAsia"/>
          <w:sz w:val="10"/>
        </w:rPr>
      </w:pPr>
    </w:p>
    <w:p w:rsidR="00AB65FD" w:rsidRPr="00AB65FD" w:rsidRDefault="00AB65FD" w:rsidP="00AB65FD">
      <w:pPr>
        <w:pStyle w:val="SingleTxt"/>
        <w:spacing w:after="0" w:line="120" w:lineRule="exact"/>
        <w:rPr>
          <w:rFonts w:hint="eastAsia"/>
          <w:sz w:val="10"/>
        </w:rPr>
      </w:pPr>
    </w:p>
    <w:p w:rsidR="00EF3339" w:rsidRDefault="00AB65FD" w:rsidP="00AB65FD">
      <w:pPr>
        <w:pStyle w:val="SingleTxt"/>
        <w:spacing w:after="120"/>
        <w:rPr>
          <w:rFonts w:hint="eastAsia"/>
        </w:rPr>
      </w:pPr>
      <w:r>
        <w:rPr>
          <w:rFonts w:hint="eastAsia"/>
        </w:rPr>
        <w:tab/>
      </w:r>
      <w:r w:rsidR="00EF3339">
        <w:rPr>
          <w:rFonts w:hint="eastAsia"/>
        </w:rPr>
        <w:t>根据高级司法委员会的统计数字，</w:t>
      </w:r>
      <w:r w:rsidR="007D3A7D">
        <w:t>[</w:t>
      </w:r>
      <w:r w:rsidR="00EF3339">
        <w:rPr>
          <w:rFonts w:hint="eastAsia"/>
        </w:rPr>
        <w:t>2011年</w:t>
      </w:r>
      <w:r w:rsidR="007D3A7D">
        <w:t>]</w:t>
      </w:r>
      <w:r w:rsidR="00EF3339">
        <w:rPr>
          <w:rFonts w:hint="eastAsia"/>
        </w:rPr>
        <w:t>有59 515件离婚案例，占同年结婚案例的20.5%，比2004年的28 690件案例(占8.59%)增加很多。鉴于这样高的离婚率，国家妇女事务部召开了一个扩大会议，参加会议的有：高级司法委员会、总理办公室、人权部、劳动和社会事务部、宗教捐赠基金理事会、国民议会、学术界、国内外非政府组织、专家和专业人员。该会议提出一系列建议，其中最重要的有：</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由相关机构和民间社会的法律专家组成常设委员会，审查与家庭生活有关的立法；</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加强社会调查办公室在个人身份法庭的作用，促使其发挥积极作用，研究配偶间争执的原因并找出适当解决办法；</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修改中学和大学的家庭教育课程，传播家庭理解文化，在这个领域教育年轻人；</w:t>
      </w:r>
    </w:p>
    <w:p w:rsidR="00EF3339" w:rsidRDefault="00AB65FD" w:rsidP="00AB65FD">
      <w:pPr>
        <w:pStyle w:val="SingleTxt"/>
        <w:spacing w:after="120"/>
        <w:ind w:left="2126" w:hanging="431"/>
        <w:rPr>
          <w:rFonts w:hint="eastAsia"/>
        </w:rPr>
      </w:pPr>
      <w:r>
        <w:rPr>
          <w:rFonts w:hint="eastAsia"/>
        </w:rPr>
        <w:sym w:font="Symbol" w:char="F0B7"/>
      </w:r>
      <w:r>
        <w:tab/>
      </w:r>
      <w:r w:rsidR="00EF3339">
        <w:rPr>
          <w:rFonts w:hint="eastAsia"/>
        </w:rPr>
        <w:t>加强家庭保护局和法律机构的作用，在婚姻争执中使配偶达成和解。</w:t>
      </w:r>
    </w:p>
    <w:p w:rsidR="00AB65FD" w:rsidRPr="00AB65FD" w:rsidRDefault="00AB65FD" w:rsidP="00AB65FD">
      <w:pPr>
        <w:pStyle w:val="SingleTxt"/>
        <w:spacing w:after="0" w:line="120" w:lineRule="exact"/>
        <w:rPr>
          <w:rFonts w:hint="eastAsia"/>
          <w:sz w:val="10"/>
        </w:rPr>
      </w:pPr>
    </w:p>
    <w:p w:rsidR="00EF3339" w:rsidRDefault="00AB65FD" w:rsidP="00AB65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难民、回返者、境内流离失所者和无国籍妇女</w:t>
      </w:r>
    </w:p>
    <w:p w:rsidR="00AB65FD" w:rsidRPr="00AB65FD" w:rsidRDefault="00AB65FD" w:rsidP="00AB65FD">
      <w:pPr>
        <w:pStyle w:val="SingleTxt"/>
        <w:spacing w:after="0" w:line="120" w:lineRule="exact"/>
        <w:rPr>
          <w:rFonts w:hint="eastAsia"/>
          <w:sz w:val="10"/>
        </w:rPr>
      </w:pPr>
    </w:p>
    <w:p w:rsidR="00AB65FD" w:rsidRPr="00AB65FD" w:rsidRDefault="00AB65FD" w:rsidP="00AB65FD">
      <w:pPr>
        <w:pStyle w:val="SingleTxt"/>
        <w:spacing w:after="0" w:line="120" w:lineRule="exact"/>
        <w:rPr>
          <w:rFonts w:hint="eastAsia"/>
          <w:sz w:val="10"/>
        </w:rPr>
      </w:pPr>
    </w:p>
    <w:p w:rsidR="00EF3339" w:rsidRDefault="00EF3339" w:rsidP="00AB65FD">
      <w:pPr>
        <w:pStyle w:val="SingleTxt"/>
        <w:spacing w:after="120"/>
        <w:rPr>
          <w:rFonts w:hint="eastAsia"/>
        </w:rPr>
      </w:pPr>
      <w:r>
        <w:rPr>
          <w:rFonts w:hint="eastAsia"/>
        </w:rPr>
        <w:t>20.</w:t>
      </w:r>
      <w:r>
        <w:rPr>
          <w:rFonts w:hint="eastAsia"/>
        </w:rPr>
        <w:tab/>
        <w:t>伊拉克政府通过流离失所问题和移民部努力执行方案，鼓励流离失所家庭回返或重新安置，一举解决移徙问题。流离失所家庭获得紧急赠款1 250 000伊拉克第纳尔(等于1 000美元)，境内流离失所家庭回返后获得4 000 000伊拉克第纳尔(3 300美元)的赠款。重新融入和安置的家庭获得2 500 000伊拉克第纳尔(2 000美元)的赠款。</w:t>
      </w:r>
    </w:p>
    <w:p w:rsidR="00EF3339" w:rsidRDefault="00AB65FD" w:rsidP="00AB65FD">
      <w:pPr>
        <w:pStyle w:val="SingleTxt"/>
        <w:spacing w:after="120"/>
        <w:rPr>
          <w:rFonts w:hint="eastAsia"/>
        </w:rPr>
      </w:pPr>
      <w:r>
        <w:rPr>
          <w:rFonts w:hint="eastAsia"/>
        </w:rPr>
        <w:tab/>
      </w:r>
      <w:r w:rsidR="00EF3339">
        <w:rPr>
          <w:rFonts w:hint="eastAsia"/>
        </w:rPr>
        <w:t>回返的家庭在人的安全和稳定方案登记，该方案的任务是设立小型项目，创造3 000 000至4 000 000伊拉克第纳尔(2 500至3 300美元)的收入。从该方案受惠的有17 394人，男女都有。</w:t>
      </w:r>
    </w:p>
    <w:p w:rsidR="00EF3339" w:rsidRDefault="00AB65FD" w:rsidP="00AB65FD">
      <w:pPr>
        <w:pStyle w:val="SingleTxt"/>
        <w:spacing w:after="120"/>
        <w:rPr>
          <w:rFonts w:hint="eastAsia"/>
        </w:rPr>
      </w:pPr>
      <w:r>
        <w:rPr>
          <w:rFonts w:hint="eastAsia"/>
        </w:rPr>
        <w:tab/>
      </w:r>
      <w:r w:rsidR="00EF3339">
        <w:rPr>
          <w:rFonts w:hint="eastAsia"/>
        </w:rPr>
        <w:t>此外，流离失所问题和移民部努力为流离失所妇女和女户主提供工作机会，对通过培训并取得资格的流离失所妇女优先录用。</w:t>
      </w:r>
    </w:p>
    <w:p w:rsidR="00EF3339" w:rsidRDefault="00AB65FD" w:rsidP="00AB65FD">
      <w:pPr>
        <w:pStyle w:val="SingleTxt"/>
        <w:spacing w:after="120"/>
        <w:rPr>
          <w:rFonts w:hint="eastAsia"/>
        </w:rPr>
      </w:pPr>
      <w:r>
        <w:rPr>
          <w:rFonts w:hint="eastAsia"/>
        </w:rPr>
        <w:tab/>
      </w:r>
      <w:r w:rsidR="00EF3339">
        <w:rPr>
          <w:rFonts w:hint="eastAsia"/>
        </w:rPr>
        <w:t>流离失所问题和移民部与联合国难民事务高级专员办事处(难民署)合作，在以下九个省为回返者和流离失所者建造4 138个低价住房单元：巴格达、迈桑、济加尔、迈桑、瓦西特、巴士拉、迪瓦尼耶、巴比伦、卡尔巴拉和尼纳瓦。这些住房已完成90%。据该部统计，截至2013年3月25日，约有112 037个境内流离失所家庭回返到原居地。</w:t>
      </w:r>
    </w:p>
    <w:p w:rsidR="00EF3339" w:rsidRDefault="00AB65FD" w:rsidP="00AB65FD">
      <w:pPr>
        <w:pStyle w:val="SingleTxt"/>
        <w:spacing w:after="120"/>
        <w:rPr>
          <w:rFonts w:hint="eastAsia"/>
        </w:rPr>
      </w:pPr>
      <w:r>
        <w:rPr>
          <w:rFonts w:hint="eastAsia"/>
        </w:rPr>
        <w:tab/>
      </w:r>
      <w:r w:rsidR="00EF3339">
        <w:rPr>
          <w:rFonts w:hint="eastAsia"/>
        </w:rPr>
        <w:t>劳动和社会事务部在执行扶贫战略时，制订了把流离失所者置于社会保护网内的机制。</w:t>
      </w:r>
    </w:p>
    <w:p w:rsidR="00AB65FD" w:rsidRPr="00AB65FD" w:rsidRDefault="00AB65FD" w:rsidP="00AB65FD">
      <w:pPr>
        <w:pStyle w:val="SingleTxt"/>
        <w:spacing w:after="0" w:line="120" w:lineRule="exact"/>
        <w:rPr>
          <w:rFonts w:hint="eastAsia"/>
          <w:sz w:val="10"/>
        </w:rPr>
      </w:pPr>
    </w:p>
    <w:p w:rsidR="00EF3339" w:rsidRDefault="00AB65FD" w:rsidP="00AB65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 xml:space="preserve">属于宗教少数群体的妇女   </w:t>
      </w:r>
    </w:p>
    <w:p w:rsidR="00AB65FD" w:rsidRPr="00AB65FD" w:rsidRDefault="00AB65FD" w:rsidP="00AB65FD">
      <w:pPr>
        <w:pStyle w:val="SingleTxt"/>
        <w:spacing w:after="0" w:line="120" w:lineRule="exact"/>
        <w:rPr>
          <w:rFonts w:hint="eastAsia"/>
          <w:sz w:val="10"/>
        </w:rPr>
      </w:pPr>
    </w:p>
    <w:p w:rsidR="00AB65FD" w:rsidRPr="00AB65FD" w:rsidRDefault="00AB65FD" w:rsidP="00AB65FD">
      <w:pPr>
        <w:pStyle w:val="SingleTxt"/>
        <w:spacing w:after="0" w:line="120" w:lineRule="exact"/>
        <w:rPr>
          <w:rFonts w:hint="eastAsia"/>
          <w:sz w:val="10"/>
        </w:rPr>
      </w:pPr>
    </w:p>
    <w:p w:rsidR="00EF3339" w:rsidRDefault="00EF3339" w:rsidP="00EF3339">
      <w:pPr>
        <w:pStyle w:val="SingleTxt"/>
        <w:rPr>
          <w:rFonts w:hint="eastAsia"/>
        </w:rPr>
      </w:pPr>
      <w:r>
        <w:rPr>
          <w:rFonts w:hint="eastAsia"/>
        </w:rPr>
        <w:t>21.</w:t>
      </w:r>
      <w:r>
        <w:rPr>
          <w:rFonts w:hint="eastAsia"/>
        </w:rPr>
        <w:tab/>
        <w:t>伊拉克当局十分重视如何尊重、保护和加强男女少数群体的人权，按照每个工作机构的任务和权力为其所有活动制定切实方案和政策，以确保实现这些人权。人权部与有关各部委协调合作，采取了若干措施和步骤，防止欺凌少数群体成员(包括妇女)的行动再度发生，这些妇女就如其他伊拉克妇女一样，在2006-2007年期间遭到杀害、绑架、强奸和强迫婚姻。详情如下：</w:t>
      </w:r>
    </w:p>
    <w:p w:rsidR="00EF3339" w:rsidRDefault="00AB65FD" w:rsidP="00AB65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一</w:t>
      </w:r>
      <w:r w:rsidR="00EF3339">
        <w:rPr>
          <w:rFonts w:hint="eastAsia"/>
        </w:rPr>
        <w:t>.</w:t>
      </w:r>
      <w:r w:rsidR="00EF3339">
        <w:rPr>
          <w:rFonts w:hint="eastAsia"/>
        </w:rPr>
        <w:tab/>
        <w:t>暴力侵害少数群体妇女行为</w:t>
      </w:r>
    </w:p>
    <w:p w:rsidR="00AB65FD" w:rsidRPr="00AB65FD" w:rsidRDefault="00AB65FD" w:rsidP="00AB65FD">
      <w:pPr>
        <w:pStyle w:val="SingleTxt"/>
        <w:spacing w:after="0" w:line="120" w:lineRule="exact"/>
        <w:rPr>
          <w:rFonts w:hint="eastAsia"/>
          <w:sz w:val="10"/>
        </w:rPr>
      </w:pPr>
    </w:p>
    <w:p w:rsidR="00EF3339" w:rsidRDefault="00AB65FD" w:rsidP="00AB65FD">
      <w:pPr>
        <w:pStyle w:val="SingleTxt"/>
        <w:spacing w:after="120"/>
        <w:rPr>
          <w:rFonts w:hint="eastAsia"/>
        </w:rPr>
      </w:pPr>
      <w:r>
        <w:rPr>
          <w:rFonts w:hint="eastAsia"/>
        </w:rPr>
        <w:tab/>
      </w:r>
      <w:r w:rsidR="00EF3339">
        <w:rPr>
          <w:rFonts w:hint="eastAsia"/>
        </w:rPr>
        <w:t>人权部负责监测权利的享受和保护的少数群体权利科没有发现任何有系统地侵害少数群体妇女的方案。少数群体妇女与伊拉克社会的所有妇女一样，是一般性恐怖事件的受害者，例如恐怖主义爆炸造成的大规模屠杀。基督徒、亚兹迪族和萨宾</w:t>
      </w:r>
      <w:r>
        <w:rPr>
          <w:rFonts w:hint="eastAsia"/>
        </w:rPr>
        <w:t>·</w:t>
      </w:r>
      <w:r w:rsidR="00EF3339">
        <w:rPr>
          <w:rFonts w:hint="eastAsia"/>
        </w:rPr>
        <w:t>曼迪安族的宗教捐赠基金办事处、教士和民间社会组织提供的资料证明了这一点。伊拉克政府的国防部和内政部采取了若干措施来保护少数群体公民的安全、生命、礼拜场所、建筑物和财产。情况如下：</w:t>
      </w:r>
    </w:p>
    <w:p w:rsidR="00EF3339" w:rsidRDefault="00EF3339" w:rsidP="00AB65FD">
      <w:pPr>
        <w:pStyle w:val="SingleTxt"/>
        <w:spacing w:after="120"/>
        <w:ind w:left="1695"/>
        <w:rPr>
          <w:rFonts w:hint="eastAsia"/>
        </w:rPr>
      </w:pPr>
      <w:r>
        <w:rPr>
          <w:rFonts w:hint="eastAsia"/>
        </w:rPr>
        <w:t>1.</w:t>
      </w:r>
      <w:r>
        <w:rPr>
          <w:rFonts w:hint="eastAsia"/>
        </w:rPr>
        <w:tab/>
        <w:t>任命少数群体成员参加警察、军队和特别保护小队，以保护他们的居住地区和礼拜场所。例如，武装部队总司令命令1 000名沙巴克族和基督徒驻守尼纳瓦平原，为该地区提供安保服务。</w:t>
      </w:r>
    </w:p>
    <w:p w:rsidR="00EF3339" w:rsidRDefault="00EF3339" w:rsidP="00AB65FD">
      <w:pPr>
        <w:pStyle w:val="SingleTxt"/>
        <w:ind w:left="1695"/>
        <w:rPr>
          <w:rFonts w:hint="eastAsia"/>
        </w:rPr>
      </w:pPr>
      <w:r>
        <w:rPr>
          <w:rFonts w:hint="eastAsia"/>
        </w:rPr>
        <w:t>2.</w:t>
      </w:r>
      <w:r>
        <w:rPr>
          <w:rFonts w:hint="eastAsia"/>
        </w:rPr>
        <w:tab/>
        <w:t>立即调查少数群体遭到的杀害、暴力和流离失所事件，并监测安保措施，确保各省的流离失所家庭回到原居地。</w:t>
      </w:r>
    </w:p>
    <w:p w:rsidR="00EF3339" w:rsidRDefault="00EF3339" w:rsidP="00AB65FD">
      <w:pPr>
        <w:pStyle w:val="SingleTxt"/>
        <w:ind w:left="1695"/>
        <w:rPr>
          <w:rFonts w:hint="eastAsia"/>
        </w:rPr>
      </w:pPr>
      <w:r>
        <w:rPr>
          <w:rFonts w:hint="eastAsia"/>
        </w:rPr>
        <w:t>3.</w:t>
      </w:r>
      <w:r>
        <w:rPr>
          <w:rFonts w:hint="eastAsia"/>
        </w:rPr>
        <w:tab/>
        <w:t>对遗失证件的人放宽重发伊拉克身份证和其他官方证件的手续，发还他们的财产；将Faili库尔德人的流离失所视为种族灭绝罪行；由人权部等几个部的成员组成委员会，给予他们赔偿，解决他们尚未解决的问题，结束独裁政权暴政造成的恶劣影响。</w:t>
      </w:r>
    </w:p>
    <w:p w:rsidR="00EF3339" w:rsidRDefault="00EF3339" w:rsidP="00AB65FD">
      <w:pPr>
        <w:pStyle w:val="SingleTxt"/>
        <w:ind w:left="1695"/>
        <w:rPr>
          <w:rFonts w:hint="eastAsia"/>
        </w:rPr>
      </w:pPr>
      <w:r>
        <w:rPr>
          <w:rFonts w:hint="eastAsia"/>
        </w:rPr>
        <w:t>4.</w:t>
      </w:r>
      <w:r>
        <w:rPr>
          <w:rFonts w:hint="eastAsia"/>
        </w:rPr>
        <w:tab/>
        <w:t>在发现亚兹迪族年轻妇女有120多人自杀之后，人权部就自杀的原因进行研究。研究发现，自杀的原因包括社会环境和宗教教义太严，以及经济环境、教育程度低、难以融入社会和强迫婚姻等等。这促使人权部采取某些行动，譬如在亚兹迪地区(Sinjar和Sheikhan)举办论坛和公开会议。</w:t>
      </w:r>
    </w:p>
    <w:p w:rsidR="00EF3339" w:rsidRDefault="00EF3339" w:rsidP="00AB65FD">
      <w:pPr>
        <w:pStyle w:val="SingleTxt"/>
        <w:ind w:left="1695"/>
        <w:rPr>
          <w:rFonts w:hint="eastAsia"/>
        </w:rPr>
      </w:pPr>
      <w:r>
        <w:rPr>
          <w:rFonts w:hint="eastAsia"/>
        </w:rPr>
        <w:t>5.</w:t>
      </w:r>
      <w:r>
        <w:rPr>
          <w:rFonts w:hint="eastAsia"/>
        </w:rPr>
        <w:tab/>
        <w:t>在缺乏安保时期，巴士拉大学的女学生被迫戴上面纱。不过，在有人提出抗议和抱怨之后，情况得到改善，从此不再有类似案例出现。</w:t>
      </w:r>
    </w:p>
    <w:p w:rsidR="00EF3339" w:rsidRDefault="00AB65FD" w:rsidP="00AB65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二</w:t>
      </w:r>
      <w:r w:rsidR="00EF3339">
        <w:rPr>
          <w:rFonts w:hint="eastAsia"/>
        </w:rPr>
        <w:t>.</w:t>
      </w:r>
      <w:r w:rsidR="00EF3339">
        <w:rPr>
          <w:rFonts w:hint="eastAsia"/>
        </w:rPr>
        <w:tab/>
        <w:t>不歧视</w:t>
      </w:r>
    </w:p>
    <w:p w:rsidR="00AB65FD" w:rsidRPr="00AB65FD" w:rsidRDefault="00AB65FD" w:rsidP="00AB65FD">
      <w:pPr>
        <w:pStyle w:val="SingleTxt"/>
        <w:spacing w:after="0" w:line="120" w:lineRule="exact"/>
        <w:rPr>
          <w:rFonts w:hint="eastAsia"/>
          <w:sz w:val="10"/>
        </w:rPr>
      </w:pPr>
    </w:p>
    <w:p w:rsidR="00EF3339" w:rsidRDefault="00AB65FD" w:rsidP="00EF3339">
      <w:pPr>
        <w:pStyle w:val="SingleTxt"/>
        <w:rPr>
          <w:rFonts w:hint="eastAsia"/>
        </w:rPr>
      </w:pPr>
      <w:r>
        <w:rPr>
          <w:rFonts w:hint="eastAsia"/>
        </w:rPr>
        <w:tab/>
      </w:r>
      <w:r w:rsidR="00EF3339">
        <w:rPr>
          <w:rFonts w:hint="eastAsia"/>
        </w:rPr>
        <w:t>为了确认和确保公民机会平等的权利、拒绝暴力、以及保证少数群体成员的自由和隐私，采取了以下措施：</w:t>
      </w:r>
    </w:p>
    <w:p w:rsidR="00EF3339" w:rsidRDefault="00EF3339" w:rsidP="00AB65FD">
      <w:pPr>
        <w:pStyle w:val="SingleTxt"/>
        <w:ind w:left="1695"/>
        <w:rPr>
          <w:rFonts w:hint="eastAsia"/>
        </w:rPr>
      </w:pPr>
      <w:r>
        <w:rPr>
          <w:rFonts w:hint="eastAsia"/>
        </w:rPr>
        <w:t>1.</w:t>
      </w:r>
      <w:r>
        <w:rPr>
          <w:rFonts w:hint="eastAsia"/>
        </w:rPr>
        <w:tab/>
        <w:t>人权部与教派领袖、少数群体代表和有关机构合作，提出特别为宗教少数群体制订个人身份法的建议，并修正公民身份法中关于父母之一改信伊斯兰教后未成年子女的宗教的一些条款。</w:t>
      </w:r>
    </w:p>
    <w:p w:rsidR="00EF3339" w:rsidRDefault="00EF3339" w:rsidP="00AB65FD">
      <w:pPr>
        <w:pStyle w:val="SingleTxt"/>
        <w:ind w:left="1695"/>
        <w:rPr>
          <w:rFonts w:hint="eastAsia"/>
        </w:rPr>
      </w:pPr>
      <w:r>
        <w:rPr>
          <w:rFonts w:hint="eastAsia"/>
        </w:rPr>
        <w:t>2.</w:t>
      </w:r>
      <w:r>
        <w:rPr>
          <w:rFonts w:hint="eastAsia"/>
        </w:rPr>
        <w:tab/>
        <w:t>劳动和社会事务部作出特别例外规定，把少数群体中受到恐怖主义危害但不开口求助的寡妇、离婚妇女、孤儿和没有男子赚钱养家的妇女置于社会保护网下，作为对她们的优待；此外还给予她们软贷款来开办小型项目和培训课程，使无业妇女能够像男同胞一样找到工作。</w:t>
      </w:r>
    </w:p>
    <w:p w:rsidR="00EF3339" w:rsidRDefault="00EF3339" w:rsidP="00AB65FD">
      <w:pPr>
        <w:pStyle w:val="SingleTxt"/>
        <w:ind w:left="1695"/>
        <w:rPr>
          <w:rFonts w:hint="eastAsia"/>
        </w:rPr>
      </w:pPr>
      <w:r>
        <w:rPr>
          <w:rFonts w:hint="eastAsia"/>
        </w:rPr>
        <w:t>3.</w:t>
      </w:r>
      <w:r>
        <w:rPr>
          <w:rFonts w:hint="eastAsia"/>
        </w:rPr>
        <w:tab/>
        <w:t>流离失所问题和移民部采取了一些措施，包括：</w:t>
      </w:r>
    </w:p>
    <w:p w:rsidR="00EF3339" w:rsidRDefault="00AB65FD" w:rsidP="00AB65FD">
      <w:pPr>
        <w:pStyle w:val="SingleTxt"/>
        <w:ind w:left="2557" w:hanging="431"/>
        <w:rPr>
          <w:rFonts w:hint="eastAsia"/>
        </w:rPr>
      </w:pPr>
      <w:r>
        <w:rPr>
          <w:rFonts w:hint="eastAsia"/>
        </w:rPr>
        <w:sym w:font="Symbol" w:char="F0B7"/>
      </w:r>
      <w:r>
        <w:tab/>
      </w:r>
      <w:r w:rsidR="00EF3339">
        <w:rPr>
          <w:rFonts w:hint="eastAsia"/>
        </w:rPr>
        <w:t>使属于流离失所者土地上的棚户居民在接到通知后立即撤离，以确保少数群体成员得到安置，使回返家庭没有住房问题。</w:t>
      </w:r>
    </w:p>
    <w:p w:rsidR="00EF3339" w:rsidRDefault="00AB65FD" w:rsidP="00AB65FD">
      <w:pPr>
        <w:pStyle w:val="SingleTxt"/>
        <w:ind w:left="2557" w:hanging="431"/>
        <w:rPr>
          <w:rFonts w:hint="eastAsia"/>
        </w:rPr>
      </w:pPr>
      <w:r>
        <w:rPr>
          <w:rFonts w:hint="eastAsia"/>
        </w:rPr>
        <w:sym w:font="Symbol" w:char="F0B7"/>
      </w:r>
      <w:r>
        <w:tab/>
      </w:r>
      <w:r w:rsidR="00EF3339">
        <w:rPr>
          <w:rFonts w:hint="eastAsia"/>
        </w:rPr>
        <w:t>回返家庭在人的安全和稳定方案登记，为他们设立小型项目，创造3 000 000至4 000 000伊拉克第纳尔的收入，并使回返家庭在社区振兴方案登记。</w:t>
      </w:r>
    </w:p>
    <w:p w:rsidR="00EF3339" w:rsidRDefault="00AB65FD" w:rsidP="00AB65FD">
      <w:pPr>
        <w:pStyle w:val="SingleTxt"/>
        <w:ind w:left="2557" w:hanging="431"/>
        <w:rPr>
          <w:rFonts w:hint="eastAsia"/>
        </w:rPr>
      </w:pPr>
      <w:r>
        <w:rPr>
          <w:rFonts w:hint="eastAsia"/>
        </w:rPr>
        <w:sym w:font="Symbol" w:char="F0B7"/>
      </w:r>
      <w:r>
        <w:tab/>
      </w:r>
      <w:r w:rsidR="00EF3339">
        <w:rPr>
          <w:rFonts w:hint="eastAsia"/>
        </w:rPr>
        <w:t>改善流离失所妇女、女户主和贫穷家庭的生活，给他们提供就业机会，并采取切实措施，优先考虑受过培训并取得资格的流离失所妇女。</w:t>
      </w:r>
    </w:p>
    <w:p w:rsidR="00EF3339" w:rsidRDefault="00AB65FD" w:rsidP="00AB65FD">
      <w:pPr>
        <w:pStyle w:val="SingleTxt"/>
        <w:ind w:left="2557" w:hanging="431"/>
        <w:rPr>
          <w:rFonts w:hint="eastAsia"/>
        </w:rPr>
      </w:pPr>
      <w:r>
        <w:rPr>
          <w:rFonts w:hint="eastAsia"/>
        </w:rPr>
        <w:sym w:font="Symbol" w:char="F0B7"/>
      </w:r>
      <w:r>
        <w:tab/>
      </w:r>
      <w:r w:rsidR="00EF3339" w:rsidRPr="00AB65FD">
        <w:rPr>
          <w:rFonts w:hint="eastAsia"/>
          <w:spacing w:val="2"/>
        </w:rPr>
        <w:t>流离失所问题和移民部与难民署合作，在以下九个省为回返者和流离失所者建造了4 138个低价住房单元：巴格达、迈桑、济加尔、迈桑、瓦西特、巴士拉、迪瓦尼耶、巴比伦、卡尔巴拉和尼纳瓦。</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部长会议总秘书处通告各部和部以外机构，要解决少数群体的流离失所成员的需要，并与库尔德斯坦政府协调，提供适当设施，包括用相等的办公室和大学接待大学教员和学生，发放口粮卡，并确保所有家庭收到口粮卡。</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高等教育和科学研究部提供若干设施以确保流离失所学生回返原来的学习地点，招揽具有专长的人才，提供高薪的工作，为他们的子女提供奖学金。此外，在居民大多数是土库曼少数族裔的泰勒阿费尔地区建造三所大专院校，供他们的子女上大学。</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照顾到少数族裔的感情，并注意避免触犯他们宗教的特殊性，教育部通过教育课程局的人权科，把少数族裔的文化和文明纳入阿拉伯语文、伊斯兰教育、民族和历史课程中。这将加强民族的归属感和统一感，认识到别人的存在并尊重其隐私，同时没有忽视任何组成部分。这将使学生认识到他和他的同学都是人类的一员，不论在种族、肤色、信仰、语言和文化上有何差异，并向学生灌输人权价值观，使他们了解他们自己的和别人的权利和义务，尊重《宪法》规定的伊拉克少数群体的权利。各级教育都正在添加新的专题。</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 xml:space="preserve">允许其他宗教的信徒在他们占人口多数的地区用他们的母语教授他们的教义。例如，教育部指示尼纳瓦省教育局以及亚兹迪族占多数的加塔尼亚地区的库尔德研究部门和其他族裔部门开设亚兹迪宗教课程，并任命亚兹迪教师。  </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按照课程局安排的课程，伊拉克大多数省大约有125所中小学和幼儿园教授基督教教义。此外，有417所学校教授叙利亚语文，475所学校教授土库曼语文。巴格达省教授曼迪安语文，尼纳瓦平原教授亚兹迪宗教。</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 xml:space="preserve">教育部与民间社会组织和少数群体权利协会一起举办了讲习班和论坛，在教科书中介绍了许多与少数群体有关的概念。教育部继续与这些机构监测进展情况。教育部第3404(2012年8月8日)号命令成立了一个委员会来拟订基督教课程的目标和内容。  </w:t>
      </w:r>
    </w:p>
    <w:p w:rsidR="00EF3339" w:rsidRDefault="00AB65FD" w:rsidP="00AB65FD">
      <w:pPr>
        <w:pStyle w:val="SingleTxt"/>
        <w:spacing w:after="120"/>
        <w:ind w:left="2557" w:hanging="431"/>
        <w:rPr>
          <w:rFonts w:hint="eastAsia"/>
        </w:rPr>
      </w:pPr>
      <w:r>
        <w:rPr>
          <w:rFonts w:hint="eastAsia"/>
        </w:rPr>
        <w:sym w:font="Symbol" w:char="F0B7"/>
      </w:r>
      <w:r>
        <w:tab/>
      </w:r>
      <w:r w:rsidR="00EF3339">
        <w:rPr>
          <w:rFonts w:hint="eastAsia"/>
        </w:rPr>
        <w:t>教育部与民间社会组织协调，努力通过伊拉克教育卫星频道和其他媒体(包括海报)来提高教育媒体的质量。</w:t>
      </w:r>
    </w:p>
    <w:p w:rsidR="00EF3339" w:rsidRDefault="00AB65FD" w:rsidP="00AB65FD">
      <w:pPr>
        <w:pStyle w:val="SingleTxt"/>
        <w:ind w:left="2557" w:hanging="431"/>
        <w:rPr>
          <w:rFonts w:hint="eastAsia"/>
        </w:rPr>
      </w:pPr>
      <w:r>
        <w:rPr>
          <w:rFonts w:hint="eastAsia"/>
        </w:rPr>
        <w:sym w:font="Symbol" w:char="F0B7"/>
      </w:r>
      <w:r>
        <w:tab/>
      </w:r>
      <w:r w:rsidR="00EF3339">
        <w:rPr>
          <w:rFonts w:hint="eastAsia"/>
        </w:rPr>
        <w:t>伊拉克政府本着2005年伊拉克《宪法》的精神，在不歧视和机会均等的基础上制订政策。因此，伊拉克国家所根据的任何标准都不会违背这些原则。国家的所有卫生保健、教育、文化、服务和安保机构都按照《宪法》保证的所有伊拉克人一律平等的原则，向少数群体成员和其他伊拉克人开放。</w:t>
      </w:r>
    </w:p>
    <w:p w:rsidR="00EF3339" w:rsidRDefault="00AB65FD" w:rsidP="00AB65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EF3339">
        <w:rPr>
          <w:rFonts w:hint="eastAsia"/>
        </w:rPr>
        <w:t>婚姻和家庭关系</w:t>
      </w:r>
    </w:p>
    <w:p w:rsidR="00AB65FD" w:rsidRPr="00AB65FD" w:rsidRDefault="00AB65FD" w:rsidP="00AB65FD">
      <w:pPr>
        <w:pStyle w:val="SingleTxt"/>
        <w:spacing w:after="0" w:line="120" w:lineRule="exact"/>
        <w:rPr>
          <w:rFonts w:hint="eastAsia"/>
          <w:sz w:val="10"/>
        </w:rPr>
      </w:pPr>
    </w:p>
    <w:p w:rsidR="00AB65FD" w:rsidRPr="00AB65FD" w:rsidRDefault="00AB65FD" w:rsidP="00AB65FD">
      <w:pPr>
        <w:pStyle w:val="SingleTxt"/>
        <w:spacing w:after="0" w:line="120" w:lineRule="exact"/>
        <w:rPr>
          <w:rFonts w:hint="eastAsia"/>
          <w:sz w:val="10"/>
        </w:rPr>
      </w:pPr>
    </w:p>
    <w:p w:rsidR="00EF3339" w:rsidRDefault="00EF3339" w:rsidP="00EF3339">
      <w:pPr>
        <w:pStyle w:val="SingleTxt"/>
        <w:rPr>
          <w:rFonts w:hint="eastAsia"/>
        </w:rPr>
      </w:pPr>
      <w:r>
        <w:rPr>
          <w:rFonts w:hint="eastAsia"/>
        </w:rPr>
        <w:t>22.</w:t>
      </w:r>
      <w:r>
        <w:rPr>
          <w:rFonts w:hint="eastAsia"/>
        </w:rPr>
        <w:tab/>
        <w:t>第</w:t>
      </w:r>
      <w:hyperlink r:id="rId28" w:history="1">
        <w:r w:rsidRPr="00D209BE">
          <w:rPr>
            <w:rStyle w:val="Hyperlink"/>
            <w:rFonts w:hint="eastAsia"/>
          </w:rPr>
          <w:t>188(1959)</w:t>
        </w:r>
      </w:hyperlink>
      <w:r>
        <w:rPr>
          <w:rFonts w:hint="eastAsia"/>
        </w:rPr>
        <w:t xml:space="preserve">号个人身份法的规定目前对穆斯林适用。非穆斯林的婚姻、离婚和分居案件提交适当的宗教当局。人权部与非穆斯林教派领袖协调，建议针对宗教少数群体制订个人身份法，并修正公民身份法中关于父母之一改信伊斯兰教之后未成年子女宗教的一些条款。  </w:t>
      </w:r>
    </w:p>
    <w:p w:rsidR="00EF3339" w:rsidRDefault="00AB65FD" w:rsidP="00EF3339">
      <w:pPr>
        <w:pStyle w:val="SingleTxt"/>
        <w:rPr>
          <w:rFonts w:hint="eastAsia"/>
        </w:rPr>
      </w:pPr>
      <w:r>
        <w:rPr>
          <w:rFonts w:hint="eastAsia"/>
        </w:rPr>
        <w:tab/>
      </w:r>
      <w:r w:rsidR="00EF3339">
        <w:rPr>
          <w:rFonts w:hint="eastAsia"/>
        </w:rPr>
        <w:t>第188(1959</w:t>
      </w:r>
      <w:r>
        <w:rPr>
          <w:rFonts w:hint="eastAsia"/>
        </w:rPr>
        <w:t>，</w:t>
      </w:r>
      <w:r w:rsidR="00EF3339">
        <w:rPr>
          <w:rFonts w:hint="eastAsia"/>
        </w:rPr>
        <w:t>修正版)号个人身份法第17条规定，准许穆斯林男子与属于某一《圣经》民族的妇女结婚，但不许穆斯林妇女与非穆斯林男子结婚。因此，穆斯林男子可以与属于某一天启宗教(如犹太教、基督教和萨比教)的妇女结婚，与穆斯林男子结婚的妻子有权保持原来的宗教。穆斯林妇女不论属于何种宗教，不许与非穆斯林男子结婚。这里的准与不准是根据伊斯兰教法，源于《古兰经》和先知言行录，不能改变。</w:t>
      </w:r>
    </w:p>
    <w:p w:rsidR="00EF3339" w:rsidRDefault="00AB65FD" w:rsidP="00EF3339">
      <w:pPr>
        <w:pStyle w:val="SingleTxt"/>
        <w:rPr>
          <w:rFonts w:hint="eastAsia"/>
        </w:rPr>
      </w:pPr>
      <w:r>
        <w:rPr>
          <w:rFonts w:hint="eastAsia"/>
        </w:rPr>
        <w:tab/>
      </w:r>
      <w:r w:rsidR="00EF3339">
        <w:rPr>
          <w:rFonts w:hint="eastAsia"/>
        </w:rPr>
        <w:t>以下是关于早婚的法律地位的一些案例：</w:t>
      </w:r>
    </w:p>
    <w:p w:rsidR="00EF3339" w:rsidRDefault="00EF3339" w:rsidP="00AB65FD">
      <w:pPr>
        <w:pStyle w:val="SingleTxt"/>
        <w:ind w:left="1695"/>
        <w:rPr>
          <w:rFonts w:hint="eastAsia"/>
        </w:rPr>
      </w:pPr>
      <w:r>
        <w:rPr>
          <w:rFonts w:hint="eastAsia"/>
        </w:rPr>
        <w:t>1.</w:t>
      </w:r>
      <w:r>
        <w:rPr>
          <w:rFonts w:hint="eastAsia"/>
        </w:rPr>
        <w:tab/>
        <w:t>15岁男子申请结婚，如果法官认为申请人具有法律行为能力而且身体健康，经征得该人的法定监护人同意，可给予准许。如果监护人拒绝，法官可要求他在一定期限内同意。如果他不反对或反对不值得考虑，法官应准许结婚。</w:t>
      </w:r>
    </w:p>
    <w:p w:rsidR="00EF3339" w:rsidRDefault="00EF3339" w:rsidP="00AB65FD">
      <w:pPr>
        <w:pStyle w:val="SingleTxt"/>
        <w:ind w:left="1695"/>
        <w:rPr>
          <w:rFonts w:hint="eastAsia"/>
        </w:rPr>
      </w:pPr>
      <w:r>
        <w:rPr>
          <w:rFonts w:hint="eastAsia"/>
        </w:rPr>
        <w:t>2.</w:t>
      </w:r>
      <w:r>
        <w:rPr>
          <w:rFonts w:hint="eastAsia"/>
        </w:rPr>
        <w:tab/>
        <w:t>法官可以准许15岁的人在必要情况下结婚。准许应以达到法定成年年龄和身体健康为条件(第188(1959，修正版)号法第5条)。</w:t>
      </w:r>
    </w:p>
    <w:p w:rsidR="00EF3339" w:rsidRDefault="007D3A7D" w:rsidP="00AB65FD">
      <w:pPr>
        <w:pStyle w:val="SingleTxt"/>
        <w:ind w:left="1695"/>
        <w:rPr>
          <w:rFonts w:hint="eastAsia"/>
        </w:rPr>
      </w:pPr>
      <w:r>
        <w:tab/>
      </w:r>
      <w:r w:rsidR="00EF3339">
        <w:rPr>
          <w:rFonts w:hint="eastAsia"/>
        </w:rPr>
        <w:t>在库尔德斯坦地区，关于早婚问题的修正个人身份法的适用的第15(2008)号法第5条规定，16岁男子申请结婚，如果法官认为申请人具有法律行为能力而且身体健康，经征得该人的法定监护人同意，可给予准许。如果监护人拒绝，法官可要求他在一定期限内同意。如果他不反对或反对不值得考虑，法官应准许结婚。</w:t>
      </w:r>
    </w:p>
    <w:p w:rsidR="00EF3339" w:rsidRDefault="007D3A7D" w:rsidP="00AB65FD">
      <w:pPr>
        <w:pStyle w:val="SingleTxt"/>
        <w:ind w:left="1695"/>
        <w:rPr>
          <w:rFonts w:hint="eastAsia"/>
        </w:rPr>
      </w:pPr>
      <w:r>
        <w:tab/>
      </w:r>
      <w:r w:rsidR="00EF3339">
        <w:rPr>
          <w:rFonts w:hint="eastAsia"/>
        </w:rPr>
        <w:t>上述修正的效果是把申请结婚准许的年龄提高到16岁，而不是在伊拉克中部和南部实施的第188(1959，修正版)号法规定的15岁。于是，库尔德斯坦地区实际上提高了申请结婚的年龄。</w:t>
      </w:r>
    </w:p>
    <w:p w:rsidR="00EF3339" w:rsidRDefault="00EF3339" w:rsidP="00AB65FD">
      <w:pPr>
        <w:pStyle w:val="SingleTxt"/>
        <w:ind w:left="1695"/>
        <w:rPr>
          <w:rFonts w:hint="eastAsia"/>
        </w:rPr>
      </w:pPr>
      <w:r>
        <w:rPr>
          <w:rFonts w:hint="eastAsia"/>
        </w:rPr>
        <w:t>3.</w:t>
      </w:r>
      <w:r>
        <w:rPr>
          <w:rFonts w:hint="eastAsia"/>
        </w:rPr>
        <w:tab/>
        <w:t>第</w:t>
      </w:r>
      <w:hyperlink r:id="rId29" w:history="1">
        <w:r w:rsidRPr="00D209BE">
          <w:rPr>
            <w:rStyle w:val="Hyperlink"/>
            <w:rFonts w:hint="eastAsia"/>
          </w:rPr>
          <w:t>188(1959)</w:t>
        </w:r>
      </w:hyperlink>
      <w:r>
        <w:rPr>
          <w:rFonts w:hint="eastAsia"/>
        </w:rPr>
        <w:t>号个人身份法规定了男子娶第二个妻子的条件。事实上，未经法院准许而娶第二个妻子的人要承担法律责任，根据该个人身份法第3条的某些款的规定：</w:t>
      </w:r>
    </w:p>
    <w:p w:rsidR="00EF3339" w:rsidRDefault="00EF3339" w:rsidP="00AB65FD">
      <w:pPr>
        <w:pStyle w:val="SingleTxt"/>
        <w:ind w:left="1695"/>
        <w:rPr>
          <w:rFonts w:hint="eastAsia"/>
        </w:rPr>
      </w:pPr>
      <w:r>
        <w:rPr>
          <w:rFonts w:hint="eastAsia"/>
        </w:rPr>
        <w:t>4.</w:t>
      </w:r>
      <w:r>
        <w:rPr>
          <w:rFonts w:hint="eastAsia"/>
        </w:rPr>
        <w:tab/>
        <w:t>只有经法官准许才可以娶一个以上的妻子，而给予准许必须满足以下两个条件：</w:t>
      </w:r>
    </w:p>
    <w:p w:rsidR="00EF3339" w:rsidRDefault="00AB65FD" w:rsidP="00AB65FD">
      <w:pPr>
        <w:pStyle w:val="SingleTxt"/>
        <w:ind w:left="2126"/>
        <w:rPr>
          <w:rFonts w:hint="eastAsia"/>
        </w:rPr>
      </w:pPr>
      <w:r>
        <w:t>(</w:t>
      </w:r>
      <w:r w:rsidR="00EF3339">
        <w:rPr>
          <w:rFonts w:hint="eastAsia"/>
        </w:rPr>
        <w:t>a)</w:t>
      </w:r>
      <w:r w:rsidR="00EF3339">
        <w:rPr>
          <w:rFonts w:hint="eastAsia"/>
        </w:rPr>
        <w:tab/>
        <w:t>丈夫的财力足以养活一个以上的妻子；</w:t>
      </w:r>
    </w:p>
    <w:p w:rsidR="00EF3339" w:rsidRDefault="00AB65FD" w:rsidP="00AB65FD">
      <w:pPr>
        <w:pStyle w:val="SingleTxt"/>
        <w:ind w:left="2126"/>
        <w:rPr>
          <w:rFonts w:hint="eastAsia"/>
        </w:rPr>
      </w:pPr>
      <w:r>
        <w:t>(</w:t>
      </w:r>
      <w:r w:rsidR="00EF3339">
        <w:rPr>
          <w:rFonts w:hint="eastAsia"/>
        </w:rPr>
        <w:t>b)</w:t>
      </w:r>
      <w:r w:rsidR="00EF3339">
        <w:rPr>
          <w:rFonts w:hint="eastAsia"/>
        </w:rPr>
        <w:tab/>
        <w:t>必须具有合法权益。</w:t>
      </w:r>
    </w:p>
    <w:p w:rsidR="00EF3339" w:rsidRDefault="00EF3339" w:rsidP="00AB65FD">
      <w:pPr>
        <w:pStyle w:val="SingleTxt"/>
        <w:ind w:left="1695"/>
        <w:rPr>
          <w:rFonts w:hint="eastAsia"/>
        </w:rPr>
      </w:pPr>
      <w:r>
        <w:rPr>
          <w:rFonts w:hint="eastAsia"/>
        </w:rPr>
        <w:t>5.</w:t>
      </w:r>
      <w:r>
        <w:rPr>
          <w:rFonts w:hint="eastAsia"/>
        </w:rPr>
        <w:tab/>
        <w:t>如果妻子之间没有公正待遇，一夫多妻即为违法；是否公正由法官决定。该法第6条规定，在第一个婚姻仍然维持时缔结法院以外的婚约应受法律惩处。</w:t>
      </w:r>
    </w:p>
    <w:p w:rsidR="00EF3339" w:rsidRDefault="00EF3339" w:rsidP="00AB65FD">
      <w:pPr>
        <w:pStyle w:val="SingleTxt"/>
        <w:ind w:left="1695"/>
        <w:rPr>
          <w:rFonts w:hint="eastAsia"/>
        </w:rPr>
      </w:pPr>
      <w:r>
        <w:rPr>
          <w:rFonts w:hint="eastAsia"/>
        </w:rPr>
        <w:t>6.</w:t>
      </w:r>
      <w:r>
        <w:rPr>
          <w:rFonts w:hint="eastAsia"/>
        </w:rPr>
        <w:tab/>
        <w:t>任何人违反第</w:t>
      </w:r>
      <w:r w:rsidR="00AB65FD" w:rsidRPr="00EC09CC">
        <w:rPr>
          <w:rFonts w:hint="eastAsia"/>
          <w:lang w:val="fr-FR"/>
        </w:rPr>
        <w:t>⑷</w:t>
      </w:r>
      <w:r>
        <w:rPr>
          <w:rFonts w:hint="eastAsia"/>
        </w:rPr>
        <w:t>和第</w:t>
      </w:r>
      <w:r w:rsidR="00AB65FD" w:rsidRPr="00EC09CC">
        <w:rPr>
          <w:rFonts w:hint="eastAsia"/>
          <w:lang w:val="fr-FR"/>
        </w:rPr>
        <w:t>⑸</w:t>
      </w:r>
      <w:r>
        <w:rPr>
          <w:rFonts w:hint="eastAsia"/>
        </w:rPr>
        <w:t xml:space="preserve">款规定在法院以外缔结一个以上妻子的婚约，应处以一年以下监禁或100伊拉克第纳尔以下罚款，或既监禁又罚款。  </w:t>
      </w:r>
    </w:p>
    <w:p w:rsidR="00EF3339" w:rsidRDefault="007D3A7D" w:rsidP="00AB65FD">
      <w:pPr>
        <w:pStyle w:val="SingleTxt"/>
        <w:ind w:left="1695"/>
        <w:rPr>
          <w:rFonts w:hint="eastAsia"/>
        </w:rPr>
      </w:pPr>
      <w:r>
        <w:tab/>
      </w:r>
      <w:r w:rsidR="00EF3339">
        <w:rPr>
          <w:rFonts w:hint="eastAsia"/>
        </w:rPr>
        <w:t>在库尔德斯坦地区，根据适用个人身份法的第15(2008)号法律第3条，由法院裁决是否准许申请人娶第二个妻子。</w:t>
      </w:r>
    </w:p>
    <w:p w:rsidR="00EF3339" w:rsidRDefault="007D3A7D" w:rsidP="00AB65FD">
      <w:pPr>
        <w:pStyle w:val="SingleTxt"/>
        <w:ind w:left="1695"/>
        <w:rPr>
          <w:rFonts w:hint="eastAsia"/>
        </w:rPr>
      </w:pPr>
      <w:r>
        <w:tab/>
      </w:r>
      <w:r w:rsidR="00EF3339">
        <w:rPr>
          <w:rFonts w:hint="eastAsia"/>
        </w:rPr>
        <w:t>第二：暂停适用第</w:t>
      </w:r>
      <w:r w:rsidR="00AB65FD" w:rsidRPr="00EC09CC">
        <w:rPr>
          <w:rFonts w:hint="eastAsia"/>
          <w:lang w:val="fr-FR"/>
        </w:rPr>
        <w:t>⑷</w:t>
      </w:r>
      <w:r w:rsidR="00EF3339">
        <w:rPr>
          <w:rFonts w:hint="eastAsia"/>
        </w:rPr>
        <w:t>、</w:t>
      </w:r>
      <w:r w:rsidR="00AB65FD" w:rsidRPr="00EC09CC">
        <w:rPr>
          <w:rFonts w:hint="eastAsia"/>
          <w:lang w:val="fr-FR"/>
        </w:rPr>
        <w:t>⑸</w:t>
      </w:r>
      <w:r w:rsidR="00EF3339">
        <w:rPr>
          <w:rFonts w:hint="eastAsia"/>
        </w:rPr>
        <w:t>、</w:t>
      </w:r>
      <w:r w:rsidR="00AB65FD" w:rsidRPr="00EC09CC">
        <w:rPr>
          <w:rFonts w:hint="eastAsia"/>
          <w:lang w:val="fr-FR"/>
        </w:rPr>
        <w:t>⑹</w:t>
      </w:r>
      <w:r w:rsidR="00EF3339">
        <w:rPr>
          <w:rFonts w:hint="eastAsia"/>
        </w:rPr>
        <w:t>和</w:t>
      </w:r>
      <w:r w:rsidR="00AB65FD" w:rsidRPr="00EC09CC">
        <w:rPr>
          <w:rFonts w:hint="eastAsia"/>
          <w:lang w:val="fr-FR"/>
        </w:rPr>
        <w:t>⑺</w:t>
      </w:r>
      <w:r w:rsidR="00EF3339">
        <w:rPr>
          <w:rFonts w:hint="eastAsia"/>
        </w:rPr>
        <w:t>款，由以下规定取代：</w:t>
      </w:r>
    </w:p>
    <w:p w:rsidR="00EF3339" w:rsidRPr="00472ED8" w:rsidRDefault="00AB65FD" w:rsidP="00AB65FD">
      <w:pPr>
        <w:pStyle w:val="SingleTxt"/>
        <w:ind w:left="1695"/>
        <w:rPr>
          <w:rFonts w:hint="eastAsia"/>
          <w:spacing w:val="-4"/>
        </w:rPr>
      </w:pPr>
      <w:r>
        <w:tab/>
      </w:r>
      <w:r w:rsidR="00EF3339" w:rsidRPr="00472ED8">
        <w:rPr>
          <w:rFonts w:hint="eastAsia"/>
          <w:spacing w:val="-4"/>
        </w:rPr>
        <w:t>只有经过法官准许才能娶一个以上的妻子，而给予准许应满足以下条件：</w:t>
      </w:r>
    </w:p>
    <w:p w:rsidR="00EF3339" w:rsidRDefault="00AB65FD" w:rsidP="00AB65FD">
      <w:pPr>
        <w:pStyle w:val="SingleTxt"/>
        <w:ind w:left="2126"/>
        <w:rPr>
          <w:rFonts w:hint="eastAsia"/>
        </w:rPr>
      </w:pPr>
      <w:r>
        <w:t>(</w:t>
      </w:r>
      <w:r w:rsidR="00EF3339">
        <w:rPr>
          <w:rFonts w:hint="eastAsia"/>
        </w:rPr>
        <w:t>a)</w:t>
      </w:r>
      <w:r w:rsidR="00EF3339">
        <w:rPr>
          <w:rFonts w:hint="eastAsia"/>
        </w:rPr>
        <w:tab/>
        <w:t>第一个妻子在法院同意该婚姻；</w:t>
      </w:r>
    </w:p>
    <w:p w:rsidR="00EF3339" w:rsidRDefault="00AB65FD" w:rsidP="00AB65FD">
      <w:pPr>
        <w:pStyle w:val="SingleTxt"/>
        <w:ind w:left="2126"/>
        <w:rPr>
          <w:rFonts w:hint="eastAsia"/>
        </w:rPr>
      </w:pPr>
      <w:r>
        <w:t>(</w:t>
      </w:r>
      <w:r w:rsidR="00EF3339">
        <w:rPr>
          <w:rFonts w:hint="eastAsia"/>
        </w:rPr>
        <w:t>b)</w:t>
      </w:r>
      <w:r w:rsidR="00EF3339">
        <w:rPr>
          <w:rFonts w:hint="eastAsia"/>
        </w:rPr>
        <w:tab/>
        <w:t>有合格医学委员会报告证明，妻子有慢性长期疾病，无法行房，且没有希望康复，或妻子长期不孕；</w:t>
      </w:r>
    </w:p>
    <w:p w:rsidR="00EF3339" w:rsidRDefault="00AB65FD" w:rsidP="00AB65FD">
      <w:pPr>
        <w:pStyle w:val="SingleTxt"/>
        <w:ind w:left="2126"/>
        <w:rPr>
          <w:rFonts w:hint="eastAsia"/>
        </w:rPr>
      </w:pPr>
      <w:r>
        <w:t>(</w:t>
      </w:r>
      <w:r w:rsidR="00EF3339">
        <w:rPr>
          <w:rFonts w:hint="eastAsia"/>
        </w:rPr>
        <w:t>c)</w:t>
      </w:r>
      <w:r w:rsidR="00EF3339">
        <w:rPr>
          <w:rFonts w:hint="eastAsia"/>
        </w:rPr>
        <w:tab/>
        <w:t>在缔结婚约时向法院提出官方证件，证明有足够财力养活一个以上的妻子；</w:t>
      </w:r>
    </w:p>
    <w:p w:rsidR="00EF3339" w:rsidRDefault="00AB65FD" w:rsidP="00AB65FD">
      <w:pPr>
        <w:pStyle w:val="SingleTxt"/>
        <w:ind w:left="2126"/>
        <w:rPr>
          <w:rFonts w:hint="eastAsia"/>
        </w:rPr>
      </w:pPr>
      <w:r>
        <w:t>(</w:t>
      </w:r>
      <w:r w:rsidR="00EF3339">
        <w:rPr>
          <w:rFonts w:hint="eastAsia"/>
        </w:rPr>
        <w:t>d)</w:t>
      </w:r>
      <w:r w:rsidR="00EF3339">
        <w:rPr>
          <w:rFonts w:hint="eastAsia"/>
        </w:rPr>
        <w:tab/>
        <w:t>在缔结婚约前，丈夫向法院提出书面承诺，在分配财产以及其他物质和道德义务方面公正对待两个妻子；</w:t>
      </w:r>
    </w:p>
    <w:p w:rsidR="00EF3339" w:rsidRDefault="00AB65FD" w:rsidP="00AB65FD">
      <w:pPr>
        <w:pStyle w:val="SingleTxt"/>
        <w:ind w:left="2126"/>
        <w:rPr>
          <w:rFonts w:hint="eastAsia"/>
        </w:rPr>
      </w:pPr>
      <w:r>
        <w:t>(</w:t>
      </w:r>
      <w:r w:rsidR="00EF3339">
        <w:rPr>
          <w:rFonts w:hint="eastAsia"/>
        </w:rPr>
        <w:t>e)</w:t>
      </w:r>
      <w:r w:rsidR="00EF3339">
        <w:rPr>
          <w:rFonts w:hint="eastAsia"/>
        </w:rPr>
        <w:tab/>
        <w:t>妻子在婚约中没有事先规定，不能娶第二个妻子；</w:t>
      </w:r>
    </w:p>
    <w:p w:rsidR="00EF3339" w:rsidRDefault="00AB65FD" w:rsidP="00AB65FD">
      <w:pPr>
        <w:pStyle w:val="SingleTxt"/>
        <w:ind w:left="2126"/>
        <w:rPr>
          <w:rFonts w:hint="eastAsia"/>
        </w:rPr>
      </w:pPr>
      <w:r>
        <w:t>(</w:t>
      </w:r>
      <w:r w:rsidR="00EF3339">
        <w:rPr>
          <w:rFonts w:hint="eastAsia"/>
        </w:rPr>
        <w:t>f)</w:t>
      </w:r>
      <w:r w:rsidR="00EF3339">
        <w:rPr>
          <w:rFonts w:hint="eastAsia"/>
        </w:rPr>
        <w:tab/>
        <w:t>任何人违反本条(a)、(b)、(c)、(d)、和(e)款规定在法院以外缔</w:t>
      </w:r>
      <w:r w:rsidR="00EF3339" w:rsidRPr="00AB65FD">
        <w:rPr>
          <w:rFonts w:hint="eastAsia"/>
          <w:spacing w:val="-4"/>
        </w:rPr>
        <w:t>结一个以上妻子的婚约，应处以6个月以上至一年以下监禁和10 000 000</w:t>
      </w:r>
      <w:r w:rsidR="00EF3339">
        <w:rPr>
          <w:rFonts w:hint="eastAsia"/>
        </w:rPr>
        <w:t>伊拉克第纳尔罚款；</w:t>
      </w:r>
    </w:p>
    <w:p w:rsidR="00EF3339" w:rsidRDefault="00AB65FD" w:rsidP="00AB65FD">
      <w:pPr>
        <w:pStyle w:val="SingleTxt"/>
        <w:ind w:left="2126"/>
        <w:rPr>
          <w:rFonts w:hint="eastAsia"/>
        </w:rPr>
      </w:pPr>
      <w:r>
        <w:t>(</w:t>
      </w:r>
      <w:r w:rsidR="00EF3339">
        <w:rPr>
          <w:rFonts w:hint="eastAsia"/>
        </w:rPr>
        <w:t>g)</w:t>
      </w:r>
      <w:r w:rsidR="00EF3339">
        <w:rPr>
          <w:rFonts w:hint="eastAsia"/>
        </w:rPr>
        <w:tab/>
        <w:t>法官不得推迟执行上文(f)段所述处罚。</w:t>
      </w:r>
    </w:p>
    <w:p w:rsidR="00EF3339" w:rsidRDefault="00AB65FD" w:rsidP="00EF3339">
      <w:pPr>
        <w:pStyle w:val="SingleTxt"/>
        <w:rPr>
          <w:rFonts w:ascii="KaiTi_GB2312" w:eastAsia="KaiTi_GB2312"/>
          <w:sz w:val="15"/>
        </w:rPr>
      </w:pPr>
      <w:r>
        <w:tab/>
      </w:r>
      <w:r w:rsidR="00EF3339">
        <w:rPr>
          <w:rFonts w:hint="eastAsia"/>
        </w:rPr>
        <w:t>从上文可见，在这方面，库尔德斯坦地区的法律比第</w:t>
      </w:r>
      <w:hyperlink r:id="rId30" w:history="1">
        <w:r w:rsidR="00EF3339" w:rsidRPr="00D209BE">
          <w:rPr>
            <w:rStyle w:val="Hyperlink"/>
            <w:rFonts w:hint="eastAsia"/>
          </w:rPr>
          <w:t>188(1959)</w:t>
        </w:r>
      </w:hyperlink>
      <w:r w:rsidR="00EF3339">
        <w:rPr>
          <w:rFonts w:hint="eastAsia"/>
        </w:rPr>
        <w:t>号个人身份法进步。该法律消除了任何疑虑，规定法院必须取得第一个妻子同意才能准许丈夫娶第二个妻子，并要求丈夫在法院发誓承诺，公正对待两个妻子。该法律规定的条件超过了伊拉克中部和南部的现行规定。下表显示伊拉克各省(不包括库尔德斯坦地区)准许娶第二个妻子的理由和准许未满15岁男子以必要情况为理由结婚的次数：</w:t>
      </w:r>
    </w:p>
    <w:tbl>
      <w:tblPr>
        <w:tblW w:w="0" w:type="auto"/>
        <w:tblInd w:w="1260" w:type="dxa"/>
        <w:tblLayout w:type="fixed"/>
        <w:tblCellMar>
          <w:left w:w="0" w:type="dxa"/>
          <w:right w:w="0" w:type="dxa"/>
        </w:tblCellMar>
        <w:tblLook w:val="0000"/>
      </w:tblPr>
      <w:tblGrid>
        <w:gridCol w:w="4880"/>
        <w:gridCol w:w="1220"/>
        <w:gridCol w:w="1220"/>
      </w:tblGrid>
      <w:tr w:rsidR="00472ED8" w:rsidRPr="00472ED8" w:rsidTr="00472ED8">
        <w:tblPrEx>
          <w:tblCellMar>
            <w:top w:w="0" w:type="dxa"/>
            <w:bottom w:w="0" w:type="dxa"/>
          </w:tblCellMar>
        </w:tblPrEx>
        <w:trPr>
          <w:tblHeader/>
        </w:trPr>
        <w:tc>
          <w:tcPr>
            <w:tcW w:w="4880" w:type="dxa"/>
            <w:tcBorders>
              <w:top w:val="single" w:sz="4" w:space="0" w:color="auto"/>
              <w:bottom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472ED8">
              <w:rPr>
                <w:rFonts w:ascii="KaiTi_GB2312" w:eastAsia="KaiTi_GB2312" w:hint="eastAsia"/>
                <w:sz w:val="15"/>
              </w:rPr>
              <w:t>理由</w:t>
            </w:r>
          </w:p>
        </w:tc>
        <w:tc>
          <w:tcPr>
            <w:tcW w:w="1220" w:type="dxa"/>
            <w:tcBorders>
              <w:top w:val="single" w:sz="4" w:space="0" w:color="auto"/>
              <w:bottom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72ED8">
              <w:rPr>
                <w:rFonts w:ascii="KaiTi_GB2312" w:eastAsia="KaiTi_GB2312" w:hint="eastAsia"/>
                <w:sz w:val="15"/>
              </w:rPr>
              <w:t>2011</w:t>
            </w:r>
          </w:p>
        </w:tc>
        <w:tc>
          <w:tcPr>
            <w:tcW w:w="1220" w:type="dxa"/>
            <w:tcBorders>
              <w:top w:val="single" w:sz="4" w:space="0" w:color="auto"/>
              <w:bottom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472ED8">
              <w:rPr>
                <w:rFonts w:ascii="KaiTi_GB2312" w:eastAsia="KaiTi_GB2312" w:hint="eastAsia"/>
                <w:sz w:val="15"/>
              </w:rPr>
              <w:t>2012</w:t>
            </w:r>
          </w:p>
        </w:tc>
      </w:tr>
      <w:tr w:rsidR="00472ED8" w:rsidRPr="00472ED8" w:rsidTr="00472ED8">
        <w:tblPrEx>
          <w:tblCellMar>
            <w:top w:w="0" w:type="dxa"/>
            <w:bottom w:w="0" w:type="dxa"/>
          </w:tblCellMar>
        </w:tblPrEx>
        <w:trPr>
          <w:trHeight w:hRule="exact" w:val="115"/>
          <w:tblHeader/>
        </w:trPr>
        <w:tc>
          <w:tcPr>
            <w:tcW w:w="4880" w:type="dxa"/>
            <w:tcBorders>
              <w:top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after="60" w:line="280" w:lineRule="exact"/>
              <w:ind w:right="57"/>
              <w:rPr>
                <w:sz w:val="17"/>
              </w:rPr>
            </w:pPr>
          </w:p>
        </w:tc>
        <w:tc>
          <w:tcPr>
            <w:tcW w:w="1220" w:type="dxa"/>
            <w:tcBorders>
              <w:top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after="60" w:line="280" w:lineRule="exact"/>
              <w:ind w:right="57"/>
              <w:jc w:val="right"/>
              <w:rPr>
                <w:sz w:val="17"/>
              </w:rPr>
            </w:pPr>
          </w:p>
        </w:tc>
        <w:tc>
          <w:tcPr>
            <w:tcW w:w="1220" w:type="dxa"/>
            <w:tcBorders>
              <w:top w:val="single" w:sz="12" w:space="0" w:color="auto"/>
            </w:tcBorders>
            <w:shd w:val="clear" w:color="auto" w:fill="auto"/>
            <w:vAlign w:val="bottom"/>
          </w:tcPr>
          <w:p w:rsidR="00472ED8" w:rsidRPr="00472ED8" w:rsidRDefault="00472ED8" w:rsidP="00472ED8">
            <w:pPr>
              <w:tabs>
                <w:tab w:val="left" w:pos="360"/>
                <w:tab w:val="left" w:pos="720"/>
                <w:tab w:val="left" w:pos="1080"/>
                <w:tab w:val="left" w:pos="1440"/>
              </w:tabs>
              <w:suppressAutoHyphens/>
              <w:spacing w:after="60" w:line="280" w:lineRule="exact"/>
              <w:ind w:right="57"/>
              <w:jc w:val="right"/>
              <w:rPr>
                <w:sz w:val="17"/>
              </w:rPr>
            </w:pPr>
          </w:p>
        </w:tc>
      </w:tr>
      <w:tr w:rsidR="00472ED8" w:rsidRPr="00472ED8" w:rsidTr="001C2F29">
        <w:tblPrEx>
          <w:tblCellMar>
            <w:top w:w="0" w:type="dxa"/>
            <w:bottom w:w="0" w:type="dxa"/>
          </w:tblCellMar>
        </w:tblPrEx>
        <w:tc>
          <w:tcPr>
            <w:tcW w:w="4880" w:type="dxa"/>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rPr>
                <w:sz w:val="17"/>
              </w:rPr>
            </w:pPr>
            <w:r w:rsidRPr="00472ED8">
              <w:rPr>
                <w:rFonts w:hint="eastAsia"/>
                <w:sz w:val="17"/>
              </w:rPr>
              <w:t>准许娶第二个妻子的理由</w:t>
            </w:r>
          </w:p>
        </w:tc>
        <w:tc>
          <w:tcPr>
            <w:tcW w:w="1220" w:type="dxa"/>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jc w:val="right"/>
              <w:rPr>
                <w:sz w:val="17"/>
              </w:rPr>
            </w:pPr>
            <w:r w:rsidRPr="00472ED8">
              <w:rPr>
                <w:rFonts w:hint="eastAsia"/>
                <w:sz w:val="17"/>
              </w:rPr>
              <w:t>4 193</w:t>
            </w:r>
          </w:p>
        </w:tc>
        <w:tc>
          <w:tcPr>
            <w:tcW w:w="1220" w:type="dxa"/>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jc w:val="right"/>
              <w:rPr>
                <w:sz w:val="17"/>
              </w:rPr>
            </w:pPr>
            <w:r w:rsidRPr="00472ED8">
              <w:rPr>
                <w:rFonts w:hint="eastAsia"/>
                <w:sz w:val="17"/>
              </w:rPr>
              <w:t>5</w:t>
            </w:r>
            <w:r>
              <w:rPr>
                <w:sz w:val="17"/>
              </w:rPr>
              <w:t xml:space="preserve"> </w:t>
            </w:r>
            <w:r w:rsidRPr="00472ED8">
              <w:rPr>
                <w:rFonts w:hint="eastAsia"/>
                <w:sz w:val="17"/>
              </w:rPr>
              <w:t>124</w:t>
            </w:r>
          </w:p>
        </w:tc>
      </w:tr>
      <w:tr w:rsidR="00472ED8" w:rsidRPr="00472ED8" w:rsidTr="001C2F29">
        <w:tblPrEx>
          <w:tblCellMar>
            <w:top w:w="0" w:type="dxa"/>
            <w:bottom w:w="0" w:type="dxa"/>
          </w:tblCellMar>
        </w:tblPrEx>
        <w:tc>
          <w:tcPr>
            <w:tcW w:w="4880" w:type="dxa"/>
            <w:tcBorders>
              <w:bottom w:val="single" w:sz="12" w:space="0" w:color="auto"/>
            </w:tcBorders>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rPr>
                <w:sz w:val="17"/>
              </w:rPr>
            </w:pPr>
            <w:r w:rsidRPr="00472ED8">
              <w:rPr>
                <w:rFonts w:hint="eastAsia"/>
                <w:sz w:val="17"/>
              </w:rPr>
              <w:t>必要情况的理由</w:t>
            </w:r>
          </w:p>
        </w:tc>
        <w:tc>
          <w:tcPr>
            <w:tcW w:w="1220" w:type="dxa"/>
            <w:tcBorders>
              <w:bottom w:val="single" w:sz="12" w:space="0" w:color="auto"/>
            </w:tcBorders>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jc w:val="right"/>
              <w:rPr>
                <w:sz w:val="17"/>
              </w:rPr>
            </w:pPr>
            <w:r w:rsidRPr="00472ED8">
              <w:rPr>
                <w:rFonts w:hint="eastAsia"/>
                <w:sz w:val="17"/>
              </w:rPr>
              <w:t>4 147</w:t>
            </w:r>
          </w:p>
        </w:tc>
        <w:tc>
          <w:tcPr>
            <w:tcW w:w="1220" w:type="dxa"/>
            <w:tcBorders>
              <w:bottom w:val="single" w:sz="12" w:space="0" w:color="auto"/>
            </w:tcBorders>
            <w:shd w:val="clear" w:color="auto" w:fill="auto"/>
            <w:vAlign w:val="bottom"/>
          </w:tcPr>
          <w:p w:rsidR="00472ED8" w:rsidRPr="00472ED8" w:rsidRDefault="00472ED8" w:rsidP="00472ED8">
            <w:pPr>
              <w:tabs>
                <w:tab w:val="left" w:pos="334"/>
                <w:tab w:val="left" w:pos="669"/>
                <w:tab w:val="left" w:pos="1003"/>
                <w:tab w:val="left" w:pos="1338"/>
              </w:tabs>
              <w:suppressAutoHyphens/>
              <w:spacing w:after="60" w:line="280" w:lineRule="exact"/>
              <w:ind w:right="57"/>
              <w:jc w:val="right"/>
              <w:rPr>
                <w:sz w:val="17"/>
              </w:rPr>
            </w:pPr>
            <w:r w:rsidRPr="00472ED8">
              <w:rPr>
                <w:rFonts w:hint="eastAsia"/>
                <w:sz w:val="17"/>
              </w:rPr>
              <w:t>1 422</w:t>
            </w:r>
          </w:p>
        </w:tc>
      </w:tr>
    </w:tbl>
    <w:p w:rsidR="00EA31C3" w:rsidRDefault="00472ED8" w:rsidP="00EF3339">
      <w:pPr>
        <w:pStyle w:val="SingleTxt"/>
      </w:pPr>
      <w:r>
        <w:tab/>
      </w:r>
      <w:r w:rsidR="00EF3339">
        <w:rPr>
          <w:rFonts w:hint="eastAsia"/>
        </w:rPr>
        <w:t>从上文“必要情况”的次数可知，早婚现象开始减少。这是因为开展了提高认识运动(民间社会组织、人权部、国家妇女事务部和媒体都参加了活动)，司法机构也采取严厉措施，追究在法院外缔结婚约的责任，而且不随便同意所述理由。限制早婚的工作还在继续进行。</w:t>
      </w:r>
    </w:p>
    <w:p w:rsidR="00472ED8" w:rsidRPr="00472ED8" w:rsidRDefault="00472ED8" w:rsidP="00472ED8">
      <w:pPr>
        <w:pStyle w:val="SingleTxt"/>
        <w:spacing w:after="0" w:line="240" w:lineRule="auto"/>
        <w:rPr>
          <w:sz w:val="20"/>
        </w:rPr>
      </w:pPr>
      <w:r>
        <w:rPr>
          <w:noProof/>
          <w:sz w:val="20"/>
        </w:rPr>
        <w:pict>
          <v:line id="_x0000_s1028" style="position:absolute;left:0;text-align:left;z-index:3;mso-position-horizontal:center" from="0,30pt" to="1in,30pt" strokeweight=".25pt"/>
        </w:pict>
      </w:r>
    </w:p>
    <w:sectPr w:rsidR="00472ED8" w:rsidRPr="00472ED8" w:rsidSect="004C6459">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07T11:03:00Z" w:initials="Start">
    <w:p w:rsidR="0083070E" w:rsidRDefault="0083070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NO&gt;&gt;N1355027C&lt;&lt;ODS JOB NO&gt;&gt;</w:t>
      </w:r>
    </w:p>
    <w:p w:rsidR="0083070E" w:rsidRDefault="0083070E">
      <w:pPr>
        <w:pStyle w:val="CommentText"/>
      </w:pPr>
      <w:r>
        <w:t>&lt;&lt;ODS DOC SYMBOL1&gt;&gt;CEDAW/C/IRQ/Q/4-6/Add.1&lt;&lt;ODS DOC SYMBOL1&gt;&gt;</w:t>
      </w:r>
    </w:p>
    <w:p w:rsidR="0083070E" w:rsidRDefault="0083070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B2" w:rsidRDefault="009816B2">
      <w:r>
        <w:separator/>
      </w:r>
    </w:p>
  </w:endnote>
  <w:endnote w:type="continuationSeparator" w:id="0">
    <w:p w:rsidR="009816B2" w:rsidRDefault="00981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3070E" w:rsidTr="004C6459">
      <w:tblPrEx>
        <w:tblCellMar>
          <w:top w:w="0" w:type="dxa"/>
          <w:bottom w:w="0" w:type="dxa"/>
        </w:tblCellMar>
      </w:tblPrEx>
      <w:tc>
        <w:tcPr>
          <w:tcW w:w="5033" w:type="dxa"/>
          <w:shd w:val="clear" w:color="auto" w:fill="auto"/>
        </w:tcPr>
        <w:p w:rsidR="0083070E" w:rsidRPr="004C6459" w:rsidRDefault="0083070E" w:rsidP="004C6459">
          <w:pPr>
            <w:pStyle w:val="Footer"/>
            <w:jc w:val="right"/>
            <w:rPr>
              <w:b w:val="0"/>
              <w:w w:val="103"/>
              <w:sz w:val="14"/>
            </w:rPr>
          </w:pPr>
          <w:fldSimple w:instr=" DOCVARIABLE &quot;FooterJN&quot; \* MERGEFORMAT ">
            <w:r>
              <w:rPr>
                <w:b w:val="0"/>
                <w:w w:val="103"/>
                <w:sz w:val="14"/>
              </w:rPr>
              <w:t>13-55027 (C)</w:t>
            </w:r>
          </w:fldSimple>
        </w:p>
      </w:tc>
      <w:tc>
        <w:tcPr>
          <w:tcW w:w="5033" w:type="dxa"/>
          <w:shd w:val="clear" w:color="auto" w:fill="auto"/>
        </w:tcPr>
        <w:p w:rsidR="0083070E" w:rsidRPr="004C6459" w:rsidRDefault="0083070E" w:rsidP="004C6459">
          <w:pPr>
            <w:pStyle w:val="Footer"/>
            <w:jc w:val="left"/>
            <w:rPr>
              <w:w w:val="103"/>
            </w:rPr>
          </w:pPr>
          <w:r>
            <w:rPr>
              <w:w w:val="103"/>
            </w:rPr>
            <w:fldChar w:fldCharType="begin"/>
          </w:r>
          <w:r>
            <w:rPr>
              <w:w w:val="103"/>
            </w:rPr>
            <w:instrText xml:space="preserve"> PAGE  \* Arabic  \* MERGEFORMAT </w:instrText>
          </w:r>
          <w:r>
            <w:rPr>
              <w:w w:val="103"/>
            </w:rPr>
            <w:fldChar w:fldCharType="separate"/>
          </w:r>
          <w:r w:rsidR="00B7299C">
            <w:rPr>
              <w:w w:val="103"/>
            </w:rPr>
            <w:t>22</w:t>
          </w:r>
          <w:r>
            <w:rPr>
              <w:w w:val="103"/>
            </w:rPr>
            <w:fldChar w:fldCharType="end"/>
          </w:r>
          <w:r>
            <w:rPr>
              <w:w w:val="103"/>
            </w:rPr>
            <w:t>/</w:t>
          </w:r>
          <w:fldSimple w:instr=" NUMPAGES  \* Arabic  \* MERGEFORMAT ">
            <w:r w:rsidR="00B7299C">
              <w:rPr>
                <w:w w:val="103"/>
              </w:rPr>
              <w:t>31</w:t>
            </w:r>
          </w:fldSimple>
        </w:p>
      </w:tc>
    </w:tr>
  </w:tbl>
  <w:p w:rsidR="0083070E" w:rsidRPr="004C6459" w:rsidRDefault="0083070E" w:rsidP="004C6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3070E" w:rsidTr="004C6459">
      <w:tblPrEx>
        <w:tblCellMar>
          <w:top w:w="0" w:type="dxa"/>
          <w:bottom w:w="0" w:type="dxa"/>
        </w:tblCellMar>
      </w:tblPrEx>
      <w:tc>
        <w:tcPr>
          <w:tcW w:w="5033" w:type="dxa"/>
          <w:shd w:val="clear" w:color="auto" w:fill="auto"/>
        </w:tcPr>
        <w:p w:rsidR="0083070E" w:rsidRPr="004C6459" w:rsidRDefault="0083070E" w:rsidP="004C6459">
          <w:pPr>
            <w:pStyle w:val="Footer"/>
            <w:jc w:val="right"/>
          </w:pPr>
          <w:fldSimple w:instr=" PAGE  \* Arabic  \* MERGEFORMAT ">
            <w:r w:rsidR="00B7299C">
              <w:t>23</w:t>
            </w:r>
          </w:fldSimple>
          <w:r>
            <w:t>/</w:t>
          </w:r>
          <w:fldSimple w:instr=" NUMPAGES  \* Arabic  \* MERGEFORMAT ">
            <w:r w:rsidR="00B7299C">
              <w:t>31</w:t>
            </w:r>
          </w:fldSimple>
        </w:p>
      </w:tc>
      <w:tc>
        <w:tcPr>
          <w:tcW w:w="5033" w:type="dxa"/>
          <w:shd w:val="clear" w:color="auto" w:fill="auto"/>
        </w:tcPr>
        <w:p w:rsidR="0083070E" w:rsidRPr="004C6459" w:rsidRDefault="0083070E" w:rsidP="004C6459">
          <w:pPr>
            <w:pStyle w:val="Footer"/>
            <w:jc w:val="left"/>
            <w:rPr>
              <w:b w:val="0"/>
              <w:w w:val="103"/>
              <w:sz w:val="14"/>
            </w:rPr>
          </w:pPr>
          <w:fldSimple w:instr=" DOCVARIABLE &quot;FooterJN&quot; \* MERGEFORMAT ">
            <w:r>
              <w:rPr>
                <w:b w:val="0"/>
                <w:w w:val="103"/>
                <w:sz w:val="14"/>
              </w:rPr>
              <w:t>13-55027 (C)</w:t>
            </w:r>
          </w:fldSimple>
        </w:p>
      </w:tc>
    </w:tr>
  </w:tbl>
  <w:p w:rsidR="0083070E" w:rsidRPr="004C6459" w:rsidRDefault="0083070E" w:rsidP="004C64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3070E" w:rsidTr="004C6459">
      <w:tblPrEx>
        <w:tblCellMar>
          <w:top w:w="0" w:type="dxa"/>
          <w:bottom w:w="0" w:type="dxa"/>
        </w:tblCellMar>
      </w:tblPrEx>
      <w:tc>
        <w:tcPr>
          <w:tcW w:w="5033" w:type="dxa"/>
        </w:tcPr>
        <w:p w:rsidR="0083070E" w:rsidRDefault="0083070E" w:rsidP="004C6459">
          <w:pPr>
            <w:pStyle w:val="Footer"/>
            <w:rPr>
              <w:b w:val="0"/>
              <w:sz w:val="21"/>
            </w:rPr>
          </w:pPr>
          <w:r w:rsidRPr="004E558C">
            <w:rPr>
              <w:b w:val="0"/>
              <w:sz w:val="21"/>
            </w:rPr>
            <w:t xml:space="preserve">13-55027 </w:t>
          </w:r>
          <w:r>
            <w:rPr>
              <w:rFonts w:hint="eastAsia"/>
              <w:b w:val="0"/>
              <w:sz w:val="21"/>
            </w:rPr>
            <w:t>X</w:t>
          </w:r>
          <w:r>
            <w:rPr>
              <w:b w:val="0"/>
              <w:sz w:val="21"/>
            </w:rPr>
            <w:t xml:space="preserve"> </w:t>
          </w:r>
          <w:r w:rsidRPr="004E558C">
            <w:rPr>
              <w:b w:val="0"/>
              <w:sz w:val="21"/>
            </w:rPr>
            <w:t>(C)</w:t>
          </w:r>
          <w:r>
            <w:rPr>
              <w:b w:val="0"/>
              <w:sz w:val="21"/>
            </w:rPr>
            <w:t xml:space="preserve">    060114    0</w:t>
          </w:r>
          <w:r>
            <w:rPr>
              <w:rFonts w:hint="eastAsia"/>
              <w:b w:val="0"/>
              <w:sz w:val="21"/>
            </w:rPr>
            <w:t>7</w:t>
          </w:r>
          <w:r>
            <w:rPr>
              <w:b w:val="0"/>
              <w:sz w:val="21"/>
            </w:rPr>
            <w:t>0114</w:t>
          </w:r>
        </w:p>
        <w:p w:rsidR="0083070E" w:rsidRPr="004C6459" w:rsidRDefault="0083070E" w:rsidP="004C6459">
          <w:pPr>
            <w:spacing w:before="80" w:line="210" w:lineRule="exact"/>
            <w:rPr>
              <w:rFonts w:ascii="Barcode 3 of 9 by request" w:hAnsi="Barcode 3 of 9 by request"/>
              <w:sz w:val="24"/>
            </w:rPr>
          </w:pPr>
          <w:r>
            <w:rPr>
              <w:rFonts w:ascii="Barcode 3 of 9 by request" w:hAnsi="Barcode 3 of 9 by request"/>
              <w:sz w:val="24"/>
            </w:rPr>
            <w:t>*1355027*</w:t>
          </w:r>
        </w:p>
      </w:tc>
      <w:tc>
        <w:tcPr>
          <w:tcW w:w="3686" w:type="dxa"/>
        </w:tcPr>
        <w:p w:rsidR="0083070E" w:rsidRDefault="0083070E" w:rsidP="004C6459">
          <w:pPr>
            <w:pStyle w:val="Footer"/>
            <w:jc w:val="right"/>
            <w:rPr>
              <w:b w:val="0"/>
              <w:sz w:val="21"/>
            </w:rPr>
          </w:pPr>
          <w:r w:rsidRPr="004C6459">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3070E" w:rsidRPr="004C6459" w:rsidRDefault="0083070E" w:rsidP="004C6459">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B2" w:rsidRDefault="009816B2">
      <w:r>
        <w:separator/>
      </w:r>
    </w:p>
  </w:footnote>
  <w:footnote w:type="continuationSeparator" w:id="0">
    <w:p w:rsidR="009816B2" w:rsidRDefault="00981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3070E" w:rsidTr="004C6459">
      <w:tblPrEx>
        <w:tblCellMar>
          <w:top w:w="0" w:type="dxa"/>
          <w:bottom w:w="0" w:type="dxa"/>
        </w:tblCellMar>
      </w:tblPrEx>
      <w:trPr>
        <w:trHeight w:hRule="exact" w:val="864"/>
      </w:trPr>
      <w:tc>
        <w:tcPr>
          <w:tcW w:w="4838" w:type="dxa"/>
          <w:shd w:val="clear" w:color="auto" w:fill="auto"/>
          <w:vAlign w:val="bottom"/>
        </w:tcPr>
        <w:p w:rsidR="0083070E" w:rsidRPr="004C6459" w:rsidRDefault="0083070E" w:rsidP="004C6459">
          <w:pPr>
            <w:pStyle w:val="Header"/>
            <w:spacing w:after="80"/>
            <w:jc w:val="left"/>
            <w:rPr>
              <w:b/>
              <w:sz w:val="17"/>
            </w:rPr>
          </w:pPr>
          <w:fldSimple w:instr=" DOCVARIABLE &quot;sss1&quot; \* MERGEFORMAT ">
            <w:r>
              <w:rPr>
                <w:b/>
                <w:sz w:val="17"/>
              </w:rPr>
              <w:t>CEDAW/C/IRQ/Q/4-6/Add.1</w:t>
            </w:r>
          </w:fldSimple>
        </w:p>
      </w:tc>
      <w:tc>
        <w:tcPr>
          <w:tcW w:w="5033" w:type="dxa"/>
          <w:shd w:val="clear" w:color="auto" w:fill="auto"/>
          <w:vAlign w:val="bottom"/>
        </w:tcPr>
        <w:p w:rsidR="0083070E" w:rsidRDefault="0083070E" w:rsidP="004C6459">
          <w:pPr>
            <w:pStyle w:val="Header"/>
          </w:pPr>
        </w:p>
      </w:tc>
    </w:tr>
  </w:tbl>
  <w:p w:rsidR="0083070E" w:rsidRPr="004C6459" w:rsidRDefault="0083070E" w:rsidP="004C6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3070E" w:rsidTr="004C6459">
      <w:tblPrEx>
        <w:tblCellMar>
          <w:top w:w="0" w:type="dxa"/>
          <w:bottom w:w="0" w:type="dxa"/>
        </w:tblCellMar>
      </w:tblPrEx>
      <w:trPr>
        <w:trHeight w:hRule="exact" w:val="864"/>
      </w:trPr>
      <w:tc>
        <w:tcPr>
          <w:tcW w:w="4838" w:type="dxa"/>
          <w:shd w:val="clear" w:color="auto" w:fill="auto"/>
          <w:vAlign w:val="bottom"/>
        </w:tcPr>
        <w:p w:rsidR="0083070E" w:rsidRDefault="0083070E" w:rsidP="004C6459">
          <w:pPr>
            <w:pStyle w:val="Header"/>
          </w:pPr>
        </w:p>
      </w:tc>
      <w:tc>
        <w:tcPr>
          <w:tcW w:w="5033" w:type="dxa"/>
          <w:shd w:val="clear" w:color="auto" w:fill="auto"/>
          <w:vAlign w:val="bottom"/>
        </w:tcPr>
        <w:p w:rsidR="0083070E" w:rsidRPr="004C6459" w:rsidRDefault="0083070E" w:rsidP="004C6459">
          <w:pPr>
            <w:pStyle w:val="Header"/>
            <w:spacing w:after="80"/>
            <w:jc w:val="right"/>
            <w:rPr>
              <w:b/>
              <w:sz w:val="17"/>
            </w:rPr>
          </w:pPr>
          <w:fldSimple w:instr=" DOCVARIABLE &quot;sss1&quot; \* MERGEFORMAT ">
            <w:r>
              <w:rPr>
                <w:b/>
                <w:sz w:val="17"/>
              </w:rPr>
              <w:t>CEDAW/C/IRQ/Q/4-6/Add.1</w:t>
            </w:r>
          </w:fldSimple>
        </w:p>
      </w:tc>
    </w:tr>
  </w:tbl>
  <w:p w:rsidR="0083070E" w:rsidRPr="004C6459" w:rsidRDefault="0083070E" w:rsidP="004C6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3070E" w:rsidTr="004C645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3070E" w:rsidRDefault="0083070E" w:rsidP="004C6459">
          <w:pPr>
            <w:pStyle w:val="Header"/>
            <w:spacing w:after="120"/>
          </w:pPr>
        </w:p>
      </w:tc>
      <w:tc>
        <w:tcPr>
          <w:tcW w:w="1872" w:type="dxa"/>
          <w:tcBorders>
            <w:bottom w:val="single" w:sz="4" w:space="0" w:color="auto"/>
          </w:tcBorders>
          <w:shd w:val="clear" w:color="auto" w:fill="auto"/>
          <w:vAlign w:val="bottom"/>
        </w:tcPr>
        <w:p w:rsidR="0083070E" w:rsidRPr="004C6459" w:rsidRDefault="0083070E" w:rsidP="004C645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3070E" w:rsidRDefault="0083070E" w:rsidP="004C6459">
          <w:pPr>
            <w:pStyle w:val="Header"/>
            <w:spacing w:after="120"/>
          </w:pPr>
        </w:p>
      </w:tc>
      <w:tc>
        <w:tcPr>
          <w:tcW w:w="6523" w:type="dxa"/>
          <w:gridSpan w:val="3"/>
          <w:tcBorders>
            <w:bottom w:val="single" w:sz="4" w:space="0" w:color="auto"/>
          </w:tcBorders>
          <w:shd w:val="clear" w:color="auto" w:fill="auto"/>
          <w:vAlign w:val="bottom"/>
        </w:tcPr>
        <w:p w:rsidR="0083070E" w:rsidRPr="004C6459" w:rsidRDefault="0083070E" w:rsidP="004C6459">
          <w:pPr>
            <w:spacing w:after="80" w:line="240" w:lineRule="auto"/>
            <w:jc w:val="right"/>
            <w:rPr>
              <w:rFonts w:ascii="Times New Roman"/>
              <w:position w:val="-4"/>
            </w:rPr>
          </w:pPr>
          <w:r>
            <w:rPr>
              <w:rFonts w:ascii="Times New Roman"/>
              <w:position w:val="-4"/>
              <w:sz w:val="40"/>
            </w:rPr>
            <w:t>CEDAW</w:t>
          </w:r>
          <w:r>
            <w:rPr>
              <w:rFonts w:ascii="Times New Roman"/>
              <w:position w:val="-4"/>
            </w:rPr>
            <w:t>/C/IRQ/Q/4-6/Add.1</w:t>
          </w:r>
        </w:p>
      </w:tc>
    </w:tr>
    <w:tr w:rsidR="0083070E" w:rsidRPr="004C6459" w:rsidTr="004C645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3070E" w:rsidRDefault="0083070E" w:rsidP="004C645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3070E" w:rsidRPr="004C6459" w:rsidRDefault="0083070E" w:rsidP="004C6459">
          <w:pPr>
            <w:pStyle w:val="Header"/>
            <w:spacing w:before="109"/>
            <w:ind w:left="-72"/>
          </w:pPr>
        </w:p>
      </w:tc>
      <w:tc>
        <w:tcPr>
          <w:tcW w:w="5227" w:type="dxa"/>
          <w:gridSpan w:val="3"/>
          <w:tcBorders>
            <w:top w:val="single" w:sz="4" w:space="0" w:color="auto"/>
            <w:bottom w:val="single" w:sz="12" w:space="0" w:color="auto"/>
          </w:tcBorders>
          <w:shd w:val="clear" w:color="auto" w:fill="auto"/>
        </w:tcPr>
        <w:p w:rsidR="0083070E" w:rsidRPr="004C6459" w:rsidRDefault="0083070E" w:rsidP="004C645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3070E" w:rsidRPr="004C6459" w:rsidRDefault="0083070E" w:rsidP="004C6459">
          <w:pPr>
            <w:pStyle w:val="Header"/>
            <w:spacing w:before="109"/>
          </w:pPr>
        </w:p>
      </w:tc>
      <w:tc>
        <w:tcPr>
          <w:tcW w:w="3180" w:type="dxa"/>
          <w:gridSpan w:val="2"/>
          <w:tcBorders>
            <w:top w:val="single" w:sz="4" w:space="0" w:color="auto"/>
            <w:bottom w:val="single" w:sz="12" w:space="0" w:color="auto"/>
          </w:tcBorders>
          <w:shd w:val="clear" w:color="auto" w:fill="auto"/>
        </w:tcPr>
        <w:p w:rsidR="0083070E" w:rsidRDefault="0083070E" w:rsidP="004C6459">
          <w:pPr>
            <w:spacing w:before="240" w:line="240" w:lineRule="exact"/>
            <w:rPr>
              <w:rFonts w:ascii="Times New Roman"/>
            </w:rPr>
          </w:pPr>
          <w:r>
            <w:rPr>
              <w:rFonts w:ascii="Times New Roman"/>
            </w:rPr>
            <w:t>Distr.: General</w:t>
          </w:r>
        </w:p>
        <w:p w:rsidR="0083070E" w:rsidRDefault="0083070E" w:rsidP="004C6459">
          <w:pPr>
            <w:spacing w:line="240" w:lineRule="exact"/>
            <w:rPr>
              <w:rFonts w:ascii="Times New Roman"/>
            </w:rPr>
          </w:pPr>
          <w:r>
            <w:rPr>
              <w:rFonts w:ascii="Times New Roman"/>
            </w:rPr>
            <w:t>6 November 2013</w:t>
          </w:r>
        </w:p>
        <w:p w:rsidR="0083070E" w:rsidRDefault="0083070E" w:rsidP="004C6459">
          <w:pPr>
            <w:spacing w:line="240" w:lineRule="exact"/>
            <w:rPr>
              <w:rFonts w:ascii="Times New Roman"/>
            </w:rPr>
          </w:pPr>
          <w:r>
            <w:rPr>
              <w:rFonts w:ascii="Times New Roman"/>
            </w:rPr>
            <w:t>Chinese</w:t>
          </w:r>
        </w:p>
        <w:p w:rsidR="0083070E" w:rsidRPr="004C6459" w:rsidRDefault="0083070E" w:rsidP="004C6459">
          <w:pPr>
            <w:spacing w:line="240" w:lineRule="exact"/>
            <w:rPr>
              <w:rFonts w:ascii="Times New Roman"/>
            </w:rPr>
          </w:pPr>
          <w:r>
            <w:rPr>
              <w:rFonts w:ascii="Times New Roman"/>
            </w:rPr>
            <w:t>Original: Arabic/English</w:t>
          </w:r>
        </w:p>
      </w:tc>
    </w:tr>
  </w:tbl>
  <w:p w:rsidR="0083070E" w:rsidRPr="004C6459" w:rsidRDefault="0083070E" w:rsidP="004C645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5027*"/>
    <w:docVar w:name="CreationDt" w:val="06/01/2014 14:47:04"/>
    <w:docVar w:name="DocCategory" w:val="Doc"/>
    <w:docVar w:name="DocType" w:val="Final"/>
    <w:docVar w:name="FooterJN" w:val="13-55027 (C)"/>
    <w:docVar w:name="jobn" w:val="13-55027 (C)"/>
    <w:docVar w:name="jobnDT" w:val="13-55027 (C)   060114"/>
    <w:docVar w:name="jobnDTDT" w:val="13-55027 (C)   060114   060114"/>
    <w:docVar w:name="JobNo" w:val="1355027C"/>
    <w:docVar w:name="OandT" w:val="CAI"/>
    <w:docVar w:name="sss1" w:val="CEDAW/C/IRQ/Q/4-6/Add.1"/>
    <w:docVar w:name="sss2" w:val="-"/>
    <w:docVar w:name="Symbol1" w:val="CEDAW/C/IRQ/Q/4-6/Add.1"/>
    <w:docVar w:name="Symbol2" w:val="-"/>
  </w:docVars>
  <w:rsids>
    <w:rsidRoot w:val="004A7105"/>
    <w:rsid w:val="0000347C"/>
    <w:rsid w:val="000125BC"/>
    <w:rsid w:val="0001645E"/>
    <w:rsid w:val="00021A2B"/>
    <w:rsid w:val="00024E72"/>
    <w:rsid w:val="00034465"/>
    <w:rsid w:val="00036AA2"/>
    <w:rsid w:val="00036F1B"/>
    <w:rsid w:val="00037444"/>
    <w:rsid w:val="00037B39"/>
    <w:rsid w:val="00044CA4"/>
    <w:rsid w:val="00044EE9"/>
    <w:rsid w:val="00045EFE"/>
    <w:rsid w:val="0007234C"/>
    <w:rsid w:val="0007337D"/>
    <w:rsid w:val="000758DF"/>
    <w:rsid w:val="00076EB8"/>
    <w:rsid w:val="000777FC"/>
    <w:rsid w:val="00077AEE"/>
    <w:rsid w:val="00082CCB"/>
    <w:rsid w:val="00083CAB"/>
    <w:rsid w:val="00085E73"/>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2F29"/>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4FD0"/>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20A0"/>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0D7"/>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06DF"/>
    <w:rsid w:val="00414423"/>
    <w:rsid w:val="00433853"/>
    <w:rsid w:val="00440B0D"/>
    <w:rsid w:val="004411AD"/>
    <w:rsid w:val="004424EF"/>
    <w:rsid w:val="00442FBD"/>
    <w:rsid w:val="00453BB0"/>
    <w:rsid w:val="00460162"/>
    <w:rsid w:val="004620A8"/>
    <w:rsid w:val="00466BB5"/>
    <w:rsid w:val="004700CF"/>
    <w:rsid w:val="00470B6D"/>
    <w:rsid w:val="00472ED8"/>
    <w:rsid w:val="004821D0"/>
    <w:rsid w:val="00487444"/>
    <w:rsid w:val="00493C9C"/>
    <w:rsid w:val="004A06D1"/>
    <w:rsid w:val="004A11FC"/>
    <w:rsid w:val="004A7105"/>
    <w:rsid w:val="004B2C67"/>
    <w:rsid w:val="004C0224"/>
    <w:rsid w:val="004C053E"/>
    <w:rsid w:val="004C3255"/>
    <w:rsid w:val="004C6459"/>
    <w:rsid w:val="004D07E1"/>
    <w:rsid w:val="004D1C19"/>
    <w:rsid w:val="004E558C"/>
    <w:rsid w:val="004E739A"/>
    <w:rsid w:val="004F29B8"/>
    <w:rsid w:val="004F5E26"/>
    <w:rsid w:val="0050413E"/>
    <w:rsid w:val="00515657"/>
    <w:rsid w:val="00521275"/>
    <w:rsid w:val="0052216F"/>
    <w:rsid w:val="005232CA"/>
    <w:rsid w:val="00523636"/>
    <w:rsid w:val="00524C82"/>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38FF"/>
    <w:rsid w:val="00776537"/>
    <w:rsid w:val="00783A25"/>
    <w:rsid w:val="007843DB"/>
    <w:rsid w:val="007877F4"/>
    <w:rsid w:val="007B6BAE"/>
    <w:rsid w:val="007C74B9"/>
    <w:rsid w:val="007D3A7D"/>
    <w:rsid w:val="007D441A"/>
    <w:rsid w:val="007E1B5E"/>
    <w:rsid w:val="007E6253"/>
    <w:rsid w:val="007F2278"/>
    <w:rsid w:val="00803014"/>
    <w:rsid w:val="00805783"/>
    <w:rsid w:val="00806F57"/>
    <w:rsid w:val="00806F90"/>
    <w:rsid w:val="008246FC"/>
    <w:rsid w:val="00824C19"/>
    <w:rsid w:val="00826250"/>
    <w:rsid w:val="0083056F"/>
    <w:rsid w:val="0083070E"/>
    <w:rsid w:val="008378D1"/>
    <w:rsid w:val="00846462"/>
    <w:rsid w:val="00860742"/>
    <w:rsid w:val="008647F3"/>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8F7460"/>
    <w:rsid w:val="009122E0"/>
    <w:rsid w:val="00913351"/>
    <w:rsid w:val="00957134"/>
    <w:rsid w:val="0096193C"/>
    <w:rsid w:val="009769E1"/>
    <w:rsid w:val="00977E0D"/>
    <w:rsid w:val="009816B2"/>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B6515"/>
    <w:rsid w:val="00AB65FD"/>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7299C"/>
    <w:rsid w:val="00B8025A"/>
    <w:rsid w:val="00B827B1"/>
    <w:rsid w:val="00B9116F"/>
    <w:rsid w:val="00B9408D"/>
    <w:rsid w:val="00BA22E5"/>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0BCC"/>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09BE"/>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669D"/>
    <w:rsid w:val="00EC6F21"/>
    <w:rsid w:val="00EE0913"/>
    <w:rsid w:val="00EF3339"/>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A/RES/19/4" TargetMode="External"/><Relationship Id="rId26" Type="http://schemas.openxmlformats.org/officeDocument/2006/relationships/hyperlink" Target="http://undocs.org/ch/S/RES/1325(2000)" TargetMode="External"/><Relationship Id="rId3" Type="http://schemas.openxmlformats.org/officeDocument/2006/relationships/webSettings" Target="webSettings.xml"/><Relationship Id="rId21" Type="http://schemas.openxmlformats.org/officeDocument/2006/relationships/hyperlink" Target="http://undocs.org/ch/A/RES/19/7"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A/RES/19/3" TargetMode="External"/><Relationship Id="rId25" Type="http://schemas.openxmlformats.org/officeDocument/2006/relationships/hyperlink" Target="http://undocs.org/ch/A/RES/19/12" TargetMode="External"/><Relationship Id="rId2" Type="http://schemas.openxmlformats.org/officeDocument/2006/relationships/settings" Target="settings.xml"/><Relationship Id="rId16" Type="http://schemas.openxmlformats.org/officeDocument/2006/relationships/hyperlink" Target="http://undocs.org/ch/A/RES/19/2" TargetMode="External"/><Relationship Id="rId20" Type="http://schemas.openxmlformats.org/officeDocument/2006/relationships/hyperlink" Target="http://undocs.org/ch/A/RES/19/6" TargetMode="External"/><Relationship Id="rId29" Type="http://schemas.openxmlformats.org/officeDocument/2006/relationships/hyperlink" Target="http://undocs.org/ch/S/RES/188(1959)"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h/S/RES/101(199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undocs.org/ch/S/RES/188(1959)" TargetMode="External"/><Relationship Id="rId23" Type="http://schemas.openxmlformats.org/officeDocument/2006/relationships/hyperlink" Target="http://undocs.org/ch/A/RES/19/11" TargetMode="External"/><Relationship Id="rId28" Type="http://schemas.openxmlformats.org/officeDocument/2006/relationships/hyperlink" Target="http://undocs.org/ch/S/RES/188(1959)" TargetMode="External"/><Relationship Id="rId10" Type="http://schemas.openxmlformats.org/officeDocument/2006/relationships/header" Target="header3.xml"/><Relationship Id="rId19" Type="http://schemas.openxmlformats.org/officeDocument/2006/relationships/hyperlink" Target="http://undocs.org/ch/A/RES/19/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57/1" TargetMode="External"/><Relationship Id="rId22" Type="http://schemas.openxmlformats.org/officeDocument/2006/relationships/hyperlink" Target="http://undocs.org/ch/A/RES/19/8" TargetMode="External"/><Relationship Id="rId27" Type="http://schemas.openxmlformats.org/officeDocument/2006/relationships/hyperlink" Target="http://undocs.org/ch/S/RES/1325(2000)" TargetMode="External"/><Relationship Id="rId30" Type="http://schemas.openxmlformats.org/officeDocument/2006/relationships/hyperlink" Target="http://undocs.org/ch/S/RES/188(195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1</Pages>
  <Words>13467</Words>
  <Characters>14142</Characters>
  <Application>Microsoft Office Outlook</Application>
  <DocSecurity>4</DocSecurity>
  <Lines>505</Lines>
  <Paragraphs>200</Paragraphs>
  <ScaleCrop>false</ScaleCrop>
  <Company>United Nations</Company>
  <LinksUpToDate>false</LinksUpToDate>
  <CharactersWithSpaces>27409</CharactersWithSpaces>
  <SharedDoc>false</SharedDoc>
  <HLinks>
    <vt:vector size="102" baseType="variant">
      <vt:variant>
        <vt:i4>1310794</vt:i4>
      </vt:variant>
      <vt:variant>
        <vt:i4>48</vt:i4>
      </vt:variant>
      <vt:variant>
        <vt:i4>0</vt:i4>
      </vt:variant>
      <vt:variant>
        <vt:i4>5</vt:i4>
      </vt:variant>
      <vt:variant>
        <vt:lpwstr>http://undocs.org/ch/S/RES/188(1959)</vt:lpwstr>
      </vt:variant>
      <vt:variant>
        <vt:lpwstr/>
      </vt:variant>
      <vt:variant>
        <vt:i4>1310794</vt:i4>
      </vt:variant>
      <vt:variant>
        <vt:i4>45</vt:i4>
      </vt:variant>
      <vt:variant>
        <vt:i4>0</vt:i4>
      </vt:variant>
      <vt:variant>
        <vt:i4>5</vt:i4>
      </vt:variant>
      <vt:variant>
        <vt:lpwstr>http://undocs.org/ch/S/RES/188(1959)</vt:lpwstr>
      </vt:variant>
      <vt:variant>
        <vt:lpwstr/>
      </vt:variant>
      <vt:variant>
        <vt:i4>1310794</vt:i4>
      </vt:variant>
      <vt:variant>
        <vt:i4>42</vt:i4>
      </vt:variant>
      <vt:variant>
        <vt:i4>0</vt:i4>
      </vt:variant>
      <vt:variant>
        <vt:i4>5</vt:i4>
      </vt:variant>
      <vt:variant>
        <vt:lpwstr>http://undocs.org/ch/S/RES/188(1959)</vt:lpwstr>
      </vt:variant>
      <vt:variant>
        <vt:lpwstr/>
      </vt:variant>
      <vt:variant>
        <vt:i4>1769566</vt:i4>
      </vt:variant>
      <vt:variant>
        <vt:i4>39</vt:i4>
      </vt:variant>
      <vt:variant>
        <vt:i4>0</vt:i4>
      </vt:variant>
      <vt:variant>
        <vt:i4>5</vt:i4>
      </vt:variant>
      <vt:variant>
        <vt:lpwstr>http://undocs.org/ch/S/RES/1325(2000)</vt:lpwstr>
      </vt:variant>
      <vt:variant>
        <vt:lpwstr/>
      </vt:variant>
      <vt:variant>
        <vt:i4>1769566</vt:i4>
      </vt:variant>
      <vt:variant>
        <vt:i4>36</vt:i4>
      </vt:variant>
      <vt:variant>
        <vt:i4>0</vt:i4>
      </vt:variant>
      <vt:variant>
        <vt:i4>5</vt:i4>
      </vt:variant>
      <vt:variant>
        <vt:lpwstr>http://undocs.org/ch/S/RES/1325(2000)</vt:lpwstr>
      </vt:variant>
      <vt:variant>
        <vt:lpwstr/>
      </vt:variant>
      <vt:variant>
        <vt:i4>917586</vt:i4>
      </vt:variant>
      <vt:variant>
        <vt:i4>33</vt:i4>
      </vt:variant>
      <vt:variant>
        <vt:i4>0</vt:i4>
      </vt:variant>
      <vt:variant>
        <vt:i4>5</vt:i4>
      </vt:variant>
      <vt:variant>
        <vt:lpwstr>http://undocs.org/ch/A/RES/19/12</vt:lpwstr>
      </vt:variant>
      <vt:variant>
        <vt:lpwstr/>
      </vt:variant>
      <vt:variant>
        <vt:i4>1114186</vt:i4>
      </vt:variant>
      <vt:variant>
        <vt:i4>30</vt:i4>
      </vt:variant>
      <vt:variant>
        <vt:i4>0</vt:i4>
      </vt:variant>
      <vt:variant>
        <vt:i4>5</vt:i4>
      </vt:variant>
      <vt:variant>
        <vt:lpwstr>http://undocs.org/ch/S/RES/101(1991)</vt:lpwstr>
      </vt:variant>
      <vt:variant>
        <vt:lpwstr/>
      </vt:variant>
      <vt:variant>
        <vt:i4>852050</vt:i4>
      </vt:variant>
      <vt:variant>
        <vt:i4>27</vt:i4>
      </vt:variant>
      <vt:variant>
        <vt:i4>0</vt:i4>
      </vt:variant>
      <vt:variant>
        <vt:i4>5</vt:i4>
      </vt:variant>
      <vt:variant>
        <vt:lpwstr>http://undocs.org/ch/A/RES/19/11</vt:lpwstr>
      </vt:variant>
      <vt:variant>
        <vt:lpwstr/>
      </vt:variant>
      <vt:variant>
        <vt:i4>3932259</vt:i4>
      </vt:variant>
      <vt:variant>
        <vt:i4>24</vt:i4>
      </vt:variant>
      <vt:variant>
        <vt:i4>0</vt:i4>
      </vt:variant>
      <vt:variant>
        <vt:i4>5</vt:i4>
      </vt:variant>
      <vt:variant>
        <vt:lpwstr>http://undocs.org/ch/A/RES/19/8</vt:lpwstr>
      </vt:variant>
      <vt:variant>
        <vt:lpwstr/>
      </vt:variant>
      <vt:variant>
        <vt:i4>3932259</vt:i4>
      </vt:variant>
      <vt:variant>
        <vt:i4>21</vt:i4>
      </vt:variant>
      <vt:variant>
        <vt:i4>0</vt:i4>
      </vt:variant>
      <vt:variant>
        <vt:i4>5</vt:i4>
      </vt:variant>
      <vt:variant>
        <vt:lpwstr>http://undocs.org/ch/A/RES/19/7</vt:lpwstr>
      </vt:variant>
      <vt:variant>
        <vt:lpwstr/>
      </vt:variant>
      <vt:variant>
        <vt:i4>3932259</vt:i4>
      </vt:variant>
      <vt:variant>
        <vt:i4>18</vt:i4>
      </vt:variant>
      <vt:variant>
        <vt:i4>0</vt:i4>
      </vt:variant>
      <vt:variant>
        <vt:i4>5</vt:i4>
      </vt:variant>
      <vt:variant>
        <vt:lpwstr>http://undocs.org/ch/A/RES/19/6</vt:lpwstr>
      </vt:variant>
      <vt:variant>
        <vt:lpwstr/>
      </vt:variant>
      <vt:variant>
        <vt:i4>3932259</vt:i4>
      </vt:variant>
      <vt:variant>
        <vt:i4>15</vt:i4>
      </vt:variant>
      <vt:variant>
        <vt:i4>0</vt:i4>
      </vt:variant>
      <vt:variant>
        <vt:i4>5</vt:i4>
      </vt:variant>
      <vt:variant>
        <vt:lpwstr>http://undocs.org/ch/A/RES/19/5</vt:lpwstr>
      </vt:variant>
      <vt:variant>
        <vt:lpwstr/>
      </vt:variant>
      <vt:variant>
        <vt:i4>3932259</vt:i4>
      </vt:variant>
      <vt:variant>
        <vt:i4>12</vt:i4>
      </vt:variant>
      <vt:variant>
        <vt:i4>0</vt:i4>
      </vt:variant>
      <vt:variant>
        <vt:i4>5</vt:i4>
      </vt:variant>
      <vt:variant>
        <vt:lpwstr>http://undocs.org/ch/A/RES/19/4</vt:lpwstr>
      </vt:variant>
      <vt:variant>
        <vt:lpwstr/>
      </vt:variant>
      <vt:variant>
        <vt:i4>3932259</vt:i4>
      </vt:variant>
      <vt:variant>
        <vt:i4>9</vt:i4>
      </vt:variant>
      <vt:variant>
        <vt:i4>0</vt:i4>
      </vt:variant>
      <vt:variant>
        <vt:i4>5</vt:i4>
      </vt:variant>
      <vt:variant>
        <vt:lpwstr>http://undocs.org/ch/A/RES/19/3</vt:lpwstr>
      </vt:variant>
      <vt:variant>
        <vt:lpwstr/>
      </vt:variant>
      <vt:variant>
        <vt:i4>3932259</vt:i4>
      </vt:variant>
      <vt:variant>
        <vt:i4>6</vt:i4>
      </vt:variant>
      <vt:variant>
        <vt:i4>0</vt:i4>
      </vt:variant>
      <vt:variant>
        <vt:i4>5</vt:i4>
      </vt:variant>
      <vt:variant>
        <vt:lpwstr>http://undocs.org/ch/A/RES/19/2</vt:lpwstr>
      </vt:variant>
      <vt:variant>
        <vt:lpwstr/>
      </vt:variant>
      <vt:variant>
        <vt:i4>1310794</vt:i4>
      </vt:variant>
      <vt:variant>
        <vt:i4>3</vt:i4>
      </vt:variant>
      <vt:variant>
        <vt:i4>0</vt:i4>
      </vt:variant>
      <vt:variant>
        <vt:i4>5</vt:i4>
      </vt:variant>
      <vt:variant>
        <vt:lpwstr>http://undocs.org/ch/S/RES/188(1959)</vt:lpwstr>
      </vt:variant>
      <vt:variant>
        <vt:lpwstr/>
      </vt:variant>
      <vt:variant>
        <vt:i4>4915212</vt:i4>
      </vt:variant>
      <vt:variant>
        <vt:i4>0</vt:i4>
      </vt:variant>
      <vt:variant>
        <vt:i4>0</vt:i4>
      </vt:variant>
      <vt:variant>
        <vt:i4>5</vt:i4>
      </vt:variant>
      <vt:variant>
        <vt:lpwstr>http://undocs.org/ch/CEDAW/C/57/1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CYH</dc:creator>
  <cp:keywords/>
  <dc:description/>
  <cp:lastModifiedBy>United Nations</cp:lastModifiedBy>
  <cp:revision>13</cp:revision>
  <cp:lastPrinted>2014-01-07T09:03:00Z</cp:lastPrinted>
  <dcterms:created xsi:type="dcterms:W3CDTF">2014-01-06T12:45:00Z</dcterms:created>
  <dcterms:modified xsi:type="dcterms:W3CDTF">2014-01-07T11:12:00Z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1355027</vt:lpwstr>
  </property>
  <property fmtid="{D5CDD505-2E9C-101B-9397-08002B2CF9AE}" pid="3" name="Symbol1">
    <vt:lpwstr>CEDAW/C/IRQ/Q/4-6/Add.1</vt:lpwstr>
  </property>
  <property fmtid="{D5CDD505-2E9C-101B-9397-08002B2CF9AE}" pid="4" name="Symbol2">
    <vt:lpwstr/>
  </property>
  <property fmtid="{D5CDD505-2E9C-101B-9397-08002B2CF9AE}" pid="5" name="Translator">
    <vt:lpwstr/>
  </property>
  <property fmtid="{D5CDD505-2E9C-101B-9397-08002B2CF9AE}" pid="6" name="Operator">
    <vt:lpwstr>CAI</vt:lpwstr>
  </property>
  <property fmtid="{D5CDD505-2E9C-101B-9397-08002B2CF9AE}" pid="7" name="DraftPages">
    <vt:lpwstr> </vt:lpwstr>
  </property>
  <property fmtid="{D5CDD505-2E9C-101B-9397-08002B2CF9AE}" pid="8" name="Comment">
    <vt:lpwstr/>
  </property>
</Properties>
</file>