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A2CCE" w14:textId="77777777" w:rsidR="00795AE6" w:rsidRPr="001A3FA0" w:rsidRDefault="00795AE6" w:rsidP="00795AE6">
      <w:pPr>
        <w:spacing w:line="240" w:lineRule="auto"/>
        <w:rPr>
          <w:sz w:val="2"/>
        </w:rPr>
        <w:sectPr w:rsidR="00795AE6" w:rsidRPr="001A3FA0" w:rsidSect="001C481F">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p>
    <w:p w14:paraId="4B453C65" w14:textId="52EDD33E" w:rsidR="0085598B" w:rsidRDefault="001C481F" w:rsidP="008559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481F">
        <w:rPr>
          <w:lang w:val="fr-FR"/>
        </w:rPr>
        <w:t>Comité pour l</w:t>
      </w:r>
      <w:r w:rsidR="0047269F">
        <w:rPr>
          <w:lang w:val="fr-FR"/>
        </w:rPr>
        <w:t>’</w:t>
      </w:r>
      <w:r w:rsidRPr="001C481F">
        <w:rPr>
          <w:lang w:val="fr-FR"/>
        </w:rPr>
        <w:t xml:space="preserve">élimination de la discrimination </w:t>
      </w:r>
    </w:p>
    <w:p w14:paraId="6FC78A72" w14:textId="5CAE818C" w:rsidR="001C481F" w:rsidRDefault="001C481F" w:rsidP="008559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481F">
        <w:rPr>
          <w:lang w:val="fr-FR"/>
        </w:rPr>
        <w:t>à l</w:t>
      </w:r>
      <w:r w:rsidR="0047269F">
        <w:rPr>
          <w:lang w:val="fr-FR"/>
        </w:rPr>
        <w:t>’</w:t>
      </w:r>
      <w:r w:rsidRPr="001C481F">
        <w:rPr>
          <w:lang w:val="fr-FR"/>
        </w:rPr>
        <w:t>égard des femmes</w:t>
      </w:r>
    </w:p>
    <w:p w14:paraId="24876C2A" w14:textId="1D784FDA" w:rsidR="0085598B" w:rsidRPr="0085598B" w:rsidRDefault="0085598B" w:rsidP="0085598B">
      <w:pPr>
        <w:pStyle w:val="SingleTxt"/>
        <w:spacing w:after="0" w:line="120" w:lineRule="exact"/>
        <w:rPr>
          <w:sz w:val="10"/>
          <w:lang w:val="fr-FR"/>
        </w:rPr>
      </w:pPr>
    </w:p>
    <w:p w14:paraId="2B9C3005" w14:textId="21EAF0C8" w:rsidR="0085598B" w:rsidRPr="0085598B" w:rsidRDefault="0085598B" w:rsidP="0085598B">
      <w:pPr>
        <w:pStyle w:val="SingleTxt"/>
        <w:spacing w:after="0" w:line="120" w:lineRule="exact"/>
        <w:rPr>
          <w:sz w:val="10"/>
          <w:lang w:val="fr-FR"/>
        </w:rPr>
      </w:pPr>
    </w:p>
    <w:p w14:paraId="4D23EEA4" w14:textId="7686D614" w:rsidR="0085598B" w:rsidRPr="0085598B" w:rsidRDefault="0085598B" w:rsidP="0085598B">
      <w:pPr>
        <w:pStyle w:val="SingleTxt"/>
        <w:spacing w:after="0" w:line="120" w:lineRule="exact"/>
        <w:rPr>
          <w:sz w:val="10"/>
          <w:lang w:val="fr-FR"/>
        </w:rPr>
      </w:pPr>
    </w:p>
    <w:p w14:paraId="55171B5E" w14:textId="03EFF7BE" w:rsidR="001C481F" w:rsidRDefault="001C481F" w:rsidP="0085598B">
      <w:pPr>
        <w:pStyle w:val="TitleHCH"/>
        <w:ind w:right="1260"/>
        <w:rPr>
          <w:lang w:val="fr-FR"/>
        </w:rPr>
      </w:pPr>
      <w:r w:rsidRPr="001C481F">
        <w:rPr>
          <w:lang w:val="fr-FR"/>
        </w:rPr>
        <w:tab/>
      </w:r>
      <w:r w:rsidRPr="001C481F">
        <w:rPr>
          <w:lang w:val="fr-FR"/>
        </w:rPr>
        <w:tab/>
        <w:t xml:space="preserve">Observations finales </w:t>
      </w:r>
      <w:r w:rsidR="00DD16D2">
        <w:rPr>
          <w:lang w:val="fr-FR"/>
        </w:rPr>
        <w:t xml:space="preserve">concernant </w:t>
      </w:r>
      <w:r w:rsidR="0085598B">
        <w:rPr>
          <w:lang w:val="fr-FR"/>
        </w:rPr>
        <w:t>le sixième rapport périodique </w:t>
      </w:r>
      <w:r w:rsidRPr="001C481F">
        <w:rPr>
          <w:lang w:val="fr-FR"/>
        </w:rPr>
        <w:t>d</w:t>
      </w:r>
      <w:r w:rsidR="0047269F">
        <w:rPr>
          <w:lang w:val="fr-FR"/>
        </w:rPr>
        <w:t>’</w:t>
      </w:r>
      <w:r w:rsidRPr="001C481F">
        <w:rPr>
          <w:lang w:val="fr-FR"/>
        </w:rPr>
        <w:t>Israël</w:t>
      </w:r>
      <w:r w:rsidRPr="00807FB7">
        <w:rPr>
          <w:b w:val="0"/>
          <w:bCs/>
          <w:sz w:val="20"/>
          <w:szCs w:val="20"/>
          <w:lang w:val="fr-FR"/>
        </w:rPr>
        <w:footnoteReference w:customMarkFollows="1" w:id="1"/>
        <w:t>*</w:t>
      </w:r>
    </w:p>
    <w:p w14:paraId="1ACDC54C" w14:textId="3FBF8099" w:rsidR="0085598B" w:rsidRPr="0085598B" w:rsidRDefault="0085598B" w:rsidP="0085598B">
      <w:pPr>
        <w:pStyle w:val="SingleTxt"/>
        <w:spacing w:after="0" w:line="120" w:lineRule="exact"/>
        <w:rPr>
          <w:sz w:val="10"/>
          <w:lang w:val="fr-FR"/>
        </w:rPr>
      </w:pPr>
    </w:p>
    <w:p w14:paraId="30B54433" w14:textId="6072E363" w:rsidR="0085598B" w:rsidRPr="0085598B" w:rsidRDefault="0085598B" w:rsidP="0085598B">
      <w:pPr>
        <w:pStyle w:val="SingleTxt"/>
        <w:spacing w:after="0" w:line="120" w:lineRule="exact"/>
        <w:rPr>
          <w:sz w:val="10"/>
          <w:lang w:val="fr-FR"/>
        </w:rPr>
      </w:pPr>
    </w:p>
    <w:p w14:paraId="7281CAF9" w14:textId="79EDB8D9" w:rsidR="001C481F" w:rsidRDefault="001C481F" w:rsidP="00FC4232">
      <w:pPr>
        <w:pStyle w:val="SingleTxt"/>
        <w:numPr>
          <w:ilvl w:val="0"/>
          <w:numId w:val="33"/>
        </w:numPr>
        <w:spacing w:line="240" w:lineRule="exact"/>
        <w:ind w:left="1267" w:firstLine="0"/>
        <w:rPr>
          <w:lang w:val="fr-FR"/>
        </w:rPr>
      </w:pPr>
      <w:r w:rsidRPr="001C481F">
        <w:rPr>
          <w:lang w:val="fr-FR"/>
        </w:rPr>
        <w:t>Le Comité a examiné le sixième rapport périodique d</w:t>
      </w:r>
      <w:r w:rsidR="0047269F">
        <w:rPr>
          <w:lang w:val="fr-FR"/>
        </w:rPr>
        <w:t>’</w:t>
      </w:r>
      <w:r w:rsidRPr="001C481F">
        <w:rPr>
          <w:lang w:val="fr-FR"/>
        </w:rPr>
        <w:t>Israël (</w:t>
      </w:r>
      <w:hyperlink r:id="rId15" w:history="1">
        <w:r w:rsidRPr="00483725">
          <w:rPr>
            <w:rStyle w:val="Hyperlink"/>
            <w:color w:val="0000FF"/>
            <w:lang w:val="fr-FR"/>
          </w:rPr>
          <w:t>CEDAW/C/ISR/6</w:t>
        </w:r>
      </w:hyperlink>
      <w:r w:rsidRPr="001C481F">
        <w:rPr>
          <w:lang w:val="fr-FR"/>
        </w:rPr>
        <w:t>),</w:t>
      </w:r>
      <w:r w:rsidR="00043E79">
        <w:rPr>
          <w:lang w:val="fr-FR"/>
        </w:rPr>
        <w:t xml:space="preserve"> présenté </w:t>
      </w:r>
      <w:r w:rsidR="00043E79" w:rsidRPr="001C481F">
        <w:rPr>
          <w:lang w:val="fr-FR"/>
        </w:rPr>
        <w:t>au titre de la procédure simplifiée</w:t>
      </w:r>
      <w:r w:rsidR="008E7DBA">
        <w:rPr>
          <w:lang w:val="fr-FR"/>
        </w:rPr>
        <w:t>,</w:t>
      </w:r>
      <w:r w:rsidR="00043E79" w:rsidRPr="001C481F">
        <w:rPr>
          <w:lang w:val="fr-FR"/>
        </w:rPr>
        <w:t xml:space="preserve"> </w:t>
      </w:r>
      <w:r w:rsidRPr="001C481F">
        <w:rPr>
          <w:lang w:val="fr-FR"/>
        </w:rPr>
        <w:t>à ses 1542</w:t>
      </w:r>
      <w:r w:rsidRPr="0047269F">
        <w:rPr>
          <w:vertAlign w:val="superscript"/>
          <w:lang w:val="fr-FR"/>
        </w:rPr>
        <w:t>e</w:t>
      </w:r>
      <w:r w:rsidRPr="001C481F">
        <w:rPr>
          <w:lang w:val="fr-FR"/>
        </w:rPr>
        <w:t xml:space="preserve"> et 1543</w:t>
      </w:r>
      <w:r w:rsidRPr="0047269F">
        <w:rPr>
          <w:vertAlign w:val="superscript"/>
          <w:lang w:val="fr-FR"/>
        </w:rPr>
        <w:t>e</w:t>
      </w:r>
      <w:r w:rsidR="00A47984">
        <w:rPr>
          <w:lang w:val="fr-FR"/>
        </w:rPr>
        <w:t> </w:t>
      </w:r>
      <w:r w:rsidR="0047269F">
        <w:rPr>
          <w:lang w:val="fr-FR"/>
        </w:rPr>
        <w:t>séances (voir</w:t>
      </w:r>
      <w:r w:rsidR="00A47984">
        <w:rPr>
          <w:lang w:val="fr-FR"/>
        </w:rPr>
        <w:t xml:space="preserve"> </w:t>
      </w:r>
      <w:hyperlink r:id="rId16" w:history="1">
        <w:r w:rsidRPr="00483725">
          <w:rPr>
            <w:rStyle w:val="Hyperlink"/>
            <w:color w:val="0000FF"/>
            <w:lang w:val="fr-FR"/>
          </w:rPr>
          <w:t>CEDAW/C/SR.1542</w:t>
        </w:r>
      </w:hyperlink>
      <w:r w:rsidRPr="001C481F">
        <w:rPr>
          <w:lang w:val="fr-FR"/>
        </w:rPr>
        <w:t xml:space="preserve"> et </w:t>
      </w:r>
      <w:hyperlink r:id="rId17" w:history="1">
        <w:r w:rsidRPr="00483725">
          <w:rPr>
            <w:rStyle w:val="Hyperlink"/>
            <w:color w:val="0000FF"/>
            <w:lang w:val="fr-FR"/>
          </w:rPr>
          <w:t>CEDAW/C/SR.1543</w:t>
        </w:r>
      </w:hyperlink>
      <w:r w:rsidRPr="001C481F">
        <w:rPr>
          <w:lang w:val="fr-FR"/>
        </w:rPr>
        <w:t>),</w:t>
      </w:r>
      <w:r w:rsidR="00043E79">
        <w:rPr>
          <w:lang w:val="fr-FR"/>
        </w:rPr>
        <w:t xml:space="preserve"> le 31 octobre 2017</w:t>
      </w:r>
      <w:r w:rsidRPr="001C481F">
        <w:rPr>
          <w:lang w:val="fr-FR"/>
        </w:rPr>
        <w:t xml:space="preserve">. </w:t>
      </w:r>
    </w:p>
    <w:p w14:paraId="2E14B0E1" w14:textId="15BE63A7" w:rsidR="00074B26" w:rsidRPr="00074B26" w:rsidRDefault="00074B26" w:rsidP="00074B26">
      <w:pPr>
        <w:pStyle w:val="SingleTxt"/>
        <w:spacing w:after="0" w:line="120" w:lineRule="exact"/>
        <w:rPr>
          <w:sz w:val="10"/>
          <w:lang w:val="fr-FR"/>
        </w:rPr>
      </w:pPr>
    </w:p>
    <w:p w14:paraId="4401B497" w14:textId="1079E42B" w:rsidR="00074B26" w:rsidRPr="00074B26" w:rsidRDefault="00074B26" w:rsidP="00074B26">
      <w:pPr>
        <w:pStyle w:val="SingleTxt"/>
        <w:spacing w:after="0" w:line="120" w:lineRule="exact"/>
        <w:rPr>
          <w:sz w:val="10"/>
          <w:lang w:val="fr-FR"/>
        </w:rPr>
      </w:pPr>
    </w:p>
    <w:p w14:paraId="7854ACE3" w14:textId="7C1828FE" w:rsidR="001C481F" w:rsidRPr="001C481F" w:rsidRDefault="00074B26" w:rsidP="00074B2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A.</w:t>
      </w:r>
      <w:r w:rsidR="001C481F" w:rsidRPr="001C481F">
        <w:rPr>
          <w:lang w:val="fr-FR"/>
        </w:rPr>
        <w:tab/>
        <w:t>Introduction</w:t>
      </w:r>
    </w:p>
    <w:p w14:paraId="33A24DA0" w14:textId="2027B7C9" w:rsidR="00074B26" w:rsidRPr="00074B26" w:rsidRDefault="00074B26" w:rsidP="00074B26">
      <w:pPr>
        <w:pStyle w:val="SingleTxt"/>
        <w:spacing w:after="0" w:line="120" w:lineRule="exact"/>
        <w:rPr>
          <w:sz w:val="10"/>
          <w:lang w:val="fr-FR"/>
        </w:rPr>
      </w:pPr>
    </w:p>
    <w:p w14:paraId="2EC25537" w14:textId="3B2A1C09" w:rsidR="00074B26" w:rsidRPr="00074B26" w:rsidRDefault="00074B26" w:rsidP="00074B26">
      <w:pPr>
        <w:pStyle w:val="SingleTxt"/>
        <w:spacing w:after="0" w:line="120" w:lineRule="exact"/>
        <w:rPr>
          <w:sz w:val="10"/>
          <w:lang w:val="fr-FR"/>
        </w:rPr>
      </w:pPr>
    </w:p>
    <w:p w14:paraId="6379792C" w14:textId="287867AD" w:rsidR="001C481F" w:rsidRPr="001C481F" w:rsidRDefault="001C481F" w:rsidP="00FC4232">
      <w:pPr>
        <w:pStyle w:val="SingleTxt"/>
        <w:numPr>
          <w:ilvl w:val="0"/>
          <w:numId w:val="39"/>
        </w:numPr>
        <w:rPr>
          <w:lang w:val="fr-FR"/>
        </w:rPr>
      </w:pPr>
      <w:r w:rsidRPr="001C481F">
        <w:rPr>
          <w:lang w:val="fr-FR"/>
        </w:rPr>
        <w:t>Le Comité accueille avec satisfaction l</w:t>
      </w:r>
      <w:r w:rsidR="008E7DBA">
        <w:rPr>
          <w:lang w:val="fr-FR"/>
        </w:rPr>
        <w:t>a présentation par l’État partie de son</w:t>
      </w:r>
      <w:r w:rsidRPr="001C481F">
        <w:rPr>
          <w:lang w:val="fr-FR"/>
        </w:rPr>
        <w:t xml:space="preserve"> sixième rapport périodique, qui a été </w:t>
      </w:r>
      <w:r w:rsidR="008E7DBA">
        <w:rPr>
          <w:lang w:val="fr-FR"/>
        </w:rPr>
        <w:t>préparé</w:t>
      </w:r>
      <w:r w:rsidR="008E7DBA" w:rsidRPr="001C481F">
        <w:rPr>
          <w:lang w:val="fr-FR"/>
        </w:rPr>
        <w:t xml:space="preserve"> </w:t>
      </w:r>
      <w:r w:rsidRPr="001C481F">
        <w:rPr>
          <w:lang w:val="fr-FR"/>
        </w:rPr>
        <w:t>à partir de la liste de points établie avant la soumission du rapport (</w:t>
      </w:r>
      <w:hyperlink r:id="rId18" w:history="1">
        <w:r w:rsidRPr="00483725">
          <w:rPr>
            <w:rStyle w:val="Hyperlink"/>
            <w:color w:val="0000FF"/>
            <w:lang w:val="fr-FR"/>
          </w:rPr>
          <w:t>CEDAW/C/ISR/QPR/6</w:t>
        </w:r>
      </w:hyperlink>
      <w:r w:rsidRPr="001C481F">
        <w:rPr>
          <w:lang w:val="fr-FR"/>
        </w:rPr>
        <w:t>), ainsi que son rapport de suivi (</w:t>
      </w:r>
      <w:hyperlink r:id="rId19" w:history="1">
        <w:r w:rsidRPr="00483725">
          <w:rPr>
            <w:rStyle w:val="Hyperlink"/>
            <w:color w:val="0000FF"/>
            <w:lang w:val="fr-FR"/>
          </w:rPr>
          <w:t>CEDAW/C/ISR/CO5/Add.1</w:t>
        </w:r>
      </w:hyperlink>
      <w:r w:rsidRPr="001C481F">
        <w:rPr>
          <w:lang w:val="fr-FR"/>
        </w:rPr>
        <w:t>). Il remercie l</w:t>
      </w:r>
      <w:r w:rsidR="0047269F">
        <w:rPr>
          <w:lang w:val="fr-FR"/>
        </w:rPr>
        <w:t>’</w:t>
      </w:r>
      <w:r w:rsidRPr="001C481F">
        <w:rPr>
          <w:lang w:val="fr-FR"/>
        </w:rPr>
        <w:t>État partie, dont la délégation a présenté le rapport oralement, et qui a apporté des éclaircissements complémentaires aux questions posées par le Comité pendant le dialogue.</w:t>
      </w:r>
    </w:p>
    <w:p w14:paraId="462A7ECD" w14:textId="1301FA54" w:rsidR="001C481F" w:rsidRDefault="001C481F" w:rsidP="00FC4232">
      <w:pPr>
        <w:pStyle w:val="SingleTxt"/>
        <w:numPr>
          <w:ilvl w:val="0"/>
          <w:numId w:val="39"/>
        </w:numPr>
        <w:spacing w:line="240" w:lineRule="exact"/>
        <w:rPr>
          <w:lang w:val="fr-FR"/>
        </w:rPr>
      </w:pPr>
      <w:r w:rsidRPr="001C481F">
        <w:rPr>
          <w:lang w:val="fr-FR"/>
        </w:rPr>
        <w:t>Le Comité remercie la délégation envoyée par l</w:t>
      </w:r>
      <w:r w:rsidR="0047269F">
        <w:rPr>
          <w:lang w:val="fr-FR"/>
        </w:rPr>
        <w:t>’</w:t>
      </w:r>
      <w:r w:rsidRPr="001C481F">
        <w:rPr>
          <w:lang w:val="fr-FR"/>
        </w:rPr>
        <w:t>État partie, qui était conduite par l</w:t>
      </w:r>
      <w:r w:rsidR="0047269F">
        <w:rPr>
          <w:lang w:val="fr-FR"/>
        </w:rPr>
        <w:t>’</w:t>
      </w:r>
      <w:r w:rsidRPr="001C481F">
        <w:rPr>
          <w:lang w:val="fr-FR"/>
        </w:rPr>
        <w:t>Ambassadrice et Représentante permanente d</w:t>
      </w:r>
      <w:r w:rsidR="0047269F">
        <w:rPr>
          <w:lang w:val="fr-FR"/>
        </w:rPr>
        <w:t>’</w:t>
      </w:r>
      <w:r w:rsidRPr="001C481F">
        <w:rPr>
          <w:lang w:val="fr-FR"/>
        </w:rPr>
        <w:t>Israël auprès de l</w:t>
      </w:r>
      <w:r w:rsidR="0047269F">
        <w:rPr>
          <w:lang w:val="fr-FR"/>
        </w:rPr>
        <w:t>’</w:t>
      </w:r>
      <w:r w:rsidRPr="001C481F">
        <w:rPr>
          <w:lang w:val="fr-FR"/>
        </w:rPr>
        <w:t>Office des Nations Unies à Genève, Aviva Raz Shechter</w:t>
      </w:r>
      <w:r w:rsidR="004173F3">
        <w:rPr>
          <w:lang w:val="fr-FR"/>
        </w:rPr>
        <w:t>, et</w:t>
      </w:r>
      <w:r w:rsidRPr="001C481F">
        <w:rPr>
          <w:lang w:val="fr-FR"/>
        </w:rPr>
        <w:t xml:space="preserve"> comprenait aussi des représentants du Ministère de la justice, du Ministère du travail, des affaires sociales et des services sociaux, du Ministère de la santé, du Ministère de l</w:t>
      </w:r>
      <w:r w:rsidR="0047269F">
        <w:rPr>
          <w:lang w:val="fr-FR"/>
        </w:rPr>
        <w:t>’</w:t>
      </w:r>
      <w:r w:rsidRPr="001C481F">
        <w:rPr>
          <w:lang w:val="fr-FR"/>
        </w:rPr>
        <w:t>éducation, des Forces de défense israéliennes, de la Police, de l</w:t>
      </w:r>
      <w:r w:rsidR="0047269F">
        <w:rPr>
          <w:lang w:val="fr-FR"/>
        </w:rPr>
        <w:t>’</w:t>
      </w:r>
      <w:r w:rsidRPr="001C481F">
        <w:rPr>
          <w:lang w:val="fr-FR"/>
        </w:rPr>
        <w:t>administration pénitentiaire israélienne et de la Mission permanente d</w:t>
      </w:r>
      <w:r w:rsidR="0047269F">
        <w:rPr>
          <w:lang w:val="fr-FR"/>
        </w:rPr>
        <w:t>’</w:t>
      </w:r>
      <w:r w:rsidRPr="001C481F">
        <w:rPr>
          <w:lang w:val="fr-FR"/>
        </w:rPr>
        <w:t>Israël auprès de l</w:t>
      </w:r>
      <w:r w:rsidR="0047269F">
        <w:rPr>
          <w:lang w:val="fr-FR"/>
        </w:rPr>
        <w:t>’</w:t>
      </w:r>
      <w:r w:rsidRPr="001C481F">
        <w:rPr>
          <w:lang w:val="fr-FR"/>
        </w:rPr>
        <w:t xml:space="preserve">Office des Nations Unies </w:t>
      </w:r>
      <w:r w:rsidR="004F3DFC" w:rsidRPr="004F3DFC">
        <w:rPr>
          <w:lang w:val="fr-FR"/>
        </w:rPr>
        <w:t xml:space="preserve">et d’autres organismes internationaux </w:t>
      </w:r>
      <w:r w:rsidRPr="001C481F">
        <w:rPr>
          <w:lang w:val="fr-FR"/>
        </w:rPr>
        <w:t>à Genève.</w:t>
      </w:r>
    </w:p>
    <w:p w14:paraId="119CC9C2" w14:textId="5A32C4AC" w:rsidR="009F114C" w:rsidRPr="009F114C" w:rsidRDefault="009F114C" w:rsidP="009F114C">
      <w:pPr>
        <w:pStyle w:val="SingleTxt"/>
        <w:tabs>
          <w:tab w:val="num" w:pos="2804"/>
        </w:tabs>
        <w:spacing w:after="0" w:line="120" w:lineRule="exact"/>
        <w:rPr>
          <w:sz w:val="10"/>
          <w:lang w:val="fr-FR"/>
        </w:rPr>
      </w:pPr>
    </w:p>
    <w:p w14:paraId="68AFD2D3" w14:textId="3AA18E3D" w:rsidR="009F114C" w:rsidRPr="009F114C" w:rsidRDefault="009F114C" w:rsidP="009F114C">
      <w:pPr>
        <w:pStyle w:val="SingleTxt"/>
        <w:tabs>
          <w:tab w:val="num" w:pos="2804"/>
        </w:tabs>
        <w:spacing w:after="0" w:line="120" w:lineRule="exact"/>
        <w:rPr>
          <w:sz w:val="10"/>
          <w:lang w:val="fr-FR"/>
        </w:rPr>
      </w:pPr>
    </w:p>
    <w:p w14:paraId="674F54F0" w14:textId="4BB02022" w:rsidR="001C481F" w:rsidRPr="001C481F" w:rsidRDefault="009F114C" w:rsidP="009F11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B.</w:t>
      </w:r>
      <w:r w:rsidR="001C481F" w:rsidRPr="001C481F">
        <w:rPr>
          <w:lang w:val="fr-FR"/>
        </w:rPr>
        <w:tab/>
        <w:t>Aspects positifs</w:t>
      </w:r>
    </w:p>
    <w:p w14:paraId="5CA45515" w14:textId="0D3CC940" w:rsidR="009F114C" w:rsidRPr="009F114C" w:rsidRDefault="009F114C" w:rsidP="009F114C">
      <w:pPr>
        <w:pStyle w:val="SingleTxt"/>
        <w:spacing w:after="0" w:line="120" w:lineRule="exact"/>
        <w:rPr>
          <w:sz w:val="10"/>
          <w:lang w:val="fr-FR"/>
        </w:rPr>
      </w:pPr>
    </w:p>
    <w:p w14:paraId="7001435C" w14:textId="7B821994" w:rsidR="009F114C" w:rsidRPr="009F114C" w:rsidRDefault="009F114C" w:rsidP="009F114C">
      <w:pPr>
        <w:pStyle w:val="SingleTxt"/>
        <w:spacing w:after="0" w:line="120" w:lineRule="exact"/>
        <w:rPr>
          <w:sz w:val="10"/>
          <w:lang w:val="fr-FR"/>
        </w:rPr>
      </w:pPr>
    </w:p>
    <w:p w14:paraId="697A6C8D" w14:textId="2E2E1810" w:rsidR="001C481F" w:rsidRPr="001C481F" w:rsidRDefault="001C481F" w:rsidP="00FC4232">
      <w:pPr>
        <w:pStyle w:val="SingleTxt"/>
        <w:numPr>
          <w:ilvl w:val="0"/>
          <w:numId w:val="39"/>
        </w:numPr>
        <w:spacing w:line="240" w:lineRule="exact"/>
        <w:rPr>
          <w:lang w:val="fr-FR"/>
        </w:rPr>
      </w:pPr>
      <w:r w:rsidRPr="001C481F">
        <w:rPr>
          <w:lang w:val="fr-FR"/>
        </w:rPr>
        <w:t xml:space="preserve">Le Comité salue les progrès accomplis, depuis </w:t>
      </w:r>
      <w:r w:rsidR="00F3416F">
        <w:rPr>
          <w:lang w:val="fr-FR"/>
        </w:rPr>
        <w:t>l’</w:t>
      </w:r>
      <w:r w:rsidRPr="001C481F">
        <w:rPr>
          <w:lang w:val="fr-FR"/>
        </w:rPr>
        <w:t>examen en 2011 du</w:t>
      </w:r>
      <w:r w:rsidR="003E6DF2">
        <w:rPr>
          <w:lang w:val="fr-FR"/>
        </w:rPr>
        <w:t xml:space="preserve"> cinquième</w:t>
      </w:r>
      <w:r w:rsidRPr="001C481F">
        <w:rPr>
          <w:lang w:val="fr-FR"/>
        </w:rPr>
        <w:t xml:space="preserve"> rapport périodique de l</w:t>
      </w:r>
      <w:r w:rsidR="0047269F">
        <w:rPr>
          <w:lang w:val="fr-FR"/>
        </w:rPr>
        <w:t>’</w:t>
      </w:r>
      <w:r w:rsidRPr="001C481F">
        <w:rPr>
          <w:lang w:val="fr-FR"/>
        </w:rPr>
        <w:t>État partie (</w:t>
      </w:r>
      <w:hyperlink r:id="rId20" w:history="1">
        <w:r w:rsidRPr="00483725">
          <w:rPr>
            <w:rStyle w:val="Hyperlink"/>
            <w:color w:val="0000FF"/>
            <w:lang w:val="fr-FR"/>
          </w:rPr>
          <w:t>CEDAW/C/ISR/5</w:t>
        </w:r>
      </w:hyperlink>
      <w:r w:rsidRPr="001C481F">
        <w:rPr>
          <w:lang w:val="fr-FR"/>
        </w:rPr>
        <w:t>), dans le domaine de la réforme législative, en particulier l</w:t>
      </w:r>
      <w:r w:rsidR="0047269F">
        <w:rPr>
          <w:lang w:val="fr-FR"/>
        </w:rPr>
        <w:t>’</w:t>
      </w:r>
      <w:r w:rsidRPr="001C481F">
        <w:rPr>
          <w:lang w:val="fr-FR"/>
        </w:rPr>
        <w:t>adoption des modifications suivantes :</w:t>
      </w:r>
    </w:p>
    <w:p w14:paraId="18A3569C" w14:textId="504656D4" w:rsidR="001C481F" w:rsidRPr="001C481F" w:rsidRDefault="001C481F" w:rsidP="001C481F">
      <w:pPr>
        <w:pStyle w:val="SingleTxt"/>
        <w:rPr>
          <w:lang w:val="fr-FR"/>
        </w:rPr>
      </w:pPr>
      <w:r w:rsidRPr="001C481F">
        <w:rPr>
          <w:lang w:val="fr-FR"/>
        </w:rPr>
        <w:tab/>
        <w:t>a)</w:t>
      </w:r>
      <w:r w:rsidRPr="001C481F">
        <w:rPr>
          <w:lang w:val="fr-FR"/>
        </w:rPr>
        <w:tab/>
        <w:t>Modification n</w:t>
      </w:r>
      <w:r w:rsidR="00556D88">
        <w:rPr>
          <w:vertAlign w:val="superscript"/>
          <w:lang w:val="fr-FR"/>
        </w:rPr>
        <w:t>o</w:t>
      </w:r>
      <w:r w:rsidR="00556D88" w:rsidRPr="00556D88">
        <w:rPr>
          <w:lang w:val="fr-FR"/>
        </w:rPr>
        <w:t> </w:t>
      </w:r>
      <w:r w:rsidRPr="001C481F">
        <w:rPr>
          <w:lang w:val="fr-FR"/>
        </w:rPr>
        <w:t>6 de la loi sur l</w:t>
      </w:r>
      <w:r w:rsidR="0047269F">
        <w:rPr>
          <w:lang w:val="fr-FR"/>
        </w:rPr>
        <w:t>’</w:t>
      </w:r>
      <w:r w:rsidRPr="001C481F">
        <w:rPr>
          <w:lang w:val="fr-FR"/>
        </w:rPr>
        <w:t>âge minimum du mariage, porté de 17 à 18 ans (2013)</w:t>
      </w:r>
      <w:r w:rsidR="00916698">
        <w:rPr>
          <w:lang w:val="fr-FR"/>
        </w:rPr>
        <w:t xml:space="preserve"> </w:t>
      </w:r>
      <w:r w:rsidR="0047269F">
        <w:rPr>
          <w:lang w:val="fr-FR"/>
        </w:rPr>
        <w:t>;</w:t>
      </w:r>
    </w:p>
    <w:p w14:paraId="4D3E5C0A" w14:textId="357DE746" w:rsidR="001C481F" w:rsidRPr="001C481F" w:rsidRDefault="001C481F" w:rsidP="001C481F">
      <w:pPr>
        <w:pStyle w:val="SingleTxt"/>
        <w:rPr>
          <w:lang w:val="fr-FR"/>
        </w:rPr>
      </w:pPr>
      <w:r w:rsidRPr="001C481F">
        <w:rPr>
          <w:lang w:val="fr-FR"/>
        </w:rPr>
        <w:lastRenderedPageBreak/>
        <w:tab/>
        <w:t>b)</w:t>
      </w:r>
      <w:r w:rsidRPr="001C481F">
        <w:rPr>
          <w:lang w:val="fr-FR"/>
        </w:rPr>
        <w:tab/>
        <w:t>Modification n</w:t>
      </w:r>
      <w:r w:rsidR="00556D88">
        <w:rPr>
          <w:vertAlign w:val="superscript"/>
          <w:lang w:val="fr-FR"/>
        </w:rPr>
        <w:t>o </w:t>
      </w:r>
      <w:r w:rsidRPr="001C481F">
        <w:rPr>
          <w:lang w:val="fr-FR"/>
        </w:rPr>
        <w:t>57 de la loi sur l</w:t>
      </w:r>
      <w:r w:rsidR="0047269F">
        <w:rPr>
          <w:lang w:val="fr-FR"/>
        </w:rPr>
        <w:t>’</w:t>
      </w:r>
      <w:r w:rsidRPr="001C481F">
        <w:rPr>
          <w:lang w:val="fr-FR"/>
        </w:rPr>
        <w:t>emploi des femmes, portant la durée du congé de maternité de 14 à 15 semaines (2017)</w:t>
      </w:r>
      <w:r w:rsidR="00916698">
        <w:rPr>
          <w:lang w:val="fr-FR"/>
        </w:rPr>
        <w:t xml:space="preserve"> </w:t>
      </w:r>
      <w:r w:rsidR="0047269F">
        <w:rPr>
          <w:lang w:val="fr-FR"/>
        </w:rPr>
        <w:t>;</w:t>
      </w:r>
    </w:p>
    <w:p w14:paraId="6C5DBC67" w14:textId="73FD1859" w:rsidR="001C481F" w:rsidRPr="001C481F" w:rsidRDefault="009F114C" w:rsidP="001C481F">
      <w:pPr>
        <w:pStyle w:val="SingleTxt"/>
        <w:rPr>
          <w:lang w:val="fr-FR"/>
        </w:rPr>
      </w:pPr>
      <w:r>
        <w:rPr>
          <w:lang w:val="fr-FR"/>
        </w:rPr>
        <w:tab/>
      </w:r>
      <w:r w:rsidR="001C481F" w:rsidRPr="001C481F">
        <w:rPr>
          <w:lang w:val="fr-FR"/>
        </w:rPr>
        <w:t>c)</w:t>
      </w:r>
      <w:r w:rsidR="001C481F" w:rsidRPr="001C481F">
        <w:rPr>
          <w:lang w:val="fr-FR"/>
        </w:rPr>
        <w:tab/>
        <w:t>Modification des Règles relatives à la prévention du harcèlement sexuel, instaurant des mesures de lutte contre le harcèlement dans les établissements d</w:t>
      </w:r>
      <w:r w:rsidR="0047269F">
        <w:rPr>
          <w:lang w:val="fr-FR"/>
        </w:rPr>
        <w:t>’</w:t>
      </w:r>
      <w:r w:rsidR="001C481F" w:rsidRPr="001C481F">
        <w:rPr>
          <w:lang w:val="fr-FR"/>
        </w:rPr>
        <w:t>enseignement supérieur (2014)</w:t>
      </w:r>
      <w:r w:rsidR="00916698">
        <w:rPr>
          <w:lang w:val="fr-FR"/>
        </w:rPr>
        <w:t xml:space="preserve"> </w:t>
      </w:r>
      <w:r w:rsidR="0047269F">
        <w:rPr>
          <w:lang w:val="fr-FR"/>
        </w:rPr>
        <w:t>;</w:t>
      </w:r>
      <w:r w:rsidR="001C481F" w:rsidRPr="001C481F">
        <w:rPr>
          <w:lang w:val="fr-FR"/>
        </w:rPr>
        <w:t xml:space="preserve"> </w:t>
      </w:r>
    </w:p>
    <w:p w14:paraId="6311B447" w14:textId="113D1B62" w:rsidR="001C481F" w:rsidRPr="001C481F" w:rsidRDefault="009F114C" w:rsidP="001C481F">
      <w:pPr>
        <w:pStyle w:val="SingleTxt"/>
        <w:rPr>
          <w:lang w:val="fr-FR"/>
        </w:rPr>
      </w:pPr>
      <w:r>
        <w:rPr>
          <w:lang w:val="fr-FR"/>
        </w:rPr>
        <w:tab/>
      </w:r>
      <w:r w:rsidR="001C481F" w:rsidRPr="001C481F">
        <w:rPr>
          <w:lang w:val="fr-FR"/>
        </w:rPr>
        <w:t>d)</w:t>
      </w:r>
      <w:r w:rsidR="001C481F" w:rsidRPr="001C481F">
        <w:rPr>
          <w:lang w:val="fr-FR"/>
        </w:rPr>
        <w:tab/>
        <w:t>Modification n</w:t>
      </w:r>
      <w:r w:rsidR="001C481F" w:rsidRPr="001C481F">
        <w:rPr>
          <w:vertAlign w:val="superscript"/>
          <w:lang w:val="fr-FR"/>
        </w:rPr>
        <w:t>o</w:t>
      </w:r>
      <w:r w:rsidR="001C481F" w:rsidRPr="001C481F">
        <w:rPr>
          <w:lang w:val="fr-FR"/>
        </w:rPr>
        <w:t xml:space="preserve"> 26 de la loi sur les juges religieux, </w:t>
      </w:r>
      <w:r w:rsidR="003E6DF2">
        <w:rPr>
          <w:lang w:val="fr-FR"/>
        </w:rPr>
        <w:t>disposant</w:t>
      </w:r>
      <w:r w:rsidR="001C481F" w:rsidRPr="001C481F">
        <w:rPr>
          <w:lang w:val="fr-FR"/>
        </w:rPr>
        <w:t xml:space="preserve"> qu</w:t>
      </w:r>
      <w:r w:rsidR="0047269F">
        <w:rPr>
          <w:lang w:val="fr-FR"/>
        </w:rPr>
        <w:t>’</w:t>
      </w:r>
      <w:r w:rsidR="001C481F" w:rsidRPr="001C481F">
        <w:rPr>
          <w:lang w:val="fr-FR"/>
        </w:rPr>
        <w:t>au moins l</w:t>
      </w:r>
      <w:r w:rsidR="0047269F">
        <w:rPr>
          <w:lang w:val="fr-FR"/>
        </w:rPr>
        <w:t>’</w:t>
      </w:r>
      <w:r w:rsidR="001C481F" w:rsidRPr="001C481F">
        <w:rPr>
          <w:lang w:val="fr-FR"/>
        </w:rPr>
        <w:t xml:space="preserve">un des deux représentants de chacune des trois instances (Gouvernement, </w:t>
      </w:r>
      <w:r w:rsidR="003E6DF2">
        <w:rPr>
          <w:lang w:val="fr-FR"/>
        </w:rPr>
        <w:t>Parlement</w:t>
      </w:r>
      <w:r w:rsidR="003E6DF2" w:rsidRPr="001C481F">
        <w:rPr>
          <w:lang w:val="fr-FR"/>
        </w:rPr>
        <w:t xml:space="preserve"> </w:t>
      </w:r>
      <w:r w:rsidR="001C481F" w:rsidRPr="001C481F">
        <w:rPr>
          <w:lang w:val="fr-FR"/>
        </w:rPr>
        <w:t>et barreau israélien) siégeant au comité chargé de nommer les juges des tribunaux judaïques doit être une femme (2013)</w:t>
      </w:r>
      <w:r w:rsidR="00916698">
        <w:rPr>
          <w:lang w:val="fr-FR"/>
        </w:rPr>
        <w:t xml:space="preserve"> </w:t>
      </w:r>
      <w:r w:rsidR="0047269F">
        <w:rPr>
          <w:lang w:val="fr-FR"/>
        </w:rPr>
        <w:t>;</w:t>
      </w:r>
      <w:r w:rsidR="001C481F" w:rsidRPr="001C481F">
        <w:rPr>
          <w:lang w:val="fr-FR"/>
        </w:rPr>
        <w:t xml:space="preserve"> </w:t>
      </w:r>
    </w:p>
    <w:p w14:paraId="393DE12F" w14:textId="70503419" w:rsidR="001C481F" w:rsidRPr="001C481F" w:rsidRDefault="009F114C" w:rsidP="001C481F">
      <w:pPr>
        <w:pStyle w:val="SingleTxt"/>
        <w:rPr>
          <w:lang w:val="fr-FR"/>
        </w:rPr>
      </w:pPr>
      <w:r>
        <w:rPr>
          <w:lang w:val="fr-FR"/>
        </w:rPr>
        <w:tab/>
      </w:r>
      <w:r w:rsidR="001C481F" w:rsidRPr="001C481F">
        <w:rPr>
          <w:lang w:val="fr-FR"/>
        </w:rPr>
        <w:t>e)</w:t>
      </w:r>
      <w:r w:rsidR="001C481F" w:rsidRPr="001C481F">
        <w:rPr>
          <w:lang w:val="fr-FR"/>
        </w:rPr>
        <w:tab/>
        <w:t>Modification de la loi sur les tribunaux rabbiniques (application des jugements de divorce) (2012)</w:t>
      </w:r>
      <w:r w:rsidR="00916698">
        <w:rPr>
          <w:lang w:val="fr-FR"/>
        </w:rPr>
        <w:t xml:space="preserve"> </w:t>
      </w:r>
      <w:r w:rsidR="0047269F">
        <w:rPr>
          <w:lang w:val="fr-FR"/>
        </w:rPr>
        <w:t>;</w:t>
      </w:r>
    </w:p>
    <w:p w14:paraId="15F4964D" w14:textId="4FEB9772" w:rsidR="001C481F" w:rsidRPr="001C481F" w:rsidRDefault="009F114C" w:rsidP="001C481F">
      <w:pPr>
        <w:pStyle w:val="SingleTxt"/>
        <w:rPr>
          <w:lang w:val="fr-FR"/>
        </w:rPr>
      </w:pPr>
      <w:r>
        <w:rPr>
          <w:lang w:val="fr-FR"/>
        </w:rPr>
        <w:tab/>
      </w:r>
      <w:r w:rsidR="001C481F" w:rsidRPr="001C481F">
        <w:rPr>
          <w:lang w:val="fr-FR"/>
        </w:rPr>
        <w:t>f)</w:t>
      </w:r>
      <w:r w:rsidR="001C481F" w:rsidRPr="001C481F">
        <w:rPr>
          <w:lang w:val="fr-FR"/>
        </w:rPr>
        <w:tab/>
        <w:t>Modification de la loi sur le système national d</w:t>
      </w:r>
      <w:r w:rsidR="0047269F">
        <w:rPr>
          <w:lang w:val="fr-FR"/>
        </w:rPr>
        <w:t>’</w:t>
      </w:r>
      <w:r w:rsidR="001C481F" w:rsidRPr="001C481F">
        <w:rPr>
          <w:lang w:val="fr-FR"/>
        </w:rPr>
        <w:t xml:space="preserve">assurance maladie, rendant les techniques de préservation de la fertilité accessibles aux femmes et filles auxquelles a été prescrite une chimiothérapie ou une radiothérapie (2011). </w:t>
      </w:r>
    </w:p>
    <w:p w14:paraId="6336D3B9" w14:textId="26B1E78A" w:rsidR="001C481F" w:rsidRPr="001C481F" w:rsidRDefault="001C481F" w:rsidP="00FC4232">
      <w:pPr>
        <w:pStyle w:val="SingleTxt"/>
        <w:numPr>
          <w:ilvl w:val="0"/>
          <w:numId w:val="39"/>
        </w:numPr>
        <w:spacing w:line="240" w:lineRule="exact"/>
        <w:rPr>
          <w:lang w:val="fr-FR"/>
        </w:rPr>
      </w:pPr>
      <w:r w:rsidRPr="001C481F">
        <w:rPr>
          <w:lang w:val="fr-FR"/>
        </w:rPr>
        <w:t>Le Comité se félicite de l</w:t>
      </w:r>
      <w:r w:rsidR="0047269F">
        <w:rPr>
          <w:lang w:val="fr-FR"/>
        </w:rPr>
        <w:t>’</w:t>
      </w:r>
      <w:r w:rsidRPr="001C481F">
        <w:rPr>
          <w:lang w:val="fr-FR"/>
        </w:rPr>
        <w:t>action menée par l</w:t>
      </w:r>
      <w:r w:rsidR="0047269F">
        <w:rPr>
          <w:lang w:val="fr-FR"/>
        </w:rPr>
        <w:t>’</w:t>
      </w:r>
      <w:r w:rsidRPr="001C481F">
        <w:rPr>
          <w:lang w:val="fr-FR"/>
        </w:rPr>
        <w:t>État partie pour améliorer son cadre institutionnel et politique afin d</w:t>
      </w:r>
      <w:r w:rsidR="0047269F">
        <w:rPr>
          <w:lang w:val="fr-FR"/>
        </w:rPr>
        <w:t>’</w:t>
      </w:r>
      <w:r w:rsidRPr="001C481F">
        <w:rPr>
          <w:lang w:val="fr-FR"/>
        </w:rPr>
        <w:t>éliminer au plus vite la discrimination à l</w:t>
      </w:r>
      <w:r w:rsidR="0047269F">
        <w:rPr>
          <w:lang w:val="fr-FR"/>
        </w:rPr>
        <w:t>’</w:t>
      </w:r>
      <w:r w:rsidRPr="001C481F">
        <w:rPr>
          <w:lang w:val="fr-FR"/>
        </w:rPr>
        <w:t>égard des femmes et de promouvoir l</w:t>
      </w:r>
      <w:r w:rsidR="0047269F">
        <w:rPr>
          <w:lang w:val="fr-FR"/>
        </w:rPr>
        <w:t>’</w:t>
      </w:r>
      <w:r w:rsidRPr="001C481F">
        <w:rPr>
          <w:lang w:val="fr-FR"/>
        </w:rPr>
        <w:t>égalité des sexes, qui s</w:t>
      </w:r>
      <w:r w:rsidR="0047269F">
        <w:rPr>
          <w:lang w:val="fr-FR"/>
        </w:rPr>
        <w:t>’</w:t>
      </w:r>
      <w:r w:rsidRPr="001C481F">
        <w:rPr>
          <w:lang w:val="fr-FR"/>
        </w:rPr>
        <w:t>est notamment traduite par :</w:t>
      </w:r>
    </w:p>
    <w:p w14:paraId="4965528C" w14:textId="395DEAD7" w:rsidR="001C481F" w:rsidRPr="001C481F" w:rsidRDefault="001C481F" w:rsidP="001C481F">
      <w:pPr>
        <w:pStyle w:val="SingleTxt"/>
        <w:rPr>
          <w:lang w:val="fr-FR"/>
        </w:rPr>
      </w:pPr>
      <w:r w:rsidRPr="001C481F">
        <w:rPr>
          <w:lang w:val="fr-FR"/>
        </w:rPr>
        <w:tab/>
        <w:t>a)</w:t>
      </w:r>
      <w:r w:rsidRPr="001C481F">
        <w:rPr>
          <w:lang w:val="fr-FR"/>
        </w:rPr>
        <w:tab/>
        <w:t>L</w:t>
      </w:r>
      <w:r w:rsidR="0047269F">
        <w:rPr>
          <w:lang w:val="fr-FR"/>
        </w:rPr>
        <w:t>’</w:t>
      </w:r>
      <w:r w:rsidRPr="001C481F">
        <w:rPr>
          <w:lang w:val="fr-FR"/>
        </w:rPr>
        <w:t>adoption en 2015 d</w:t>
      </w:r>
      <w:r w:rsidR="0047269F">
        <w:rPr>
          <w:lang w:val="fr-FR"/>
        </w:rPr>
        <w:t>’</w:t>
      </w:r>
      <w:r w:rsidRPr="001C481F">
        <w:rPr>
          <w:lang w:val="fr-FR"/>
        </w:rPr>
        <w:t>un plan d</w:t>
      </w:r>
      <w:r w:rsidR="0047269F">
        <w:rPr>
          <w:lang w:val="fr-FR"/>
        </w:rPr>
        <w:t>’</w:t>
      </w:r>
      <w:r w:rsidRPr="001C481F">
        <w:rPr>
          <w:lang w:val="fr-FR"/>
        </w:rPr>
        <w:t xml:space="preserve">action pour la mise en œuvre de la résolution </w:t>
      </w:r>
      <w:hyperlink r:id="rId21" w:history="1">
        <w:r w:rsidRPr="00FC4232">
          <w:rPr>
            <w:rStyle w:val="Hyperlink"/>
            <w:color w:val="0000FF"/>
            <w:lang w:val="fr-FR"/>
          </w:rPr>
          <w:t>1325 (2000)</w:t>
        </w:r>
      </w:hyperlink>
      <w:r w:rsidRPr="001C481F">
        <w:rPr>
          <w:lang w:val="fr-FR"/>
        </w:rPr>
        <w:t xml:space="preserve"> du Conseil de sécurité</w:t>
      </w:r>
      <w:r w:rsidR="0047269F">
        <w:rPr>
          <w:lang w:val="fr-FR"/>
        </w:rPr>
        <w:t>;</w:t>
      </w:r>
    </w:p>
    <w:p w14:paraId="4F1CA5BE" w14:textId="7907CA42" w:rsidR="001C481F" w:rsidRPr="001C481F" w:rsidRDefault="009F114C" w:rsidP="001C481F">
      <w:pPr>
        <w:pStyle w:val="SingleTxt"/>
        <w:rPr>
          <w:lang w:val="fr-FR"/>
        </w:rPr>
      </w:pPr>
      <w:r>
        <w:rPr>
          <w:lang w:val="fr-FR"/>
        </w:rPr>
        <w:tab/>
      </w:r>
      <w:r w:rsidR="001C481F" w:rsidRPr="001C481F">
        <w:rPr>
          <w:lang w:val="fr-FR"/>
        </w:rPr>
        <w:t>b)</w:t>
      </w:r>
      <w:r w:rsidR="001C481F" w:rsidRPr="001C481F">
        <w:rPr>
          <w:lang w:val="fr-FR"/>
        </w:rPr>
        <w:tab/>
        <w:t>L</w:t>
      </w:r>
      <w:r w:rsidR="0047269F">
        <w:rPr>
          <w:lang w:val="fr-FR"/>
        </w:rPr>
        <w:t>’</w:t>
      </w:r>
      <w:r w:rsidR="001C481F" w:rsidRPr="001C481F">
        <w:rPr>
          <w:lang w:val="fr-FR"/>
        </w:rPr>
        <w:t>institution de tribunaux des affaires familiales, qui sont entrés en activité en 2014</w:t>
      </w:r>
      <w:r w:rsidR="00916698">
        <w:rPr>
          <w:lang w:val="fr-FR"/>
        </w:rPr>
        <w:t xml:space="preserve"> </w:t>
      </w:r>
      <w:r w:rsidR="0047269F">
        <w:rPr>
          <w:lang w:val="fr-FR"/>
        </w:rPr>
        <w:t>;</w:t>
      </w:r>
      <w:r w:rsidR="001C481F" w:rsidRPr="001C481F">
        <w:rPr>
          <w:lang w:val="fr-FR"/>
        </w:rPr>
        <w:t xml:space="preserve"> </w:t>
      </w:r>
    </w:p>
    <w:p w14:paraId="190F3E8C" w14:textId="555C85CE" w:rsidR="001C481F" w:rsidRPr="001C481F" w:rsidRDefault="009F114C" w:rsidP="001C481F">
      <w:pPr>
        <w:pStyle w:val="SingleTxt"/>
        <w:rPr>
          <w:lang w:val="fr-FR"/>
        </w:rPr>
      </w:pPr>
      <w:r>
        <w:rPr>
          <w:lang w:val="fr-FR"/>
        </w:rPr>
        <w:tab/>
      </w:r>
      <w:r w:rsidR="001C481F" w:rsidRPr="001C481F">
        <w:rPr>
          <w:lang w:val="fr-FR"/>
        </w:rPr>
        <w:t>c)</w:t>
      </w:r>
      <w:r w:rsidR="001C481F" w:rsidRPr="001C481F">
        <w:rPr>
          <w:lang w:val="fr-FR"/>
        </w:rPr>
        <w:tab/>
        <w:t>La mise en place d</w:t>
      </w:r>
      <w:r w:rsidR="0047269F">
        <w:rPr>
          <w:lang w:val="fr-FR"/>
        </w:rPr>
        <w:t>’</w:t>
      </w:r>
      <w:r w:rsidR="001C481F" w:rsidRPr="001C481F">
        <w:rPr>
          <w:lang w:val="fr-FR"/>
        </w:rPr>
        <w:t>un comité conjoint interministériel pour la prévention de la violence domestique, en 2014</w:t>
      </w:r>
      <w:r w:rsidR="00916698">
        <w:rPr>
          <w:lang w:val="fr-FR"/>
        </w:rPr>
        <w:t xml:space="preserve"> </w:t>
      </w:r>
      <w:r w:rsidR="0047269F">
        <w:rPr>
          <w:lang w:val="fr-FR"/>
        </w:rPr>
        <w:t>;</w:t>
      </w:r>
    </w:p>
    <w:p w14:paraId="78DF3023" w14:textId="428D47BD" w:rsidR="001C481F" w:rsidRPr="001C481F" w:rsidRDefault="009F114C" w:rsidP="001C481F">
      <w:pPr>
        <w:pStyle w:val="SingleTxt"/>
        <w:rPr>
          <w:lang w:val="fr-FR"/>
        </w:rPr>
      </w:pPr>
      <w:r>
        <w:rPr>
          <w:lang w:val="fr-FR"/>
        </w:rPr>
        <w:tab/>
      </w:r>
      <w:r w:rsidR="001C481F" w:rsidRPr="001C481F">
        <w:rPr>
          <w:lang w:val="fr-FR"/>
        </w:rPr>
        <w:t>d)</w:t>
      </w:r>
      <w:r w:rsidR="001C481F" w:rsidRPr="001C481F">
        <w:rPr>
          <w:lang w:val="fr-FR"/>
        </w:rPr>
        <w:tab/>
        <w:t>La création d</w:t>
      </w:r>
      <w:r w:rsidR="0047269F">
        <w:rPr>
          <w:lang w:val="fr-FR"/>
        </w:rPr>
        <w:t>’</w:t>
      </w:r>
      <w:r w:rsidR="001C481F" w:rsidRPr="001C481F">
        <w:rPr>
          <w:lang w:val="fr-FR"/>
        </w:rPr>
        <w:t>un Groupe de l</w:t>
      </w:r>
      <w:r w:rsidR="0047269F">
        <w:rPr>
          <w:lang w:val="fr-FR"/>
        </w:rPr>
        <w:t>’</w:t>
      </w:r>
      <w:r w:rsidR="001C481F" w:rsidRPr="001C481F">
        <w:rPr>
          <w:lang w:val="fr-FR"/>
        </w:rPr>
        <w:t xml:space="preserve">égalité des sexes dans </w:t>
      </w:r>
      <w:r w:rsidR="00ED6BD6">
        <w:rPr>
          <w:lang w:val="fr-FR"/>
        </w:rPr>
        <w:t>la</w:t>
      </w:r>
      <w:r w:rsidR="001C481F" w:rsidRPr="001C481F">
        <w:rPr>
          <w:lang w:val="fr-FR"/>
        </w:rPr>
        <w:t xml:space="preserve"> police, en 2013</w:t>
      </w:r>
      <w:r w:rsidR="0047269F">
        <w:rPr>
          <w:lang w:val="fr-FR"/>
        </w:rPr>
        <w:t> ;</w:t>
      </w:r>
    </w:p>
    <w:p w14:paraId="2546A029" w14:textId="2FD966A0" w:rsidR="001C481F" w:rsidRPr="001C481F" w:rsidRDefault="001C481F" w:rsidP="001C481F">
      <w:pPr>
        <w:pStyle w:val="SingleTxt"/>
        <w:rPr>
          <w:lang w:val="fr-FR"/>
        </w:rPr>
      </w:pPr>
      <w:r w:rsidRPr="001C481F">
        <w:rPr>
          <w:lang w:val="fr-FR"/>
        </w:rPr>
        <w:tab/>
        <w:t>e)</w:t>
      </w:r>
      <w:r w:rsidRPr="001C481F">
        <w:rPr>
          <w:lang w:val="fr-FR"/>
        </w:rPr>
        <w:tab/>
        <w:t>La constitution, en 2011, d</w:t>
      </w:r>
      <w:r w:rsidR="0047269F">
        <w:rPr>
          <w:lang w:val="fr-FR"/>
        </w:rPr>
        <w:t>’</w:t>
      </w:r>
      <w:r w:rsidRPr="001C481F">
        <w:rPr>
          <w:lang w:val="fr-FR"/>
        </w:rPr>
        <w:t>une équipe interministérielle conjointe, dirigée par le Procureur général adjoint et chargée d</w:t>
      </w:r>
      <w:r w:rsidR="0047269F">
        <w:rPr>
          <w:lang w:val="fr-FR"/>
        </w:rPr>
        <w:t>’</w:t>
      </w:r>
      <w:r w:rsidRPr="001C481F">
        <w:rPr>
          <w:lang w:val="fr-FR"/>
        </w:rPr>
        <w:t>examiner et d</w:t>
      </w:r>
      <w:r w:rsidR="0047269F">
        <w:rPr>
          <w:lang w:val="fr-FR"/>
        </w:rPr>
        <w:t>’</w:t>
      </w:r>
      <w:r w:rsidRPr="001C481F">
        <w:rPr>
          <w:lang w:val="fr-FR"/>
        </w:rPr>
        <w:t>appliquer les observations finales d</w:t>
      </w:r>
      <w:r w:rsidR="0047269F">
        <w:rPr>
          <w:lang w:val="fr-FR"/>
        </w:rPr>
        <w:t>’</w:t>
      </w:r>
      <w:r w:rsidRPr="001C481F">
        <w:rPr>
          <w:lang w:val="fr-FR"/>
        </w:rPr>
        <w:t>organes conventionnels.</w:t>
      </w:r>
    </w:p>
    <w:p w14:paraId="217AF8AC" w14:textId="4105F4E1" w:rsidR="001C481F" w:rsidRPr="001C481F" w:rsidRDefault="001C481F" w:rsidP="00FC4232">
      <w:pPr>
        <w:pStyle w:val="SingleTxt"/>
        <w:numPr>
          <w:ilvl w:val="0"/>
          <w:numId w:val="39"/>
        </w:numPr>
        <w:spacing w:line="240" w:lineRule="exact"/>
        <w:rPr>
          <w:lang w:val="fr-FR"/>
        </w:rPr>
      </w:pPr>
      <w:r w:rsidRPr="001C481F">
        <w:rPr>
          <w:lang w:val="fr-FR"/>
        </w:rPr>
        <w:t>Le Comité se félicite que, depuis son examen du rapport précédent de l</w:t>
      </w:r>
      <w:r w:rsidR="0047269F">
        <w:rPr>
          <w:lang w:val="fr-FR"/>
        </w:rPr>
        <w:t>’</w:t>
      </w:r>
      <w:r w:rsidRPr="001C481F">
        <w:rPr>
          <w:lang w:val="fr-FR"/>
        </w:rPr>
        <w:t>État partie, celui-ci ait ratifié les traités internationaux suivants</w:t>
      </w:r>
      <w:r w:rsidR="007F2734">
        <w:rPr>
          <w:lang w:val="fr-FR"/>
        </w:rPr>
        <w:t xml:space="preserve"> en 2012</w:t>
      </w:r>
      <w:r w:rsidRPr="001C481F">
        <w:rPr>
          <w:lang w:val="fr-FR"/>
        </w:rPr>
        <w:t> :</w:t>
      </w:r>
    </w:p>
    <w:p w14:paraId="05A2A5AC" w14:textId="1C902D56" w:rsidR="001C481F" w:rsidRPr="001C481F" w:rsidRDefault="001C481F" w:rsidP="001C481F">
      <w:pPr>
        <w:pStyle w:val="SingleTxt"/>
        <w:rPr>
          <w:lang w:val="fr-FR"/>
        </w:rPr>
      </w:pPr>
      <w:r w:rsidRPr="001C481F">
        <w:rPr>
          <w:lang w:val="fr-FR"/>
        </w:rPr>
        <w:tab/>
        <w:t>a)</w:t>
      </w:r>
      <w:r w:rsidRPr="001C481F">
        <w:rPr>
          <w:lang w:val="fr-FR"/>
        </w:rPr>
        <w:tab/>
        <w:t>Convention relative aux droits des personnes handicapées</w:t>
      </w:r>
      <w:r w:rsidR="0047269F">
        <w:rPr>
          <w:lang w:val="fr-FR"/>
        </w:rPr>
        <w:t> ;</w:t>
      </w:r>
      <w:r w:rsidRPr="001C481F">
        <w:rPr>
          <w:lang w:val="fr-FR"/>
        </w:rPr>
        <w:t xml:space="preserve"> </w:t>
      </w:r>
    </w:p>
    <w:p w14:paraId="299E46ED" w14:textId="62280EA9" w:rsidR="009F114C" w:rsidRDefault="001C481F" w:rsidP="009F114C">
      <w:pPr>
        <w:pStyle w:val="SingleTxt"/>
        <w:rPr>
          <w:lang w:val="fr-FR"/>
        </w:rPr>
      </w:pPr>
      <w:r w:rsidRPr="001C481F">
        <w:rPr>
          <w:lang w:val="fr-FR"/>
        </w:rPr>
        <w:tab/>
        <w:t>b)</w:t>
      </w:r>
      <w:r w:rsidRPr="001C481F">
        <w:rPr>
          <w:lang w:val="fr-FR"/>
        </w:rPr>
        <w:tab/>
        <w:t>Convention de 1997 sur les agences d</w:t>
      </w:r>
      <w:r w:rsidR="0047269F">
        <w:rPr>
          <w:lang w:val="fr-FR"/>
        </w:rPr>
        <w:t>’</w:t>
      </w:r>
      <w:r w:rsidRPr="001C481F">
        <w:rPr>
          <w:lang w:val="fr-FR"/>
        </w:rPr>
        <w:t>emploi privées (n</w:t>
      </w:r>
      <w:r w:rsidR="0047269F">
        <w:rPr>
          <w:vertAlign w:val="superscript"/>
          <w:lang w:val="fr-FR"/>
        </w:rPr>
        <w:t>o</w:t>
      </w:r>
      <w:r w:rsidR="0047269F" w:rsidRPr="0047269F">
        <w:rPr>
          <w:lang w:val="fr-FR"/>
        </w:rPr>
        <w:t> </w:t>
      </w:r>
      <w:r w:rsidRPr="001C481F">
        <w:rPr>
          <w:lang w:val="fr-FR"/>
        </w:rPr>
        <w:t>181), de l</w:t>
      </w:r>
      <w:r w:rsidR="0047269F">
        <w:rPr>
          <w:lang w:val="fr-FR"/>
        </w:rPr>
        <w:t>’</w:t>
      </w:r>
      <w:r w:rsidRPr="001C481F">
        <w:rPr>
          <w:lang w:val="fr-FR"/>
        </w:rPr>
        <w:t>Organisation internationale du Travail.</w:t>
      </w:r>
    </w:p>
    <w:p w14:paraId="2429387B" w14:textId="061A96C8" w:rsidR="009F114C" w:rsidRPr="009F114C" w:rsidRDefault="009F114C" w:rsidP="009F114C">
      <w:pPr>
        <w:pStyle w:val="SingleTxt"/>
        <w:spacing w:after="0" w:line="120" w:lineRule="exact"/>
        <w:rPr>
          <w:sz w:val="10"/>
          <w:lang w:val="fr-FR"/>
        </w:rPr>
      </w:pPr>
    </w:p>
    <w:p w14:paraId="451730BA" w14:textId="077FC8ED" w:rsidR="009F114C" w:rsidRPr="009F114C" w:rsidRDefault="009F114C" w:rsidP="009F114C">
      <w:pPr>
        <w:pStyle w:val="SingleTxt"/>
        <w:spacing w:after="0" w:line="120" w:lineRule="exact"/>
        <w:rPr>
          <w:sz w:val="10"/>
          <w:lang w:val="fr-FR"/>
        </w:rPr>
      </w:pPr>
    </w:p>
    <w:p w14:paraId="471C8E44" w14:textId="67F7E3BD" w:rsidR="001C481F" w:rsidRPr="001C481F" w:rsidRDefault="009F114C" w:rsidP="009F11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C.</w:t>
      </w:r>
      <w:r>
        <w:rPr>
          <w:lang w:val="fr-FR"/>
        </w:rPr>
        <w:tab/>
      </w:r>
      <w:r w:rsidR="001C481F" w:rsidRPr="001C481F">
        <w:rPr>
          <w:lang w:val="fr-FR"/>
        </w:rPr>
        <w:t>Parlement</w:t>
      </w:r>
    </w:p>
    <w:p w14:paraId="5D902714" w14:textId="17C939C2" w:rsidR="009F114C" w:rsidRPr="009F114C" w:rsidRDefault="009F114C" w:rsidP="009F114C">
      <w:pPr>
        <w:pStyle w:val="SingleTxt"/>
        <w:spacing w:after="0" w:line="120" w:lineRule="exact"/>
        <w:rPr>
          <w:sz w:val="10"/>
          <w:lang w:val="fr-FR"/>
        </w:rPr>
      </w:pPr>
    </w:p>
    <w:p w14:paraId="1DB99195" w14:textId="19253B94" w:rsidR="009F114C" w:rsidRPr="009F114C" w:rsidRDefault="009F114C" w:rsidP="009F114C">
      <w:pPr>
        <w:pStyle w:val="SingleTxt"/>
        <w:spacing w:after="0" w:line="120" w:lineRule="exact"/>
        <w:rPr>
          <w:sz w:val="10"/>
          <w:lang w:val="fr-FR"/>
        </w:rPr>
      </w:pPr>
    </w:p>
    <w:p w14:paraId="2D8AAABC" w14:textId="484281B9" w:rsidR="001C481F" w:rsidRPr="00823F91" w:rsidRDefault="001C481F" w:rsidP="00FC4232">
      <w:pPr>
        <w:pStyle w:val="SingleTxt"/>
        <w:numPr>
          <w:ilvl w:val="0"/>
          <w:numId w:val="39"/>
        </w:numPr>
        <w:spacing w:line="240" w:lineRule="exact"/>
        <w:rPr>
          <w:lang w:val="fr-FR"/>
        </w:rPr>
      </w:pPr>
      <w:r w:rsidRPr="00FC4232">
        <w:rPr>
          <w:b/>
          <w:bCs/>
          <w:lang w:val="fr-FR"/>
        </w:rPr>
        <w:t>Le Comité souligne le rôle essentiel du pouvoir législatif s</w:t>
      </w:r>
      <w:r w:rsidR="0047269F" w:rsidRPr="00FC4232">
        <w:rPr>
          <w:b/>
          <w:bCs/>
          <w:lang w:val="fr-FR"/>
        </w:rPr>
        <w:t>’</w:t>
      </w:r>
      <w:r w:rsidRPr="00FC4232">
        <w:rPr>
          <w:b/>
          <w:bCs/>
          <w:lang w:val="fr-FR"/>
        </w:rPr>
        <w:t xml:space="preserve">agissant de garantir la pleine mise en œuvre de la Convention (voir la déclaration faite par le Comité sur ses relations avec les parlementaires, adoptée à la quarante-cinquième session, en 2010). Il invite le Parlement, dans le cadre de son mandat, à prendre les mesures nécessaires en vue de mettre en œuvre les présentes observations finales avant la soumission du prochain rapport périodique, en application de la Convention. </w:t>
      </w:r>
    </w:p>
    <w:p w14:paraId="2282C6D7" w14:textId="57C5021A" w:rsidR="009F114C" w:rsidRPr="009F114C" w:rsidRDefault="009F114C" w:rsidP="009F114C">
      <w:pPr>
        <w:pStyle w:val="SingleTxt"/>
        <w:spacing w:after="0" w:line="120" w:lineRule="exact"/>
        <w:rPr>
          <w:sz w:val="10"/>
          <w:lang w:val="fr-FR"/>
        </w:rPr>
      </w:pPr>
    </w:p>
    <w:p w14:paraId="3BEE7790" w14:textId="64241C59" w:rsidR="009F114C" w:rsidRPr="009F114C" w:rsidRDefault="009F114C" w:rsidP="009F114C">
      <w:pPr>
        <w:pStyle w:val="SingleTxt"/>
        <w:spacing w:after="0" w:line="120" w:lineRule="exact"/>
        <w:rPr>
          <w:sz w:val="10"/>
          <w:lang w:val="fr-FR"/>
        </w:rPr>
      </w:pPr>
    </w:p>
    <w:p w14:paraId="3BC4B495" w14:textId="0DA60722" w:rsidR="001C481F" w:rsidRPr="001C481F" w:rsidRDefault="009F114C" w:rsidP="00BE2D9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t>D.</w:t>
      </w:r>
      <w:r>
        <w:rPr>
          <w:lang w:val="fr-FR"/>
        </w:rPr>
        <w:tab/>
      </w:r>
      <w:r w:rsidR="001C481F" w:rsidRPr="001C481F">
        <w:rPr>
          <w:lang w:val="fr-FR"/>
        </w:rPr>
        <w:t>Principaux sujets de préoccupation et recommandations</w:t>
      </w:r>
    </w:p>
    <w:p w14:paraId="5171C3D5" w14:textId="379D838E" w:rsidR="009F114C" w:rsidRPr="009F114C" w:rsidRDefault="009F114C" w:rsidP="00FC4232">
      <w:pPr>
        <w:pStyle w:val="SingleTxt"/>
        <w:keepNext/>
        <w:keepLines/>
        <w:spacing w:after="0" w:line="120" w:lineRule="exact"/>
        <w:rPr>
          <w:b/>
          <w:sz w:val="10"/>
          <w:lang w:val="fr-FR"/>
        </w:rPr>
      </w:pPr>
    </w:p>
    <w:p w14:paraId="30CCA372" w14:textId="2B91966F" w:rsidR="009F114C" w:rsidRPr="009F114C" w:rsidRDefault="009F114C" w:rsidP="00FC4232">
      <w:pPr>
        <w:pStyle w:val="SingleTxt"/>
        <w:keepNext/>
        <w:keepLines/>
        <w:spacing w:after="0" w:line="120" w:lineRule="exact"/>
        <w:rPr>
          <w:b/>
          <w:sz w:val="10"/>
          <w:lang w:val="fr-FR"/>
        </w:rPr>
      </w:pPr>
    </w:p>
    <w:p w14:paraId="04507A25" w14:textId="251E44FD" w:rsidR="001C481F" w:rsidRDefault="001C481F" w:rsidP="00BE2D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481F">
        <w:rPr>
          <w:lang w:val="fr-FR"/>
        </w:rPr>
        <w:tab/>
      </w:r>
      <w:r w:rsidRPr="001C481F">
        <w:rPr>
          <w:lang w:val="fr-FR"/>
        </w:rPr>
        <w:tab/>
        <w:t>Réserves</w:t>
      </w:r>
    </w:p>
    <w:p w14:paraId="15495EF3" w14:textId="735802F0" w:rsidR="009F114C" w:rsidRPr="009F114C" w:rsidRDefault="009F114C" w:rsidP="00FC4232">
      <w:pPr>
        <w:pStyle w:val="SingleTxt"/>
        <w:keepNext/>
        <w:keepLines/>
        <w:spacing w:after="0" w:line="120" w:lineRule="exact"/>
        <w:rPr>
          <w:sz w:val="10"/>
          <w:lang w:val="fr-FR"/>
        </w:rPr>
      </w:pPr>
    </w:p>
    <w:p w14:paraId="1E6A91E5" w14:textId="53ECB202" w:rsidR="001C481F" w:rsidRPr="001C481F" w:rsidRDefault="001C481F" w:rsidP="00FC4232">
      <w:pPr>
        <w:pStyle w:val="SingleTxt"/>
        <w:numPr>
          <w:ilvl w:val="0"/>
          <w:numId w:val="39"/>
        </w:numPr>
        <w:spacing w:line="240" w:lineRule="exact"/>
        <w:rPr>
          <w:lang w:val="fr-FR"/>
        </w:rPr>
      </w:pPr>
      <w:r w:rsidRPr="001C481F">
        <w:rPr>
          <w:lang w:val="fr-FR"/>
        </w:rPr>
        <w:t>Malgré les progrès accomplis, notamment la modification en 2012 de la loi sur les tribunaux rabbiniques (application des jugements de divorce), le Comité note avec préoccupation que l</w:t>
      </w:r>
      <w:r w:rsidR="0047269F">
        <w:rPr>
          <w:lang w:val="fr-FR"/>
        </w:rPr>
        <w:t>’</w:t>
      </w:r>
      <w:r w:rsidRPr="001C481F">
        <w:rPr>
          <w:lang w:val="fr-FR"/>
        </w:rPr>
        <w:t>État partie maintient ses réserves en ce qui concerne l</w:t>
      </w:r>
      <w:r w:rsidR="0047269F">
        <w:rPr>
          <w:lang w:val="fr-FR"/>
        </w:rPr>
        <w:t>’</w:t>
      </w:r>
      <w:r w:rsidRPr="001C481F">
        <w:rPr>
          <w:lang w:val="fr-FR"/>
        </w:rPr>
        <w:t xml:space="preserve">alinéa </w:t>
      </w:r>
      <w:r w:rsidRPr="00FC4232">
        <w:rPr>
          <w:iCs/>
          <w:lang w:val="fr-FR"/>
        </w:rPr>
        <w:t>b</w:t>
      </w:r>
      <w:r w:rsidR="00823F91">
        <w:rPr>
          <w:iCs/>
          <w:lang w:val="fr-FR"/>
        </w:rPr>
        <w:t>)</w:t>
      </w:r>
      <w:r w:rsidR="00D55120" w:rsidRPr="00FC4232">
        <w:rPr>
          <w:iCs/>
          <w:lang w:val="fr-FR"/>
        </w:rPr>
        <w:t xml:space="preserve"> </w:t>
      </w:r>
      <w:r w:rsidRPr="001C481F">
        <w:rPr>
          <w:lang w:val="fr-FR"/>
        </w:rPr>
        <w:t>de l</w:t>
      </w:r>
      <w:r w:rsidR="0047269F">
        <w:rPr>
          <w:lang w:val="fr-FR"/>
        </w:rPr>
        <w:t>’</w:t>
      </w:r>
      <w:r w:rsidRPr="001C481F">
        <w:rPr>
          <w:lang w:val="fr-FR"/>
        </w:rPr>
        <w:t>article 7 et l</w:t>
      </w:r>
      <w:r w:rsidR="0047269F">
        <w:rPr>
          <w:lang w:val="fr-FR"/>
        </w:rPr>
        <w:t>’</w:t>
      </w:r>
      <w:r w:rsidRPr="001C481F">
        <w:rPr>
          <w:lang w:val="fr-FR"/>
        </w:rPr>
        <w:t>article 16 de la Convention, bien qu</w:t>
      </w:r>
      <w:r w:rsidR="0047269F">
        <w:rPr>
          <w:lang w:val="fr-FR"/>
        </w:rPr>
        <w:t>’</w:t>
      </w:r>
      <w:r w:rsidRPr="001C481F">
        <w:rPr>
          <w:lang w:val="fr-FR"/>
        </w:rPr>
        <w:t>il se soit engagé à les réexaminer. Le Comité note que, selon l</w:t>
      </w:r>
      <w:r w:rsidR="0047269F">
        <w:rPr>
          <w:lang w:val="fr-FR"/>
        </w:rPr>
        <w:t>’</w:t>
      </w:r>
      <w:r w:rsidRPr="001C481F">
        <w:rPr>
          <w:lang w:val="fr-FR"/>
        </w:rPr>
        <w:t>explication fournie par l</w:t>
      </w:r>
      <w:r w:rsidR="0047269F">
        <w:rPr>
          <w:lang w:val="fr-FR"/>
        </w:rPr>
        <w:t>’</w:t>
      </w:r>
      <w:r w:rsidRPr="001C481F">
        <w:rPr>
          <w:lang w:val="fr-FR"/>
        </w:rPr>
        <w:t>État partie dans son rapport de suivi (</w:t>
      </w:r>
      <w:hyperlink r:id="rId22" w:history="1">
        <w:r w:rsidRPr="00FC4232">
          <w:rPr>
            <w:rStyle w:val="Hyperlink"/>
            <w:color w:val="0000FF"/>
            <w:lang w:val="fr-FR"/>
          </w:rPr>
          <w:t>CEDAW/C/ISR/CO/5/Add.1</w:t>
        </w:r>
      </w:hyperlink>
      <w:r w:rsidRPr="001C481F">
        <w:rPr>
          <w:lang w:val="fr-FR"/>
        </w:rPr>
        <w:t>), ces réserves sont liées au tissu même de la société israélienne, où de nombreux cultes coexistent, qui disposent de divers degrés d</w:t>
      </w:r>
      <w:r w:rsidR="0047269F">
        <w:rPr>
          <w:lang w:val="fr-FR"/>
        </w:rPr>
        <w:t>’</w:t>
      </w:r>
      <w:r w:rsidRPr="001C481F">
        <w:rPr>
          <w:lang w:val="fr-FR"/>
        </w:rPr>
        <w:t xml:space="preserve">autonomie quant à certaines pratiques religieuses. Cependant, il constate que les tribunaux </w:t>
      </w:r>
      <w:r w:rsidR="0046741B">
        <w:rPr>
          <w:lang w:val="fr-FR"/>
        </w:rPr>
        <w:t>nationaux</w:t>
      </w:r>
      <w:r w:rsidRPr="001C481F">
        <w:rPr>
          <w:lang w:val="fr-FR"/>
        </w:rPr>
        <w:t xml:space="preserve"> ont invoqué l</w:t>
      </w:r>
      <w:r w:rsidR="0047269F">
        <w:rPr>
          <w:lang w:val="fr-FR"/>
        </w:rPr>
        <w:t>’</w:t>
      </w:r>
      <w:r w:rsidRPr="001C481F">
        <w:rPr>
          <w:lang w:val="fr-FR"/>
        </w:rPr>
        <w:t>article 16 de la Convention à plusieurs reprises</w:t>
      </w:r>
      <w:r w:rsidR="0055794F">
        <w:rPr>
          <w:lang w:val="fr-FR"/>
        </w:rPr>
        <w:t xml:space="preserve">, comme indiqué à </w:t>
      </w:r>
      <w:r w:rsidRPr="001C481F">
        <w:rPr>
          <w:lang w:val="fr-FR"/>
        </w:rPr>
        <w:t>l</w:t>
      </w:r>
      <w:r w:rsidR="0047269F">
        <w:rPr>
          <w:lang w:val="fr-FR"/>
        </w:rPr>
        <w:t>’</w:t>
      </w:r>
      <w:r w:rsidRPr="001C481F">
        <w:rPr>
          <w:lang w:val="fr-FR"/>
        </w:rPr>
        <w:t>annexe III du rapport de l</w:t>
      </w:r>
      <w:r w:rsidR="0047269F">
        <w:rPr>
          <w:lang w:val="fr-FR"/>
        </w:rPr>
        <w:t>’</w:t>
      </w:r>
      <w:r w:rsidRPr="001C481F">
        <w:rPr>
          <w:lang w:val="fr-FR"/>
        </w:rPr>
        <w:t>État partie</w:t>
      </w:r>
      <w:r w:rsidR="0055794F">
        <w:rPr>
          <w:lang w:val="fr-FR"/>
        </w:rPr>
        <w:t>,</w:t>
      </w:r>
      <w:r w:rsidRPr="001C481F">
        <w:rPr>
          <w:lang w:val="fr-FR"/>
        </w:rPr>
        <w:t xml:space="preserve"> et que les tribunaux des affaires familiales sont saisis de questions de droit relatives à la famille, au mariage et au divorce, ce qui donne à penser que l</w:t>
      </w:r>
      <w:r w:rsidR="0047269F">
        <w:rPr>
          <w:lang w:val="fr-FR"/>
        </w:rPr>
        <w:t>’</w:t>
      </w:r>
      <w:r w:rsidRPr="001C481F">
        <w:rPr>
          <w:lang w:val="fr-FR"/>
        </w:rPr>
        <w:t xml:space="preserve">État partie pourrait retirer ses réserves. Le Comité se félicite que la délégation lui ait </w:t>
      </w:r>
      <w:r w:rsidR="0055794F">
        <w:rPr>
          <w:lang w:val="fr-FR"/>
        </w:rPr>
        <w:t>indiqué</w:t>
      </w:r>
      <w:r w:rsidR="0055794F" w:rsidRPr="001C481F">
        <w:rPr>
          <w:lang w:val="fr-FR"/>
        </w:rPr>
        <w:t xml:space="preserve"> </w:t>
      </w:r>
      <w:r w:rsidRPr="001C481F">
        <w:rPr>
          <w:lang w:val="fr-FR"/>
        </w:rPr>
        <w:t>qu</w:t>
      </w:r>
      <w:r w:rsidR="0047269F">
        <w:rPr>
          <w:lang w:val="fr-FR"/>
        </w:rPr>
        <w:t>’</w:t>
      </w:r>
      <w:r w:rsidRPr="001C481F">
        <w:rPr>
          <w:lang w:val="fr-FR"/>
        </w:rPr>
        <w:t>un débat interne serait bientôt engagé en vue du retrait partiel de la réserve portant sur l</w:t>
      </w:r>
      <w:r w:rsidR="0047269F">
        <w:rPr>
          <w:lang w:val="fr-FR"/>
        </w:rPr>
        <w:t>’</w:t>
      </w:r>
      <w:r w:rsidRPr="001C481F">
        <w:rPr>
          <w:lang w:val="fr-FR"/>
        </w:rPr>
        <w:t xml:space="preserve">article 16. </w:t>
      </w:r>
    </w:p>
    <w:p w14:paraId="796BB75C" w14:textId="2898D122" w:rsidR="001C481F" w:rsidRDefault="001C481F" w:rsidP="00FC4232">
      <w:pPr>
        <w:pStyle w:val="SingleTxt"/>
        <w:numPr>
          <w:ilvl w:val="0"/>
          <w:numId w:val="39"/>
        </w:numPr>
        <w:spacing w:line="240" w:lineRule="exact"/>
        <w:rPr>
          <w:lang w:val="fr-FR"/>
        </w:rPr>
      </w:pPr>
      <w:r w:rsidRPr="00FC4232">
        <w:rPr>
          <w:b/>
          <w:bCs/>
          <w:lang w:val="fr-FR"/>
        </w:rPr>
        <w:t>Considérant que le droit de l</w:t>
      </w:r>
      <w:r w:rsidR="0047269F" w:rsidRPr="00FC4232">
        <w:rPr>
          <w:b/>
          <w:bCs/>
          <w:lang w:val="fr-FR"/>
        </w:rPr>
        <w:t>’</w:t>
      </w:r>
      <w:r w:rsidRPr="00FC4232">
        <w:rPr>
          <w:b/>
          <w:bCs/>
          <w:lang w:val="fr-FR"/>
        </w:rPr>
        <w:t>État partie, notamment ses dispositions relatives à l</w:t>
      </w:r>
      <w:r w:rsidR="0047269F" w:rsidRPr="00FC4232">
        <w:rPr>
          <w:b/>
          <w:bCs/>
          <w:lang w:val="fr-FR"/>
        </w:rPr>
        <w:t>’</w:t>
      </w:r>
      <w:r w:rsidRPr="00FC4232">
        <w:rPr>
          <w:b/>
          <w:bCs/>
          <w:lang w:val="fr-FR"/>
        </w:rPr>
        <w:t>âge minimum du mariage et aux biens matrimoniaux, est conforme à la Convention, le Comité réitère sa recommandation précédente (</w:t>
      </w:r>
      <w:hyperlink r:id="rId23" w:history="1">
        <w:r w:rsidRPr="00FC4232">
          <w:rPr>
            <w:rStyle w:val="Hyperlink"/>
            <w:b/>
            <w:bCs/>
            <w:color w:val="0000FF"/>
            <w:lang w:val="fr-FR"/>
          </w:rPr>
          <w:t>CEDAW/C/ISR/CO/5</w:t>
        </w:r>
      </w:hyperlink>
      <w:r w:rsidRPr="00FC4232">
        <w:rPr>
          <w:b/>
          <w:bCs/>
          <w:lang w:val="fr-FR"/>
        </w:rPr>
        <w:t>, par. 9), dans laquelle il avait demandé à l</w:t>
      </w:r>
      <w:r w:rsidR="0047269F" w:rsidRPr="00FC4232">
        <w:rPr>
          <w:b/>
          <w:bCs/>
          <w:lang w:val="fr-FR"/>
        </w:rPr>
        <w:t>’</w:t>
      </w:r>
      <w:r w:rsidRPr="00FC4232">
        <w:rPr>
          <w:b/>
          <w:bCs/>
          <w:lang w:val="fr-FR"/>
        </w:rPr>
        <w:t>État partie de réexaminer ses réserves à l</w:t>
      </w:r>
      <w:r w:rsidR="0047269F" w:rsidRPr="00FC4232">
        <w:rPr>
          <w:b/>
          <w:bCs/>
          <w:lang w:val="fr-FR"/>
        </w:rPr>
        <w:t>’</w:t>
      </w:r>
      <w:r w:rsidRPr="00FC4232">
        <w:rPr>
          <w:b/>
          <w:bCs/>
          <w:lang w:val="fr-FR"/>
        </w:rPr>
        <w:t xml:space="preserve">alinéa </w:t>
      </w:r>
      <w:r w:rsidRPr="00FC4232">
        <w:rPr>
          <w:b/>
          <w:bCs/>
          <w:iCs/>
          <w:lang w:val="fr-FR"/>
        </w:rPr>
        <w:t>b</w:t>
      </w:r>
      <w:r w:rsidR="00823F91">
        <w:rPr>
          <w:b/>
          <w:bCs/>
          <w:lang w:val="fr-FR"/>
        </w:rPr>
        <w:t>)</w:t>
      </w:r>
      <w:r w:rsidRPr="00FC4232">
        <w:rPr>
          <w:b/>
          <w:bCs/>
          <w:lang w:val="fr-FR"/>
        </w:rPr>
        <w:t xml:space="preserve"> de l</w:t>
      </w:r>
      <w:r w:rsidR="0047269F" w:rsidRPr="00FC4232">
        <w:rPr>
          <w:b/>
          <w:bCs/>
          <w:lang w:val="fr-FR"/>
        </w:rPr>
        <w:t>’</w:t>
      </w:r>
      <w:r w:rsidRPr="00FC4232">
        <w:rPr>
          <w:b/>
          <w:bCs/>
          <w:lang w:val="fr-FR"/>
        </w:rPr>
        <w:t>article 7 et à l</w:t>
      </w:r>
      <w:r w:rsidR="0047269F" w:rsidRPr="00FC4232">
        <w:rPr>
          <w:b/>
          <w:bCs/>
          <w:lang w:val="fr-FR"/>
        </w:rPr>
        <w:t>’</w:t>
      </w:r>
      <w:r w:rsidRPr="00FC4232">
        <w:rPr>
          <w:b/>
          <w:bCs/>
          <w:lang w:val="fr-FR"/>
        </w:rPr>
        <w:t>article 16 de la Convention et de fixer une date butoir pour leur retrait. Il réaffirme que la réserve à l</w:t>
      </w:r>
      <w:r w:rsidR="0047269F" w:rsidRPr="00FC4232">
        <w:rPr>
          <w:b/>
          <w:bCs/>
          <w:lang w:val="fr-FR"/>
        </w:rPr>
        <w:t>’</w:t>
      </w:r>
      <w:r w:rsidRPr="00FC4232">
        <w:rPr>
          <w:b/>
          <w:bCs/>
          <w:lang w:val="fr-FR"/>
        </w:rPr>
        <w:t>article 16 est contraire à l</w:t>
      </w:r>
      <w:r w:rsidR="0047269F" w:rsidRPr="00FC4232">
        <w:rPr>
          <w:b/>
          <w:bCs/>
          <w:lang w:val="fr-FR"/>
        </w:rPr>
        <w:t>’</w:t>
      </w:r>
      <w:r w:rsidRPr="00FC4232">
        <w:rPr>
          <w:b/>
          <w:bCs/>
          <w:lang w:val="fr-FR"/>
        </w:rPr>
        <w:t>objet et au but de la Convention, car elle porte atteinte au principe de l</w:t>
      </w:r>
      <w:r w:rsidR="0047269F" w:rsidRPr="00FC4232">
        <w:rPr>
          <w:b/>
          <w:bCs/>
          <w:lang w:val="fr-FR"/>
        </w:rPr>
        <w:t>’</w:t>
      </w:r>
      <w:r w:rsidRPr="00FC4232">
        <w:rPr>
          <w:b/>
          <w:bCs/>
          <w:lang w:val="fr-FR"/>
        </w:rPr>
        <w:t>égalité effective entre les hommes et les femmes pour toutes les questions liées au mariage et aux relations familiales</w:t>
      </w:r>
      <w:r w:rsidRPr="001C481F">
        <w:rPr>
          <w:lang w:val="fr-FR"/>
        </w:rPr>
        <w:t xml:space="preserve">. </w:t>
      </w:r>
    </w:p>
    <w:p w14:paraId="5EB690F8" w14:textId="75344D6C" w:rsidR="009F114C" w:rsidRPr="009F114C" w:rsidRDefault="009F114C" w:rsidP="009F114C">
      <w:pPr>
        <w:pStyle w:val="SingleTxt"/>
        <w:spacing w:after="0" w:line="120" w:lineRule="exact"/>
        <w:rPr>
          <w:sz w:val="10"/>
          <w:lang w:val="fr-FR"/>
        </w:rPr>
      </w:pPr>
    </w:p>
    <w:p w14:paraId="346634F7" w14:textId="77777777" w:rsidR="001C481F" w:rsidRPr="001C481F" w:rsidRDefault="001C481F" w:rsidP="009F11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481F">
        <w:rPr>
          <w:lang w:val="fr-FR"/>
        </w:rPr>
        <w:tab/>
      </w:r>
      <w:r w:rsidRPr="001C481F">
        <w:rPr>
          <w:lang w:val="fr-FR"/>
        </w:rPr>
        <w:tab/>
        <w:t xml:space="preserve">Définition de la discrimination et de la non-discrimination </w:t>
      </w:r>
    </w:p>
    <w:p w14:paraId="2ECE12D5" w14:textId="2A926ED0" w:rsidR="009F114C" w:rsidRPr="009F114C" w:rsidRDefault="009F114C" w:rsidP="009F114C">
      <w:pPr>
        <w:pStyle w:val="SingleTxt"/>
        <w:spacing w:after="0" w:line="120" w:lineRule="exact"/>
        <w:rPr>
          <w:sz w:val="10"/>
          <w:lang w:val="fr-FR"/>
        </w:rPr>
      </w:pPr>
    </w:p>
    <w:p w14:paraId="500ABAFA" w14:textId="622548C3" w:rsidR="001C481F" w:rsidRPr="001C481F" w:rsidRDefault="001C481F" w:rsidP="00FC4232">
      <w:pPr>
        <w:pStyle w:val="SingleTxt"/>
        <w:numPr>
          <w:ilvl w:val="0"/>
          <w:numId w:val="39"/>
        </w:numPr>
        <w:spacing w:line="240" w:lineRule="exact"/>
        <w:rPr>
          <w:lang w:val="fr-FR"/>
        </w:rPr>
      </w:pPr>
      <w:r w:rsidRPr="001C481F">
        <w:rPr>
          <w:lang w:val="fr-FR"/>
        </w:rPr>
        <w:t>Notant que la Cour suprême donne une interprétation éclairée du principe d</w:t>
      </w:r>
      <w:r w:rsidR="0047269F">
        <w:rPr>
          <w:lang w:val="fr-FR"/>
        </w:rPr>
        <w:t>’</w:t>
      </w:r>
      <w:r w:rsidRPr="001C481F">
        <w:rPr>
          <w:lang w:val="fr-FR"/>
        </w:rPr>
        <w:t>égalité, sur la base de la loi fondamentale relative à la dignité et à la liberté de la personne, le Comité regrette toutefois que la législation de l</w:t>
      </w:r>
      <w:r w:rsidR="0047269F">
        <w:rPr>
          <w:lang w:val="fr-FR"/>
        </w:rPr>
        <w:t>’</w:t>
      </w:r>
      <w:r w:rsidRPr="001C481F">
        <w:rPr>
          <w:lang w:val="fr-FR"/>
        </w:rPr>
        <w:t>État partie ne contienne pas de définition de la discrimination à l</w:t>
      </w:r>
      <w:r w:rsidR="0047269F">
        <w:rPr>
          <w:lang w:val="fr-FR"/>
        </w:rPr>
        <w:t>’</w:t>
      </w:r>
      <w:r w:rsidRPr="001C481F">
        <w:rPr>
          <w:lang w:val="fr-FR"/>
        </w:rPr>
        <w:t xml:space="preserve">égard des femmes qui englobe ses manifestations directes et indirectes. En outre, il est préoccupé par la discrimination généralisée dont sont victimes les minorités nationales, </w:t>
      </w:r>
      <w:r w:rsidR="0055794F">
        <w:rPr>
          <w:lang w:val="fr-FR"/>
        </w:rPr>
        <w:t>en particulier</w:t>
      </w:r>
      <w:r w:rsidR="0055794F" w:rsidRPr="001C481F">
        <w:rPr>
          <w:lang w:val="fr-FR"/>
        </w:rPr>
        <w:t xml:space="preserve"> </w:t>
      </w:r>
      <w:r w:rsidRPr="001C481F">
        <w:rPr>
          <w:lang w:val="fr-FR"/>
        </w:rPr>
        <w:t xml:space="preserve">les femmes et les filles appartenant aux communautés arabe et bédouine. </w:t>
      </w:r>
    </w:p>
    <w:p w14:paraId="46B3DB17" w14:textId="41ECAB75" w:rsidR="001C481F" w:rsidRPr="00823F91" w:rsidRDefault="001C481F" w:rsidP="00FC4232">
      <w:pPr>
        <w:pStyle w:val="SingleTxt"/>
        <w:numPr>
          <w:ilvl w:val="0"/>
          <w:numId w:val="39"/>
        </w:numPr>
        <w:spacing w:line="240" w:lineRule="exact"/>
        <w:rPr>
          <w:lang w:val="fr-FR"/>
        </w:rPr>
      </w:pPr>
      <w:r w:rsidRPr="00FC4232">
        <w:rPr>
          <w:b/>
          <w:bCs/>
          <w:lang w:val="fr-FR"/>
        </w:rPr>
        <w:t xml:space="preserve">Le Comité, </w:t>
      </w:r>
      <w:r w:rsidR="00BA1D31" w:rsidRPr="00BA1D31">
        <w:rPr>
          <w:b/>
          <w:bCs/>
          <w:lang w:val="fr-FR"/>
        </w:rPr>
        <w:t>rappelant</w:t>
      </w:r>
      <w:r w:rsidRPr="00FC4232">
        <w:rPr>
          <w:b/>
          <w:bCs/>
          <w:lang w:val="fr-FR"/>
        </w:rPr>
        <w:t xml:space="preserve"> sa recommandation précédente (</w:t>
      </w:r>
      <w:r w:rsidR="00F27069" w:rsidRPr="00FC4232">
        <w:rPr>
          <w:b/>
          <w:bCs/>
          <w:lang w:val="fr-FR"/>
        </w:rPr>
        <w:t>ibid.</w:t>
      </w:r>
      <w:r w:rsidRPr="00FC4232">
        <w:rPr>
          <w:b/>
          <w:bCs/>
          <w:lang w:val="fr-FR"/>
        </w:rPr>
        <w:t>, par. 11)</w:t>
      </w:r>
      <w:r w:rsidR="00990DE6" w:rsidRPr="00FC4232">
        <w:rPr>
          <w:b/>
          <w:bCs/>
          <w:lang w:val="fr-FR"/>
        </w:rPr>
        <w:t>,</w:t>
      </w:r>
      <w:r w:rsidRPr="00FC4232">
        <w:rPr>
          <w:b/>
          <w:bCs/>
          <w:lang w:val="fr-FR"/>
        </w:rPr>
        <w:t xml:space="preserve"> recommande que l</w:t>
      </w:r>
      <w:r w:rsidR="0047269F" w:rsidRPr="00FC4232">
        <w:rPr>
          <w:b/>
          <w:bCs/>
          <w:lang w:val="fr-FR"/>
        </w:rPr>
        <w:t>’</w:t>
      </w:r>
      <w:r w:rsidRPr="00FC4232">
        <w:rPr>
          <w:b/>
          <w:bCs/>
          <w:lang w:val="fr-FR"/>
        </w:rPr>
        <w:t>État partie prenne les mesures législatives voulues et adopte une définition exhaustive de la discrimination à l</w:t>
      </w:r>
      <w:r w:rsidR="0047269F" w:rsidRPr="00FC4232">
        <w:rPr>
          <w:b/>
          <w:bCs/>
          <w:lang w:val="fr-FR"/>
        </w:rPr>
        <w:t>’</w:t>
      </w:r>
      <w:r w:rsidRPr="00FC4232">
        <w:rPr>
          <w:b/>
          <w:bCs/>
          <w:lang w:val="fr-FR"/>
        </w:rPr>
        <w:t>égard des femmes, qui englobe ses manifestations directes et indirectes dans la sphère publique et dans la sphère privée ainsi que les formes de discrimination croisées, conformément à l</w:t>
      </w:r>
      <w:r w:rsidR="0047269F" w:rsidRPr="00FC4232">
        <w:rPr>
          <w:b/>
          <w:bCs/>
          <w:lang w:val="fr-FR"/>
        </w:rPr>
        <w:t>’</w:t>
      </w:r>
      <w:r w:rsidRPr="00FC4232">
        <w:rPr>
          <w:b/>
          <w:bCs/>
          <w:lang w:val="fr-FR"/>
        </w:rPr>
        <w:t>article premier de la Convention. Il recommande également que l</w:t>
      </w:r>
      <w:r w:rsidR="0047269F" w:rsidRPr="00FC4232">
        <w:rPr>
          <w:b/>
          <w:bCs/>
          <w:lang w:val="fr-FR"/>
        </w:rPr>
        <w:t>’</w:t>
      </w:r>
      <w:r w:rsidRPr="00FC4232">
        <w:rPr>
          <w:b/>
          <w:bCs/>
          <w:lang w:val="fr-FR"/>
        </w:rPr>
        <w:t>État partie adopte une stratégie globale pour mettre fin à la discrimination généralisée que subissent les minorités nationales, et plus particulièrement les femmes et les filles appartenant aux communautés arabe et bédouine.</w:t>
      </w:r>
    </w:p>
    <w:p w14:paraId="58C12403" w14:textId="28B3D221" w:rsidR="005B65D1" w:rsidRPr="005B65D1" w:rsidRDefault="005B65D1" w:rsidP="005B65D1">
      <w:pPr>
        <w:pStyle w:val="SingleTxt"/>
        <w:spacing w:after="0" w:line="120" w:lineRule="exact"/>
        <w:rPr>
          <w:sz w:val="10"/>
          <w:lang w:val="fr-FR"/>
        </w:rPr>
      </w:pPr>
    </w:p>
    <w:p w14:paraId="7CE8EC20" w14:textId="1B1D0FD2" w:rsidR="001C481F" w:rsidRPr="001C481F" w:rsidRDefault="001C481F" w:rsidP="005B65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481F">
        <w:rPr>
          <w:lang w:val="fr-FR"/>
        </w:rPr>
        <w:tab/>
      </w:r>
      <w:r w:rsidRPr="001C481F">
        <w:rPr>
          <w:lang w:val="fr-FR"/>
        </w:rPr>
        <w:tab/>
        <w:t xml:space="preserve">Limitation de la liberté de circulation et </w:t>
      </w:r>
      <w:r w:rsidR="005B65D1">
        <w:rPr>
          <w:lang w:val="fr-FR"/>
        </w:rPr>
        <w:t>ségrégation des femmes dans les</w:t>
      </w:r>
      <w:r w:rsidR="00823F91">
        <w:rPr>
          <w:lang w:val="fr-FR"/>
        </w:rPr>
        <w:t xml:space="preserve"> </w:t>
      </w:r>
      <w:r w:rsidR="005B65D1">
        <w:rPr>
          <w:lang w:val="fr-FR"/>
        </w:rPr>
        <w:t>espaces</w:t>
      </w:r>
      <w:r w:rsidR="00823F91">
        <w:rPr>
          <w:lang w:val="fr-FR"/>
        </w:rPr>
        <w:t xml:space="preserve"> </w:t>
      </w:r>
      <w:r w:rsidRPr="001C481F">
        <w:rPr>
          <w:lang w:val="fr-FR"/>
        </w:rPr>
        <w:t xml:space="preserve">publics et les sphères éducative et commerciale </w:t>
      </w:r>
    </w:p>
    <w:p w14:paraId="40E4F536" w14:textId="78F28AE1" w:rsidR="005B65D1" w:rsidRPr="005B65D1" w:rsidRDefault="005B65D1" w:rsidP="005B65D1">
      <w:pPr>
        <w:pStyle w:val="SingleTxt"/>
        <w:spacing w:after="0" w:line="120" w:lineRule="exact"/>
        <w:rPr>
          <w:sz w:val="10"/>
          <w:lang w:val="fr-FR"/>
        </w:rPr>
      </w:pPr>
    </w:p>
    <w:p w14:paraId="0EB7819D" w14:textId="253CB9F5" w:rsidR="001C481F" w:rsidRPr="001C481F" w:rsidRDefault="001C481F" w:rsidP="00FC4232">
      <w:pPr>
        <w:pStyle w:val="SingleTxt"/>
        <w:numPr>
          <w:ilvl w:val="0"/>
          <w:numId w:val="39"/>
        </w:numPr>
        <w:spacing w:line="240" w:lineRule="exact"/>
        <w:rPr>
          <w:lang w:val="fr-FR"/>
        </w:rPr>
      </w:pPr>
      <w:r w:rsidRPr="001C481F">
        <w:rPr>
          <w:lang w:val="fr-FR"/>
        </w:rPr>
        <w:t>Le Comité note avec préoccupation qu</w:t>
      </w:r>
      <w:r w:rsidR="0047269F">
        <w:rPr>
          <w:lang w:val="fr-FR"/>
        </w:rPr>
        <w:t>’</w:t>
      </w:r>
      <w:r w:rsidRPr="001C481F">
        <w:rPr>
          <w:lang w:val="fr-FR"/>
        </w:rPr>
        <w:t>en dépit de la position adoptée et des mesures prises par l</w:t>
      </w:r>
      <w:r w:rsidR="0047269F">
        <w:rPr>
          <w:lang w:val="fr-FR"/>
        </w:rPr>
        <w:t>’</w:t>
      </w:r>
      <w:r w:rsidRPr="001C481F">
        <w:rPr>
          <w:lang w:val="fr-FR"/>
        </w:rPr>
        <w:t>État partie, des restrictions continuent d</w:t>
      </w:r>
      <w:r w:rsidR="0047269F">
        <w:rPr>
          <w:lang w:val="fr-FR"/>
        </w:rPr>
        <w:t>’</w:t>
      </w:r>
      <w:r w:rsidRPr="001C481F">
        <w:rPr>
          <w:lang w:val="fr-FR"/>
        </w:rPr>
        <w:t xml:space="preserve">entraver la liberté de circulation des femmes dans les espaces publics, notamment dans les transports, ce qui entraîne parfois leur exclusion des sphères éducative, commerciale et religieuse par certains mouvements ultra-orthodoxes qui imposent leur conception de la religion </w:t>
      </w:r>
      <w:r w:rsidRPr="001C481F">
        <w:rPr>
          <w:lang w:val="fr-FR"/>
        </w:rPr>
        <w:lastRenderedPageBreak/>
        <w:t>d</w:t>
      </w:r>
      <w:r w:rsidR="0047269F">
        <w:rPr>
          <w:lang w:val="fr-FR"/>
        </w:rPr>
        <w:t>’</w:t>
      </w:r>
      <w:r w:rsidRPr="001C481F">
        <w:rPr>
          <w:lang w:val="fr-FR"/>
        </w:rPr>
        <w:t>une manière contraire à l</w:t>
      </w:r>
      <w:r w:rsidR="0047269F">
        <w:rPr>
          <w:lang w:val="fr-FR"/>
        </w:rPr>
        <w:t>’</w:t>
      </w:r>
      <w:r w:rsidRPr="001C481F">
        <w:rPr>
          <w:lang w:val="fr-FR"/>
        </w:rPr>
        <w:t>exercice par les femmes et les filles de leurs droits fondamentaux. Il est préoccupé par la récente décision du Conseil de l</w:t>
      </w:r>
      <w:r w:rsidR="0047269F">
        <w:rPr>
          <w:lang w:val="fr-FR"/>
        </w:rPr>
        <w:t>’</w:t>
      </w:r>
      <w:r w:rsidRPr="001C481F">
        <w:rPr>
          <w:lang w:val="fr-FR"/>
        </w:rPr>
        <w:t>enseignement supérieur, qui a eu pour effet d</w:t>
      </w:r>
      <w:r w:rsidR="0047269F">
        <w:rPr>
          <w:lang w:val="fr-FR"/>
        </w:rPr>
        <w:t>’</w:t>
      </w:r>
      <w:r w:rsidRPr="001C481F">
        <w:rPr>
          <w:lang w:val="fr-FR"/>
        </w:rPr>
        <w:t>accroître le nombre des campus pratiquant la séparation des sexes et d</w:t>
      </w:r>
      <w:r w:rsidR="0047269F">
        <w:rPr>
          <w:lang w:val="fr-FR"/>
        </w:rPr>
        <w:t>’</w:t>
      </w:r>
      <w:r w:rsidRPr="001C481F">
        <w:rPr>
          <w:lang w:val="fr-FR"/>
        </w:rPr>
        <w:t xml:space="preserve">instaurer une ségrégation complète dans certaines salles de cours des universités. </w:t>
      </w:r>
    </w:p>
    <w:p w14:paraId="30F40C6C" w14:textId="3CFD3FE2" w:rsidR="001C481F" w:rsidRPr="00823F91" w:rsidRDefault="001C481F" w:rsidP="00FC4232">
      <w:pPr>
        <w:pStyle w:val="SingleTxt"/>
        <w:numPr>
          <w:ilvl w:val="0"/>
          <w:numId w:val="39"/>
        </w:numPr>
        <w:spacing w:line="240" w:lineRule="exact"/>
        <w:rPr>
          <w:lang w:val="fr-FR"/>
        </w:rPr>
      </w:pPr>
      <w:r w:rsidRPr="00FC4232">
        <w:rPr>
          <w:b/>
          <w:bCs/>
          <w:lang w:val="fr-FR"/>
        </w:rPr>
        <w:t>Le Comité recommande que l</w:t>
      </w:r>
      <w:r w:rsidR="0047269F" w:rsidRPr="00FC4232">
        <w:rPr>
          <w:b/>
          <w:bCs/>
          <w:lang w:val="fr-FR"/>
        </w:rPr>
        <w:t>’</w:t>
      </w:r>
      <w:r w:rsidRPr="00FC4232">
        <w:rPr>
          <w:b/>
          <w:bCs/>
          <w:lang w:val="fr-FR"/>
        </w:rPr>
        <w:t>État partie :</w:t>
      </w:r>
    </w:p>
    <w:p w14:paraId="1D8D6168" w14:textId="6C198739" w:rsidR="001C481F" w:rsidRPr="001C481F" w:rsidRDefault="005B65D1" w:rsidP="001C481F">
      <w:pPr>
        <w:pStyle w:val="SingleTxt"/>
        <w:rPr>
          <w:b/>
          <w:lang w:val="fr-FR"/>
        </w:rPr>
      </w:pPr>
      <w:r>
        <w:rPr>
          <w:b/>
          <w:bCs/>
          <w:lang w:val="fr-FR"/>
        </w:rPr>
        <w:tab/>
      </w:r>
      <w:r w:rsidR="001C481F" w:rsidRPr="001C481F">
        <w:rPr>
          <w:b/>
          <w:bCs/>
          <w:lang w:val="fr-FR"/>
        </w:rPr>
        <w:t>a)</w:t>
      </w:r>
      <w:r w:rsidR="001C481F" w:rsidRPr="001C481F">
        <w:rPr>
          <w:lang w:val="fr-FR"/>
        </w:rPr>
        <w:tab/>
      </w:r>
      <w:r w:rsidR="001C481F" w:rsidRPr="001C481F">
        <w:rPr>
          <w:b/>
          <w:bCs/>
          <w:lang w:val="fr-FR"/>
        </w:rPr>
        <w:t xml:space="preserve">Intensifie sa lutte contre le phénomène consistant à limiter la liberté de circulation des femmes et contre la ségrégation selon le sexe pratiquée par certains mouvements religieux, de façon à garantir </w:t>
      </w:r>
      <w:r w:rsidR="00990DE6">
        <w:rPr>
          <w:b/>
          <w:bCs/>
          <w:lang w:val="fr-FR"/>
        </w:rPr>
        <w:t>l’accès</w:t>
      </w:r>
      <w:r w:rsidR="001C481F" w:rsidRPr="001C481F">
        <w:rPr>
          <w:b/>
          <w:bCs/>
          <w:lang w:val="fr-FR"/>
        </w:rPr>
        <w:t xml:space="preserve"> des femmes et des filles aux espaces publics, notamment aux moyens de transport et aux sphères éducative, commerciale et religieuse, sur un pied d</w:t>
      </w:r>
      <w:r w:rsidR="0047269F">
        <w:rPr>
          <w:b/>
          <w:bCs/>
          <w:lang w:val="fr-FR"/>
        </w:rPr>
        <w:t>’</w:t>
      </w:r>
      <w:r w:rsidR="001C481F" w:rsidRPr="001C481F">
        <w:rPr>
          <w:b/>
          <w:bCs/>
          <w:lang w:val="fr-FR"/>
        </w:rPr>
        <w:t>égalité avec les hommes, et impose des sanctions aux personnes et aux institutions associées à ces pratiques discriminatoires</w:t>
      </w:r>
      <w:r w:rsidR="0047269F">
        <w:rPr>
          <w:b/>
          <w:bCs/>
          <w:lang w:val="fr-FR"/>
        </w:rPr>
        <w:t> ;</w:t>
      </w:r>
    </w:p>
    <w:p w14:paraId="53DE81E9" w14:textId="2A6596A9" w:rsidR="001C481F" w:rsidRPr="001C481F" w:rsidRDefault="005B65D1" w:rsidP="001C481F">
      <w:pPr>
        <w:pStyle w:val="SingleTxt"/>
        <w:rPr>
          <w:b/>
          <w:lang w:val="fr-FR"/>
        </w:rPr>
      </w:pPr>
      <w:r>
        <w:rPr>
          <w:b/>
          <w:bCs/>
          <w:lang w:val="fr-FR"/>
        </w:rPr>
        <w:tab/>
      </w:r>
      <w:r w:rsidR="001C481F" w:rsidRPr="001C481F">
        <w:rPr>
          <w:b/>
          <w:bCs/>
          <w:lang w:val="fr-FR"/>
        </w:rPr>
        <w:t>b)</w:t>
      </w:r>
      <w:r w:rsidR="001C481F" w:rsidRPr="001C481F">
        <w:rPr>
          <w:lang w:val="fr-FR"/>
        </w:rPr>
        <w:tab/>
      </w:r>
      <w:r w:rsidR="001C481F" w:rsidRPr="001C481F">
        <w:rPr>
          <w:b/>
          <w:bCs/>
          <w:lang w:val="fr-FR"/>
        </w:rPr>
        <w:t>Dénonce la ségrégation des femmes et des filles en tant que pratique inacceptable et affront à la dignité des femmes, allant à l</w:t>
      </w:r>
      <w:r w:rsidR="0047269F">
        <w:rPr>
          <w:b/>
          <w:bCs/>
          <w:lang w:val="fr-FR"/>
        </w:rPr>
        <w:t>’</w:t>
      </w:r>
      <w:r w:rsidR="001C481F" w:rsidRPr="001C481F">
        <w:rPr>
          <w:b/>
          <w:bCs/>
          <w:lang w:val="fr-FR"/>
        </w:rPr>
        <w:t>encontre des dispositions de la loi fondamentale relative à la dignité et à la liberté de la personne, et en tant que violation de la Convention</w:t>
      </w:r>
      <w:r w:rsidR="0047269F">
        <w:rPr>
          <w:b/>
          <w:bCs/>
          <w:lang w:val="fr-FR"/>
        </w:rPr>
        <w:t> ;</w:t>
      </w:r>
    </w:p>
    <w:p w14:paraId="1A2AAB27" w14:textId="16519C1A" w:rsidR="001C481F" w:rsidRDefault="005B65D1" w:rsidP="001C481F">
      <w:pPr>
        <w:pStyle w:val="SingleTxt"/>
        <w:rPr>
          <w:lang w:val="fr-FR"/>
        </w:rPr>
      </w:pPr>
      <w:r>
        <w:rPr>
          <w:b/>
          <w:bCs/>
          <w:lang w:val="fr-FR"/>
        </w:rPr>
        <w:tab/>
      </w:r>
      <w:r w:rsidR="001C481F" w:rsidRPr="001C481F">
        <w:rPr>
          <w:b/>
          <w:bCs/>
          <w:lang w:val="fr-FR"/>
        </w:rPr>
        <w:t>c)</w:t>
      </w:r>
      <w:r w:rsidR="001C481F" w:rsidRPr="001C481F">
        <w:rPr>
          <w:lang w:val="fr-FR"/>
        </w:rPr>
        <w:tab/>
      </w:r>
      <w:r w:rsidR="001C481F" w:rsidRPr="001C481F">
        <w:rPr>
          <w:b/>
          <w:bCs/>
          <w:lang w:val="fr-FR"/>
        </w:rPr>
        <w:t>Élimine la ségrégation dans tous les secteurs, notamment dans les espaces publics et l</w:t>
      </w:r>
      <w:r w:rsidR="0047269F">
        <w:rPr>
          <w:b/>
          <w:bCs/>
          <w:lang w:val="fr-FR"/>
        </w:rPr>
        <w:t>’</w:t>
      </w:r>
      <w:r w:rsidR="001C481F" w:rsidRPr="001C481F">
        <w:rPr>
          <w:b/>
          <w:bCs/>
          <w:lang w:val="fr-FR"/>
        </w:rPr>
        <w:t>enseignement supérieur.</w:t>
      </w:r>
      <w:r w:rsidR="001C481F" w:rsidRPr="001C481F">
        <w:rPr>
          <w:lang w:val="fr-FR"/>
        </w:rPr>
        <w:t xml:space="preserve"> </w:t>
      </w:r>
    </w:p>
    <w:p w14:paraId="20EB27A1" w14:textId="39169042" w:rsidR="005B65D1" w:rsidRPr="005B65D1" w:rsidRDefault="005B65D1" w:rsidP="005B65D1">
      <w:pPr>
        <w:pStyle w:val="SingleTxt"/>
        <w:spacing w:after="0" w:line="120" w:lineRule="exact"/>
        <w:rPr>
          <w:sz w:val="10"/>
          <w:lang w:val="fr-FR"/>
        </w:rPr>
      </w:pPr>
    </w:p>
    <w:p w14:paraId="71F4B308" w14:textId="77777777" w:rsidR="001C481F" w:rsidRPr="001C481F" w:rsidRDefault="001C481F" w:rsidP="005B65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481F">
        <w:rPr>
          <w:lang w:val="fr-FR"/>
        </w:rPr>
        <w:tab/>
      </w:r>
      <w:r w:rsidRPr="001C481F">
        <w:rPr>
          <w:lang w:val="fr-FR"/>
        </w:rPr>
        <w:tab/>
        <w:t>Application extraterritoriale de la Convention</w:t>
      </w:r>
    </w:p>
    <w:p w14:paraId="661377A3" w14:textId="3AF60BA6" w:rsidR="005B65D1" w:rsidRPr="005B65D1" w:rsidRDefault="005B65D1" w:rsidP="005B65D1">
      <w:pPr>
        <w:pStyle w:val="SingleTxt"/>
        <w:spacing w:after="0" w:line="120" w:lineRule="exact"/>
        <w:rPr>
          <w:sz w:val="10"/>
          <w:lang w:val="fr-FR"/>
        </w:rPr>
      </w:pPr>
    </w:p>
    <w:p w14:paraId="53853F21" w14:textId="44F4989F" w:rsidR="001C481F" w:rsidRPr="001C481F" w:rsidRDefault="001C481F" w:rsidP="00FC4232">
      <w:pPr>
        <w:pStyle w:val="SingleTxt"/>
        <w:numPr>
          <w:ilvl w:val="0"/>
          <w:numId w:val="39"/>
        </w:numPr>
        <w:spacing w:line="240" w:lineRule="exact"/>
        <w:rPr>
          <w:lang w:val="fr-FR"/>
        </w:rPr>
      </w:pPr>
      <w:r w:rsidRPr="001C481F">
        <w:rPr>
          <w:lang w:val="fr-FR"/>
        </w:rPr>
        <w:t>Le Comité regrette que l</w:t>
      </w:r>
      <w:r w:rsidR="0047269F">
        <w:rPr>
          <w:lang w:val="fr-FR"/>
        </w:rPr>
        <w:t>’</w:t>
      </w:r>
      <w:r w:rsidRPr="001C481F">
        <w:rPr>
          <w:lang w:val="fr-FR"/>
        </w:rPr>
        <w:t>État partie maintienne sa position selon laquelle la Convention n</w:t>
      </w:r>
      <w:r w:rsidR="0047269F">
        <w:rPr>
          <w:lang w:val="fr-FR"/>
        </w:rPr>
        <w:t>’</w:t>
      </w:r>
      <w:r w:rsidRPr="001C481F">
        <w:rPr>
          <w:lang w:val="fr-FR"/>
        </w:rPr>
        <w:t>est pas applicable au-delà de son propre territoire et qu</w:t>
      </w:r>
      <w:r w:rsidR="0047269F">
        <w:rPr>
          <w:lang w:val="fr-FR"/>
        </w:rPr>
        <w:t>’</w:t>
      </w:r>
      <w:r w:rsidRPr="001C481F">
        <w:rPr>
          <w:lang w:val="fr-FR"/>
        </w:rPr>
        <w:t>il n</w:t>
      </w:r>
      <w:r w:rsidR="0047269F">
        <w:rPr>
          <w:lang w:val="fr-FR"/>
        </w:rPr>
        <w:t>’</w:t>
      </w:r>
      <w:r w:rsidRPr="001C481F">
        <w:rPr>
          <w:lang w:val="fr-FR"/>
        </w:rPr>
        <w:t>ait de ce fait fourni aucune information sur son application dans les</w:t>
      </w:r>
      <w:r w:rsidR="000C3955">
        <w:rPr>
          <w:lang w:val="fr-FR"/>
        </w:rPr>
        <w:t xml:space="preserve"> secteurs du</w:t>
      </w:r>
      <w:r w:rsidRPr="001C481F">
        <w:rPr>
          <w:lang w:val="fr-FR"/>
        </w:rPr>
        <w:t xml:space="preserve"> Territoire palestinien occupé se trouvant sous sa juridiction ou son contrôle effectif. Il réaffirme que cette position de l</w:t>
      </w:r>
      <w:r w:rsidR="0047269F">
        <w:rPr>
          <w:lang w:val="fr-FR"/>
        </w:rPr>
        <w:t>’</w:t>
      </w:r>
      <w:r w:rsidRPr="001C481F">
        <w:rPr>
          <w:lang w:val="fr-FR"/>
        </w:rPr>
        <w:t>État partie est contraire à celle du Comité et d</w:t>
      </w:r>
      <w:r w:rsidR="0047269F">
        <w:rPr>
          <w:lang w:val="fr-FR"/>
        </w:rPr>
        <w:t>’</w:t>
      </w:r>
      <w:r w:rsidRPr="001C481F">
        <w:rPr>
          <w:lang w:val="fr-FR"/>
        </w:rPr>
        <w:t>autres organes conventionnels, notamment le Comité des droits de l</w:t>
      </w:r>
      <w:r w:rsidR="0047269F">
        <w:rPr>
          <w:lang w:val="fr-FR"/>
        </w:rPr>
        <w:t>’</w:t>
      </w:r>
      <w:r w:rsidRPr="001C481F">
        <w:rPr>
          <w:lang w:val="fr-FR"/>
        </w:rPr>
        <w:t>homme, le Comité des droits économiques sociaux et culturels, le Comité contre la torture et le Comité pour l</w:t>
      </w:r>
      <w:r w:rsidR="0047269F">
        <w:rPr>
          <w:lang w:val="fr-FR"/>
        </w:rPr>
        <w:t>’</w:t>
      </w:r>
      <w:r w:rsidRPr="001C481F">
        <w:rPr>
          <w:lang w:val="fr-FR"/>
        </w:rPr>
        <w:t>élimination de la discrimination raciale, ainsi qu</w:t>
      </w:r>
      <w:r w:rsidR="0047269F">
        <w:rPr>
          <w:lang w:val="fr-FR"/>
        </w:rPr>
        <w:t>’</w:t>
      </w:r>
      <w:r w:rsidRPr="001C481F">
        <w:rPr>
          <w:lang w:val="fr-FR"/>
        </w:rPr>
        <w:t>à celle de la Cour internationale de Justice (</w:t>
      </w:r>
      <w:r w:rsidR="00A819D0" w:rsidRPr="00FC4232">
        <w:rPr>
          <w:lang w:val="fr-FR"/>
        </w:rPr>
        <w:t>ibid.</w:t>
      </w:r>
      <w:r w:rsidRPr="001C481F">
        <w:rPr>
          <w:lang w:val="fr-FR"/>
        </w:rPr>
        <w:t>, par. 12).</w:t>
      </w:r>
    </w:p>
    <w:p w14:paraId="39D3AD54" w14:textId="768FE17A" w:rsidR="001C481F" w:rsidRPr="00823F91" w:rsidRDefault="001C481F" w:rsidP="00FC4232">
      <w:pPr>
        <w:pStyle w:val="SingleTxt"/>
        <w:numPr>
          <w:ilvl w:val="0"/>
          <w:numId w:val="39"/>
        </w:numPr>
        <w:spacing w:line="240" w:lineRule="exact"/>
        <w:rPr>
          <w:lang w:val="fr-FR"/>
        </w:rPr>
      </w:pPr>
      <w:r w:rsidRPr="00FC4232">
        <w:rPr>
          <w:b/>
          <w:bCs/>
          <w:lang w:val="fr-FR"/>
        </w:rPr>
        <w:t>Le Comité rappelle sa précédente recommandation (</w:t>
      </w:r>
      <w:r w:rsidR="00A819D0" w:rsidRPr="00FC4232">
        <w:rPr>
          <w:b/>
          <w:bCs/>
          <w:lang w:val="fr-FR"/>
        </w:rPr>
        <w:t>ibid.</w:t>
      </w:r>
      <w:r w:rsidRPr="00FC4232">
        <w:rPr>
          <w:b/>
          <w:bCs/>
          <w:lang w:val="fr-FR"/>
        </w:rPr>
        <w:t>, par. 13), à savoir que l</w:t>
      </w:r>
      <w:r w:rsidR="0047269F" w:rsidRPr="00FC4232">
        <w:rPr>
          <w:b/>
          <w:bCs/>
          <w:lang w:val="fr-FR"/>
        </w:rPr>
        <w:t>’</w:t>
      </w:r>
      <w:r w:rsidRPr="00FC4232">
        <w:rPr>
          <w:b/>
          <w:bCs/>
          <w:lang w:val="fr-FR"/>
        </w:rPr>
        <w:t>État partie donne pleinement effet aux dispositions de la Convention et qu</w:t>
      </w:r>
      <w:r w:rsidR="0047269F" w:rsidRPr="00FC4232">
        <w:rPr>
          <w:b/>
          <w:bCs/>
          <w:lang w:val="fr-FR"/>
        </w:rPr>
        <w:t>’</w:t>
      </w:r>
      <w:r w:rsidRPr="00FC4232">
        <w:rPr>
          <w:b/>
          <w:bCs/>
          <w:lang w:val="fr-FR"/>
        </w:rPr>
        <w:t>il s</w:t>
      </w:r>
      <w:r w:rsidR="0047269F" w:rsidRPr="00FC4232">
        <w:rPr>
          <w:b/>
          <w:bCs/>
          <w:lang w:val="fr-FR"/>
        </w:rPr>
        <w:t>’</w:t>
      </w:r>
      <w:r w:rsidRPr="00FC4232">
        <w:rPr>
          <w:b/>
          <w:bCs/>
          <w:lang w:val="fr-FR"/>
        </w:rPr>
        <w:t xml:space="preserve">acquitte des obligations qui lui incombent en vertu du droit international humanitaire vis-à-vis de toutes les personnes relevant de sa juridiction ou soumises à son contrôle effectif. Il demande instamment à </w:t>
      </w:r>
      <w:r w:rsidR="00A819D0">
        <w:rPr>
          <w:b/>
          <w:bCs/>
          <w:lang w:val="fr-FR"/>
        </w:rPr>
        <w:t>l’</w:t>
      </w:r>
      <w:r w:rsidRPr="00FC4232">
        <w:rPr>
          <w:b/>
          <w:bCs/>
          <w:lang w:val="fr-FR"/>
        </w:rPr>
        <w:t xml:space="preserve">État partie de fournir dans son </w:t>
      </w:r>
      <w:r w:rsidR="00A2785A" w:rsidRPr="00FC4232">
        <w:rPr>
          <w:b/>
          <w:bCs/>
          <w:lang w:val="fr-FR"/>
        </w:rPr>
        <w:t xml:space="preserve">septième </w:t>
      </w:r>
      <w:r w:rsidRPr="00FC4232">
        <w:rPr>
          <w:b/>
          <w:bCs/>
          <w:lang w:val="fr-FR"/>
        </w:rPr>
        <w:t>rapport périodique des informations complètes sur l</w:t>
      </w:r>
      <w:r w:rsidR="0047269F" w:rsidRPr="00FC4232">
        <w:rPr>
          <w:b/>
          <w:bCs/>
          <w:lang w:val="fr-FR"/>
        </w:rPr>
        <w:t>’</w:t>
      </w:r>
      <w:r w:rsidRPr="00FC4232">
        <w:rPr>
          <w:b/>
          <w:bCs/>
          <w:lang w:val="fr-FR"/>
        </w:rPr>
        <w:t>application de la Convention dans les</w:t>
      </w:r>
      <w:r w:rsidR="00472138" w:rsidRPr="00FC4232">
        <w:rPr>
          <w:b/>
          <w:bCs/>
          <w:lang w:val="fr-FR"/>
        </w:rPr>
        <w:t xml:space="preserve"> secteurs du</w:t>
      </w:r>
      <w:r w:rsidRPr="00FC4232">
        <w:rPr>
          <w:b/>
          <w:bCs/>
          <w:lang w:val="fr-FR"/>
        </w:rPr>
        <w:t xml:space="preserve"> Territoire palestinien occupé se trouvant sous sa juridiction ou son contrôle effectif.</w:t>
      </w:r>
    </w:p>
    <w:p w14:paraId="399F3806" w14:textId="0B4BA4F7" w:rsidR="005B65D1" w:rsidRPr="005B65D1" w:rsidRDefault="005B65D1" w:rsidP="005B65D1">
      <w:pPr>
        <w:pStyle w:val="SingleTxt"/>
        <w:spacing w:after="0" w:line="120" w:lineRule="exact"/>
        <w:rPr>
          <w:sz w:val="10"/>
          <w:lang w:val="fr-FR"/>
        </w:rPr>
      </w:pPr>
    </w:p>
    <w:p w14:paraId="08AD4F47" w14:textId="08C9FDBC" w:rsidR="001C481F" w:rsidRPr="001C481F" w:rsidRDefault="001C481F" w:rsidP="005B65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481F">
        <w:rPr>
          <w:lang w:val="fr-FR"/>
        </w:rPr>
        <w:tab/>
      </w:r>
      <w:r w:rsidRPr="001C481F">
        <w:rPr>
          <w:lang w:val="fr-FR"/>
        </w:rPr>
        <w:tab/>
        <w:t>Accès à la justice</w:t>
      </w:r>
    </w:p>
    <w:p w14:paraId="500D9806" w14:textId="5B2A9A95" w:rsidR="005B65D1" w:rsidRPr="005B65D1" w:rsidRDefault="005B65D1" w:rsidP="005B65D1">
      <w:pPr>
        <w:pStyle w:val="SingleTxt"/>
        <w:spacing w:after="0" w:line="120" w:lineRule="exact"/>
        <w:rPr>
          <w:sz w:val="10"/>
          <w:lang w:val="fr-FR"/>
        </w:rPr>
      </w:pPr>
    </w:p>
    <w:p w14:paraId="7BC70F83" w14:textId="2E4F8075" w:rsidR="001C481F" w:rsidRPr="001C481F" w:rsidRDefault="001C481F" w:rsidP="00FC4232">
      <w:pPr>
        <w:pStyle w:val="SingleTxt"/>
        <w:numPr>
          <w:ilvl w:val="0"/>
          <w:numId w:val="39"/>
        </w:numPr>
        <w:spacing w:line="240" w:lineRule="exact"/>
        <w:rPr>
          <w:lang w:val="fr-FR"/>
        </w:rPr>
      </w:pPr>
      <w:r w:rsidRPr="001C481F">
        <w:rPr>
          <w:lang w:val="fr-FR"/>
        </w:rPr>
        <w:t>Le Comité note les efforts déployés par l</w:t>
      </w:r>
      <w:r w:rsidR="0047269F">
        <w:rPr>
          <w:lang w:val="fr-FR"/>
        </w:rPr>
        <w:t>’</w:t>
      </w:r>
      <w:r w:rsidRPr="001C481F">
        <w:rPr>
          <w:lang w:val="fr-FR"/>
        </w:rPr>
        <w:t>État partie pour fournir des services d</w:t>
      </w:r>
      <w:r w:rsidR="0047269F">
        <w:rPr>
          <w:lang w:val="fr-FR"/>
        </w:rPr>
        <w:t>’</w:t>
      </w:r>
      <w:r w:rsidRPr="001C481F">
        <w:rPr>
          <w:lang w:val="fr-FR"/>
        </w:rPr>
        <w:t>aide judiciaire aux femmes et aux filles, notamment la création d</w:t>
      </w:r>
      <w:r w:rsidR="0047269F">
        <w:rPr>
          <w:lang w:val="fr-FR"/>
        </w:rPr>
        <w:t>’</w:t>
      </w:r>
      <w:r w:rsidRPr="001C481F">
        <w:rPr>
          <w:lang w:val="fr-FR"/>
        </w:rPr>
        <w:t>un bureau d</w:t>
      </w:r>
      <w:r w:rsidR="0047269F">
        <w:rPr>
          <w:lang w:val="fr-FR"/>
        </w:rPr>
        <w:t>’</w:t>
      </w:r>
      <w:r w:rsidRPr="001C481F">
        <w:rPr>
          <w:lang w:val="fr-FR"/>
        </w:rPr>
        <w:t>aide juridique à Rahat en juin 2016, et renforcer la coopération entre le Service d</w:t>
      </w:r>
      <w:r w:rsidR="0047269F">
        <w:rPr>
          <w:lang w:val="fr-FR"/>
        </w:rPr>
        <w:t>’</w:t>
      </w:r>
      <w:r w:rsidRPr="001C481F">
        <w:rPr>
          <w:lang w:val="fr-FR"/>
        </w:rPr>
        <w:t xml:space="preserve">aide juridictionnelle et les organisations non gouvernementales. </w:t>
      </w:r>
      <w:r w:rsidR="00AB5FF1">
        <w:rPr>
          <w:lang w:val="fr-FR"/>
        </w:rPr>
        <w:t>Il</w:t>
      </w:r>
      <w:r w:rsidRPr="001C481F">
        <w:rPr>
          <w:lang w:val="fr-FR"/>
        </w:rPr>
        <w:t xml:space="preserve"> se félicite de la récente modification apportée à la législation, qui étend la gratuité de l</w:t>
      </w:r>
      <w:r w:rsidR="0047269F">
        <w:rPr>
          <w:lang w:val="fr-FR"/>
        </w:rPr>
        <w:t>’</w:t>
      </w:r>
      <w:r w:rsidRPr="001C481F">
        <w:rPr>
          <w:lang w:val="fr-FR"/>
        </w:rPr>
        <w:t>aide juridictionnelle aux victimes d</w:t>
      </w:r>
      <w:r w:rsidR="0047269F">
        <w:rPr>
          <w:lang w:val="fr-FR"/>
        </w:rPr>
        <w:t>’</w:t>
      </w:r>
      <w:r w:rsidRPr="001C481F">
        <w:rPr>
          <w:lang w:val="fr-FR"/>
        </w:rPr>
        <w:t>infractions sexuelles en les exemptant de l</w:t>
      </w:r>
      <w:r w:rsidR="0047269F">
        <w:rPr>
          <w:lang w:val="fr-FR"/>
        </w:rPr>
        <w:t>’</w:t>
      </w:r>
      <w:r w:rsidRPr="001C481F">
        <w:rPr>
          <w:lang w:val="fr-FR"/>
        </w:rPr>
        <w:t>obligation de remplir les conditions d</w:t>
      </w:r>
      <w:r w:rsidR="0047269F">
        <w:rPr>
          <w:lang w:val="fr-FR"/>
        </w:rPr>
        <w:t>’</w:t>
      </w:r>
      <w:r w:rsidRPr="001C481F">
        <w:rPr>
          <w:lang w:val="fr-FR"/>
        </w:rPr>
        <w:t xml:space="preserve">admissibilité économique prévues dans la loi </w:t>
      </w:r>
      <w:r w:rsidR="00423729">
        <w:rPr>
          <w:lang w:val="fr-FR"/>
        </w:rPr>
        <w:t>sur l’aide juridictionnelle</w:t>
      </w:r>
      <w:r w:rsidRPr="001C481F">
        <w:rPr>
          <w:lang w:val="fr-FR"/>
        </w:rPr>
        <w:t>.</w:t>
      </w:r>
      <w:r w:rsidR="00A819D0">
        <w:rPr>
          <w:lang w:val="fr-FR"/>
        </w:rPr>
        <w:t xml:space="preserve"> </w:t>
      </w:r>
      <w:r w:rsidR="007D0B29">
        <w:rPr>
          <w:lang w:val="fr-FR"/>
        </w:rPr>
        <w:t>I</w:t>
      </w:r>
      <w:r w:rsidRPr="001C481F">
        <w:rPr>
          <w:lang w:val="fr-FR"/>
        </w:rPr>
        <w:t>l se félicite</w:t>
      </w:r>
      <w:r w:rsidR="007D0B29">
        <w:rPr>
          <w:lang w:val="fr-FR"/>
        </w:rPr>
        <w:t xml:space="preserve"> également</w:t>
      </w:r>
      <w:r w:rsidRPr="001C481F">
        <w:rPr>
          <w:lang w:val="fr-FR"/>
        </w:rPr>
        <w:t xml:space="preserve"> de l</w:t>
      </w:r>
      <w:r w:rsidR="0047269F">
        <w:rPr>
          <w:lang w:val="fr-FR"/>
        </w:rPr>
        <w:t>’</w:t>
      </w:r>
      <w:r w:rsidRPr="001C481F">
        <w:rPr>
          <w:lang w:val="fr-FR"/>
        </w:rPr>
        <w:t xml:space="preserve">application </w:t>
      </w:r>
      <w:r w:rsidR="006B6E92">
        <w:rPr>
          <w:lang w:val="fr-FR"/>
        </w:rPr>
        <w:t>des</w:t>
      </w:r>
      <w:r w:rsidRPr="001C481F">
        <w:rPr>
          <w:lang w:val="fr-FR"/>
        </w:rPr>
        <w:t xml:space="preserve"> modification</w:t>
      </w:r>
      <w:r w:rsidR="006B6E92">
        <w:rPr>
          <w:lang w:val="fr-FR"/>
        </w:rPr>
        <w:t>s</w:t>
      </w:r>
      <w:r w:rsidRPr="001C481F">
        <w:rPr>
          <w:lang w:val="fr-FR"/>
        </w:rPr>
        <w:t xml:space="preserve"> apportée</w:t>
      </w:r>
      <w:r w:rsidR="006B6E92">
        <w:rPr>
          <w:lang w:val="fr-FR"/>
        </w:rPr>
        <w:t>s</w:t>
      </w:r>
      <w:r w:rsidRPr="001C481F">
        <w:rPr>
          <w:lang w:val="fr-FR"/>
        </w:rPr>
        <w:t xml:space="preserve"> à la loi sur les tribunaux rabbiniques</w:t>
      </w:r>
      <w:r w:rsidR="006B6E92">
        <w:rPr>
          <w:lang w:val="fr-FR"/>
        </w:rPr>
        <w:t xml:space="preserve"> </w:t>
      </w:r>
      <w:r w:rsidR="006B6E92" w:rsidRPr="006B6E92">
        <w:rPr>
          <w:lang w:val="fr-FR"/>
        </w:rPr>
        <w:t>(application des jugements de divorce)</w:t>
      </w:r>
      <w:r w:rsidRPr="001C481F">
        <w:rPr>
          <w:lang w:val="fr-FR"/>
        </w:rPr>
        <w:t xml:space="preserve"> et du renforcement du système de tribunaux de la famille en vue d</w:t>
      </w:r>
      <w:r w:rsidR="0047269F">
        <w:rPr>
          <w:lang w:val="fr-FR"/>
        </w:rPr>
        <w:t>’</w:t>
      </w:r>
      <w:r w:rsidRPr="001C481F">
        <w:rPr>
          <w:lang w:val="fr-FR"/>
        </w:rPr>
        <w:t>accélérer l</w:t>
      </w:r>
      <w:r w:rsidR="0047269F">
        <w:rPr>
          <w:lang w:val="fr-FR"/>
        </w:rPr>
        <w:t>’</w:t>
      </w:r>
      <w:r w:rsidRPr="001C481F">
        <w:rPr>
          <w:lang w:val="fr-FR"/>
        </w:rPr>
        <w:t>examen des affaires relatives au mariage et au divorce. Il note toutefois avec préoccupation que :</w:t>
      </w:r>
    </w:p>
    <w:p w14:paraId="1EAB01B0" w14:textId="5ED837D7" w:rsidR="001C481F" w:rsidRPr="001C481F" w:rsidRDefault="001C481F" w:rsidP="001C481F">
      <w:pPr>
        <w:pStyle w:val="SingleTxt"/>
        <w:rPr>
          <w:lang w:val="fr-FR"/>
        </w:rPr>
      </w:pPr>
      <w:r w:rsidRPr="001C481F">
        <w:rPr>
          <w:lang w:val="fr-FR"/>
        </w:rPr>
        <w:lastRenderedPageBreak/>
        <w:tab/>
        <w:t>a)</w:t>
      </w:r>
      <w:r w:rsidRPr="001C481F">
        <w:rPr>
          <w:lang w:val="fr-FR"/>
        </w:rPr>
        <w:tab/>
        <w:t>Les femmes, notamment celles qui appartiennent à des minorités, ne sont pas conscientes des droits qui leur sont conférés par la Convention et ne disposent pas des informations nécessaires pour les faire valoir</w:t>
      </w:r>
      <w:r w:rsidR="0047269F">
        <w:rPr>
          <w:lang w:val="fr-FR"/>
        </w:rPr>
        <w:t> ;</w:t>
      </w:r>
      <w:r w:rsidRPr="001C481F">
        <w:rPr>
          <w:lang w:val="fr-FR"/>
        </w:rPr>
        <w:t xml:space="preserve"> </w:t>
      </w:r>
    </w:p>
    <w:p w14:paraId="216C8266" w14:textId="0CD008BA" w:rsidR="001C481F" w:rsidRPr="001C481F" w:rsidRDefault="005B65D1" w:rsidP="001C481F">
      <w:pPr>
        <w:pStyle w:val="SingleTxt"/>
        <w:rPr>
          <w:lang w:val="fr-FR"/>
        </w:rPr>
      </w:pPr>
      <w:r>
        <w:rPr>
          <w:lang w:val="fr-FR"/>
        </w:rPr>
        <w:tab/>
      </w:r>
      <w:r w:rsidR="001C481F" w:rsidRPr="001C481F">
        <w:rPr>
          <w:lang w:val="fr-FR"/>
        </w:rPr>
        <w:t>b)</w:t>
      </w:r>
      <w:r w:rsidR="001C481F" w:rsidRPr="001C481F">
        <w:rPr>
          <w:lang w:val="fr-FR"/>
        </w:rPr>
        <w:tab/>
        <w:t>Les femmes et les filles, en particulier celles qui appartiennent aux communautés arabe et bédouine, les demandeuses d</w:t>
      </w:r>
      <w:r w:rsidR="0047269F">
        <w:rPr>
          <w:lang w:val="fr-FR"/>
        </w:rPr>
        <w:t>’</w:t>
      </w:r>
      <w:r w:rsidR="001C481F" w:rsidRPr="001C481F">
        <w:rPr>
          <w:lang w:val="fr-FR"/>
        </w:rPr>
        <w:t>asile et les migrantes ne jouissent pas d</w:t>
      </w:r>
      <w:r w:rsidR="0047269F">
        <w:rPr>
          <w:lang w:val="fr-FR"/>
        </w:rPr>
        <w:t>’</w:t>
      </w:r>
      <w:r w:rsidR="001C481F" w:rsidRPr="001C481F">
        <w:rPr>
          <w:lang w:val="fr-FR"/>
        </w:rPr>
        <w:t>un accès égal à la justice en raison des obstacles physiques et économiques auxquels elles se heurtent lorsqu</w:t>
      </w:r>
      <w:r w:rsidR="0047269F">
        <w:rPr>
          <w:lang w:val="fr-FR"/>
        </w:rPr>
        <w:t>’</w:t>
      </w:r>
      <w:r w:rsidR="001C481F" w:rsidRPr="001C481F">
        <w:rPr>
          <w:lang w:val="fr-FR"/>
        </w:rPr>
        <w:t>elles souhaitent déposer des plaintes pour discrimination</w:t>
      </w:r>
      <w:r w:rsidR="0047269F">
        <w:rPr>
          <w:lang w:val="fr-FR"/>
        </w:rPr>
        <w:t> ;</w:t>
      </w:r>
      <w:r w:rsidR="001C481F" w:rsidRPr="001C481F">
        <w:rPr>
          <w:lang w:val="fr-FR"/>
        </w:rPr>
        <w:t xml:space="preserve"> </w:t>
      </w:r>
    </w:p>
    <w:p w14:paraId="5AD34524" w14:textId="27E32D3E" w:rsidR="001C481F" w:rsidRPr="001C481F" w:rsidRDefault="005B65D1" w:rsidP="001C481F">
      <w:pPr>
        <w:pStyle w:val="SingleTxt"/>
        <w:rPr>
          <w:lang w:val="fr-FR"/>
        </w:rPr>
      </w:pPr>
      <w:r>
        <w:rPr>
          <w:lang w:val="fr-FR"/>
        </w:rPr>
        <w:tab/>
      </w:r>
      <w:r w:rsidR="001C481F" w:rsidRPr="001C481F">
        <w:rPr>
          <w:lang w:val="fr-FR"/>
        </w:rPr>
        <w:t>c)</w:t>
      </w:r>
      <w:r w:rsidR="001C481F" w:rsidRPr="001C481F">
        <w:rPr>
          <w:lang w:val="fr-FR"/>
        </w:rPr>
        <w:tab/>
        <w:t>Depuis l</w:t>
      </w:r>
      <w:r w:rsidR="0047269F">
        <w:rPr>
          <w:lang w:val="fr-FR"/>
        </w:rPr>
        <w:t>’</w:t>
      </w:r>
      <w:r w:rsidR="001C481F" w:rsidRPr="001C481F">
        <w:rPr>
          <w:lang w:val="fr-FR"/>
        </w:rPr>
        <w:t>adoption de directives par le Département de l</w:t>
      </w:r>
      <w:r w:rsidR="0047269F">
        <w:rPr>
          <w:lang w:val="fr-FR"/>
        </w:rPr>
        <w:t>’</w:t>
      </w:r>
      <w:r w:rsidR="001C481F" w:rsidRPr="001C481F">
        <w:rPr>
          <w:lang w:val="fr-FR"/>
        </w:rPr>
        <w:t>aide juridictionnelle en avril 2016, le nombre de demandes d</w:t>
      </w:r>
      <w:r w:rsidR="0047269F">
        <w:rPr>
          <w:lang w:val="fr-FR"/>
        </w:rPr>
        <w:t>’</w:t>
      </w:r>
      <w:r w:rsidR="001C481F" w:rsidRPr="001C481F">
        <w:rPr>
          <w:lang w:val="fr-FR"/>
        </w:rPr>
        <w:t>aide en rapport avec le droit de la famille, notamment en ce qui concerne le soutien à l</w:t>
      </w:r>
      <w:r w:rsidR="0047269F">
        <w:rPr>
          <w:lang w:val="fr-FR"/>
        </w:rPr>
        <w:t>’</w:t>
      </w:r>
      <w:r w:rsidR="001C481F" w:rsidRPr="001C481F">
        <w:rPr>
          <w:lang w:val="fr-FR"/>
        </w:rPr>
        <w:t>enfant et l</w:t>
      </w:r>
      <w:r w:rsidR="0047269F">
        <w:rPr>
          <w:lang w:val="fr-FR"/>
        </w:rPr>
        <w:t>’</w:t>
      </w:r>
      <w:r w:rsidR="001C481F" w:rsidRPr="001C481F">
        <w:rPr>
          <w:lang w:val="fr-FR"/>
        </w:rPr>
        <w:t>entretien des enfants, est en diminution.</w:t>
      </w:r>
    </w:p>
    <w:p w14:paraId="761057DB" w14:textId="4817C4E0" w:rsidR="001C481F" w:rsidRPr="00823F91" w:rsidRDefault="001C481F" w:rsidP="00FC4232">
      <w:pPr>
        <w:pStyle w:val="SingleTxt"/>
        <w:numPr>
          <w:ilvl w:val="0"/>
          <w:numId w:val="39"/>
        </w:numPr>
        <w:spacing w:line="240" w:lineRule="exact"/>
        <w:rPr>
          <w:lang w:val="fr-FR"/>
        </w:rPr>
      </w:pPr>
      <w:r w:rsidRPr="00FC4232">
        <w:rPr>
          <w:b/>
          <w:bCs/>
          <w:lang w:val="fr-FR"/>
        </w:rPr>
        <w:t>Rappelan</w:t>
      </w:r>
      <w:r w:rsidR="00B12265" w:rsidRPr="00FC4232">
        <w:rPr>
          <w:b/>
          <w:bCs/>
          <w:lang w:val="fr-FR"/>
        </w:rPr>
        <w:t xml:space="preserve">t sa </w:t>
      </w:r>
      <w:r w:rsidR="006B6E92" w:rsidRPr="00FC4232">
        <w:rPr>
          <w:b/>
          <w:bCs/>
          <w:lang w:val="fr-FR"/>
        </w:rPr>
        <w:t>r</w:t>
      </w:r>
      <w:r w:rsidR="00B12265" w:rsidRPr="00FC4232">
        <w:rPr>
          <w:b/>
          <w:bCs/>
          <w:lang w:val="fr-FR"/>
        </w:rPr>
        <w:t>ecommandation générale n</w:t>
      </w:r>
      <w:r w:rsidR="00B12265" w:rsidRPr="00FC4232">
        <w:rPr>
          <w:b/>
          <w:bCs/>
          <w:vertAlign w:val="superscript"/>
          <w:lang w:val="fr-FR"/>
        </w:rPr>
        <w:t>o</w:t>
      </w:r>
      <w:r w:rsidR="00B12265" w:rsidRPr="00FC4232">
        <w:rPr>
          <w:b/>
          <w:bCs/>
          <w:lang w:val="fr-FR"/>
        </w:rPr>
        <w:t> </w:t>
      </w:r>
      <w:r w:rsidRPr="00FC4232">
        <w:rPr>
          <w:b/>
          <w:bCs/>
          <w:lang w:val="fr-FR"/>
        </w:rPr>
        <w:t>33 (2015) sur l</w:t>
      </w:r>
      <w:r w:rsidR="0047269F" w:rsidRPr="00FC4232">
        <w:rPr>
          <w:b/>
          <w:bCs/>
          <w:lang w:val="fr-FR"/>
        </w:rPr>
        <w:t>’</w:t>
      </w:r>
      <w:r w:rsidRPr="00FC4232">
        <w:rPr>
          <w:b/>
          <w:bCs/>
          <w:lang w:val="fr-FR"/>
        </w:rPr>
        <w:t>accès des femmes à la justice, le Comité demande à l</w:t>
      </w:r>
      <w:r w:rsidR="0047269F" w:rsidRPr="00FC4232">
        <w:rPr>
          <w:b/>
          <w:bCs/>
          <w:lang w:val="fr-FR"/>
        </w:rPr>
        <w:t>’</w:t>
      </w:r>
      <w:r w:rsidRPr="00FC4232">
        <w:rPr>
          <w:b/>
          <w:bCs/>
          <w:lang w:val="fr-FR"/>
        </w:rPr>
        <w:t>État partie de lever tous les obstacles physiques et économiques qui entravent l</w:t>
      </w:r>
      <w:r w:rsidR="0047269F" w:rsidRPr="00FC4232">
        <w:rPr>
          <w:b/>
          <w:bCs/>
          <w:lang w:val="fr-FR"/>
        </w:rPr>
        <w:t>’</w:t>
      </w:r>
      <w:r w:rsidRPr="00FC4232">
        <w:rPr>
          <w:b/>
          <w:bCs/>
          <w:lang w:val="fr-FR"/>
        </w:rPr>
        <w:t>accès des femmes à la justice, notamment celles qui appartiennent aux communautés arabe et bédouine, les demandeuses d</w:t>
      </w:r>
      <w:r w:rsidR="0047269F" w:rsidRPr="00FC4232">
        <w:rPr>
          <w:b/>
          <w:bCs/>
          <w:lang w:val="fr-FR"/>
        </w:rPr>
        <w:t>’</w:t>
      </w:r>
      <w:r w:rsidRPr="00FC4232">
        <w:rPr>
          <w:b/>
          <w:bCs/>
          <w:lang w:val="fr-FR"/>
        </w:rPr>
        <w:t>asile et les migrantes. En outre, il recommande</w:t>
      </w:r>
      <w:r w:rsidR="00A819D0">
        <w:rPr>
          <w:b/>
          <w:bCs/>
          <w:lang w:val="fr-FR"/>
        </w:rPr>
        <w:t xml:space="preserve"> </w:t>
      </w:r>
      <w:r w:rsidRPr="00FC4232">
        <w:rPr>
          <w:b/>
          <w:bCs/>
          <w:lang w:val="fr-FR"/>
        </w:rPr>
        <w:t>que l</w:t>
      </w:r>
      <w:r w:rsidR="0047269F" w:rsidRPr="00FC4232">
        <w:rPr>
          <w:b/>
          <w:bCs/>
          <w:lang w:val="fr-FR"/>
        </w:rPr>
        <w:t>’</w:t>
      </w:r>
      <w:r w:rsidRPr="00FC4232">
        <w:rPr>
          <w:b/>
          <w:bCs/>
          <w:lang w:val="fr-FR"/>
        </w:rPr>
        <w:t>État partie</w:t>
      </w:r>
      <w:r w:rsidR="005B65D1" w:rsidRPr="00FC4232">
        <w:rPr>
          <w:b/>
          <w:bCs/>
          <w:lang w:val="fr-FR"/>
        </w:rPr>
        <w:t> </w:t>
      </w:r>
      <w:r w:rsidRPr="00FC4232">
        <w:rPr>
          <w:b/>
          <w:bCs/>
          <w:lang w:val="fr-FR"/>
        </w:rPr>
        <w:t>:</w:t>
      </w:r>
    </w:p>
    <w:p w14:paraId="6C076E55" w14:textId="1D4C3C7B" w:rsidR="001C481F" w:rsidRPr="001C481F" w:rsidRDefault="005B65D1" w:rsidP="001C481F">
      <w:pPr>
        <w:pStyle w:val="SingleTxt"/>
        <w:rPr>
          <w:b/>
          <w:lang w:val="fr-FR"/>
        </w:rPr>
      </w:pPr>
      <w:r>
        <w:rPr>
          <w:b/>
          <w:bCs/>
          <w:lang w:val="fr-FR"/>
        </w:rPr>
        <w:tab/>
      </w:r>
      <w:r w:rsidR="001C481F" w:rsidRPr="001C481F">
        <w:rPr>
          <w:b/>
          <w:bCs/>
          <w:lang w:val="fr-FR"/>
        </w:rPr>
        <w:t>a)</w:t>
      </w:r>
      <w:r w:rsidR="001C481F" w:rsidRPr="001C481F">
        <w:rPr>
          <w:lang w:val="fr-FR"/>
        </w:rPr>
        <w:tab/>
      </w:r>
      <w:r w:rsidR="001C481F" w:rsidRPr="001C481F">
        <w:rPr>
          <w:b/>
          <w:bCs/>
          <w:lang w:val="fr-FR"/>
        </w:rPr>
        <w:t>Sensibilise davantage les femmes, notamment celles qui appartiennent à des groupes minoritaires, aux droits qui leur sont conférés par la Convention et élimine les obstacles qui les empêchent d</w:t>
      </w:r>
      <w:r w:rsidR="0047269F">
        <w:rPr>
          <w:b/>
          <w:bCs/>
          <w:lang w:val="fr-FR"/>
        </w:rPr>
        <w:t>’</w:t>
      </w:r>
      <w:r w:rsidR="001C481F" w:rsidRPr="001C481F">
        <w:rPr>
          <w:b/>
          <w:bCs/>
          <w:lang w:val="fr-FR"/>
        </w:rPr>
        <w:t>accéder à la justice</w:t>
      </w:r>
      <w:r w:rsidR="0047269F">
        <w:rPr>
          <w:b/>
          <w:bCs/>
          <w:lang w:val="fr-FR"/>
        </w:rPr>
        <w:t> ;</w:t>
      </w:r>
      <w:r w:rsidR="001C481F" w:rsidRPr="001C481F">
        <w:rPr>
          <w:lang w:val="fr-FR"/>
        </w:rPr>
        <w:t xml:space="preserve"> </w:t>
      </w:r>
    </w:p>
    <w:p w14:paraId="7420A3CB" w14:textId="22F41CCA" w:rsidR="001C481F" w:rsidRPr="001C481F" w:rsidRDefault="005B65D1" w:rsidP="001C481F">
      <w:pPr>
        <w:pStyle w:val="SingleTxt"/>
        <w:rPr>
          <w:b/>
          <w:lang w:val="fr-FR"/>
        </w:rPr>
      </w:pPr>
      <w:r>
        <w:rPr>
          <w:b/>
          <w:bCs/>
          <w:lang w:val="fr-FR"/>
        </w:rPr>
        <w:tab/>
      </w:r>
      <w:r w:rsidR="001C481F" w:rsidRPr="001C481F">
        <w:rPr>
          <w:b/>
          <w:bCs/>
          <w:lang w:val="fr-FR"/>
        </w:rPr>
        <w:t>b)</w:t>
      </w:r>
      <w:r w:rsidR="001C481F" w:rsidRPr="001C481F">
        <w:rPr>
          <w:lang w:val="fr-FR"/>
        </w:rPr>
        <w:tab/>
      </w:r>
      <w:r w:rsidR="001C481F" w:rsidRPr="001C481F">
        <w:rPr>
          <w:b/>
          <w:bCs/>
          <w:lang w:val="fr-FR"/>
        </w:rPr>
        <w:t>Veille à ce que la Convention et la législation nationale connexe fassent partie intégrante du programme d</w:t>
      </w:r>
      <w:r w:rsidR="0047269F">
        <w:rPr>
          <w:b/>
          <w:bCs/>
          <w:lang w:val="fr-FR"/>
        </w:rPr>
        <w:t>’</w:t>
      </w:r>
      <w:r w:rsidR="001C481F" w:rsidRPr="001C481F">
        <w:rPr>
          <w:b/>
          <w:bCs/>
          <w:lang w:val="fr-FR"/>
        </w:rPr>
        <w:t>éducation continue des magistrats et de tous les intervenants dans l</w:t>
      </w:r>
      <w:r w:rsidR="0047269F">
        <w:rPr>
          <w:b/>
          <w:bCs/>
          <w:lang w:val="fr-FR"/>
        </w:rPr>
        <w:t>’</w:t>
      </w:r>
      <w:r w:rsidR="001C481F" w:rsidRPr="001C481F">
        <w:rPr>
          <w:b/>
          <w:bCs/>
          <w:lang w:val="fr-FR"/>
        </w:rPr>
        <w:t>appareil judiciaire, de façon à promouvoir une culture favorable aux droits des femmes</w:t>
      </w:r>
      <w:r w:rsidR="0047269F">
        <w:rPr>
          <w:b/>
          <w:bCs/>
          <w:lang w:val="fr-FR"/>
        </w:rPr>
        <w:t> ;</w:t>
      </w:r>
    </w:p>
    <w:p w14:paraId="233898C3" w14:textId="52C2A7C2" w:rsidR="001C481F" w:rsidRDefault="005B65D1" w:rsidP="001C481F">
      <w:pPr>
        <w:pStyle w:val="SingleTxt"/>
        <w:rPr>
          <w:lang w:val="fr-FR"/>
        </w:rPr>
      </w:pPr>
      <w:r>
        <w:rPr>
          <w:b/>
          <w:bCs/>
          <w:lang w:val="fr-FR"/>
        </w:rPr>
        <w:tab/>
      </w:r>
      <w:r w:rsidR="001C481F" w:rsidRPr="001C481F">
        <w:rPr>
          <w:b/>
          <w:bCs/>
          <w:lang w:val="fr-FR"/>
        </w:rPr>
        <w:t>c)</w:t>
      </w:r>
      <w:r w:rsidR="001C481F" w:rsidRPr="001C481F">
        <w:rPr>
          <w:lang w:val="fr-FR"/>
        </w:rPr>
        <w:tab/>
      </w:r>
      <w:r w:rsidR="001C481F" w:rsidRPr="001C481F">
        <w:rPr>
          <w:b/>
          <w:bCs/>
          <w:lang w:val="fr-FR"/>
        </w:rPr>
        <w:t>Mesure l</w:t>
      </w:r>
      <w:r w:rsidR="0047269F">
        <w:rPr>
          <w:b/>
          <w:bCs/>
          <w:lang w:val="fr-FR"/>
        </w:rPr>
        <w:t>’</w:t>
      </w:r>
      <w:r w:rsidR="001C481F" w:rsidRPr="001C481F">
        <w:rPr>
          <w:b/>
          <w:bCs/>
          <w:lang w:val="fr-FR"/>
        </w:rPr>
        <w:t>incidence des directives adoptées en 2016 par le Département de l</w:t>
      </w:r>
      <w:r w:rsidR="0047269F">
        <w:rPr>
          <w:b/>
          <w:bCs/>
          <w:lang w:val="fr-FR"/>
        </w:rPr>
        <w:t>’</w:t>
      </w:r>
      <w:r w:rsidR="001C481F" w:rsidRPr="001C481F">
        <w:rPr>
          <w:b/>
          <w:bCs/>
          <w:lang w:val="fr-FR"/>
        </w:rPr>
        <w:t>aide juridictionnelle sur l</w:t>
      </w:r>
      <w:r w:rsidR="0047269F">
        <w:rPr>
          <w:b/>
          <w:bCs/>
          <w:lang w:val="fr-FR"/>
        </w:rPr>
        <w:t>’</w:t>
      </w:r>
      <w:r w:rsidR="001C481F" w:rsidRPr="001C481F">
        <w:rPr>
          <w:b/>
          <w:bCs/>
          <w:lang w:val="fr-FR"/>
        </w:rPr>
        <w:t>accès des femmes à cette aide, s</w:t>
      </w:r>
      <w:r w:rsidR="0047269F">
        <w:rPr>
          <w:b/>
          <w:bCs/>
          <w:lang w:val="fr-FR"/>
        </w:rPr>
        <w:t>’</w:t>
      </w:r>
      <w:r w:rsidR="001C481F" w:rsidRPr="001C481F">
        <w:rPr>
          <w:b/>
          <w:bCs/>
          <w:lang w:val="fr-FR"/>
        </w:rPr>
        <w:t>agissant en particulier du droit de la famille, notamment en ce qui concerne la garde des enfants et la pension alimentaire pour l</w:t>
      </w:r>
      <w:r w:rsidR="0047269F">
        <w:rPr>
          <w:b/>
          <w:bCs/>
          <w:lang w:val="fr-FR"/>
        </w:rPr>
        <w:t>’</w:t>
      </w:r>
      <w:r w:rsidR="001C481F" w:rsidRPr="001C481F">
        <w:rPr>
          <w:b/>
          <w:bCs/>
          <w:lang w:val="fr-FR"/>
        </w:rPr>
        <w:t>entretien des enfants.</w:t>
      </w:r>
      <w:r w:rsidR="001C481F" w:rsidRPr="001C481F">
        <w:rPr>
          <w:lang w:val="fr-FR"/>
        </w:rPr>
        <w:t xml:space="preserve"> </w:t>
      </w:r>
    </w:p>
    <w:p w14:paraId="5740D2ED" w14:textId="3284ECD5" w:rsidR="005B65D1" w:rsidRPr="005B65D1" w:rsidRDefault="005B65D1" w:rsidP="005B65D1">
      <w:pPr>
        <w:pStyle w:val="SingleTxt"/>
        <w:spacing w:after="0" w:line="120" w:lineRule="exact"/>
        <w:rPr>
          <w:sz w:val="10"/>
          <w:lang w:val="fr-FR"/>
        </w:rPr>
      </w:pPr>
    </w:p>
    <w:p w14:paraId="4D49279D" w14:textId="10AA93B9" w:rsidR="001C481F" w:rsidRPr="001C481F" w:rsidRDefault="001C481F" w:rsidP="005B65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481F">
        <w:rPr>
          <w:lang w:val="fr-FR"/>
        </w:rPr>
        <w:tab/>
      </w:r>
      <w:r w:rsidRPr="001C481F">
        <w:rPr>
          <w:lang w:val="fr-FR"/>
        </w:rPr>
        <w:tab/>
        <w:t>Les femmes</w:t>
      </w:r>
      <w:r w:rsidR="006B6E92">
        <w:rPr>
          <w:lang w:val="fr-FR"/>
        </w:rPr>
        <w:t xml:space="preserve"> et</w:t>
      </w:r>
      <w:r w:rsidR="006B6E92" w:rsidRPr="001C481F">
        <w:rPr>
          <w:lang w:val="fr-FR"/>
        </w:rPr>
        <w:t xml:space="preserve"> </w:t>
      </w:r>
      <w:r w:rsidRPr="001C481F">
        <w:rPr>
          <w:lang w:val="fr-FR"/>
        </w:rPr>
        <w:t xml:space="preserve">la paix et la sécurité </w:t>
      </w:r>
    </w:p>
    <w:p w14:paraId="5D27E243" w14:textId="112755DB" w:rsidR="005B65D1" w:rsidRPr="005B65D1" w:rsidRDefault="005B65D1" w:rsidP="005B65D1">
      <w:pPr>
        <w:pStyle w:val="SingleTxt"/>
        <w:spacing w:after="0" w:line="120" w:lineRule="exact"/>
        <w:rPr>
          <w:sz w:val="10"/>
          <w:lang w:val="fr-FR"/>
        </w:rPr>
      </w:pPr>
    </w:p>
    <w:p w14:paraId="0A818369" w14:textId="596C2D9C" w:rsidR="001C481F" w:rsidRPr="001C481F" w:rsidRDefault="001C481F" w:rsidP="00FC4232">
      <w:pPr>
        <w:pStyle w:val="SingleTxt"/>
        <w:numPr>
          <w:ilvl w:val="0"/>
          <w:numId w:val="39"/>
        </w:numPr>
        <w:spacing w:line="240" w:lineRule="exact"/>
        <w:rPr>
          <w:lang w:val="fr-FR"/>
        </w:rPr>
      </w:pPr>
      <w:r w:rsidRPr="001C481F">
        <w:rPr>
          <w:lang w:val="fr-FR"/>
        </w:rPr>
        <w:t>Le Comité se félicite de l</w:t>
      </w:r>
      <w:r w:rsidR="00B12265">
        <w:rPr>
          <w:lang w:val="fr-FR"/>
        </w:rPr>
        <w:t>a résolution gouvernementale n</w:t>
      </w:r>
      <w:r w:rsidR="00B12265" w:rsidRPr="00B12265">
        <w:rPr>
          <w:vertAlign w:val="superscript"/>
          <w:lang w:val="fr-FR"/>
        </w:rPr>
        <w:t>o</w:t>
      </w:r>
      <w:r w:rsidR="00B12265">
        <w:rPr>
          <w:lang w:val="fr-FR"/>
        </w:rPr>
        <w:t> </w:t>
      </w:r>
      <w:r w:rsidRPr="001C481F">
        <w:rPr>
          <w:lang w:val="fr-FR"/>
        </w:rPr>
        <w:t xml:space="preserve">2331, qui donne effet à la résolution </w:t>
      </w:r>
      <w:hyperlink r:id="rId24" w:history="1">
        <w:r w:rsidRPr="00483725">
          <w:rPr>
            <w:rStyle w:val="Hyperlink"/>
            <w:color w:val="0000FF"/>
            <w:lang w:val="fr-FR"/>
          </w:rPr>
          <w:t>1325 (2000)</w:t>
        </w:r>
      </w:hyperlink>
      <w:r w:rsidRPr="001C481F">
        <w:rPr>
          <w:lang w:val="fr-FR"/>
        </w:rPr>
        <w:t xml:space="preserve"> du Conseil de sécurité sur les femmes</w:t>
      </w:r>
      <w:r w:rsidR="002F56E1">
        <w:rPr>
          <w:lang w:val="fr-FR"/>
        </w:rPr>
        <w:t xml:space="preserve"> et </w:t>
      </w:r>
      <w:r w:rsidRPr="001C481F">
        <w:rPr>
          <w:lang w:val="fr-FR"/>
        </w:rPr>
        <w:t>la paix et la sécurité, et de l</w:t>
      </w:r>
      <w:r w:rsidR="0047269F">
        <w:rPr>
          <w:lang w:val="fr-FR"/>
        </w:rPr>
        <w:t>’</w:t>
      </w:r>
      <w:r w:rsidRPr="001C481F">
        <w:rPr>
          <w:lang w:val="fr-FR"/>
        </w:rPr>
        <w:t>adoption d</w:t>
      </w:r>
      <w:r w:rsidR="0047269F">
        <w:rPr>
          <w:lang w:val="fr-FR"/>
        </w:rPr>
        <w:t>’</w:t>
      </w:r>
      <w:r w:rsidRPr="001C481F">
        <w:rPr>
          <w:lang w:val="fr-FR"/>
        </w:rPr>
        <w:t>un plan d</w:t>
      </w:r>
      <w:r w:rsidR="0047269F">
        <w:rPr>
          <w:lang w:val="fr-FR"/>
        </w:rPr>
        <w:t>’</w:t>
      </w:r>
      <w:r w:rsidRPr="001C481F">
        <w:rPr>
          <w:lang w:val="fr-FR"/>
        </w:rPr>
        <w:t>action connexe et d</w:t>
      </w:r>
      <w:r w:rsidR="0047269F">
        <w:rPr>
          <w:lang w:val="fr-FR"/>
        </w:rPr>
        <w:t>’</w:t>
      </w:r>
      <w:r w:rsidRPr="001C481F">
        <w:rPr>
          <w:lang w:val="fr-FR"/>
        </w:rPr>
        <w:t>une politique globale de promotion de la parité des sexes. Il note en outre que les femmes sont représentées dans les Forces de défense israéliennes. Il est toutefois préo</w:t>
      </w:r>
      <w:r w:rsidR="00F6442E">
        <w:rPr>
          <w:lang w:val="fr-FR"/>
        </w:rPr>
        <w:t>ccupé par les éléments suivants </w:t>
      </w:r>
      <w:r w:rsidRPr="001C481F">
        <w:rPr>
          <w:lang w:val="fr-FR"/>
        </w:rPr>
        <w:t>:</w:t>
      </w:r>
    </w:p>
    <w:p w14:paraId="259B10AA" w14:textId="7FEAE7F1" w:rsidR="001C481F" w:rsidRPr="001C481F" w:rsidRDefault="001C481F" w:rsidP="001C481F">
      <w:pPr>
        <w:pStyle w:val="SingleTxt"/>
        <w:rPr>
          <w:lang w:val="fr-FR"/>
        </w:rPr>
      </w:pPr>
      <w:r w:rsidRPr="001C481F">
        <w:rPr>
          <w:lang w:val="fr-FR"/>
        </w:rPr>
        <w:tab/>
        <w:t>a)</w:t>
      </w:r>
      <w:r w:rsidRPr="001C481F">
        <w:rPr>
          <w:lang w:val="fr-FR"/>
        </w:rPr>
        <w:tab/>
        <w:t>Le plan d</w:t>
      </w:r>
      <w:r w:rsidR="0047269F">
        <w:rPr>
          <w:lang w:val="fr-FR"/>
        </w:rPr>
        <w:t>’</w:t>
      </w:r>
      <w:r w:rsidRPr="001C481F">
        <w:rPr>
          <w:lang w:val="fr-FR"/>
        </w:rPr>
        <w:t>action n</w:t>
      </w:r>
      <w:r w:rsidR="0047269F">
        <w:rPr>
          <w:lang w:val="fr-FR"/>
        </w:rPr>
        <w:t>’</w:t>
      </w:r>
      <w:r w:rsidRPr="001C481F">
        <w:rPr>
          <w:lang w:val="fr-FR"/>
        </w:rPr>
        <w:t>est pas mis en œuvre de manière à inclure dans les obligations extraterritoriales de l</w:t>
      </w:r>
      <w:r w:rsidR="0047269F">
        <w:rPr>
          <w:lang w:val="fr-FR"/>
        </w:rPr>
        <w:t>’</w:t>
      </w:r>
      <w:r w:rsidRPr="001C481F">
        <w:rPr>
          <w:lang w:val="fr-FR"/>
        </w:rPr>
        <w:t>État partie la situation des femmes et des filles dans le Territoire palestinien occupé</w:t>
      </w:r>
      <w:r w:rsidR="0047269F">
        <w:rPr>
          <w:lang w:val="fr-FR"/>
        </w:rPr>
        <w:t> ;</w:t>
      </w:r>
      <w:r w:rsidRPr="001C481F">
        <w:rPr>
          <w:lang w:val="fr-FR"/>
        </w:rPr>
        <w:t xml:space="preserve"> </w:t>
      </w:r>
    </w:p>
    <w:p w14:paraId="48DB021B" w14:textId="71106F9F" w:rsidR="001C481F" w:rsidRPr="001C481F" w:rsidRDefault="001C481F" w:rsidP="001C481F">
      <w:pPr>
        <w:pStyle w:val="SingleTxt"/>
        <w:rPr>
          <w:lang w:val="fr-FR"/>
        </w:rPr>
      </w:pPr>
      <w:r w:rsidRPr="001C481F">
        <w:rPr>
          <w:lang w:val="fr-FR"/>
        </w:rPr>
        <w:tab/>
        <w:t>b)</w:t>
      </w:r>
      <w:r w:rsidRPr="001C481F">
        <w:rPr>
          <w:lang w:val="fr-FR"/>
        </w:rPr>
        <w:tab/>
        <w:t>Malgré les efforts consentis par l</w:t>
      </w:r>
      <w:r w:rsidR="0047269F">
        <w:rPr>
          <w:lang w:val="fr-FR"/>
        </w:rPr>
        <w:t>’</w:t>
      </w:r>
      <w:r w:rsidRPr="001C481F">
        <w:rPr>
          <w:lang w:val="fr-FR"/>
        </w:rPr>
        <w:t>État partie pour renforcer leur participation au processus de paix, les femmes, en particulier les Israéliennes arabes et les représentantes des organisations de la société civile, demeurent sous-représentées dans le cadre de l</w:t>
      </w:r>
      <w:r w:rsidR="0047269F">
        <w:rPr>
          <w:lang w:val="fr-FR"/>
        </w:rPr>
        <w:t>’</w:t>
      </w:r>
      <w:r w:rsidRPr="001C481F">
        <w:rPr>
          <w:lang w:val="fr-FR"/>
        </w:rPr>
        <w:t>action menée au titre de ce processus</w:t>
      </w:r>
      <w:r w:rsidR="0047269F">
        <w:rPr>
          <w:lang w:val="fr-FR"/>
        </w:rPr>
        <w:t> ;</w:t>
      </w:r>
      <w:r w:rsidRPr="001C481F">
        <w:rPr>
          <w:lang w:val="fr-FR"/>
        </w:rPr>
        <w:t xml:space="preserve"> </w:t>
      </w:r>
    </w:p>
    <w:p w14:paraId="14EC9011" w14:textId="3F0D8486" w:rsidR="001C481F" w:rsidRPr="001C481F" w:rsidRDefault="001C481F" w:rsidP="001C481F">
      <w:pPr>
        <w:pStyle w:val="SingleTxt"/>
        <w:rPr>
          <w:lang w:val="fr-FR"/>
        </w:rPr>
      </w:pPr>
      <w:r w:rsidRPr="001C481F">
        <w:rPr>
          <w:lang w:val="fr-FR"/>
        </w:rPr>
        <w:tab/>
        <w:t>c)</w:t>
      </w:r>
      <w:r w:rsidRPr="001C481F">
        <w:rPr>
          <w:lang w:val="fr-FR"/>
        </w:rPr>
        <w:tab/>
        <w:t>En dépit de l</w:t>
      </w:r>
      <w:r w:rsidR="0047269F">
        <w:rPr>
          <w:lang w:val="fr-FR"/>
        </w:rPr>
        <w:t>’</w:t>
      </w:r>
      <w:r w:rsidRPr="001C481F">
        <w:rPr>
          <w:lang w:val="fr-FR"/>
        </w:rPr>
        <w:t>adoption d</w:t>
      </w:r>
      <w:r w:rsidR="0047269F">
        <w:rPr>
          <w:lang w:val="fr-FR"/>
        </w:rPr>
        <w:t>’</w:t>
      </w:r>
      <w:r w:rsidRPr="001C481F">
        <w:rPr>
          <w:lang w:val="fr-FR"/>
        </w:rPr>
        <w:t>un plan stratégique visant à éliminer le harcèlement sexuel et prévoyant la mise en place d</w:t>
      </w:r>
      <w:r w:rsidR="0047269F">
        <w:rPr>
          <w:lang w:val="fr-FR"/>
        </w:rPr>
        <w:t>’</w:t>
      </w:r>
      <w:r w:rsidRPr="001C481F">
        <w:rPr>
          <w:lang w:val="fr-FR"/>
        </w:rPr>
        <w:t>un service de soutien aux victimes, la violence sexuelle s</w:t>
      </w:r>
      <w:r w:rsidR="0047269F">
        <w:rPr>
          <w:lang w:val="fr-FR"/>
        </w:rPr>
        <w:t>’</w:t>
      </w:r>
      <w:r w:rsidRPr="001C481F">
        <w:rPr>
          <w:lang w:val="fr-FR"/>
        </w:rPr>
        <w:t>est intensifiée dans les Forces de défense israéliennes</w:t>
      </w:r>
      <w:r w:rsidR="0047269F">
        <w:rPr>
          <w:lang w:val="fr-FR"/>
        </w:rPr>
        <w:t> ;</w:t>
      </w:r>
    </w:p>
    <w:p w14:paraId="525F8FE0" w14:textId="714BC74F" w:rsidR="001C481F" w:rsidRPr="001C481F" w:rsidRDefault="001C481F" w:rsidP="001C481F">
      <w:pPr>
        <w:pStyle w:val="SingleTxt"/>
        <w:rPr>
          <w:lang w:val="fr-FR"/>
        </w:rPr>
      </w:pPr>
      <w:r w:rsidRPr="001C481F">
        <w:rPr>
          <w:lang w:val="fr-FR"/>
        </w:rPr>
        <w:tab/>
        <w:t>d)</w:t>
      </w:r>
      <w:r w:rsidRPr="001C481F">
        <w:rPr>
          <w:lang w:val="fr-FR"/>
        </w:rPr>
        <w:tab/>
        <w:t>Les forces de sécurité israéliennes continuent de faire un usage disproportionné de la force en réponse à des actes de violence, à des manifestations de protestation et dans le cadre des opérations de police qu</w:t>
      </w:r>
      <w:r w:rsidR="0047269F">
        <w:rPr>
          <w:lang w:val="fr-FR"/>
        </w:rPr>
        <w:t>’</w:t>
      </w:r>
      <w:r w:rsidRPr="001C481F">
        <w:rPr>
          <w:lang w:val="fr-FR"/>
        </w:rPr>
        <w:t xml:space="preserve">elles mènent au titre de la </w:t>
      </w:r>
      <w:r w:rsidRPr="001C481F">
        <w:rPr>
          <w:lang w:val="fr-FR"/>
        </w:rPr>
        <w:lastRenderedPageBreak/>
        <w:t xml:space="preserve">lutte contre le terrorisme, ce qui a une incidence disproportionnée sur les femmes et les filles. </w:t>
      </w:r>
    </w:p>
    <w:p w14:paraId="371F6AF4" w14:textId="52E8AC53" w:rsidR="001C481F" w:rsidRPr="00823F91" w:rsidRDefault="001C481F" w:rsidP="00FC4232">
      <w:pPr>
        <w:pStyle w:val="SingleTxt"/>
        <w:numPr>
          <w:ilvl w:val="0"/>
          <w:numId w:val="39"/>
        </w:numPr>
        <w:spacing w:line="240" w:lineRule="exact"/>
        <w:rPr>
          <w:lang w:val="fr-FR"/>
        </w:rPr>
      </w:pPr>
      <w:r w:rsidRPr="00FC4232">
        <w:rPr>
          <w:b/>
          <w:bCs/>
          <w:lang w:val="fr-FR"/>
        </w:rPr>
        <w:t>Le Comité recommande que l</w:t>
      </w:r>
      <w:r w:rsidR="0047269F" w:rsidRPr="00FC4232">
        <w:rPr>
          <w:b/>
          <w:bCs/>
          <w:lang w:val="fr-FR"/>
        </w:rPr>
        <w:t>’</w:t>
      </w:r>
      <w:r w:rsidRPr="00FC4232">
        <w:rPr>
          <w:b/>
          <w:bCs/>
          <w:lang w:val="fr-FR"/>
        </w:rPr>
        <w:t xml:space="preserve">État partie tienne dûment compte de sa </w:t>
      </w:r>
      <w:r w:rsidR="00472138" w:rsidRPr="00FC4232">
        <w:rPr>
          <w:b/>
          <w:bCs/>
          <w:lang w:val="fr-FR"/>
        </w:rPr>
        <w:t xml:space="preserve">recommandation </w:t>
      </w:r>
      <w:r w:rsidRPr="00FC4232">
        <w:rPr>
          <w:b/>
          <w:bCs/>
          <w:lang w:val="fr-FR"/>
        </w:rPr>
        <w:t>générale n</w:t>
      </w:r>
      <w:r w:rsidR="006417CE" w:rsidRPr="00FC4232">
        <w:rPr>
          <w:b/>
          <w:bCs/>
          <w:vertAlign w:val="superscript"/>
          <w:lang w:val="fr-FR"/>
        </w:rPr>
        <w:t>o</w:t>
      </w:r>
      <w:r w:rsidR="006417CE" w:rsidRPr="00FC4232">
        <w:rPr>
          <w:b/>
          <w:bCs/>
          <w:lang w:val="fr-FR"/>
        </w:rPr>
        <w:t> </w:t>
      </w:r>
      <w:r w:rsidRPr="00FC4232">
        <w:rPr>
          <w:b/>
          <w:bCs/>
          <w:lang w:val="fr-FR"/>
        </w:rPr>
        <w:t>30 (2013) sur les femmes dans la prévention des conflits, les conflits et les situations d</w:t>
      </w:r>
      <w:r w:rsidR="0047269F" w:rsidRPr="00FC4232">
        <w:rPr>
          <w:b/>
          <w:bCs/>
          <w:lang w:val="fr-FR"/>
        </w:rPr>
        <w:t>’</w:t>
      </w:r>
      <w:r w:rsidRPr="00FC4232">
        <w:rPr>
          <w:b/>
          <w:bCs/>
          <w:lang w:val="fr-FR"/>
        </w:rPr>
        <w:t>après conflit et veille à ce que le plan d</w:t>
      </w:r>
      <w:r w:rsidR="0047269F" w:rsidRPr="00FC4232">
        <w:rPr>
          <w:b/>
          <w:bCs/>
          <w:lang w:val="fr-FR"/>
        </w:rPr>
        <w:t>’</w:t>
      </w:r>
      <w:r w:rsidRPr="00FC4232">
        <w:rPr>
          <w:b/>
          <w:bCs/>
          <w:lang w:val="fr-FR"/>
        </w:rPr>
        <w:t xml:space="preserve">action pour la mise en œuvre de la résolution </w:t>
      </w:r>
      <w:hyperlink r:id="rId25" w:history="1">
        <w:r w:rsidRPr="00FC4232">
          <w:rPr>
            <w:rStyle w:val="Hyperlink"/>
            <w:b/>
            <w:bCs/>
            <w:color w:val="0000FF"/>
            <w:lang w:val="fr-FR"/>
          </w:rPr>
          <w:t>1325 (2000)</w:t>
        </w:r>
      </w:hyperlink>
      <w:r w:rsidRPr="00FC4232">
        <w:rPr>
          <w:b/>
          <w:bCs/>
          <w:lang w:val="fr-FR"/>
        </w:rPr>
        <w:t xml:space="preserve"> du Conseil de sécurité soit pleinement exécuté, notamment grâce à la mobilisation de ressources humaines, techniques et financières suffisantes et au renforcement de la coopération avec les représentantes des organisations de la société civile de tous bords. Il recomma</w:t>
      </w:r>
      <w:r w:rsidR="005B65D1" w:rsidRPr="00FC4232">
        <w:rPr>
          <w:b/>
          <w:bCs/>
          <w:lang w:val="fr-FR"/>
        </w:rPr>
        <w:t>nde également</w:t>
      </w:r>
      <w:r w:rsidR="00E820F4">
        <w:rPr>
          <w:b/>
          <w:bCs/>
          <w:lang w:val="fr-FR"/>
        </w:rPr>
        <w:t xml:space="preserve"> </w:t>
      </w:r>
      <w:r w:rsidR="005B65D1" w:rsidRPr="00FC4232">
        <w:rPr>
          <w:b/>
          <w:bCs/>
          <w:lang w:val="fr-FR"/>
        </w:rPr>
        <w:t>que l</w:t>
      </w:r>
      <w:r w:rsidR="0047269F" w:rsidRPr="00FC4232">
        <w:rPr>
          <w:b/>
          <w:bCs/>
          <w:lang w:val="fr-FR"/>
        </w:rPr>
        <w:t>’</w:t>
      </w:r>
      <w:r w:rsidR="005B65D1" w:rsidRPr="00FC4232">
        <w:rPr>
          <w:b/>
          <w:bCs/>
          <w:lang w:val="fr-FR"/>
        </w:rPr>
        <w:t>État partie</w:t>
      </w:r>
      <w:r w:rsidR="0047269F" w:rsidRPr="00FC4232">
        <w:rPr>
          <w:b/>
          <w:bCs/>
          <w:lang w:val="fr-FR"/>
        </w:rPr>
        <w:t xml:space="preserve"> : </w:t>
      </w:r>
    </w:p>
    <w:p w14:paraId="4B56DFAB" w14:textId="45217F2A" w:rsidR="001C481F" w:rsidRPr="001C481F" w:rsidRDefault="001C481F" w:rsidP="001C481F">
      <w:pPr>
        <w:pStyle w:val="SingleTxt"/>
        <w:rPr>
          <w:b/>
          <w:lang w:val="fr-FR"/>
        </w:rPr>
      </w:pPr>
      <w:r w:rsidRPr="001C481F">
        <w:rPr>
          <w:lang w:val="fr-FR"/>
        </w:rPr>
        <w:tab/>
      </w:r>
      <w:r w:rsidRPr="001C481F">
        <w:rPr>
          <w:b/>
          <w:bCs/>
          <w:lang w:val="fr-FR"/>
        </w:rPr>
        <w:t>a)</w:t>
      </w:r>
      <w:r w:rsidRPr="001C481F">
        <w:rPr>
          <w:lang w:val="fr-FR"/>
        </w:rPr>
        <w:tab/>
      </w:r>
      <w:r w:rsidRPr="001C481F">
        <w:rPr>
          <w:b/>
          <w:bCs/>
          <w:lang w:val="fr-FR"/>
        </w:rPr>
        <w:t>Veille à l</w:t>
      </w:r>
      <w:r w:rsidR="0047269F">
        <w:rPr>
          <w:b/>
          <w:bCs/>
          <w:lang w:val="fr-FR"/>
        </w:rPr>
        <w:t>’</w:t>
      </w:r>
      <w:r w:rsidRPr="001C481F">
        <w:rPr>
          <w:b/>
          <w:bCs/>
          <w:lang w:val="fr-FR"/>
        </w:rPr>
        <w:t>exécution du plan d</w:t>
      </w:r>
      <w:r w:rsidR="0047269F">
        <w:rPr>
          <w:b/>
          <w:bCs/>
          <w:lang w:val="fr-FR"/>
        </w:rPr>
        <w:t>’</w:t>
      </w:r>
      <w:r w:rsidRPr="001C481F">
        <w:rPr>
          <w:b/>
          <w:bCs/>
          <w:lang w:val="fr-FR"/>
        </w:rPr>
        <w:t>action dans les</w:t>
      </w:r>
      <w:r w:rsidR="00472138">
        <w:rPr>
          <w:b/>
          <w:bCs/>
          <w:lang w:val="fr-FR"/>
        </w:rPr>
        <w:t xml:space="preserve"> secteurs du</w:t>
      </w:r>
      <w:r w:rsidRPr="001C481F">
        <w:rPr>
          <w:b/>
          <w:bCs/>
          <w:lang w:val="fr-FR"/>
        </w:rPr>
        <w:t xml:space="preserve"> Territoire palestinien occupé qui se trouvent sous sa juridiction ou son contrôle effectif</w:t>
      </w:r>
      <w:r w:rsidR="0047269F">
        <w:rPr>
          <w:b/>
          <w:bCs/>
          <w:lang w:val="fr-FR"/>
        </w:rPr>
        <w:t> ;</w:t>
      </w:r>
    </w:p>
    <w:p w14:paraId="5ECF7278" w14:textId="4327DC05" w:rsidR="001C481F" w:rsidRPr="001C481F" w:rsidRDefault="001C481F" w:rsidP="001C481F">
      <w:pPr>
        <w:pStyle w:val="SingleTxt"/>
        <w:rPr>
          <w:b/>
          <w:lang w:val="fr-FR"/>
        </w:rPr>
      </w:pPr>
      <w:r w:rsidRPr="001C481F">
        <w:rPr>
          <w:lang w:val="fr-FR"/>
        </w:rPr>
        <w:tab/>
      </w:r>
      <w:r w:rsidRPr="005B65D1">
        <w:rPr>
          <w:b/>
          <w:bCs/>
          <w:lang w:val="fr-FR"/>
        </w:rPr>
        <w:t>b)</w:t>
      </w:r>
      <w:r w:rsidRPr="005B65D1">
        <w:rPr>
          <w:b/>
          <w:bCs/>
          <w:lang w:val="fr-FR"/>
        </w:rPr>
        <w:tab/>
      </w:r>
      <w:r w:rsidRPr="001C481F">
        <w:rPr>
          <w:b/>
          <w:bCs/>
          <w:lang w:val="fr-FR"/>
        </w:rPr>
        <w:t>Établisse un mécanisme assorti d</w:t>
      </w:r>
      <w:r w:rsidR="0047269F">
        <w:rPr>
          <w:b/>
          <w:bCs/>
          <w:lang w:val="fr-FR"/>
        </w:rPr>
        <w:t>’</w:t>
      </w:r>
      <w:r w:rsidRPr="001C481F">
        <w:rPr>
          <w:b/>
          <w:bCs/>
          <w:lang w:val="fr-FR"/>
        </w:rPr>
        <w:t xml:space="preserve">objectifs précis pour consacrer et </w:t>
      </w:r>
      <w:r w:rsidR="00152A4B">
        <w:rPr>
          <w:b/>
          <w:bCs/>
          <w:lang w:val="fr-FR"/>
        </w:rPr>
        <w:t>mettre à profit</w:t>
      </w:r>
      <w:r w:rsidRPr="001C481F">
        <w:rPr>
          <w:b/>
          <w:bCs/>
          <w:lang w:val="fr-FR"/>
        </w:rPr>
        <w:t xml:space="preserve"> le rôle stratégique des femmes </w:t>
      </w:r>
      <w:r w:rsidR="005B7C43">
        <w:rPr>
          <w:b/>
          <w:bCs/>
          <w:lang w:val="fr-FR"/>
        </w:rPr>
        <w:t>dans</w:t>
      </w:r>
      <w:r w:rsidR="005B7C43" w:rsidRPr="001C481F">
        <w:rPr>
          <w:b/>
          <w:bCs/>
          <w:lang w:val="fr-FR"/>
        </w:rPr>
        <w:t xml:space="preserve"> </w:t>
      </w:r>
      <w:r w:rsidRPr="001C481F">
        <w:rPr>
          <w:b/>
          <w:bCs/>
          <w:lang w:val="fr-FR"/>
        </w:rPr>
        <w:t>la recherche d</w:t>
      </w:r>
      <w:r w:rsidR="0047269F">
        <w:rPr>
          <w:b/>
          <w:bCs/>
          <w:lang w:val="fr-FR"/>
        </w:rPr>
        <w:t>’</w:t>
      </w:r>
      <w:r w:rsidRPr="001C481F">
        <w:rPr>
          <w:b/>
          <w:bCs/>
          <w:lang w:val="fr-FR"/>
        </w:rPr>
        <w:t xml:space="preserve">une solution pour une paix durable et pour favoriser la prévention des conflits et les efforts de reconstruction après les conflits, notamment en permettant aux femmes de participer directement à la prise de décisions, conformément à la résolution </w:t>
      </w:r>
      <w:hyperlink r:id="rId26" w:history="1">
        <w:r w:rsidRPr="00483725">
          <w:rPr>
            <w:rStyle w:val="Hyperlink"/>
            <w:color w:val="0000FF"/>
            <w:lang w:val="fr-FR"/>
          </w:rPr>
          <w:t>1325</w:t>
        </w:r>
        <w:r w:rsidR="00BE2D93">
          <w:rPr>
            <w:rStyle w:val="Hyperlink"/>
            <w:color w:val="0000FF"/>
            <w:lang w:val="fr-FR"/>
          </w:rPr>
          <w:t> </w:t>
        </w:r>
        <w:r w:rsidRPr="00483725">
          <w:rPr>
            <w:rStyle w:val="Hyperlink"/>
            <w:color w:val="0000FF"/>
            <w:lang w:val="fr-FR"/>
          </w:rPr>
          <w:t>(2000)</w:t>
        </w:r>
      </w:hyperlink>
      <w:r w:rsidRPr="006417CE">
        <w:rPr>
          <w:b/>
          <w:bCs/>
          <w:lang w:val="fr-FR"/>
        </w:rPr>
        <w:t xml:space="preserve"> du Conseil de sécurité, et prenne en considération l</w:t>
      </w:r>
      <w:r w:rsidR="0047269F" w:rsidRPr="006417CE">
        <w:rPr>
          <w:b/>
          <w:bCs/>
          <w:lang w:val="fr-FR"/>
        </w:rPr>
        <w:t>’</w:t>
      </w:r>
      <w:r w:rsidRPr="006417CE">
        <w:rPr>
          <w:b/>
          <w:bCs/>
          <w:lang w:val="fr-FR"/>
        </w:rPr>
        <w:t>ensemble du</w:t>
      </w:r>
      <w:r w:rsidRPr="001C481F">
        <w:rPr>
          <w:b/>
          <w:bCs/>
          <w:lang w:val="fr-FR"/>
        </w:rPr>
        <w:t xml:space="preserve"> programme défini par le Conseil en ce qui concerne les femmes</w:t>
      </w:r>
      <w:r w:rsidR="00572A84">
        <w:rPr>
          <w:b/>
          <w:bCs/>
          <w:lang w:val="fr-FR"/>
        </w:rPr>
        <w:t xml:space="preserve"> et</w:t>
      </w:r>
      <w:r w:rsidR="00572A84" w:rsidRPr="001C481F">
        <w:rPr>
          <w:b/>
          <w:bCs/>
          <w:lang w:val="fr-FR"/>
        </w:rPr>
        <w:t xml:space="preserve"> </w:t>
      </w:r>
      <w:r w:rsidRPr="001C481F">
        <w:rPr>
          <w:b/>
          <w:bCs/>
          <w:lang w:val="fr-FR"/>
        </w:rPr>
        <w:t>la paix, et la sécurité, tel qu</w:t>
      </w:r>
      <w:r w:rsidR="0047269F">
        <w:rPr>
          <w:b/>
          <w:bCs/>
          <w:lang w:val="fr-FR"/>
        </w:rPr>
        <w:t>’</w:t>
      </w:r>
      <w:r w:rsidRPr="001C481F">
        <w:rPr>
          <w:b/>
          <w:bCs/>
          <w:lang w:val="fr-FR"/>
        </w:rPr>
        <w:t xml:space="preserve">il est énoncé dans ses résolutions </w:t>
      </w:r>
      <w:hyperlink r:id="rId27" w:history="1">
        <w:r w:rsidRPr="00483725">
          <w:rPr>
            <w:rStyle w:val="Hyperlink"/>
            <w:color w:val="0000FF"/>
            <w:lang w:val="fr-FR"/>
          </w:rPr>
          <w:t>1820 (2008)</w:t>
        </w:r>
      </w:hyperlink>
      <w:r w:rsidRPr="00483725">
        <w:rPr>
          <w:b/>
          <w:bCs/>
          <w:color w:val="000000" w:themeColor="text1"/>
          <w:lang w:val="fr-FR"/>
        </w:rPr>
        <w:t>,</w:t>
      </w:r>
      <w:r w:rsidRPr="00483725">
        <w:rPr>
          <w:b/>
          <w:bCs/>
          <w:color w:val="0000FF"/>
          <w:lang w:val="fr-FR"/>
        </w:rPr>
        <w:t xml:space="preserve"> </w:t>
      </w:r>
      <w:hyperlink r:id="rId28" w:history="1">
        <w:r w:rsidRPr="00483725">
          <w:rPr>
            <w:rStyle w:val="Hyperlink"/>
            <w:color w:val="0000FF"/>
            <w:lang w:val="fr-FR"/>
          </w:rPr>
          <w:t>1888 (2009)</w:t>
        </w:r>
      </w:hyperlink>
      <w:r w:rsidR="00483725" w:rsidRPr="00483725">
        <w:rPr>
          <w:b/>
          <w:bCs/>
          <w:color w:val="000000" w:themeColor="text1"/>
          <w:lang w:val="fr-FR"/>
        </w:rPr>
        <w:t xml:space="preserve"> ,</w:t>
      </w:r>
      <w:r w:rsidR="00483725">
        <w:rPr>
          <w:b/>
          <w:bCs/>
          <w:color w:val="000000" w:themeColor="text1"/>
          <w:lang w:val="fr-FR"/>
        </w:rPr>
        <w:t xml:space="preserve"> </w:t>
      </w:r>
      <w:hyperlink r:id="rId29" w:history="1">
        <w:r w:rsidRPr="00483725">
          <w:rPr>
            <w:rStyle w:val="Hyperlink"/>
            <w:color w:val="0000FF"/>
            <w:lang w:val="fr-FR"/>
          </w:rPr>
          <w:t>1889</w:t>
        </w:r>
        <w:r w:rsidR="00483725">
          <w:rPr>
            <w:rStyle w:val="Hyperlink"/>
            <w:color w:val="0000FF"/>
            <w:lang w:val="fr-FR"/>
          </w:rPr>
          <w:t> </w:t>
        </w:r>
        <w:r w:rsidRPr="00483725">
          <w:rPr>
            <w:rStyle w:val="Hyperlink"/>
            <w:color w:val="0000FF"/>
            <w:lang w:val="fr-FR"/>
          </w:rPr>
          <w:t>(2009)</w:t>
        </w:r>
      </w:hyperlink>
      <w:r w:rsidR="00483725" w:rsidRPr="00483725">
        <w:rPr>
          <w:b/>
          <w:bCs/>
          <w:color w:val="000000" w:themeColor="text1"/>
          <w:lang w:val="fr-FR"/>
        </w:rPr>
        <w:t>,</w:t>
      </w:r>
      <w:r w:rsidRPr="00483725">
        <w:rPr>
          <w:b/>
          <w:bCs/>
          <w:color w:val="0000FF"/>
          <w:lang w:val="fr-FR"/>
        </w:rPr>
        <w:t xml:space="preserve"> </w:t>
      </w:r>
      <w:hyperlink r:id="rId30" w:history="1">
        <w:r w:rsidRPr="00483725">
          <w:rPr>
            <w:rStyle w:val="Hyperlink"/>
            <w:color w:val="0000FF"/>
            <w:lang w:val="fr-FR"/>
          </w:rPr>
          <w:t>1960 (2010)</w:t>
        </w:r>
      </w:hyperlink>
      <w:r w:rsidR="00483725" w:rsidRPr="00483725">
        <w:rPr>
          <w:b/>
          <w:bCs/>
          <w:color w:val="000000" w:themeColor="text1"/>
          <w:lang w:val="fr-FR"/>
        </w:rPr>
        <w:t>,</w:t>
      </w:r>
      <w:r w:rsidRPr="00483725">
        <w:rPr>
          <w:b/>
          <w:bCs/>
          <w:color w:val="0000FF"/>
          <w:lang w:val="fr-FR"/>
        </w:rPr>
        <w:t xml:space="preserve"> </w:t>
      </w:r>
      <w:hyperlink r:id="rId31" w:history="1">
        <w:r w:rsidRPr="00483725">
          <w:rPr>
            <w:rStyle w:val="Hyperlink"/>
            <w:color w:val="0000FF"/>
            <w:lang w:val="fr-FR"/>
          </w:rPr>
          <w:t>2106 (2013)</w:t>
        </w:r>
      </w:hyperlink>
      <w:r w:rsidR="00483725" w:rsidRPr="00483725">
        <w:rPr>
          <w:b/>
          <w:bCs/>
          <w:color w:val="000000" w:themeColor="text1"/>
          <w:lang w:val="fr-FR"/>
        </w:rPr>
        <w:t>,</w:t>
      </w:r>
      <w:r w:rsidRPr="00483725">
        <w:rPr>
          <w:b/>
          <w:bCs/>
          <w:color w:val="0000FF"/>
          <w:lang w:val="fr-FR"/>
        </w:rPr>
        <w:t xml:space="preserve"> </w:t>
      </w:r>
      <w:hyperlink r:id="rId32" w:history="1">
        <w:r w:rsidRPr="00483725">
          <w:rPr>
            <w:rStyle w:val="Hyperlink"/>
            <w:color w:val="0000FF"/>
            <w:lang w:val="fr-FR"/>
          </w:rPr>
          <w:t>2122 (2013)</w:t>
        </w:r>
      </w:hyperlink>
      <w:r w:rsidRPr="00483725">
        <w:rPr>
          <w:b/>
          <w:bCs/>
          <w:color w:val="0000FF"/>
          <w:lang w:val="fr-FR"/>
        </w:rPr>
        <w:t xml:space="preserve"> </w:t>
      </w:r>
      <w:r w:rsidRPr="00483725">
        <w:rPr>
          <w:b/>
          <w:bCs/>
          <w:color w:val="000000" w:themeColor="text1"/>
          <w:lang w:val="fr-FR"/>
        </w:rPr>
        <w:t xml:space="preserve">et </w:t>
      </w:r>
      <w:hyperlink r:id="rId33" w:history="1">
        <w:r w:rsidRPr="00483725">
          <w:rPr>
            <w:rStyle w:val="Hyperlink"/>
            <w:color w:val="0000FF"/>
            <w:lang w:val="fr-FR"/>
          </w:rPr>
          <w:t>2242 (2015)</w:t>
        </w:r>
      </w:hyperlink>
      <w:r w:rsidR="0047269F" w:rsidRPr="00483725">
        <w:rPr>
          <w:b/>
          <w:bCs/>
          <w:color w:val="0000FF"/>
          <w:lang w:val="fr-FR"/>
        </w:rPr>
        <w:t> </w:t>
      </w:r>
      <w:r w:rsidR="0047269F" w:rsidRPr="006417CE">
        <w:rPr>
          <w:b/>
          <w:bCs/>
          <w:lang w:val="fr-FR"/>
        </w:rPr>
        <w:t>;</w:t>
      </w:r>
    </w:p>
    <w:p w14:paraId="57674D25" w14:textId="4DA01439" w:rsidR="001C481F" w:rsidRPr="001C481F" w:rsidRDefault="001C481F" w:rsidP="001C481F">
      <w:pPr>
        <w:pStyle w:val="SingleTxt"/>
        <w:rPr>
          <w:b/>
          <w:lang w:val="fr-FR"/>
        </w:rPr>
      </w:pPr>
      <w:r w:rsidRPr="001C481F">
        <w:rPr>
          <w:lang w:val="fr-FR"/>
        </w:rPr>
        <w:tab/>
      </w:r>
      <w:r w:rsidRPr="001C481F">
        <w:rPr>
          <w:b/>
          <w:bCs/>
          <w:lang w:val="fr-FR"/>
        </w:rPr>
        <w:t>c)</w:t>
      </w:r>
      <w:r w:rsidRPr="001C481F">
        <w:rPr>
          <w:lang w:val="fr-FR"/>
        </w:rPr>
        <w:tab/>
      </w:r>
      <w:r w:rsidRPr="001C481F">
        <w:rPr>
          <w:b/>
          <w:bCs/>
          <w:lang w:val="fr-FR"/>
        </w:rPr>
        <w:t>Continue d</w:t>
      </w:r>
      <w:r w:rsidR="0047269F">
        <w:rPr>
          <w:b/>
          <w:bCs/>
          <w:lang w:val="fr-FR"/>
        </w:rPr>
        <w:t>’</w:t>
      </w:r>
      <w:r w:rsidRPr="001C481F">
        <w:rPr>
          <w:b/>
          <w:bCs/>
          <w:lang w:val="fr-FR"/>
        </w:rPr>
        <w:t>enquêter sur les actes de violence sexuelle commis au sein des Forces de défense israéliennes, poursuive et punisse les auteurs de tels actes, et applique strictement une politique de tolérance zéro à l</w:t>
      </w:r>
      <w:r w:rsidR="0047269F">
        <w:rPr>
          <w:b/>
          <w:bCs/>
          <w:lang w:val="fr-FR"/>
        </w:rPr>
        <w:t>’</w:t>
      </w:r>
      <w:r w:rsidRPr="001C481F">
        <w:rPr>
          <w:b/>
          <w:bCs/>
          <w:lang w:val="fr-FR"/>
        </w:rPr>
        <w:t>égard de l</w:t>
      </w:r>
      <w:r w:rsidR="0047269F">
        <w:rPr>
          <w:b/>
          <w:bCs/>
          <w:lang w:val="fr-FR"/>
        </w:rPr>
        <w:t>’</w:t>
      </w:r>
      <w:r w:rsidRPr="001C481F">
        <w:rPr>
          <w:b/>
          <w:bCs/>
          <w:lang w:val="fr-FR"/>
        </w:rPr>
        <w:t>exploitation et des atteintes sexuelles commises par des agents des services de sécurité</w:t>
      </w:r>
      <w:r w:rsidR="0047269F">
        <w:rPr>
          <w:b/>
          <w:bCs/>
          <w:lang w:val="fr-FR"/>
        </w:rPr>
        <w:t> ;</w:t>
      </w:r>
    </w:p>
    <w:p w14:paraId="31075F55" w14:textId="435B89DE" w:rsidR="001C481F" w:rsidRDefault="001C481F" w:rsidP="001C481F">
      <w:pPr>
        <w:pStyle w:val="SingleTxt"/>
        <w:rPr>
          <w:b/>
          <w:bCs/>
          <w:lang w:val="fr-FR"/>
        </w:rPr>
      </w:pPr>
      <w:r w:rsidRPr="001C481F">
        <w:rPr>
          <w:lang w:val="fr-FR"/>
        </w:rPr>
        <w:tab/>
      </w:r>
      <w:r w:rsidRPr="001C481F">
        <w:rPr>
          <w:b/>
          <w:bCs/>
          <w:lang w:val="fr-FR"/>
        </w:rPr>
        <w:t>d)</w:t>
      </w:r>
      <w:r w:rsidRPr="001C481F">
        <w:rPr>
          <w:lang w:val="fr-FR"/>
        </w:rPr>
        <w:tab/>
      </w:r>
      <w:r w:rsidRPr="001C481F">
        <w:rPr>
          <w:b/>
          <w:bCs/>
          <w:lang w:val="fr-FR"/>
        </w:rPr>
        <w:t>Veille à ce que l</w:t>
      </w:r>
      <w:r w:rsidR="0047269F">
        <w:rPr>
          <w:b/>
          <w:bCs/>
          <w:lang w:val="fr-FR"/>
        </w:rPr>
        <w:t>’</w:t>
      </w:r>
      <w:r w:rsidRPr="001C481F">
        <w:rPr>
          <w:b/>
          <w:bCs/>
          <w:lang w:val="fr-FR"/>
        </w:rPr>
        <w:t>emploi de la force contre des femmes et des filles en réponse à des actes de violence, à des manifestations de protestation et dans le cadre des opérations de police menées en application des mesures antiterroristes soit proportionné et conforme aux Principes de base sur le recours à la force et l</w:t>
      </w:r>
      <w:r w:rsidR="0047269F">
        <w:rPr>
          <w:b/>
          <w:bCs/>
          <w:lang w:val="fr-FR"/>
        </w:rPr>
        <w:t>’</w:t>
      </w:r>
      <w:r w:rsidRPr="001C481F">
        <w:rPr>
          <w:b/>
          <w:bCs/>
          <w:lang w:val="fr-FR"/>
        </w:rPr>
        <w:t>utilisation des armes à feu par les responsables de l</w:t>
      </w:r>
      <w:r w:rsidR="0047269F">
        <w:rPr>
          <w:b/>
          <w:bCs/>
          <w:lang w:val="fr-FR"/>
        </w:rPr>
        <w:t>’</w:t>
      </w:r>
      <w:r w:rsidRPr="001C481F">
        <w:rPr>
          <w:b/>
          <w:bCs/>
          <w:lang w:val="fr-FR"/>
        </w:rPr>
        <w:t>application des lois.</w:t>
      </w:r>
    </w:p>
    <w:p w14:paraId="67AAE845" w14:textId="108D5A34" w:rsidR="005B65D1" w:rsidRPr="005B65D1" w:rsidRDefault="005B65D1" w:rsidP="005B65D1">
      <w:pPr>
        <w:pStyle w:val="SingleTxt"/>
        <w:spacing w:after="0" w:line="120" w:lineRule="exact"/>
        <w:rPr>
          <w:b/>
          <w:bCs/>
          <w:sz w:val="10"/>
          <w:lang w:val="fr-FR"/>
        </w:rPr>
      </w:pPr>
    </w:p>
    <w:p w14:paraId="1C907534" w14:textId="02E7921C" w:rsidR="00B5563F" w:rsidRPr="00B5563F" w:rsidRDefault="001C481F" w:rsidP="00B556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481F">
        <w:rPr>
          <w:lang w:val="fr-FR"/>
        </w:rPr>
        <w:tab/>
      </w:r>
      <w:r w:rsidRPr="001C481F">
        <w:rPr>
          <w:lang w:val="fr-FR"/>
        </w:rPr>
        <w:tab/>
        <w:t>Institution nationale de défense des droits de l</w:t>
      </w:r>
      <w:r w:rsidR="0047269F">
        <w:rPr>
          <w:lang w:val="fr-FR"/>
        </w:rPr>
        <w:t>’</w:t>
      </w:r>
      <w:r w:rsidRPr="001C481F">
        <w:rPr>
          <w:lang w:val="fr-FR"/>
        </w:rPr>
        <w:t>homme</w:t>
      </w:r>
    </w:p>
    <w:p w14:paraId="5A6932CD" w14:textId="3BE6BA78" w:rsidR="005B65D1" w:rsidRPr="005B65D1" w:rsidRDefault="005B65D1" w:rsidP="005B65D1">
      <w:pPr>
        <w:pStyle w:val="SingleTxt"/>
        <w:spacing w:after="0" w:line="120" w:lineRule="exact"/>
        <w:rPr>
          <w:sz w:val="10"/>
          <w:lang w:val="fr-FR"/>
        </w:rPr>
      </w:pPr>
    </w:p>
    <w:p w14:paraId="0CCA85E1" w14:textId="626F5AA5" w:rsidR="001C481F" w:rsidRDefault="00485767" w:rsidP="00485767">
      <w:pPr>
        <w:pStyle w:val="SingleTxt"/>
        <w:numPr>
          <w:ilvl w:val="0"/>
          <w:numId w:val="6"/>
        </w:numPr>
        <w:spacing w:line="240" w:lineRule="exact"/>
        <w:rPr>
          <w:lang w:val="fr-FR"/>
        </w:rPr>
      </w:pPr>
      <w:r>
        <w:rPr>
          <w:lang w:val="fr-FR"/>
        </w:rPr>
        <w:t>Bien que l</w:t>
      </w:r>
      <w:r w:rsidR="001C481F" w:rsidRPr="001C481F">
        <w:rPr>
          <w:lang w:val="fr-FR"/>
        </w:rPr>
        <w:t>e Comité se félicite que l</w:t>
      </w:r>
      <w:r w:rsidR="0047269F">
        <w:rPr>
          <w:lang w:val="fr-FR"/>
        </w:rPr>
        <w:t>’</w:t>
      </w:r>
      <w:r w:rsidR="001C481F" w:rsidRPr="001C481F">
        <w:rPr>
          <w:lang w:val="fr-FR"/>
        </w:rPr>
        <w:t>État partie ait accepté la recommandation qui lui a été faite, à l</w:t>
      </w:r>
      <w:r w:rsidR="0047269F">
        <w:rPr>
          <w:lang w:val="fr-FR"/>
        </w:rPr>
        <w:t>’</w:t>
      </w:r>
      <w:r w:rsidR="001C481F" w:rsidRPr="001C481F">
        <w:rPr>
          <w:lang w:val="fr-FR"/>
        </w:rPr>
        <w:t>issue de l</w:t>
      </w:r>
      <w:r w:rsidR="0047269F">
        <w:rPr>
          <w:lang w:val="fr-FR"/>
        </w:rPr>
        <w:t>’</w:t>
      </w:r>
      <w:r w:rsidR="001C481F" w:rsidRPr="001C481F">
        <w:rPr>
          <w:lang w:val="fr-FR"/>
        </w:rPr>
        <w:t>examen périodique universel , de créer une institution nationale de défense des droits de l</w:t>
      </w:r>
      <w:r w:rsidR="0047269F">
        <w:rPr>
          <w:lang w:val="fr-FR"/>
        </w:rPr>
        <w:t>’</w:t>
      </w:r>
      <w:r w:rsidR="001C481F" w:rsidRPr="001C481F">
        <w:rPr>
          <w:lang w:val="fr-FR"/>
        </w:rPr>
        <w:t>homme qui soit conforme aux Principes concernant le statut et le fonctionnement des institutions nationales pour la protection et la promotion des droits de l</w:t>
      </w:r>
      <w:r w:rsidR="0047269F">
        <w:rPr>
          <w:lang w:val="fr-FR"/>
        </w:rPr>
        <w:t>’</w:t>
      </w:r>
      <w:r w:rsidR="001C481F" w:rsidRPr="001C481F">
        <w:rPr>
          <w:lang w:val="fr-FR"/>
        </w:rPr>
        <w:t>homme (Principes de Paris)</w:t>
      </w:r>
      <w:r>
        <w:rPr>
          <w:lang w:val="fr-FR"/>
        </w:rPr>
        <w:t xml:space="preserve"> </w:t>
      </w:r>
      <w:r w:rsidRPr="00485767">
        <w:rPr>
          <w:lang w:val="fr-FR"/>
        </w:rPr>
        <w:t>(</w:t>
      </w:r>
      <w:hyperlink r:id="rId34" w:history="1">
        <w:r w:rsidRPr="00FC4232">
          <w:rPr>
            <w:rStyle w:val="Hyperlink"/>
            <w:color w:val="0000FF"/>
            <w:lang w:val="fr-FR"/>
          </w:rPr>
          <w:t>A/HRC/25/15</w:t>
        </w:r>
      </w:hyperlink>
      <w:r w:rsidRPr="00485767">
        <w:rPr>
          <w:lang w:val="fr-FR"/>
        </w:rPr>
        <w:t xml:space="preserve">, par. 136.25 et </w:t>
      </w:r>
      <w:hyperlink r:id="rId35" w:history="1">
        <w:r w:rsidRPr="00FC4232">
          <w:rPr>
            <w:rStyle w:val="Hyperlink"/>
            <w:color w:val="0000FF"/>
            <w:lang w:val="fr-FR"/>
          </w:rPr>
          <w:t>A/HRC/25/15/Add.1</w:t>
        </w:r>
      </w:hyperlink>
      <w:r w:rsidRPr="00485767">
        <w:rPr>
          <w:lang w:val="fr-FR"/>
        </w:rPr>
        <w:t>, par. 9)</w:t>
      </w:r>
      <w:r w:rsidR="001C481F" w:rsidRPr="001C481F">
        <w:rPr>
          <w:lang w:val="fr-FR"/>
        </w:rPr>
        <w:t>, il note avec préoccupation qu</w:t>
      </w:r>
      <w:r w:rsidR="0047269F">
        <w:rPr>
          <w:lang w:val="fr-FR"/>
        </w:rPr>
        <w:t>’</w:t>
      </w:r>
      <w:r w:rsidR="001C481F" w:rsidRPr="001C481F">
        <w:rPr>
          <w:lang w:val="fr-FR"/>
        </w:rPr>
        <w:t>une telle institution n</w:t>
      </w:r>
      <w:r w:rsidR="0047269F">
        <w:rPr>
          <w:lang w:val="fr-FR"/>
        </w:rPr>
        <w:t>’</w:t>
      </w:r>
      <w:r w:rsidR="001C481F" w:rsidRPr="001C481F">
        <w:rPr>
          <w:lang w:val="fr-FR"/>
        </w:rPr>
        <w:t xml:space="preserve">a pas encore vu le jour. </w:t>
      </w:r>
    </w:p>
    <w:p w14:paraId="507EB5D9" w14:textId="755E4876" w:rsidR="001C481F" w:rsidRDefault="001C481F" w:rsidP="00B5563F">
      <w:pPr>
        <w:pStyle w:val="SingleTxt"/>
        <w:numPr>
          <w:ilvl w:val="0"/>
          <w:numId w:val="6"/>
        </w:numPr>
        <w:spacing w:line="240" w:lineRule="exact"/>
        <w:rPr>
          <w:lang w:val="fr-FR"/>
        </w:rPr>
      </w:pPr>
      <w:r w:rsidRPr="00B5563F">
        <w:rPr>
          <w:b/>
          <w:bCs/>
          <w:lang w:val="fr-FR"/>
        </w:rPr>
        <w:t>Le Comité recommande que l</w:t>
      </w:r>
      <w:r w:rsidR="0047269F">
        <w:rPr>
          <w:b/>
          <w:bCs/>
          <w:lang w:val="fr-FR"/>
        </w:rPr>
        <w:t>’</w:t>
      </w:r>
      <w:r w:rsidRPr="00B5563F">
        <w:rPr>
          <w:b/>
          <w:bCs/>
          <w:lang w:val="fr-FR"/>
        </w:rPr>
        <w:t>État partie</w:t>
      </w:r>
      <w:r w:rsidR="00D55120">
        <w:rPr>
          <w:b/>
          <w:bCs/>
          <w:lang w:val="fr-FR"/>
        </w:rPr>
        <w:t xml:space="preserve"> </w:t>
      </w:r>
      <w:r w:rsidRPr="00B5563F">
        <w:rPr>
          <w:b/>
          <w:bCs/>
          <w:lang w:val="fr-FR"/>
        </w:rPr>
        <w:t>mette en place une institution nationale indépendante de promotion et de protection des droits de la personne, qui ait pour mandat de protéger et de promouvoir les droits des femmes et qui veille à ce que son personnel soit composé à parts égales d</w:t>
      </w:r>
      <w:r w:rsidR="0047269F">
        <w:rPr>
          <w:b/>
          <w:bCs/>
          <w:lang w:val="fr-FR"/>
        </w:rPr>
        <w:t>’</w:t>
      </w:r>
      <w:r w:rsidRPr="00B5563F">
        <w:rPr>
          <w:b/>
          <w:bCs/>
          <w:lang w:val="fr-FR"/>
        </w:rPr>
        <w:t>hommes et de femmes, y compris aux postes de direction, en conformité totale avec les Principes de Paris.</w:t>
      </w:r>
      <w:r w:rsidRPr="00B5563F">
        <w:rPr>
          <w:lang w:val="fr-FR"/>
        </w:rPr>
        <w:t xml:space="preserve"> </w:t>
      </w:r>
    </w:p>
    <w:p w14:paraId="04101109" w14:textId="35896AA4" w:rsidR="00B5563F" w:rsidRPr="00B5563F" w:rsidRDefault="00B5563F" w:rsidP="00B5563F">
      <w:pPr>
        <w:pStyle w:val="SingleTxt"/>
        <w:spacing w:after="0" w:line="120" w:lineRule="exact"/>
        <w:rPr>
          <w:sz w:val="10"/>
          <w:lang w:val="fr-FR"/>
        </w:rPr>
      </w:pPr>
    </w:p>
    <w:p w14:paraId="28131DA4" w14:textId="11FA1459" w:rsidR="001C481F" w:rsidRDefault="001C481F" w:rsidP="00B556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481F">
        <w:rPr>
          <w:lang w:val="fr-FR"/>
        </w:rPr>
        <w:tab/>
      </w:r>
      <w:r w:rsidRPr="001C481F">
        <w:rPr>
          <w:lang w:val="fr-FR"/>
        </w:rPr>
        <w:tab/>
        <w:t xml:space="preserve">Instances nationales qui œuvrent pour la promotion de la femme et la prise </w:t>
      </w:r>
      <w:r w:rsidR="00B5563F">
        <w:rPr>
          <w:lang w:val="fr-FR"/>
        </w:rPr>
        <w:br/>
      </w:r>
      <w:r w:rsidRPr="001C481F">
        <w:rPr>
          <w:lang w:val="fr-FR"/>
        </w:rPr>
        <w:t>en compte de la problématique hommes-femmes</w:t>
      </w:r>
    </w:p>
    <w:p w14:paraId="41EB4EC8" w14:textId="0A5415CF" w:rsidR="00B5563F" w:rsidRPr="00B5563F" w:rsidRDefault="00B5563F" w:rsidP="00B5563F">
      <w:pPr>
        <w:pStyle w:val="SingleTxt"/>
        <w:spacing w:after="0" w:line="120" w:lineRule="exact"/>
        <w:rPr>
          <w:sz w:val="10"/>
          <w:lang w:val="fr-FR"/>
        </w:rPr>
      </w:pPr>
    </w:p>
    <w:p w14:paraId="0064E2A4" w14:textId="64E5BD1A" w:rsidR="001C481F" w:rsidRPr="001C481F" w:rsidRDefault="001C481F" w:rsidP="00B5563F">
      <w:pPr>
        <w:pStyle w:val="SingleTxt"/>
        <w:numPr>
          <w:ilvl w:val="0"/>
          <w:numId w:val="6"/>
        </w:numPr>
        <w:spacing w:line="240" w:lineRule="exact"/>
        <w:rPr>
          <w:lang w:val="fr-FR"/>
        </w:rPr>
      </w:pPr>
      <w:r w:rsidRPr="001C481F">
        <w:rPr>
          <w:lang w:val="fr-FR"/>
        </w:rPr>
        <w:t>Le Comité sait gré à l</w:t>
      </w:r>
      <w:r w:rsidR="0047269F">
        <w:rPr>
          <w:lang w:val="fr-FR"/>
        </w:rPr>
        <w:t>’</w:t>
      </w:r>
      <w:r w:rsidRPr="001C481F">
        <w:rPr>
          <w:lang w:val="fr-FR"/>
        </w:rPr>
        <w:t>État partie d</w:t>
      </w:r>
      <w:r w:rsidR="0047269F">
        <w:rPr>
          <w:lang w:val="fr-FR"/>
        </w:rPr>
        <w:t>’</w:t>
      </w:r>
      <w:r w:rsidRPr="001C481F">
        <w:rPr>
          <w:lang w:val="fr-FR"/>
        </w:rPr>
        <w:t>avoir substantiellement augmenté les ressources financières de l</w:t>
      </w:r>
      <w:r w:rsidR="0047269F">
        <w:rPr>
          <w:lang w:val="fr-FR"/>
        </w:rPr>
        <w:t>’</w:t>
      </w:r>
      <w:r w:rsidRPr="001C481F">
        <w:rPr>
          <w:lang w:val="fr-FR"/>
        </w:rPr>
        <w:t xml:space="preserve">Office pour la promotion de la condition de la femme, </w:t>
      </w:r>
      <w:r w:rsidRPr="001C481F">
        <w:rPr>
          <w:lang w:val="fr-FR"/>
        </w:rPr>
        <w:lastRenderedPageBreak/>
        <w:t>élaboré une politique globale pour la prise en compte de la problématique hommes-femmes et un plan d</w:t>
      </w:r>
      <w:r w:rsidR="0047269F">
        <w:rPr>
          <w:lang w:val="fr-FR"/>
        </w:rPr>
        <w:t>’</w:t>
      </w:r>
      <w:r w:rsidRPr="001C481F">
        <w:rPr>
          <w:lang w:val="fr-FR"/>
        </w:rPr>
        <w:t xml:space="preserve">action prévoyant des mesures pour atteindre les objectifs de développement durable et associant les autorités nationales </w:t>
      </w:r>
      <w:r w:rsidR="00C2295F">
        <w:rPr>
          <w:lang w:val="fr-FR"/>
        </w:rPr>
        <w:t>et</w:t>
      </w:r>
      <w:r w:rsidR="00C2295F" w:rsidRPr="001C481F">
        <w:rPr>
          <w:lang w:val="fr-FR"/>
        </w:rPr>
        <w:t xml:space="preserve"> </w:t>
      </w:r>
      <w:r w:rsidRPr="001C481F">
        <w:rPr>
          <w:lang w:val="fr-FR"/>
        </w:rPr>
        <w:t>les collectivités locales, et adopté en mai 2015</w:t>
      </w:r>
      <w:r w:rsidR="00B5563F">
        <w:rPr>
          <w:lang w:val="fr-FR"/>
        </w:rPr>
        <w:t xml:space="preserve"> la résolution gouvernementale n</w:t>
      </w:r>
      <w:r w:rsidR="00B5563F" w:rsidRPr="00B5563F">
        <w:rPr>
          <w:vertAlign w:val="superscript"/>
          <w:lang w:val="fr-FR"/>
        </w:rPr>
        <w:t>o</w:t>
      </w:r>
      <w:r w:rsidR="00B5563F">
        <w:rPr>
          <w:lang w:val="fr-FR"/>
        </w:rPr>
        <w:t> </w:t>
      </w:r>
      <w:r w:rsidRPr="001C481F">
        <w:rPr>
          <w:lang w:val="fr-FR"/>
        </w:rPr>
        <w:t>36 portant création d</w:t>
      </w:r>
      <w:r w:rsidR="0047269F">
        <w:rPr>
          <w:lang w:val="fr-FR"/>
        </w:rPr>
        <w:t>’</w:t>
      </w:r>
      <w:r w:rsidRPr="001C481F">
        <w:rPr>
          <w:lang w:val="fr-FR"/>
        </w:rPr>
        <w:t>une commission ministérielle sur l</w:t>
      </w:r>
      <w:r w:rsidR="0047269F">
        <w:rPr>
          <w:lang w:val="fr-FR"/>
        </w:rPr>
        <w:t>’</w:t>
      </w:r>
      <w:r w:rsidRPr="001C481F">
        <w:rPr>
          <w:lang w:val="fr-FR"/>
        </w:rPr>
        <w:t>égalité sociale chargée de promouvoir l</w:t>
      </w:r>
      <w:r w:rsidR="0047269F">
        <w:rPr>
          <w:lang w:val="fr-FR"/>
        </w:rPr>
        <w:t>’</w:t>
      </w:r>
      <w:r w:rsidRPr="001C481F">
        <w:rPr>
          <w:lang w:val="fr-FR"/>
        </w:rPr>
        <w:t>égalité des sexes dans les domaines visés par la Convention. Il prend acte du recours progressif à l</w:t>
      </w:r>
      <w:r w:rsidR="0047269F">
        <w:rPr>
          <w:lang w:val="fr-FR"/>
        </w:rPr>
        <w:t>’</w:t>
      </w:r>
      <w:r w:rsidRPr="001C481F">
        <w:rPr>
          <w:lang w:val="fr-FR"/>
        </w:rPr>
        <w:t>analyse par sexe au stade de l</w:t>
      </w:r>
      <w:r w:rsidR="0047269F">
        <w:rPr>
          <w:lang w:val="fr-FR"/>
        </w:rPr>
        <w:t>’</w:t>
      </w:r>
      <w:r w:rsidRPr="001C481F">
        <w:rPr>
          <w:lang w:val="fr-FR"/>
        </w:rPr>
        <w:t>élaboration du budget de l</w:t>
      </w:r>
      <w:r w:rsidR="0047269F">
        <w:rPr>
          <w:lang w:val="fr-FR"/>
        </w:rPr>
        <w:t>’</w:t>
      </w:r>
      <w:r w:rsidRPr="001C481F">
        <w:rPr>
          <w:lang w:val="fr-FR"/>
        </w:rPr>
        <w:t>État, de la définition des responsabilités des observateurs de l</w:t>
      </w:r>
      <w:r w:rsidR="0047269F">
        <w:rPr>
          <w:lang w:val="fr-FR"/>
        </w:rPr>
        <w:t>’</w:t>
      </w:r>
      <w:r w:rsidRPr="001C481F">
        <w:rPr>
          <w:lang w:val="fr-FR"/>
        </w:rPr>
        <w:t>égalité des sexes rattachés à chaque ministère ainsi que de l</w:t>
      </w:r>
      <w:r w:rsidR="0047269F">
        <w:rPr>
          <w:lang w:val="fr-FR"/>
        </w:rPr>
        <w:t>’</w:t>
      </w:r>
      <w:r w:rsidRPr="001C481F">
        <w:rPr>
          <w:lang w:val="fr-FR"/>
        </w:rPr>
        <w:t>élaboration de politiques visant à promouvoir l</w:t>
      </w:r>
      <w:r w:rsidR="0047269F">
        <w:rPr>
          <w:lang w:val="fr-FR"/>
        </w:rPr>
        <w:t>’</w:t>
      </w:r>
      <w:r w:rsidRPr="001C481F">
        <w:rPr>
          <w:lang w:val="fr-FR"/>
        </w:rPr>
        <w:t>égalité des sexes parmi les communautés arabe et bédouine. Cependant, il constate que la coordination des activités menées par les observateurs aux fins de la généralisation d</w:t>
      </w:r>
      <w:r w:rsidR="0047269F">
        <w:rPr>
          <w:lang w:val="fr-FR"/>
        </w:rPr>
        <w:t>’</w:t>
      </w:r>
      <w:r w:rsidRPr="001C481F">
        <w:rPr>
          <w:lang w:val="fr-FR"/>
        </w:rPr>
        <w:t>une perspective antisexiste est insuffisante, ajoutant que tous les intervenants concernés, notamment les juges et le personnel de maintien de l</w:t>
      </w:r>
      <w:r w:rsidR="0047269F">
        <w:rPr>
          <w:lang w:val="fr-FR"/>
        </w:rPr>
        <w:t>’</w:t>
      </w:r>
      <w:r w:rsidRPr="001C481F">
        <w:rPr>
          <w:lang w:val="fr-FR"/>
        </w:rPr>
        <w:t>ordre, ne sont pas suffisamment impliqués à l</w:t>
      </w:r>
      <w:r w:rsidR="0047269F">
        <w:rPr>
          <w:lang w:val="fr-FR"/>
        </w:rPr>
        <w:t>’</w:t>
      </w:r>
      <w:r w:rsidRPr="001C481F">
        <w:rPr>
          <w:lang w:val="fr-FR"/>
        </w:rPr>
        <w:t>appui des plans et stratégies mis en place par l</w:t>
      </w:r>
      <w:r w:rsidR="0047269F">
        <w:rPr>
          <w:lang w:val="fr-FR"/>
        </w:rPr>
        <w:t>’</w:t>
      </w:r>
      <w:r w:rsidRPr="001C481F">
        <w:rPr>
          <w:lang w:val="fr-FR"/>
        </w:rPr>
        <w:t>État partie.</w:t>
      </w:r>
    </w:p>
    <w:p w14:paraId="39575AB0" w14:textId="47C29C3D" w:rsidR="001C481F" w:rsidRPr="001C481F" w:rsidRDefault="001C481F" w:rsidP="00B5563F">
      <w:pPr>
        <w:pStyle w:val="SingleTxt"/>
        <w:numPr>
          <w:ilvl w:val="0"/>
          <w:numId w:val="6"/>
        </w:numPr>
        <w:spacing w:line="240" w:lineRule="exact"/>
        <w:rPr>
          <w:b/>
          <w:lang w:val="fr-FR"/>
        </w:rPr>
      </w:pPr>
      <w:r w:rsidRPr="001C481F">
        <w:rPr>
          <w:b/>
          <w:bCs/>
          <w:lang w:val="fr-FR"/>
        </w:rPr>
        <w:t>Le Comité recommande que l</w:t>
      </w:r>
      <w:r w:rsidR="0047269F">
        <w:rPr>
          <w:b/>
          <w:bCs/>
          <w:lang w:val="fr-FR"/>
        </w:rPr>
        <w:t>’</w:t>
      </w:r>
      <w:r w:rsidRPr="001C481F">
        <w:rPr>
          <w:b/>
          <w:bCs/>
          <w:lang w:val="fr-FR"/>
        </w:rPr>
        <w:t>État partie</w:t>
      </w:r>
      <w:r w:rsidR="0047269F">
        <w:rPr>
          <w:b/>
          <w:bCs/>
          <w:lang w:val="fr-FR"/>
        </w:rPr>
        <w:t xml:space="preserve"> : </w:t>
      </w:r>
    </w:p>
    <w:p w14:paraId="673ED2C0" w14:textId="1AA0A540" w:rsidR="001C481F" w:rsidRPr="001C481F" w:rsidRDefault="001C481F" w:rsidP="001C481F">
      <w:pPr>
        <w:pStyle w:val="SingleTxt"/>
        <w:rPr>
          <w:b/>
          <w:lang w:val="fr-FR"/>
        </w:rPr>
      </w:pPr>
      <w:r w:rsidRPr="001C481F">
        <w:rPr>
          <w:lang w:val="fr-FR"/>
        </w:rPr>
        <w:tab/>
      </w:r>
      <w:r w:rsidRPr="001C481F">
        <w:rPr>
          <w:b/>
          <w:bCs/>
          <w:lang w:val="fr-FR"/>
        </w:rPr>
        <w:t>a)</w:t>
      </w:r>
      <w:r w:rsidRPr="001C481F">
        <w:rPr>
          <w:lang w:val="fr-FR"/>
        </w:rPr>
        <w:tab/>
      </w:r>
      <w:r w:rsidRPr="001C481F">
        <w:rPr>
          <w:b/>
          <w:bCs/>
          <w:lang w:val="fr-FR"/>
        </w:rPr>
        <w:t>Continue de renforcer la coordination des activités de l</w:t>
      </w:r>
      <w:r w:rsidR="0047269F">
        <w:rPr>
          <w:b/>
          <w:bCs/>
          <w:lang w:val="fr-FR"/>
        </w:rPr>
        <w:t>’</w:t>
      </w:r>
      <w:r w:rsidRPr="001C481F">
        <w:rPr>
          <w:b/>
          <w:bCs/>
          <w:lang w:val="fr-FR"/>
        </w:rPr>
        <w:t>Office pour la promotion de la condition de la femme et veille à ce qu</w:t>
      </w:r>
      <w:r w:rsidR="0047269F">
        <w:rPr>
          <w:b/>
          <w:bCs/>
          <w:lang w:val="fr-FR"/>
        </w:rPr>
        <w:t>’</w:t>
      </w:r>
      <w:r w:rsidRPr="001C481F">
        <w:rPr>
          <w:b/>
          <w:bCs/>
          <w:lang w:val="fr-FR"/>
        </w:rPr>
        <w:t>il dispose de ressources suffisantes pour s</w:t>
      </w:r>
      <w:r w:rsidR="0047269F">
        <w:rPr>
          <w:b/>
          <w:bCs/>
          <w:lang w:val="fr-FR"/>
        </w:rPr>
        <w:t>’</w:t>
      </w:r>
      <w:r w:rsidRPr="001C481F">
        <w:rPr>
          <w:b/>
          <w:bCs/>
          <w:lang w:val="fr-FR"/>
        </w:rPr>
        <w:t xml:space="preserve">acquitter efficacement de ses fonctions, qui consistent notamment à suivre les progrès accomplis </w:t>
      </w:r>
      <w:r w:rsidR="005C7054">
        <w:rPr>
          <w:b/>
          <w:bCs/>
          <w:lang w:val="fr-FR"/>
        </w:rPr>
        <w:t xml:space="preserve">dans la réalisation </w:t>
      </w:r>
      <w:r w:rsidRPr="001C481F">
        <w:rPr>
          <w:b/>
          <w:bCs/>
          <w:lang w:val="fr-FR"/>
        </w:rPr>
        <w:t>des objectifs de développement durable</w:t>
      </w:r>
      <w:r w:rsidR="0047269F">
        <w:rPr>
          <w:b/>
          <w:bCs/>
          <w:lang w:val="fr-FR"/>
        </w:rPr>
        <w:t> ;</w:t>
      </w:r>
      <w:r w:rsidRPr="001C481F">
        <w:rPr>
          <w:lang w:val="fr-FR"/>
        </w:rPr>
        <w:t xml:space="preserve"> </w:t>
      </w:r>
    </w:p>
    <w:p w14:paraId="7027FC8B" w14:textId="5C946D74" w:rsidR="001C481F" w:rsidRPr="001C481F" w:rsidRDefault="001C481F" w:rsidP="001C481F">
      <w:pPr>
        <w:pStyle w:val="SingleTxt"/>
        <w:rPr>
          <w:b/>
          <w:lang w:val="fr-FR"/>
        </w:rPr>
      </w:pPr>
      <w:r w:rsidRPr="001C481F">
        <w:rPr>
          <w:lang w:val="fr-FR"/>
        </w:rPr>
        <w:tab/>
      </w:r>
      <w:r w:rsidRPr="001C481F">
        <w:rPr>
          <w:b/>
          <w:bCs/>
          <w:lang w:val="fr-FR"/>
        </w:rPr>
        <w:t>b)</w:t>
      </w:r>
      <w:r w:rsidRPr="001C481F">
        <w:rPr>
          <w:lang w:val="fr-FR"/>
        </w:rPr>
        <w:tab/>
      </w:r>
      <w:r w:rsidRPr="001C481F">
        <w:rPr>
          <w:b/>
          <w:bCs/>
          <w:lang w:val="fr-FR"/>
        </w:rPr>
        <w:t xml:space="preserve">Présente, dans son </w:t>
      </w:r>
      <w:r w:rsidR="00134D27">
        <w:rPr>
          <w:b/>
          <w:bCs/>
          <w:lang w:val="fr-FR"/>
        </w:rPr>
        <w:t>septième</w:t>
      </w:r>
      <w:r w:rsidR="00134D27" w:rsidRPr="001C481F">
        <w:rPr>
          <w:b/>
          <w:bCs/>
          <w:lang w:val="fr-FR"/>
        </w:rPr>
        <w:t xml:space="preserve"> </w:t>
      </w:r>
      <w:r w:rsidRPr="001C481F">
        <w:rPr>
          <w:b/>
          <w:bCs/>
          <w:lang w:val="fr-FR"/>
        </w:rPr>
        <w:t>rapport périodique, les conclusions d</w:t>
      </w:r>
      <w:r w:rsidR="0047269F">
        <w:rPr>
          <w:b/>
          <w:bCs/>
          <w:lang w:val="fr-FR"/>
        </w:rPr>
        <w:t>’</w:t>
      </w:r>
      <w:r w:rsidRPr="001C481F">
        <w:rPr>
          <w:b/>
          <w:bCs/>
          <w:lang w:val="fr-FR"/>
        </w:rPr>
        <w:t>une évaluation de l</w:t>
      </w:r>
      <w:r w:rsidR="0047269F">
        <w:rPr>
          <w:b/>
          <w:bCs/>
          <w:lang w:val="fr-FR"/>
        </w:rPr>
        <w:t>’</w:t>
      </w:r>
      <w:r w:rsidRPr="001C481F">
        <w:rPr>
          <w:b/>
          <w:bCs/>
          <w:lang w:val="fr-FR"/>
        </w:rPr>
        <w:t>exécution et de la coordination des activités menées par les ministères pour favoriser la prise en compte de la problématique hommes-femmes maintenant que les fonctions officielles des observateurs de l</w:t>
      </w:r>
      <w:r w:rsidR="0047269F">
        <w:rPr>
          <w:b/>
          <w:bCs/>
          <w:lang w:val="fr-FR"/>
        </w:rPr>
        <w:t>’</w:t>
      </w:r>
      <w:r w:rsidRPr="001C481F">
        <w:rPr>
          <w:b/>
          <w:bCs/>
          <w:lang w:val="fr-FR"/>
        </w:rPr>
        <w:t>égalité des sexes ont été définies, lesquelles devraient inclure le suivi des progrès accomplis par chaque ministère en vue de garantir que les activités financées sur le budget de l</w:t>
      </w:r>
      <w:r w:rsidR="0047269F">
        <w:rPr>
          <w:b/>
          <w:bCs/>
          <w:lang w:val="fr-FR"/>
        </w:rPr>
        <w:t>’</w:t>
      </w:r>
      <w:r w:rsidRPr="001C481F">
        <w:rPr>
          <w:b/>
          <w:bCs/>
          <w:lang w:val="fr-FR"/>
        </w:rPr>
        <w:t>État soient conformes à des critères d</w:t>
      </w:r>
      <w:r w:rsidR="0047269F">
        <w:rPr>
          <w:b/>
          <w:bCs/>
          <w:lang w:val="fr-FR"/>
        </w:rPr>
        <w:t>’</w:t>
      </w:r>
      <w:r w:rsidRPr="001C481F">
        <w:rPr>
          <w:b/>
          <w:bCs/>
          <w:lang w:val="fr-FR"/>
        </w:rPr>
        <w:t>évaluation précis en matière de budgétisation sensible à la problématique hommes-femmes et que les ministères qui ne les respectent pas soient sanctionnés</w:t>
      </w:r>
      <w:r w:rsidR="0047269F">
        <w:rPr>
          <w:b/>
          <w:bCs/>
          <w:lang w:val="fr-FR"/>
        </w:rPr>
        <w:t> ;</w:t>
      </w:r>
    </w:p>
    <w:p w14:paraId="491056CF" w14:textId="0BC9DDA6" w:rsidR="001C481F" w:rsidRDefault="001C481F" w:rsidP="001C481F">
      <w:pPr>
        <w:pStyle w:val="SingleTxt"/>
        <w:rPr>
          <w:lang w:val="fr-FR"/>
        </w:rPr>
      </w:pPr>
      <w:r w:rsidRPr="001C481F">
        <w:rPr>
          <w:lang w:val="fr-FR"/>
        </w:rPr>
        <w:tab/>
      </w:r>
      <w:r w:rsidRPr="001C481F">
        <w:rPr>
          <w:b/>
          <w:bCs/>
          <w:lang w:val="fr-FR"/>
        </w:rPr>
        <w:t>c)</w:t>
      </w:r>
      <w:r w:rsidRPr="001C481F">
        <w:rPr>
          <w:lang w:val="fr-FR"/>
        </w:rPr>
        <w:tab/>
      </w:r>
      <w:r w:rsidRPr="001C481F">
        <w:rPr>
          <w:b/>
          <w:bCs/>
          <w:lang w:val="fr-FR"/>
        </w:rPr>
        <w:t xml:space="preserve">Renforce les projets </w:t>
      </w:r>
      <w:r w:rsidR="009F2AD6">
        <w:rPr>
          <w:b/>
          <w:bCs/>
          <w:lang w:val="fr-FR"/>
        </w:rPr>
        <w:t>visant</w:t>
      </w:r>
      <w:r w:rsidR="00BD665E">
        <w:rPr>
          <w:b/>
          <w:bCs/>
          <w:lang w:val="fr-FR"/>
        </w:rPr>
        <w:t xml:space="preserve"> à </w:t>
      </w:r>
      <w:r w:rsidRPr="001C481F">
        <w:rPr>
          <w:b/>
          <w:bCs/>
          <w:lang w:val="fr-FR"/>
        </w:rPr>
        <w:t>accroître la coopération avec les organisations de la société civile qui représentent les intérêts des femmes, et plus particulièrement ceux des femmes appartenant à des communautés minoritaires et à des groupes défavorisés, notamment les femmes arabes et bédouines.</w:t>
      </w:r>
      <w:r w:rsidRPr="001C481F">
        <w:rPr>
          <w:lang w:val="fr-FR"/>
        </w:rPr>
        <w:t xml:space="preserve"> </w:t>
      </w:r>
    </w:p>
    <w:p w14:paraId="0F3EF7B5" w14:textId="5AE67B3A" w:rsidR="00B5563F" w:rsidRPr="00B5563F" w:rsidRDefault="00B5563F" w:rsidP="00B5563F">
      <w:pPr>
        <w:pStyle w:val="SingleTxt"/>
        <w:spacing w:after="0" w:line="120" w:lineRule="exact"/>
        <w:rPr>
          <w:sz w:val="10"/>
          <w:lang w:val="fr-FR"/>
        </w:rPr>
      </w:pPr>
    </w:p>
    <w:p w14:paraId="12DF15D9" w14:textId="77777777" w:rsidR="001C481F" w:rsidRPr="001C481F" w:rsidRDefault="001C481F" w:rsidP="00B556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481F">
        <w:rPr>
          <w:lang w:val="fr-FR"/>
        </w:rPr>
        <w:tab/>
      </w:r>
      <w:r w:rsidRPr="001C481F">
        <w:rPr>
          <w:lang w:val="fr-FR"/>
        </w:rPr>
        <w:tab/>
        <w:t>Mesures temporaires spéciales</w:t>
      </w:r>
    </w:p>
    <w:p w14:paraId="29280776" w14:textId="5B89B41C" w:rsidR="00B5563F" w:rsidRPr="00B5563F" w:rsidRDefault="00B5563F" w:rsidP="00B5563F">
      <w:pPr>
        <w:pStyle w:val="SingleTxt"/>
        <w:spacing w:after="0" w:line="120" w:lineRule="exact"/>
        <w:rPr>
          <w:sz w:val="10"/>
          <w:lang w:val="fr-FR"/>
        </w:rPr>
      </w:pPr>
    </w:p>
    <w:p w14:paraId="1355E6B9" w14:textId="09EE3C02" w:rsidR="001C481F" w:rsidRPr="001C481F" w:rsidRDefault="001C481F" w:rsidP="007E016C">
      <w:pPr>
        <w:pStyle w:val="SingleTxt"/>
        <w:numPr>
          <w:ilvl w:val="0"/>
          <w:numId w:val="7"/>
        </w:numPr>
        <w:spacing w:line="240" w:lineRule="exact"/>
        <w:rPr>
          <w:lang w:val="fr-FR"/>
        </w:rPr>
      </w:pPr>
      <w:r w:rsidRPr="001C481F">
        <w:rPr>
          <w:lang w:val="fr-FR"/>
        </w:rPr>
        <w:t>Le Comité salue les mesures prises par l</w:t>
      </w:r>
      <w:r w:rsidR="0047269F">
        <w:rPr>
          <w:lang w:val="fr-FR"/>
        </w:rPr>
        <w:t>’</w:t>
      </w:r>
      <w:r w:rsidRPr="001C481F">
        <w:rPr>
          <w:lang w:val="fr-FR"/>
        </w:rPr>
        <w:t>État partie pour accélérer la réalisation de l</w:t>
      </w:r>
      <w:r w:rsidR="0047269F">
        <w:rPr>
          <w:lang w:val="fr-FR"/>
        </w:rPr>
        <w:t>’</w:t>
      </w:r>
      <w:r w:rsidRPr="001C481F">
        <w:rPr>
          <w:lang w:val="fr-FR"/>
        </w:rPr>
        <w:t xml:space="preserve">égalité réelle entre hommes et femmes, notamment le </w:t>
      </w:r>
      <w:r w:rsidR="007E016C">
        <w:rPr>
          <w:lang w:val="fr-FR"/>
        </w:rPr>
        <w:t xml:space="preserve">recours à la procédure publique </w:t>
      </w:r>
      <w:r w:rsidR="007E016C" w:rsidRPr="007E016C">
        <w:rPr>
          <w:lang w:val="fr-FR"/>
        </w:rPr>
        <w:t xml:space="preserve">dite de « l’équipe d’administrateurs » qui fixe des quotas </w:t>
      </w:r>
      <w:r w:rsidR="00B00C92">
        <w:rPr>
          <w:lang w:val="fr-FR"/>
        </w:rPr>
        <w:t xml:space="preserve">en matière de </w:t>
      </w:r>
      <w:r w:rsidRPr="001C481F">
        <w:rPr>
          <w:lang w:val="fr-FR"/>
        </w:rPr>
        <w:t>représentation des femmes arabes israéliennes aux postes de direction d</w:t>
      </w:r>
      <w:r w:rsidR="0047269F">
        <w:rPr>
          <w:lang w:val="fr-FR"/>
        </w:rPr>
        <w:t>’</w:t>
      </w:r>
      <w:r w:rsidRPr="001C481F">
        <w:rPr>
          <w:lang w:val="fr-FR"/>
        </w:rPr>
        <w:t>entreprises publiques. En outre, il félicite l</w:t>
      </w:r>
      <w:r w:rsidR="0047269F">
        <w:rPr>
          <w:lang w:val="fr-FR"/>
        </w:rPr>
        <w:t>’</w:t>
      </w:r>
      <w:r w:rsidRPr="001C481F">
        <w:rPr>
          <w:lang w:val="fr-FR"/>
        </w:rPr>
        <w:t>État partie d</w:t>
      </w:r>
      <w:r w:rsidR="0047269F">
        <w:rPr>
          <w:lang w:val="fr-FR"/>
        </w:rPr>
        <w:t>’</w:t>
      </w:r>
      <w:r w:rsidRPr="001C481F">
        <w:rPr>
          <w:lang w:val="fr-FR"/>
        </w:rPr>
        <w:t>avoir adopté la modification n</w:t>
      </w:r>
      <w:r w:rsidR="006417CE">
        <w:rPr>
          <w:vertAlign w:val="superscript"/>
          <w:lang w:val="fr-FR"/>
        </w:rPr>
        <w:t>o</w:t>
      </w:r>
      <w:r w:rsidR="006417CE" w:rsidRPr="006417CE">
        <w:rPr>
          <w:lang w:val="fr-FR"/>
        </w:rPr>
        <w:t> </w:t>
      </w:r>
      <w:r w:rsidRPr="001C481F">
        <w:rPr>
          <w:lang w:val="fr-FR"/>
        </w:rPr>
        <w:t>12 de la loi sur les conseils municipaux (financement des élections), qui prévoit que les partis politiques dont au moins un tiers des membres occupant des fonctions électives sont des femmes recevront des ressources financières sup</w:t>
      </w:r>
      <w:r w:rsidR="0047269F">
        <w:rPr>
          <w:lang w:val="fr-FR"/>
        </w:rPr>
        <w:t>plémentaires à hauteur de 15 </w:t>
      </w:r>
      <w:r w:rsidRPr="001C481F">
        <w:rPr>
          <w:lang w:val="fr-FR"/>
        </w:rPr>
        <w:t>% du montant standard. Le Comité regrette toutefois que cette modification ne s</w:t>
      </w:r>
      <w:r w:rsidR="0047269F">
        <w:rPr>
          <w:lang w:val="fr-FR"/>
        </w:rPr>
        <w:t>’</w:t>
      </w:r>
      <w:r w:rsidRPr="001C481F">
        <w:rPr>
          <w:lang w:val="fr-FR"/>
        </w:rPr>
        <w:t>applique qu</w:t>
      </w:r>
      <w:r w:rsidR="0047269F">
        <w:rPr>
          <w:lang w:val="fr-FR"/>
        </w:rPr>
        <w:t>’</w:t>
      </w:r>
      <w:r w:rsidRPr="001C481F">
        <w:rPr>
          <w:lang w:val="fr-FR"/>
        </w:rPr>
        <w:t xml:space="preserve">aux élections aux conseils municipaux et locaux et </w:t>
      </w:r>
      <w:r w:rsidR="00262136">
        <w:rPr>
          <w:lang w:val="fr-FR"/>
        </w:rPr>
        <w:t>non</w:t>
      </w:r>
      <w:r w:rsidRPr="001C481F">
        <w:rPr>
          <w:lang w:val="fr-FR"/>
        </w:rPr>
        <w:t xml:space="preserve"> aux conseils régionaux. Il note également avec préoccupation que l</w:t>
      </w:r>
      <w:r w:rsidR="0047269F">
        <w:rPr>
          <w:lang w:val="fr-FR"/>
        </w:rPr>
        <w:t>’</w:t>
      </w:r>
      <w:r w:rsidRPr="001C481F">
        <w:rPr>
          <w:lang w:val="fr-FR"/>
        </w:rPr>
        <w:t>État partie n</w:t>
      </w:r>
      <w:r w:rsidR="0047269F">
        <w:rPr>
          <w:lang w:val="fr-FR"/>
        </w:rPr>
        <w:t>’</w:t>
      </w:r>
      <w:r w:rsidRPr="001C481F">
        <w:rPr>
          <w:lang w:val="fr-FR"/>
        </w:rPr>
        <w:t>a pas adopté de mesures temporaires spéciales dans certains domaines relevant de la Convention, comme l</w:t>
      </w:r>
      <w:r w:rsidR="0047269F">
        <w:rPr>
          <w:lang w:val="fr-FR"/>
        </w:rPr>
        <w:t>’</w:t>
      </w:r>
      <w:r w:rsidRPr="001C481F">
        <w:rPr>
          <w:lang w:val="fr-FR"/>
        </w:rPr>
        <w:t xml:space="preserve">enseignement supérieur. </w:t>
      </w:r>
    </w:p>
    <w:p w14:paraId="61810638" w14:textId="2B0CF4B0" w:rsidR="001C481F" w:rsidRPr="00B5563F" w:rsidRDefault="001C481F" w:rsidP="00B5563F">
      <w:pPr>
        <w:pStyle w:val="SingleTxt"/>
        <w:numPr>
          <w:ilvl w:val="0"/>
          <w:numId w:val="7"/>
        </w:numPr>
        <w:spacing w:line="240" w:lineRule="exact"/>
        <w:rPr>
          <w:b/>
          <w:lang w:val="fr-FR"/>
        </w:rPr>
      </w:pPr>
      <w:r w:rsidRPr="001C481F">
        <w:rPr>
          <w:b/>
          <w:bCs/>
          <w:lang w:val="fr-FR"/>
        </w:rPr>
        <w:t>Le Comité recommande que l</w:t>
      </w:r>
      <w:r w:rsidR="0047269F">
        <w:rPr>
          <w:b/>
          <w:bCs/>
          <w:lang w:val="fr-FR"/>
        </w:rPr>
        <w:t>’</w:t>
      </w:r>
      <w:r w:rsidRPr="001C481F">
        <w:rPr>
          <w:b/>
          <w:bCs/>
          <w:lang w:val="fr-FR"/>
        </w:rPr>
        <w:t>État partie ait davantage recours aux mesures temporaires spéciales, et en particulier aux quotas fixés par la loi, dans tous les secteurs visés par la Convention dans lesquels les femmes sont sous-</w:t>
      </w:r>
      <w:r w:rsidRPr="001C481F">
        <w:rPr>
          <w:b/>
          <w:bCs/>
          <w:lang w:val="fr-FR"/>
        </w:rPr>
        <w:lastRenderedPageBreak/>
        <w:t>représentées ou défavorisées, notamment les conseils régionaux et les postes de décision dans l</w:t>
      </w:r>
      <w:r w:rsidR="0047269F">
        <w:rPr>
          <w:b/>
          <w:bCs/>
          <w:lang w:val="fr-FR"/>
        </w:rPr>
        <w:t>’</w:t>
      </w:r>
      <w:r w:rsidRPr="001C481F">
        <w:rPr>
          <w:b/>
          <w:bCs/>
          <w:lang w:val="fr-FR"/>
        </w:rPr>
        <w:t>enseignement supérieur.</w:t>
      </w:r>
      <w:r w:rsidRPr="001C481F">
        <w:rPr>
          <w:lang w:val="fr-FR"/>
        </w:rPr>
        <w:t xml:space="preserve"> </w:t>
      </w:r>
      <w:r w:rsidR="00FA1AE3">
        <w:rPr>
          <w:b/>
          <w:bCs/>
          <w:lang w:val="fr-FR"/>
        </w:rPr>
        <w:t>C</w:t>
      </w:r>
      <w:r w:rsidRPr="001C481F">
        <w:rPr>
          <w:b/>
          <w:bCs/>
          <w:lang w:val="fr-FR"/>
        </w:rPr>
        <w:t xml:space="preserve">es mesures </w:t>
      </w:r>
      <w:r w:rsidR="00FA1AE3">
        <w:rPr>
          <w:b/>
          <w:bCs/>
          <w:lang w:val="fr-FR"/>
        </w:rPr>
        <w:t>devraient être</w:t>
      </w:r>
      <w:r w:rsidR="00FA1AE3" w:rsidRPr="001C481F">
        <w:rPr>
          <w:b/>
          <w:bCs/>
          <w:lang w:val="fr-FR"/>
        </w:rPr>
        <w:t xml:space="preserve"> </w:t>
      </w:r>
      <w:r w:rsidRPr="001C481F">
        <w:rPr>
          <w:b/>
          <w:bCs/>
          <w:lang w:val="fr-FR"/>
        </w:rPr>
        <w:t>assorties de cibles et de calendriers précis, conformément au paragraphe 1 de l</w:t>
      </w:r>
      <w:r w:rsidR="0047269F">
        <w:rPr>
          <w:b/>
          <w:bCs/>
          <w:lang w:val="fr-FR"/>
        </w:rPr>
        <w:t>’</w:t>
      </w:r>
      <w:r w:rsidRPr="001C481F">
        <w:rPr>
          <w:b/>
          <w:bCs/>
          <w:lang w:val="fr-FR"/>
        </w:rPr>
        <w:t>article 4 de la Convention et à sa Recommandation générale n</w:t>
      </w:r>
      <w:r w:rsidR="00B5563F">
        <w:rPr>
          <w:b/>
          <w:bCs/>
          <w:vertAlign w:val="superscript"/>
          <w:lang w:val="fr-FR"/>
        </w:rPr>
        <w:t>o</w:t>
      </w:r>
      <w:r w:rsidR="00B5563F" w:rsidRPr="006417CE">
        <w:rPr>
          <w:b/>
          <w:bCs/>
          <w:lang w:val="fr-FR"/>
        </w:rPr>
        <w:t> </w:t>
      </w:r>
      <w:r w:rsidRPr="001C481F">
        <w:rPr>
          <w:b/>
          <w:bCs/>
          <w:lang w:val="fr-FR"/>
        </w:rPr>
        <w:t>25 (2004) sur les mesures temporaires spéciales, afin qu</w:t>
      </w:r>
      <w:r w:rsidR="0047269F">
        <w:rPr>
          <w:b/>
          <w:bCs/>
          <w:lang w:val="fr-FR"/>
        </w:rPr>
        <w:t>’</w:t>
      </w:r>
      <w:r w:rsidRPr="001C481F">
        <w:rPr>
          <w:b/>
          <w:bCs/>
          <w:lang w:val="fr-FR"/>
        </w:rPr>
        <w:t>il soit possible de parvenir à une égalité réelle entre les femmes et les hommes dans tous les secteurs relevant de la Convention dans lesquels les femmes, en particulier les femmes arabes israéliennes, sont sous-représentées ou défavorisées.</w:t>
      </w:r>
    </w:p>
    <w:p w14:paraId="433AB374" w14:textId="0787238C" w:rsidR="00B5563F" w:rsidRPr="00B5563F" w:rsidRDefault="00B5563F" w:rsidP="00B5563F">
      <w:pPr>
        <w:pStyle w:val="SingleTxt"/>
        <w:spacing w:after="0" w:line="120" w:lineRule="exact"/>
        <w:rPr>
          <w:b/>
          <w:sz w:val="10"/>
          <w:lang w:val="fr-FR"/>
        </w:rPr>
      </w:pPr>
    </w:p>
    <w:p w14:paraId="2DD88955" w14:textId="77777777" w:rsidR="001C481F" w:rsidRPr="001C481F" w:rsidRDefault="001C481F" w:rsidP="00B556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481F">
        <w:rPr>
          <w:lang w:val="fr-FR"/>
        </w:rPr>
        <w:tab/>
      </w:r>
      <w:r w:rsidRPr="001C481F">
        <w:rPr>
          <w:lang w:val="fr-FR"/>
        </w:rPr>
        <w:tab/>
        <w:t xml:space="preserve">Stéréotypes et pratiques préjudiciables </w:t>
      </w:r>
    </w:p>
    <w:p w14:paraId="3F079BBF" w14:textId="759A4E28" w:rsidR="00B5563F" w:rsidRPr="00B5563F" w:rsidRDefault="00B5563F" w:rsidP="00B5563F">
      <w:pPr>
        <w:pStyle w:val="SingleTxt"/>
        <w:spacing w:after="0" w:line="120" w:lineRule="exact"/>
        <w:rPr>
          <w:sz w:val="10"/>
          <w:lang w:val="fr-FR"/>
        </w:rPr>
      </w:pPr>
    </w:p>
    <w:p w14:paraId="67194670" w14:textId="4195E20A" w:rsidR="001C481F" w:rsidRPr="001C481F" w:rsidRDefault="001C481F" w:rsidP="00B5563F">
      <w:pPr>
        <w:pStyle w:val="SingleTxt"/>
        <w:numPr>
          <w:ilvl w:val="0"/>
          <w:numId w:val="8"/>
        </w:numPr>
        <w:spacing w:line="240" w:lineRule="exact"/>
        <w:rPr>
          <w:lang w:val="fr-FR"/>
        </w:rPr>
      </w:pPr>
      <w:r w:rsidRPr="001C481F">
        <w:rPr>
          <w:lang w:val="fr-FR"/>
        </w:rPr>
        <w:t>Le Comité salue les mesures prises par l</w:t>
      </w:r>
      <w:r w:rsidR="0047269F">
        <w:rPr>
          <w:lang w:val="fr-FR"/>
        </w:rPr>
        <w:t>’</w:t>
      </w:r>
      <w:r w:rsidRPr="001C481F">
        <w:rPr>
          <w:lang w:val="fr-FR"/>
        </w:rPr>
        <w:t>État partie pour lutter contre les stéréotypes sexistes discriminatoires et les pratiques préjudiciables, notamment l</w:t>
      </w:r>
      <w:r w:rsidR="0047269F">
        <w:rPr>
          <w:lang w:val="fr-FR"/>
        </w:rPr>
        <w:t>’</w:t>
      </w:r>
      <w:r w:rsidRPr="001C481F">
        <w:rPr>
          <w:lang w:val="fr-FR"/>
        </w:rPr>
        <w:t xml:space="preserve">adoption de la modification </w:t>
      </w:r>
      <w:r w:rsidRPr="009949C5">
        <w:rPr>
          <w:lang w:val="fr-FR"/>
        </w:rPr>
        <w:t>n</w:t>
      </w:r>
      <w:r w:rsidR="009949C5" w:rsidRPr="009949C5">
        <w:rPr>
          <w:vertAlign w:val="superscript"/>
          <w:lang w:val="fr-FR"/>
        </w:rPr>
        <w:t>o</w:t>
      </w:r>
      <w:r w:rsidR="009949C5">
        <w:rPr>
          <w:lang w:val="fr-FR"/>
        </w:rPr>
        <w:t> </w:t>
      </w:r>
      <w:r w:rsidRPr="009949C5">
        <w:rPr>
          <w:lang w:val="fr-FR"/>
        </w:rPr>
        <w:t>6</w:t>
      </w:r>
      <w:r w:rsidRPr="001C481F">
        <w:rPr>
          <w:lang w:val="fr-FR"/>
        </w:rPr>
        <w:t xml:space="preserve"> de la loi sur l</w:t>
      </w:r>
      <w:r w:rsidR="0047269F">
        <w:rPr>
          <w:lang w:val="fr-FR"/>
        </w:rPr>
        <w:t>’</w:t>
      </w:r>
      <w:r w:rsidRPr="001C481F">
        <w:rPr>
          <w:lang w:val="fr-FR"/>
        </w:rPr>
        <w:t>âge du mariage, celui-ci ayant été porté de 17 à 18 ans. Il salue également l</w:t>
      </w:r>
      <w:r w:rsidR="0047269F">
        <w:rPr>
          <w:lang w:val="fr-FR"/>
        </w:rPr>
        <w:t>’</w:t>
      </w:r>
      <w:r w:rsidRPr="001C481F">
        <w:rPr>
          <w:lang w:val="fr-FR"/>
        </w:rPr>
        <w:t>adoption de la résolution</w:t>
      </w:r>
      <w:r w:rsidR="00980358">
        <w:rPr>
          <w:lang w:val="fr-FR"/>
        </w:rPr>
        <w:t xml:space="preserve"> gouvernementale</w:t>
      </w:r>
      <w:r w:rsidRPr="001C481F">
        <w:rPr>
          <w:lang w:val="fr-FR"/>
        </w:rPr>
        <w:t xml:space="preserve"> </w:t>
      </w:r>
      <w:r w:rsidRPr="009949C5">
        <w:rPr>
          <w:lang w:val="fr-FR"/>
        </w:rPr>
        <w:t>n</w:t>
      </w:r>
      <w:r w:rsidR="009949C5" w:rsidRPr="009949C5">
        <w:rPr>
          <w:vertAlign w:val="superscript"/>
          <w:lang w:val="fr-FR"/>
        </w:rPr>
        <w:t>o</w:t>
      </w:r>
      <w:r w:rsidR="009949C5">
        <w:rPr>
          <w:lang w:val="fr-FR"/>
        </w:rPr>
        <w:t> </w:t>
      </w:r>
      <w:r w:rsidRPr="009949C5">
        <w:rPr>
          <w:lang w:val="fr-FR"/>
        </w:rPr>
        <w:t>2345</w:t>
      </w:r>
      <w:r w:rsidRPr="001C481F">
        <w:rPr>
          <w:lang w:val="fr-FR"/>
        </w:rPr>
        <w:t xml:space="preserve"> portant création d</w:t>
      </w:r>
      <w:r w:rsidR="0047269F">
        <w:rPr>
          <w:lang w:val="fr-FR"/>
        </w:rPr>
        <w:t>’</w:t>
      </w:r>
      <w:r w:rsidRPr="001C481F">
        <w:rPr>
          <w:lang w:val="fr-FR"/>
        </w:rPr>
        <w:t>un comité interministériel chargé d</w:t>
      </w:r>
      <w:r w:rsidR="0047269F">
        <w:rPr>
          <w:lang w:val="fr-FR"/>
        </w:rPr>
        <w:t>’</w:t>
      </w:r>
      <w:r w:rsidRPr="001C481F">
        <w:rPr>
          <w:lang w:val="fr-FR"/>
        </w:rPr>
        <w:t>élaborer un plan stratégique visant à éliminer</w:t>
      </w:r>
      <w:r w:rsidR="0068533C">
        <w:rPr>
          <w:lang w:val="fr-FR"/>
        </w:rPr>
        <w:t xml:space="preserve"> la polygamie</w:t>
      </w:r>
      <w:r w:rsidRPr="001C481F">
        <w:rPr>
          <w:lang w:val="fr-FR"/>
        </w:rPr>
        <w:t>. Il note toutefois avec préoccupation que :</w:t>
      </w:r>
    </w:p>
    <w:p w14:paraId="4FB0183E" w14:textId="5AE7B936" w:rsidR="001C481F" w:rsidRPr="001C481F" w:rsidRDefault="001C481F" w:rsidP="001C481F">
      <w:pPr>
        <w:pStyle w:val="SingleTxt"/>
        <w:rPr>
          <w:lang w:val="fr-FR"/>
        </w:rPr>
      </w:pPr>
      <w:r w:rsidRPr="001C481F">
        <w:rPr>
          <w:lang w:val="fr-FR"/>
        </w:rPr>
        <w:tab/>
        <w:t>a)</w:t>
      </w:r>
      <w:r w:rsidRPr="001C481F">
        <w:rPr>
          <w:lang w:val="fr-FR"/>
        </w:rPr>
        <w:tab/>
        <w:t>Les stéréotypes discriminatoires fondés sur des interprétations religieuses restrictives concernant les rôles et les responsabilités des femmes et des hommes dans la famille et dans la société persistent, en particulier parmi les Israéliens ultra-orthodoxes</w:t>
      </w:r>
      <w:r w:rsidR="0047269F">
        <w:rPr>
          <w:lang w:val="fr-FR"/>
        </w:rPr>
        <w:t> ;</w:t>
      </w:r>
    </w:p>
    <w:p w14:paraId="319EEF65" w14:textId="0B24443A" w:rsidR="001C481F" w:rsidRPr="001C481F" w:rsidRDefault="001C481F" w:rsidP="001C481F">
      <w:pPr>
        <w:pStyle w:val="SingleTxt"/>
        <w:rPr>
          <w:lang w:val="fr-FR"/>
        </w:rPr>
      </w:pPr>
      <w:r w:rsidRPr="001C481F">
        <w:rPr>
          <w:lang w:val="fr-FR"/>
        </w:rPr>
        <w:tab/>
        <w:t>b)</w:t>
      </w:r>
      <w:r w:rsidRPr="001C481F">
        <w:rPr>
          <w:lang w:val="fr-FR"/>
        </w:rPr>
        <w:tab/>
        <w:t>Les femmes qui ne peuvent divorcer faute d</w:t>
      </w:r>
      <w:r w:rsidR="0047269F">
        <w:rPr>
          <w:lang w:val="fr-FR"/>
        </w:rPr>
        <w:t>’</w:t>
      </w:r>
      <w:r w:rsidRPr="001C481F">
        <w:rPr>
          <w:lang w:val="fr-FR"/>
        </w:rPr>
        <w:t>y avoir été autorisées (</w:t>
      </w:r>
      <w:r w:rsidR="007D2221">
        <w:rPr>
          <w:i/>
          <w:lang w:val="fr-FR"/>
        </w:rPr>
        <w:t>g</w:t>
      </w:r>
      <w:r w:rsidRPr="001C481F">
        <w:rPr>
          <w:i/>
          <w:lang w:val="fr-FR"/>
        </w:rPr>
        <w:t>et</w:t>
      </w:r>
      <w:r w:rsidRPr="001C481F">
        <w:rPr>
          <w:lang w:val="fr-FR"/>
        </w:rPr>
        <w:t>) et portent l</w:t>
      </w:r>
      <w:r w:rsidR="0047269F">
        <w:rPr>
          <w:lang w:val="fr-FR"/>
        </w:rPr>
        <w:t>’</w:t>
      </w:r>
      <w:r w:rsidRPr="001C481F">
        <w:rPr>
          <w:lang w:val="fr-FR"/>
        </w:rPr>
        <w:t>enfant d</w:t>
      </w:r>
      <w:r w:rsidR="0047269F">
        <w:rPr>
          <w:lang w:val="fr-FR"/>
        </w:rPr>
        <w:t>’</w:t>
      </w:r>
      <w:r w:rsidRPr="001C481F">
        <w:rPr>
          <w:lang w:val="fr-FR"/>
        </w:rPr>
        <w:t>un autre homme que leur mari continuent d</w:t>
      </w:r>
      <w:r w:rsidR="0047269F">
        <w:rPr>
          <w:lang w:val="fr-FR"/>
        </w:rPr>
        <w:t>’</w:t>
      </w:r>
      <w:r w:rsidRPr="001C481F">
        <w:rPr>
          <w:lang w:val="fr-FR"/>
        </w:rPr>
        <w:t>être en butte à la stigmatisation et à la discrimination</w:t>
      </w:r>
      <w:r w:rsidR="0047269F">
        <w:rPr>
          <w:lang w:val="fr-FR"/>
        </w:rPr>
        <w:t> ;</w:t>
      </w:r>
    </w:p>
    <w:p w14:paraId="3952CC9C" w14:textId="42B59F38" w:rsidR="001C481F" w:rsidRPr="001C481F" w:rsidRDefault="001C481F" w:rsidP="001C481F">
      <w:pPr>
        <w:pStyle w:val="SingleTxt"/>
        <w:rPr>
          <w:lang w:val="fr-FR"/>
        </w:rPr>
      </w:pPr>
      <w:r w:rsidRPr="001C481F">
        <w:rPr>
          <w:lang w:val="fr-FR"/>
        </w:rPr>
        <w:tab/>
        <w:t>c)</w:t>
      </w:r>
      <w:r w:rsidRPr="001C481F">
        <w:rPr>
          <w:lang w:val="fr-FR"/>
        </w:rPr>
        <w:tab/>
        <w:t>La polygamie et les mariages forcés persistent, en particulier dans les communautés arabe et bédouine, en dépit des efforts déployés par l</w:t>
      </w:r>
      <w:r w:rsidR="0047269F">
        <w:rPr>
          <w:lang w:val="fr-FR"/>
        </w:rPr>
        <w:t>’</w:t>
      </w:r>
      <w:r w:rsidRPr="001C481F">
        <w:rPr>
          <w:lang w:val="fr-FR"/>
        </w:rPr>
        <w:t>État partie pour éliminer ces pratiques préjudiciables.</w:t>
      </w:r>
    </w:p>
    <w:p w14:paraId="38804B1F" w14:textId="61247C41" w:rsidR="001C481F" w:rsidRPr="001C481F" w:rsidRDefault="001C481F" w:rsidP="006906A3">
      <w:pPr>
        <w:pStyle w:val="SingleTxt"/>
        <w:numPr>
          <w:ilvl w:val="0"/>
          <w:numId w:val="8"/>
        </w:numPr>
        <w:spacing w:line="240" w:lineRule="exact"/>
        <w:rPr>
          <w:b/>
          <w:lang w:val="fr-FR"/>
        </w:rPr>
      </w:pPr>
      <w:r w:rsidRPr="001C481F">
        <w:rPr>
          <w:b/>
          <w:bCs/>
          <w:lang w:val="fr-FR"/>
        </w:rPr>
        <w:t xml:space="preserve">Rappelant sa </w:t>
      </w:r>
      <w:r w:rsidR="00692FEB">
        <w:rPr>
          <w:b/>
          <w:bCs/>
          <w:lang w:val="fr-FR"/>
        </w:rPr>
        <w:t>r</w:t>
      </w:r>
      <w:r w:rsidRPr="001C481F">
        <w:rPr>
          <w:b/>
          <w:bCs/>
          <w:lang w:val="fr-FR"/>
        </w:rPr>
        <w:t>ecommandation générale n</w:t>
      </w:r>
      <w:r w:rsidR="00916698">
        <w:rPr>
          <w:b/>
          <w:bCs/>
          <w:vertAlign w:val="superscript"/>
          <w:lang w:val="fr-FR"/>
        </w:rPr>
        <w:t>o</w:t>
      </w:r>
      <w:r w:rsidR="00916698" w:rsidRPr="00916698">
        <w:rPr>
          <w:b/>
          <w:bCs/>
          <w:lang w:val="fr-FR"/>
        </w:rPr>
        <w:t> </w:t>
      </w:r>
      <w:r w:rsidRPr="001C481F">
        <w:rPr>
          <w:b/>
          <w:bCs/>
          <w:lang w:val="fr-FR"/>
        </w:rPr>
        <w:t>31 et l</w:t>
      </w:r>
      <w:r w:rsidR="0047269F">
        <w:rPr>
          <w:b/>
          <w:bCs/>
          <w:lang w:val="fr-FR"/>
        </w:rPr>
        <w:t>’</w:t>
      </w:r>
      <w:r w:rsidRPr="001C481F">
        <w:rPr>
          <w:b/>
          <w:bCs/>
          <w:lang w:val="fr-FR"/>
        </w:rPr>
        <w:t>observation générale connexe n</w:t>
      </w:r>
      <w:r w:rsidR="006417CE">
        <w:rPr>
          <w:b/>
          <w:bCs/>
          <w:vertAlign w:val="superscript"/>
          <w:lang w:val="fr-FR"/>
        </w:rPr>
        <w:t>o</w:t>
      </w:r>
      <w:r w:rsidR="006417CE" w:rsidRPr="006417CE">
        <w:rPr>
          <w:b/>
          <w:bCs/>
          <w:lang w:val="fr-FR"/>
        </w:rPr>
        <w:t> </w:t>
      </w:r>
      <w:r w:rsidRPr="001C481F">
        <w:rPr>
          <w:b/>
          <w:bCs/>
          <w:lang w:val="fr-FR"/>
        </w:rPr>
        <w:t>18 du Comité des droits de l</w:t>
      </w:r>
      <w:r w:rsidR="0047269F">
        <w:rPr>
          <w:b/>
          <w:bCs/>
          <w:lang w:val="fr-FR"/>
        </w:rPr>
        <w:t>’</w:t>
      </w:r>
      <w:r w:rsidRPr="001C481F">
        <w:rPr>
          <w:b/>
          <w:bCs/>
          <w:lang w:val="fr-FR"/>
        </w:rPr>
        <w:t>enfant sur les pratiques préjudiciables, adoptées en 2014, et conformément à la cible 5.3 des objectifs de développement durable (Éliminer toutes les pratiques préjudiciables, telles que le mariage des enfants</w:t>
      </w:r>
      <w:r w:rsidR="006906A3">
        <w:rPr>
          <w:b/>
          <w:bCs/>
          <w:lang w:val="fr-FR"/>
        </w:rPr>
        <w:t>,</w:t>
      </w:r>
      <w:r w:rsidRPr="001C481F">
        <w:rPr>
          <w:b/>
          <w:bCs/>
          <w:lang w:val="fr-FR"/>
        </w:rPr>
        <w:t xml:space="preserve"> le mariage précoce ou forcé</w:t>
      </w:r>
      <w:r w:rsidR="006906A3">
        <w:rPr>
          <w:b/>
          <w:bCs/>
          <w:lang w:val="fr-FR"/>
        </w:rPr>
        <w:t xml:space="preserve"> </w:t>
      </w:r>
      <w:r w:rsidR="006906A3" w:rsidRPr="006906A3">
        <w:rPr>
          <w:b/>
          <w:bCs/>
          <w:lang w:val="fr-FR"/>
        </w:rPr>
        <w:t>et la mutilation génitale féminine</w:t>
      </w:r>
      <w:r w:rsidRPr="001C481F">
        <w:rPr>
          <w:b/>
          <w:bCs/>
          <w:lang w:val="fr-FR"/>
        </w:rPr>
        <w:t>), le Comité recommande que l</w:t>
      </w:r>
      <w:r w:rsidR="0047269F">
        <w:rPr>
          <w:b/>
          <w:bCs/>
          <w:lang w:val="fr-FR"/>
        </w:rPr>
        <w:t>’</w:t>
      </w:r>
      <w:r w:rsidRPr="001C481F">
        <w:rPr>
          <w:b/>
          <w:bCs/>
          <w:lang w:val="fr-FR"/>
        </w:rPr>
        <w:t>État partie</w:t>
      </w:r>
      <w:r w:rsidR="0047269F">
        <w:rPr>
          <w:b/>
          <w:bCs/>
          <w:lang w:val="fr-FR"/>
        </w:rPr>
        <w:t xml:space="preserve"> : </w:t>
      </w:r>
    </w:p>
    <w:p w14:paraId="2CCEC4EC" w14:textId="1380C4A3" w:rsidR="001C481F" w:rsidRPr="001C481F" w:rsidRDefault="001C481F" w:rsidP="001C481F">
      <w:pPr>
        <w:pStyle w:val="SingleTxt"/>
        <w:rPr>
          <w:b/>
          <w:lang w:val="fr-FR"/>
        </w:rPr>
      </w:pPr>
      <w:r w:rsidRPr="001C481F">
        <w:rPr>
          <w:lang w:val="fr-FR"/>
        </w:rPr>
        <w:tab/>
      </w:r>
      <w:r w:rsidRPr="001C481F">
        <w:rPr>
          <w:b/>
          <w:bCs/>
          <w:lang w:val="fr-FR"/>
        </w:rPr>
        <w:t>a)</w:t>
      </w:r>
      <w:r w:rsidRPr="001C481F">
        <w:rPr>
          <w:lang w:val="fr-FR"/>
        </w:rPr>
        <w:tab/>
      </w:r>
      <w:r w:rsidRPr="001C481F">
        <w:rPr>
          <w:b/>
          <w:bCs/>
          <w:lang w:val="fr-FR"/>
        </w:rPr>
        <w:t>Adopte une stratégie globale pour l</w:t>
      </w:r>
      <w:r w:rsidR="0047269F">
        <w:rPr>
          <w:b/>
          <w:bCs/>
          <w:lang w:val="fr-FR"/>
        </w:rPr>
        <w:t>’</w:t>
      </w:r>
      <w:r w:rsidRPr="001C481F">
        <w:rPr>
          <w:b/>
          <w:bCs/>
          <w:lang w:val="fr-FR"/>
        </w:rPr>
        <w:t>élimination des stéréotypes discriminatoires associés aux rôles et responsabilités des femmes et des hommes dans la famille et dans la société, qui devrait comporter un mécanisme de suivi permettant d</w:t>
      </w:r>
      <w:r w:rsidR="0047269F">
        <w:rPr>
          <w:b/>
          <w:bCs/>
          <w:lang w:val="fr-FR"/>
        </w:rPr>
        <w:t>’</w:t>
      </w:r>
      <w:r w:rsidRPr="001C481F">
        <w:rPr>
          <w:b/>
          <w:bCs/>
          <w:lang w:val="fr-FR"/>
        </w:rPr>
        <w:t>évaluer l</w:t>
      </w:r>
      <w:r w:rsidR="0047269F">
        <w:rPr>
          <w:b/>
          <w:bCs/>
          <w:lang w:val="fr-FR"/>
        </w:rPr>
        <w:t>’</w:t>
      </w:r>
      <w:r w:rsidRPr="001C481F">
        <w:rPr>
          <w:b/>
          <w:bCs/>
          <w:lang w:val="fr-FR"/>
        </w:rPr>
        <w:t>incidence des mesures prises et de remédier aux lacunes</w:t>
      </w:r>
      <w:r w:rsidR="00A01FB8">
        <w:rPr>
          <w:b/>
          <w:bCs/>
          <w:lang w:val="fr-FR"/>
        </w:rPr>
        <w:t xml:space="preserve"> </w:t>
      </w:r>
      <w:r w:rsidRPr="001C481F">
        <w:rPr>
          <w:b/>
          <w:bCs/>
          <w:lang w:val="fr-FR"/>
        </w:rPr>
        <w:t>relevées</w:t>
      </w:r>
      <w:r w:rsidR="0047269F">
        <w:rPr>
          <w:b/>
          <w:bCs/>
          <w:lang w:val="fr-FR"/>
        </w:rPr>
        <w:t> ;</w:t>
      </w:r>
    </w:p>
    <w:p w14:paraId="1365515A" w14:textId="15D5EA8D" w:rsidR="001C481F" w:rsidRPr="001C481F" w:rsidRDefault="001C481F" w:rsidP="001C481F">
      <w:pPr>
        <w:pStyle w:val="SingleTxt"/>
        <w:rPr>
          <w:b/>
          <w:lang w:val="fr-FR"/>
        </w:rPr>
      </w:pPr>
      <w:r w:rsidRPr="001C481F">
        <w:rPr>
          <w:lang w:val="fr-FR"/>
        </w:rPr>
        <w:tab/>
      </w:r>
      <w:r w:rsidRPr="001C481F">
        <w:rPr>
          <w:b/>
          <w:bCs/>
          <w:lang w:val="fr-FR"/>
        </w:rPr>
        <w:t>b)</w:t>
      </w:r>
      <w:r w:rsidRPr="001C481F">
        <w:rPr>
          <w:lang w:val="fr-FR"/>
        </w:rPr>
        <w:tab/>
      </w:r>
      <w:r w:rsidRPr="001C481F">
        <w:rPr>
          <w:b/>
          <w:bCs/>
          <w:lang w:val="fr-FR"/>
        </w:rPr>
        <w:t>Renforce les campagnes de sensibilisation et autres programmes visant à éliminer les stéréotypes et les préjugés à l</w:t>
      </w:r>
      <w:r w:rsidR="0047269F">
        <w:rPr>
          <w:b/>
          <w:bCs/>
          <w:lang w:val="fr-FR"/>
        </w:rPr>
        <w:t>’</w:t>
      </w:r>
      <w:r w:rsidRPr="001C481F">
        <w:rPr>
          <w:b/>
          <w:bCs/>
          <w:lang w:val="fr-FR"/>
        </w:rPr>
        <w:t>égard des femmes qui ont des enfants hors mariage</w:t>
      </w:r>
      <w:r w:rsidR="0047269F">
        <w:rPr>
          <w:b/>
          <w:bCs/>
          <w:lang w:val="fr-FR"/>
        </w:rPr>
        <w:t> ;</w:t>
      </w:r>
    </w:p>
    <w:p w14:paraId="30EEA557" w14:textId="4FBFA7CC" w:rsidR="001C481F" w:rsidRDefault="001C481F" w:rsidP="001C481F">
      <w:pPr>
        <w:pStyle w:val="SingleTxt"/>
        <w:rPr>
          <w:lang w:val="fr-FR"/>
        </w:rPr>
      </w:pPr>
      <w:r w:rsidRPr="001C481F">
        <w:rPr>
          <w:lang w:val="fr-FR"/>
        </w:rPr>
        <w:tab/>
      </w:r>
      <w:r w:rsidRPr="001C481F">
        <w:rPr>
          <w:b/>
          <w:bCs/>
          <w:lang w:val="fr-FR"/>
        </w:rPr>
        <w:t>c)</w:t>
      </w:r>
      <w:r w:rsidRPr="001C481F">
        <w:rPr>
          <w:lang w:val="fr-FR"/>
        </w:rPr>
        <w:tab/>
      </w:r>
      <w:r w:rsidRPr="001C481F">
        <w:rPr>
          <w:b/>
          <w:bCs/>
          <w:lang w:val="fr-FR"/>
        </w:rPr>
        <w:t xml:space="preserve">Prenne de nouvelles mesures législatives et éducatives pour éliminer la polygamie et les mariages forcés, en particulier </w:t>
      </w:r>
      <w:r w:rsidR="00A855C1">
        <w:rPr>
          <w:b/>
          <w:bCs/>
          <w:lang w:val="fr-FR"/>
        </w:rPr>
        <w:t>dans les communautés arabe et bédouine</w:t>
      </w:r>
      <w:r w:rsidRPr="001C481F">
        <w:rPr>
          <w:b/>
          <w:bCs/>
          <w:lang w:val="fr-FR"/>
        </w:rPr>
        <w:t>.</w:t>
      </w:r>
      <w:r w:rsidRPr="001C481F">
        <w:rPr>
          <w:lang w:val="fr-FR"/>
        </w:rPr>
        <w:t xml:space="preserve"> </w:t>
      </w:r>
    </w:p>
    <w:p w14:paraId="3DAB68E0" w14:textId="5B2B0F92" w:rsidR="009949C5" w:rsidRPr="009949C5" w:rsidRDefault="009949C5" w:rsidP="009949C5">
      <w:pPr>
        <w:pStyle w:val="SingleTxt"/>
        <w:spacing w:after="0" w:line="120" w:lineRule="exact"/>
        <w:rPr>
          <w:sz w:val="10"/>
          <w:lang w:val="fr-FR"/>
        </w:rPr>
      </w:pPr>
    </w:p>
    <w:p w14:paraId="4E49C48F" w14:textId="66E2AF74" w:rsidR="001C481F" w:rsidRPr="001C481F" w:rsidRDefault="001C481F" w:rsidP="009949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481F">
        <w:rPr>
          <w:lang w:val="fr-FR"/>
        </w:rPr>
        <w:tab/>
      </w:r>
      <w:r w:rsidRPr="001C481F">
        <w:rPr>
          <w:lang w:val="fr-FR"/>
        </w:rPr>
        <w:tab/>
        <w:t>Violence sexiste à l</w:t>
      </w:r>
      <w:r w:rsidR="0047269F">
        <w:rPr>
          <w:lang w:val="fr-FR"/>
        </w:rPr>
        <w:t>’</w:t>
      </w:r>
      <w:r w:rsidRPr="001C481F">
        <w:rPr>
          <w:lang w:val="fr-FR"/>
        </w:rPr>
        <w:t>égard des femmes</w:t>
      </w:r>
    </w:p>
    <w:p w14:paraId="5201B05B" w14:textId="40BD5BB2" w:rsidR="009949C5" w:rsidRPr="009949C5" w:rsidRDefault="009949C5" w:rsidP="009949C5">
      <w:pPr>
        <w:pStyle w:val="SingleTxt"/>
        <w:spacing w:after="0" w:line="120" w:lineRule="exact"/>
        <w:rPr>
          <w:sz w:val="10"/>
          <w:lang w:val="fr-FR"/>
        </w:rPr>
      </w:pPr>
    </w:p>
    <w:p w14:paraId="7F068680" w14:textId="57A68F76" w:rsidR="001C481F" w:rsidRPr="001C481F" w:rsidRDefault="001C481F" w:rsidP="00D55120">
      <w:pPr>
        <w:pStyle w:val="SingleTxt"/>
        <w:numPr>
          <w:ilvl w:val="0"/>
          <w:numId w:val="9"/>
        </w:numPr>
        <w:spacing w:line="240" w:lineRule="exact"/>
        <w:rPr>
          <w:lang w:val="fr-FR"/>
        </w:rPr>
      </w:pPr>
      <w:r w:rsidRPr="001C481F">
        <w:rPr>
          <w:lang w:val="fr-FR"/>
        </w:rPr>
        <w:t>Le Comité salue les mesures prises par l</w:t>
      </w:r>
      <w:r w:rsidR="0047269F">
        <w:rPr>
          <w:lang w:val="fr-FR"/>
        </w:rPr>
        <w:t>’</w:t>
      </w:r>
      <w:r w:rsidRPr="001C481F">
        <w:rPr>
          <w:lang w:val="fr-FR"/>
        </w:rPr>
        <w:t>État partie pour lutter contre la violence sexiste à l</w:t>
      </w:r>
      <w:r w:rsidR="0047269F">
        <w:rPr>
          <w:lang w:val="fr-FR"/>
        </w:rPr>
        <w:t>’</w:t>
      </w:r>
      <w:r w:rsidRPr="001C481F">
        <w:rPr>
          <w:lang w:val="fr-FR"/>
        </w:rPr>
        <w:t>égard des femmes, notamment l</w:t>
      </w:r>
      <w:r w:rsidR="0047269F">
        <w:rPr>
          <w:lang w:val="fr-FR"/>
        </w:rPr>
        <w:t>’</w:t>
      </w:r>
      <w:r w:rsidRPr="001C481F">
        <w:rPr>
          <w:lang w:val="fr-FR"/>
        </w:rPr>
        <w:t>adoption de la modification n</w:t>
      </w:r>
      <w:r w:rsidR="006417CE">
        <w:rPr>
          <w:vertAlign w:val="superscript"/>
          <w:lang w:val="fr-FR"/>
        </w:rPr>
        <w:t>o</w:t>
      </w:r>
      <w:r w:rsidR="006417CE" w:rsidRPr="006417CE">
        <w:rPr>
          <w:lang w:val="fr-FR"/>
        </w:rPr>
        <w:t> </w:t>
      </w:r>
      <w:r w:rsidRPr="001C481F">
        <w:rPr>
          <w:lang w:val="fr-FR"/>
        </w:rPr>
        <w:t>11 (2014) de la loi sur les droits des victimes d</w:t>
      </w:r>
      <w:r w:rsidR="0047269F">
        <w:rPr>
          <w:lang w:val="fr-FR"/>
        </w:rPr>
        <w:t>’</w:t>
      </w:r>
      <w:r w:rsidRPr="001C481F">
        <w:rPr>
          <w:lang w:val="fr-FR"/>
        </w:rPr>
        <w:t>infractions, qui dispose que les victimes de violence sexuelle ont le droit de choisir le sexe de l</w:t>
      </w:r>
      <w:r w:rsidR="0047269F">
        <w:rPr>
          <w:lang w:val="fr-FR"/>
        </w:rPr>
        <w:t>’</w:t>
      </w:r>
      <w:r w:rsidRPr="001C481F">
        <w:rPr>
          <w:lang w:val="fr-FR"/>
        </w:rPr>
        <w:t>enquêteur chargé de l</w:t>
      </w:r>
      <w:r w:rsidR="0047269F">
        <w:rPr>
          <w:lang w:val="fr-FR"/>
        </w:rPr>
        <w:t>’</w:t>
      </w:r>
      <w:r w:rsidRPr="001C481F">
        <w:rPr>
          <w:lang w:val="fr-FR"/>
        </w:rPr>
        <w:t>affaire les concernant. Il note que l</w:t>
      </w:r>
      <w:r w:rsidR="0047269F">
        <w:rPr>
          <w:lang w:val="fr-FR"/>
        </w:rPr>
        <w:t>’</w:t>
      </w:r>
      <w:r w:rsidRPr="001C481F">
        <w:rPr>
          <w:lang w:val="fr-FR"/>
        </w:rPr>
        <w:t xml:space="preserve">État partie prend ses dispositions en vue de ratifier la </w:t>
      </w:r>
      <w:r w:rsidRPr="001C481F">
        <w:rPr>
          <w:lang w:val="fr-FR"/>
        </w:rPr>
        <w:lastRenderedPageBreak/>
        <w:t>Convention du Conseil de l</w:t>
      </w:r>
      <w:r w:rsidR="0047269F">
        <w:rPr>
          <w:lang w:val="fr-FR"/>
        </w:rPr>
        <w:t>’</w:t>
      </w:r>
      <w:r w:rsidRPr="001C481F">
        <w:rPr>
          <w:lang w:val="fr-FR"/>
        </w:rPr>
        <w:t>Europe sur la prévention et la lutte contre la violence à l</w:t>
      </w:r>
      <w:r w:rsidR="0047269F">
        <w:rPr>
          <w:lang w:val="fr-FR"/>
        </w:rPr>
        <w:t>’</w:t>
      </w:r>
      <w:r w:rsidRPr="001C481F">
        <w:rPr>
          <w:lang w:val="fr-FR"/>
        </w:rPr>
        <w:t>égard des femmes et la violence domestique. Néanmoins, il demeure préoccupé par :</w:t>
      </w:r>
    </w:p>
    <w:p w14:paraId="3862D390" w14:textId="268ECC75" w:rsidR="001C481F" w:rsidRPr="001C481F" w:rsidRDefault="001C481F" w:rsidP="001C481F">
      <w:pPr>
        <w:pStyle w:val="SingleTxt"/>
        <w:rPr>
          <w:lang w:val="fr-FR"/>
        </w:rPr>
      </w:pPr>
      <w:r w:rsidRPr="001C481F">
        <w:rPr>
          <w:lang w:val="fr-FR"/>
        </w:rPr>
        <w:tab/>
        <w:t>a)</w:t>
      </w:r>
      <w:r w:rsidRPr="001C481F">
        <w:rPr>
          <w:lang w:val="fr-FR"/>
        </w:rPr>
        <w:tab/>
        <w:t>Les cas de violence au sein du couple, notamment les fémicides et les crimes dits d</w:t>
      </w:r>
      <w:r w:rsidR="0047269F">
        <w:rPr>
          <w:lang w:val="fr-FR"/>
        </w:rPr>
        <w:t>’</w:t>
      </w:r>
      <w:r w:rsidRPr="001C481F">
        <w:rPr>
          <w:lang w:val="fr-FR"/>
        </w:rPr>
        <w:t>honneur, dont il est fait état</w:t>
      </w:r>
      <w:r w:rsidR="0047269F">
        <w:rPr>
          <w:lang w:val="fr-FR"/>
        </w:rPr>
        <w:t> ;</w:t>
      </w:r>
    </w:p>
    <w:p w14:paraId="425B06EA" w14:textId="3BEE970C" w:rsidR="001C481F" w:rsidRPr="001C481F" w:rsidRDefault="001C481F" w:rsidP="001C481F">
      <w:pPr>
        <w:pStyle w:val="SingleTxt"/>
        <w:rPr>
          <w:lang w:val="fr-FR"/>
        </w:rPr>
      </w:pPr>
      <w:r w:rsidRPr="001C481F">
        <w:rPr>
          <w:lang w:val="fr-FR"/>
        </w:rPr>
        <w:tab/>
        <w:t>b)</w:t>
      </w:r>
      <w:r w:rsidRPr="001C481F">
        <w:rPr>
          <w:lang w:val="fr-FR"/>
        </w:rPr>
        <w:tab/>
        <w:t>La prévalence de la violence sexuelle et familiale, également signalée par le Rapporteur spécial sur la violence contre les femmes, ses causes et ses conséquences (</w:t>
      </w:r>
      <w:hyperlink r:id="rId36" w:history="1">
        <w:r w:rsidRPr="00483725">
          <w:rPr>
            <w:rStyle w:val="Hyperlink"/>
            <w:color w:val="0000FF"/>
            <w:lang w:val="fr-FR"/>
          </w:rPr>
          <w:t>A/HRC/35/30/Add.1</w:t>
        </w:r>
      </w:hyperlink>
      <w:r w:rsidRPr="001C481F">
        <w:rPr>
          <w:lang w:val="fr-FR"/>
        </w:rPr>
        <w:t>, par. 29 à 32)</w:t>
      </w:r>
      <w:r w:rsidR="0047269F">
        <w:rPr>
          <w:lang w:val="fr-FR"/>
        </w:rPr>
        <w:t> ;</w:t>
      </w:r>
      <w:r w:rsidRPr="001C481F">
        <w:rPr>
          <w:lang w:val="fr-FR"/>
        </w:rPr>
        <w:t xml:space="preserve"> </w:t>
      </w:r>
    </w:p>
    <w:p w14:paraId="3925236A" w14:textId="2DF2BB98" w:rsidR="001C481F" w:rsidRPr="001C481F" w:rsidRDefault="001C481F" w:rsidP="001C481F">
      <w:pPr>
        <w:pStyle w:val="SingleTxt"/>
        <w:rPr>
          <w:lang w:val="fr-FR"/>
        </w:rPr>
      </w:pPr>
      <w:r w:rsidRPr="001C481F">
        <w:rPr>
          <w:lang w:val="fr-FR"/>
        </w:rPr>
        <w:tab/>
        <w:t>c)</w:t>
      </w:r>
      <w:r w:rsidRPr="001C481F">
        <w:rPr>
          <w:lang w:val="fr-FR"/>
        </w:rPr>
        <w:tab/>
        <w:t>Les cas de violence psychologique exercée à l</w:t>
      </w:r>
      <w:r w:rsidR="0047269F">
        <w:rPr>
          <w:lang w:val="fr-FR"/>
        </w:rPr>
        <w:t>’</w:t>
      </w:r>
      <w:r w:rsidRPr="001C481F">
        <w:rPr>
          <w:lang w:val="fr-FR"/>
        </w:rPr>
        <w:t>égard de leur épouse par les maris qui refusent d</w:t>
      </w:r>
      <w:r w:rsidR="0047269F">
        <w:rPr>
          <w:lang w:val="fr-FR"/>
        </w:rPr>
        <w:t>’</w:t>
      </w:r>
      <w:r w:rsidRPr="001C481F">
        <w:rPr>
          <w:lang w:val="fr-FR"/>
        </w:rPr>
        <w:t xml:space="preserve">accorder leur consentement au divorce (également connue sous le nom de chantage au </w:t>
      </w:r>
      <w:r w:rsidR="007D2221">
        <w:rPr>
          <w:i/>
          <w:lang w:val="fr-FR"/>
        </w:rPr>
        <w:t>ge</w:t>
      </w:r>
      <w:r w:rsidR="007D2221" w:rsidRPr="001C481F">
        <w:rPr>
          <w:i/>
          <w:lang w:val="fr-FR"/>
        </w:rPr>
        <w:t>t</w:t>
      </w:r>
      <w:r w:rsidRPr="001C481F">
        <w:rPr>
          <w:lang w:val="fr-FR"/>
        </w:rPr>
        <w:t>)</w:t>
      </w:r>
      <w:r w:rsidR="0047269F">
        <w:rPr>
          <w:lang w:val="fr-FR"/>
        </w:rPr>
        <w:t> ;</w:t>
      </w:r>
    </w:p>
    <w:p w14:paraId="60CC5C44" w14:textId="756E7F2C" w:rsidR="001C481F" w:rsidRPr="001C481F" w:rsidRDefault="009949C5" w:rsidP="001C481F">
      <w:pPr>
        <w:pStyle w:val="SingleTxt"/>
        <w:rPr>
          <w:lang w:val="fr-FR"/>
        </w:rPr>
      </w:pPr>
      <w:r>
        <w:rPr>
          <w:lang w:val="fr-FR"/>
        </w:rPr>
        <w:tab/>
      </w:r>
      <w:r w:rsidR="001C481F" w:rsidRPr="001C481F">
        <w:rPr>
          <w:lang w:val="fr-FR"/>
        </w:rPr>
        <w:t>d)</w:t>
      </w:r>
      <w:r w:rsidR="001C481F" w:rsidRPr="001C481F">
        <w:rPr>
          <w:lang w:val="fr-FR"/>
        </w:rPr>
        <w:tab/>
        <w:t>Les taux élevés de harcèlement sexuel dont font l</w:t>
      </w:r>
      <w:r w:rsidR="0047269F">
        <w:rPr>
          <w:lang w:val="fr-FR"/>
        </w:rPr>
        <w:t>’</w:t>
      </w:r>
      <w:r w:rsidR="001C481F" w:rsidRPr="001C481F">
        <w:rPr>
          <w:lang w:val="fr-FR"/>
        </w:rPr>
        <w:t>objet les femmes et les filles dans tous les contextes.</w:t>
      </w:r>
    </w:p>
    <w:p w14:paraId="1AFC96D7" w14:textId="17349A8D" w:rsidR="001C481F" w:rsidRPr="001C481F" w:rsidRDefault="001C481F" w:rsidP="00AC3FE9">
      <w:pPr>
        <w:pStyle w:val="SingleTxt"/>
        <w:numPr>
          <w:ilvl w:val="0"/>
          <w:numId w:val="9"/>
        </w:numPr>
        <w:spacing w:line="240" w:lineRule="exact"/>
        <w:rPr>
          <w:b/>
          <w:lang w:val="fr-FR"/>
        </w:rPr>
      </w:pPr>
      <w:r w:rsidRPr="001C481F">
        <w:rPr>
          <w:b/>
          <w:bCs/>
          <w:lang w:val="fr-FR"/>
        </w:rPr>
        <w:t>Rappelant ses recommandations générales n</w:t>
      </w:r>
      <w:r w:rsidR="002012DE">
        <w:rPr>
          <w:b/>
          <w:bCs/>
          <w:vertAlign w:val="superscript"/>
          <w:lang w:val="fr-FR"/>
        </w:rPr>
        <w:t>o</w:t>
      </w:r>
      <w:r w:rsidR="002012DE" w:rsidRPr="002012DE">
        <w:rPr>
          <w:b/>
          <w:bCs/>
          <w:lang w:val="fr-FR"/>
        </w:rPr>
        <w:t> </w:t>
      </w:r>
      <w:r w:rsidRPr="001C481F">
        <w:rPr>
          <w:b/>
          <w:bCs/>
          <w:lang w:val="fr-FR"/>
        </w:rPr>
        <w:t xml:space="preserve">19 (1992) sur la violence </w:t>
      </w:r>
      <w:r w:rsidR="004A0AD5">
        <w:rPr>
          <w:b/>
          <w:bCs/>
          <w:lang w:val="fr-FR"/>
        </w:rPr>
        <w:t>contre l</w:t>
      </w:r>
      <w:r w:rsidRPr="001C481F">
        <w:rPr>
          <w:b/>
          <w:bCs/>
          <w:lang w:val="fr-FR"/>
        </w:rPr>
        <w:t>es femmes et n</w:t>
      </w:r>
      <w:r w:rsidR="002012DE">
        <w:rPr>
          <w:b/>
          <w:bCs/>
          <w:vertAlign w:val="superscript"/>
          <w:lang w:val="fr-FR"/>
        </w:rPr>
        <w:t>o</w:t>
      </w:r>
      <w:r w:rsidR="002012DE" w:rsidRPr="002012DE">
        <w:rPr>
          <w:b/>
          <w:bCs/>
          <w:lang w:val="fr-FR"/>
        </w:rPr>
        <w:t> </w:t>
      </w:r>
      <w:r w:rsidRPr="001C481F">
        <w:rPr>
          <w:b/>
          <w:bCs/>
          <w:lang w:val="fr-FR"/>
        </w:rPr>
        <w:t xml:space="preserve">35 (2017) </w:t>
      </w:r>
      <w:r w:rsidR="00EC437D" w:rsidRPr="00EC437D">
        <w:rPr>
          <w:b/>
          <w:bCs/>
          <w:lang w:val="fr-FR"/>
        </w:rPr>
        <w:t>sur la violence sexiste à l’égard des femmes, portant actualisation de la recommandation générale n</w:t>
      </w:r>
      <w:r w:rsidR="00EC437D" w:rsidRPr="00EC437D">
        <w:rPr>
          <w:b/>
          <w:bCs/>
          <w:vertAlign w:val="superscript"/>
          <w:lang w:val="fr-FR"/>
        </w:rPr>
        <w:t>o</w:t>
      </w:r>
      <w:r w:rsidR="00EC437D">
        <w:rPr>
          <w:b/>
          <w:bCs/>
          <w:lang w:val="fr-FR"/>
        </w:rPr>
        <w:t> </w:t>
      </w:r>
      <w:r w:rsidR="00EC437D" w:rsidRPr="00EC437D">
        <w:rPr>
          <w:b/>
          <w:bCs/>
          <w:lang w:val="fr-FR"/>
        </w:rPr>
        <w:t>19</w:t>
      </w:r>
      <w:r w:rsidRPr="001C481F">
        <w:rPr>
          <w:b/>
          <w:bCs/>
          <w:lang w:val="fr-FR"/>
        </w:rPr>
        <w:t>, et conformément à la cible 5.2 des objectifs de développement durable (Éliminer de la vie publique et de la vie privée toutes les formes de violence faite aux femmes et aux filles</w:t>
      </w:r>
      <w:r w:rsidR="00AC3FE9" w:rsidRPr="00AC3FE9">
        <w:t xml:space="preserve"> </w:t>
      </w:r>
      <w:r w:rsidR="00AC3FE9" w:rsidRPr="00AC3FE9">
        <w:rPr>
          <w:b/>
          <w:bCs/>
          <w:lang w:val="fr-FR"/>
        </w:rPr>
        <w:t>, y compris la traite et l’exploitation sexuelle et d’autres types d’exploitation</w:t>
      </w:r>
      <w:r w:rsidRPr="001C481F">
        <w:rPr>
          <w:b/>
          <w:bCs/>
          <w:lang w:val="fr-FR"/>
        </w:rPr>
        <w:t>), le Comité recommande que l</w:t>
      </w:r>
      <w:r w:rsidR="0047269F">
        <w:rPr>
          <w:b/>
          <w:bCs/>
          <w:lang w:val="fr-FR"/>
        </w:rPr>
        <w:t>’</w:t>
      </w:r>
      <w:r w:rsidRPr="001C481F">
        <w:rPr>
          <w:b/>
          <w:bCs/>
          <w:lang w:val="fr-FR"/>
        </w:rPr>
        <w:t>État partie</w:t>
      </w:r>
      <w:r w:rsidR="0047269F">
        <w:rPr>
          <w:b/>
          <w:bCs/>
          <w:lang w:val="fr-FR"/>
        </w:rPr>
        <w:t xml:space="preserve"> : </w:t>
      </w:r>
    </w:p>
    <w:p w14:paraId="67336C6D" w14:textId="7086AB95" w:rsidR="001C481F" w:rsidRPr="001C481F" w:rsidRDefault="001C481F" w:rsidP="001C481F">
      <w:pPr>
        <w:pStyle w:val="SingleTxt"/>
        <w:rPr>
          <w:b/>
          <w:lang w:val="fr-FR"/>
        </w:rPr>
      </w:pPr>
      <w:r w:rsidRPr="001C481F">
        <w:rPr>
          <w:lang w:val="fr-FR"/>
        </w:rPr>
        <w:tab/>
      </w:r>
      <w:r w:rsidRPr="001C481F">
        <w:rPr>
          <w:b/>
          <w:bCs/>
          <w:lang w:val="fr-FR"/>
        </w:rPr>
        <w:t>a)</w:t>
      </w:r>
      <w:r w:rsidRPr="001C481F">
        <w:rPr>
          <w:lang w:val="fr-FR"/>
        </w:rPr>
        <w:tab/>
      </w:r>
      <w:r w:rsidRPr="001C481F">
        <w:rPr>
          <w:b/>
          <w:bCs/>
          <w:lang w:val="fr-FR"/>
        </w:rPr>
        <w:t>Redouble d</w:t>
      </w:r>
      <w:r w:rsidR="0047269F">
        <w:rPr>
          <w:b/>
          <w:bCs/>
          <w:lang w:val="fr-FR"/>
        </w:rPr>
        <w:t>’</w:t>
      </w:r>
      <w:r w:rsidRPr="001C481F">
        <w:rPr>
          <w:b/>
          <w:bCs/>
          <w:lang w:val="fr-FR"/>
        </w:rPr>
        <w:t>efforts pour lutter contre la violence sexiste à l</w:t>
      </w:r>
      <w:r w:rsidR="0047269F">
        <w:rPr>
          <w:b/>
          <w:bCs/>
          <w:lang w:val="fr-FR"/>
        </w:rPr>
        <w:t>’</w:t>
      </w:r>
      <w:r w:rsidRPr="001C481F">
        <w:rPr>
          <w:b/>
          <w:bCs/>
          <w:lang w:val="fr-FR"/>
        </w:rPr>
        <w:t xml:space="preserve">égard des femmes, notamment le fémicide et la violence familiale, en veillant à ce que </w:t>
      </w:r>
      <w:r w:rsidR="00AC3FE9">
        <w:rPr>
          <w:b/>
          <w:bCs/>
          <w:lang w:val="fr-FR"/>
        </w:rPr>
        <w:t>c</w:t>
      </w:r>
      <w:r w:rsidRPr="001C481F">
        <w:rPr>
          <w:b/>
          <w:bCs/>
          <w:lang w:val="fr-FR"/>
        </w:rPr>
        <w:t>es actes de violence fassent effectivement l</w:t>
      </w:r>
      <w:r w:rsidR="0047269F">
        <w:rPr>
          <w:b/>
          <w:bCs/>
          <w:lang w:val="fr-FR"/>
        </w:rPr>
        <w:t>’</w:t>
      </w:r>
      <w:r w:rsidRPr="001C481F">
        <w:rPr>
          <w:b/>
          <w:bCs/>
          <w:lang w:val="fr-FR"/>
        </w:rPr>
        <w:t>objet d</w:t>
      </w:r>
      <w:r w:rsidR="0047269F">
        <w:rPr>
          <w:b/>
          <w:bCs/>
          <w:lang w:val="fr-FR"/>
        </w:rPr>
        <w:t>’</w:t>
      </w:r>
      <w:r w:rsidRPr="001C481F">
        <w:rPr>
          <w:b/>
          <w:bCs/>
          <w:lang w:val="fr-FR"/>
        </w:rPr>
        <w:t>une enquête, que leurs auteurs soient poursuivis et que des peines appropriées soient prononcées contre eux</w:t>
      </w:r>
      <w:r w:rsidR="0047269F">
        <w:rPr>
          <w:b/>
          <w:bCs/>
          <w:lang w:val="fr-FR"/>
        </w:rPr>
        <w:t> ;</w:t>
      </w:r>
      <w:r w:rsidRPr="001C481F">
        <w:rPr>
          <w:lang w:val="fr-FR"/>
        </w:rPr>
        <w:t xml:space="preserve"> </w:t>
      </w:r>
    </w:p>
    <w:p w14:paraId="3AD385E3" w14:textId="50BFD134" w:rsidR="001C481F" w:rsidRPr="001C481F" w:rsidRDefault="001C481F" w:rsidP="001C481F">
      <w:pPr>
        <w:pStyle w:val="SingleTxt"/>
        <w:rPr>
          <w:b/>
          <w:lang w:val="fr-FR"/>
        </w:rPr>
      </w:pPr>
      <w:r w:rsidRPr="001C481F">
        <w:rPr>
          <w:lang w:val="fr-FR"/>
        </w:rPr>
        <w:tab/>
      </w:r>
      <w:r w:rsidRPr="001C481F">
        <w:rPr>
          <w:b/>
          <w:bCs/>
          <w:lang w:val="fr-FR"/>
        </w:rPr>
        <w:t>b)</w:t>
      </w:r>
      <w:r w:rsidRPr="001C481F">
        <w:rPr>
          <w:lang w:val="fr-FR"/>
        </w:rPr>
        <w:tab/>
      </w:r>
      <w:r w:rsidRPr="001C481F">
        <w:rPr>
          <w:b/>
          <w:bCs/>
          <w:lang w:val="fr-FR"/>
        </w:rPr>
        <w:t>Protège les femmes contre la violence psychologique exercée par le</w:t>
      </w:r>
      <w:r w:rsidR="00AC3FE9">
        <w:rPr>
          <w:b/>
          <w:bCs/>
          <w:lang w:val="fr-FR"/>
        </w:rPr>
        <w:t>ur</w:t>
      </w:r>
      <w:r w:rsidRPr="001C481F">
        <w:rPr>
          <w:b/>
          <w:bCs/>
          <w:lang w:val="fr-FR"/>
        </w:rPr>
        <w:t xml:space="preserve"> mari dans le cadre de la procédure de divorce, notamment en veillant à ce que les tribunaux imposent des sanctions appropriées</w:t>
      </w:r>
      <w:r w:rsidR="0047269F">
        <w:rPr>
          <w:b/>
          <w:bCs/>
          <w:lang w:val="fr-FR"/>
        </w:rPr>
        <w:t> ;</w:t>
      </w:r>
    </w:p>
    <w:p w14:paraId="5FC42BB5" w14:textId="0B9DBE5E" w:rsidR="001C481F" w:rsidRPr="001C481F" w:rsidRDefault="001C481F" w:rsidP="001C481F">
      <w:pPr>
        <w:pStyle w:val="SingleTxt"/>
        <w:rPr>
          <w:b/>
          <w:lang w:val="fr-FR"/>
        </w:rPr>
      </w:pPr>
      <w:r w:rsidRPr="001C481F">
        <w:rPr>
          <w:lang w:val="fr-FR"/>
        </w:rPr>
        <w:tab/>
      </w:r>
      <w:r w:rsidRPr="001C481F">
        <w:rPr>
          <w:b/>
          <w:bCs/>
          <w:lang w:val="fr-FR"/>
        </w:rPr>
        <w:t>c)</w:t>
      </w:r>
      <w:r w:rsidRPr="001C481F">
        <w:rPr>
          <w:lang w:val="fr-FR"/>
        </w:rPr>
        <w:tab/>
      </w:r>
      <w:r w:rsidRPr="001C481F">
        <w:rPr>
          <w:b/>
          <w:bCs/>
          <w:lang w:val="fr-FR"/>
        </w:rPr>
        <w:t>Applique une politique de tolérance zéro vis-à-vis du harcèlement sexuel et veille à ce que les auteurs d</w:t>
      </w:r>
      <w:r w:rsidR="0047269F">
        <w:rPr>
          <w:b/>
          <w:bCs/>
          <w:lang w:val="fr-FR"/>
        </w:rPr>
        <w:t>’</w:t>
      </w:r>
      <w:r w:rsidRPr="001C481F">
        <w:rPr>
          <w:b/>
          <w:bCs/>
          <w:lang w:val="fr-FR"/>
        </w:rPr>
        <w:t>actes de violence de quelque nature que ce soit perpétrés contre les femmes et les filles soient dûment poursuivis et sanctionnés</w:t>
      </w:r>
      <w:r w:rsidR="0047269F">
        <w:rPr>
          <w:b/>
          <w:bCs/>
          <w:lang w:val="fr-FR"/>
        </w:rPr>
        <w:t> ;</w:t>
      </w:r>
    </w:p>
    <w:p w14:paraId="03CD9B38" w14:textId="30892E10" w:rsidR="001C481F" w:rsidRDefault="009949C5" w:rsidP="001C481F">
      <w:pPr>
        <w:pStyle w:val="SingleTxt"/>
        <w:rPr>
          <w:b/>
          <w:bCs/>
          <w:lang w:val="fr-FR"/>
        </w:rPr>
      </w:pPr>
      <w:r>
        <w:rPr>
          <w:b/>
          <w:bCs/>
          <w:lang w:val="fr-FR"/>
        </w:rPr>
        <w:tab/>
      </w:r>
      <w:r w:rsidR="001C481F" w:rsidRPr="001C481F">
        <w:rPr>
          <w:b/>
          <w:bCs/>
          <w:lang w:val="fr-FR"/>
        </w:rPr>
        <w:t>d)</w:t>
      </w:r>
      <w:r w:rsidR="001C481F" w:rsidRPr="001C481F">
        <w:rPr>
          <w:lang w:val="fr-FR"/>
        </w:rPr>
        <w:tab/>
      </w:r>
      <w:r w:rsidR="001C481F" w:rsidRPr="001C481F">
        <w:rPr>
          <w:b/>
          <w:bCs/>
          <w:lang w:val="fr-FR"/>
        </w:rPr>
        <w:t>Accélère la procédure de ratification de la Convention du Conseil de l</w:t>
      </w:r>
      <w:r w:rsidR="0047269F">
        <w:rPr>
          <w:b/>
          <w:bCs/>
          <w:lang w:val="fr-FR"/>
        </w:rPr>
        <w:t>’</w:t>
      </w:r>
      <w:r w:rsidR="001C481F" w:rsidRPr="001C481F">
        <w:rPr>
          <w:b/>
          <w:bCs/>
          <w:lang w:val="fr-FR"/>
        </w:rPr>
        <w:t>Europe sur la prévention et la lutte contre la violence à l</w:t>
      </w:r>
      <w:r w:rsidR="0047269F">
        <w:rPr>
          <w:b/>
          <w:bCs/>
          <w:lang w:val="fr-FR"/>
        </w:rPr>
        <w:t>’</w:t>
      </w:r>
      <w:r w:rsidR="001C481F" w:rsidRPr="001C481F">
        <w:rPr>
          <w:b/>
          <w:bCs/>
          <w:lang w:val="fr-FR"/>
        </w:rPr>
        <w:t>égard des femmes et la violence domestique.</w:t>
      </w:r>
    </w:p>
    <w:p w14:paraId="4A4F8EF6" w14:textId="2A900F9F" w:rsidR="009949C5" w:rsidRPr="009949C5" w:rsidRDefault="009949C5" w:rsidP="009949C5">
      <w:pPr>
        <w:pStyle w:val="SingleTxt"/>
        <w:spacing w:after="0" w:line="120" w:lineRule="exact"/>
        <w:rPr>
          <w:b/>
          <w:bCs/>
          <w:sz w:val="10"/>
          <w:lang w:val="fr-FR"/>
        </w:rPr>
      </w:pPr>
    </w:p>
    <w:p w14:paraId="01C86C5E" w14:textId="41A88998" w:rsidR="001C481F" w:rsidRDefault="001C481F" w:rsidP="009949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481F">
        <w:rPr>
          <w:lang w:val="fr-FR"/>
        </w:rPr>
        <w:tab/>
      </w:r>
      <w:r w:rsidRPr="001C481F">
        <w:rPr>
          <w:lang w:val="fr-FR"/>
        </w:rPr>
        <w:tab/>
        <w:t>Violence et harcèlement à l</w:t>
      </w:r>
      <w:r w:rsidR="0047269F">
        <w:rPr>
          <w:lang w:val="fr-FR"/>
        </w:rPr>
        <w:t>’</w:t>
      </w:r>
      <w:r w:rsidRPr="001C481F">
        <w:rPr>
          <w:lang w:val="fr-FR"/>
        </w:rPr>
        <w:t xml:space="preserve">égard des femmes dans le Territoire </w:t>
      </w:r>
      <w:r w:rsidR="009949C5">
        <w:rPr>
          <w:lang w:val="fr-FR"/>
        </w:rPr>
        <w:br/>
      </w:r>
      <w:r w:rsidRPr="001C481F">
        <w:rPr>
          <w:lang w:val="fr-FR"/>
        </w:rPr>
        <w:t>palestinien occupé</w:t>
      </w:r>
    </w:p>
    <w:p w14:paraId="52FFA36C" w14:textId="1B1216A5" w:rsidR="009949C5" w:rsidRPr="009949C5" w:rsidRDefault="009949C5" w:rsidP="009949C5">
      <w:pPr>
        <w:pStyle w:val="SingleTxt"/>
        <w:keepNext/>
        <w:spacing w:after="0" w:line="120" w:lineRule="exact"/>
        <w:rPr>
          <w:sz w:val="10"/>
          <w:lang w:val="fr-FR"/>
        </w:rPr>
      </w:pPr>
    </w:p>
    <w:p w14:paraId="00F20E65" w14:textId="2BB0F075" w:rsidR="001C481F" w:rsidRPr="001C481F" w:rsidRDefault="001C481F" w:rsidP="00D55120">
      <w:pPr>
        <w:pStyle w:val="SingleTxt"/>
        <w:numPr>
          <w:ilvl w:val="0"/>
          <w:numId w:val="10"/>
        </w:numPr>
        <w:spacing w:line="240" w:lineRule="exact"/>
        <w:rPr>
          <w:lang w:val="fr-FR"/>
        </w:rPr>
      </w:pPr>
      <w:r w:rsidRPr="001C481F">
        <w:rPr>
          <w:lang w:val="fr-FR"/>
        </w:rPr>
        <w:t>Tout en gardant à l</w:t>
      </w:r>
      <w:r w:rsidR="0047269F">
        <w:rPr>
          <w:lang w:val="fr-FR"/>
        </w:rPr>
        <w:t>’</w:t>
      </w:r>
      <w:r w:rsidRPr="001C481F">
        <w:rPr>
          <w:lang w:val="fr-FR"/>
        </w:rPr>
        <w:t>esprit la complexité de la situation, en particulier en ce qui concerne l</w:t>
      </w:r>
      <w:r w:rsidR="0047269F">
        <w:rPr>
          <w:lang w:val="fr-FR"/>
        </w:rPr>
        <w:t>’</w:t>
      </w:r>
      <w:r w:rsidRPr="001C481F">
        <w:rPr>
          <w:lang w:val="fr-FR"/>
        </w:rPr>
        <w:t>administration locale, le Comité constate avec inquiétude que les femmes et les filles palestiniennes continuent d</w:t>
      </w:r>
      <w:r w:rsidR="0047269F">
        <w:rPr>
          <w:lang w:val="fr-FR"/>
        </w:rPr>
        <w:t>’</w:t>
      </w:r>
      <w:r w:rsidRPr="001C481F">
        <w:rPr>
          <w:lang w:val="fr-FR"/>
        </w:rPr>
        <w:t>être victimes d</w:t>
      </w:r>
      <w:r w:rsidR="0047269F">
        <w:rPr>
          <w:lang w:val="fr-FR"/>
        </w:rPr>
        <w:t>’</w:t>
      </w:r>
      <w:r w:rsidRPr="001C481F">
        <w:rPr>
          <w:lang w:val="fr-FR"/>
        </w:rPr>
        <w:t>un usage excessif de la force ainsi que de violences physiques, psychologiques et verbales, de violations de leur droit à la vie et d</w:t>
      </w:r>
      <w:r w:rsidR="0047269F">
        <w:rPr>
          <w:lang w:val="fr-FR"/>
        </w:rPr>
        <w:t>’</w:t>
      </w:r>
      <w:r w:rsidRPr="001C481F">
        <w:rPr>
          <w:lang w:val="fr-FR"/>
        </w:rPr>
        <w:t>actes de harcèlement sexuel commis par les forces de sécurité de l</w:t>
      </w:r>
      <w:r w:rsidR="0047269F">
        <w:rPr>
          <w:lang w:val="fr-FR"/>
        </w:rPr>
        <w:t>’</w:t>
      </w:r>
      <w:r w:rsidRPr="001C481F">
        <w:rPr>
          <w:lang w:val="fr-FR"/>
        </w:rPr>
        <w:t>État partie et par des colons israéliens. Il note également avec préoccupation ce qui suit :</w:t>
      </w:r>
    </w:p>
    <w:p w14:paraId="611EEDAB" w14:textId="2F61093B" w:rsidR="001C481F" w:rsidRPr="001C481F" w:rsidRDefault="009949C5" w:rsidP="001C481F">
      <w:pPr>
        <w:pStyle w:val="SingleTxt"/>
        <w:rPr>
          <w:lang w:val="fr-FR"/>
        </w:rPr>
      </w:pPr>
      <w:r>
        <w:rPr>
          <w:lang w:val="fr-FR"/>
        </w:rPr>
        <w:tab/>
      </w:r>
      <w:r w:rsidR="001C481F" w:rsidRPr="001C481F">
        <w:rPr>
          <w:lang w:val="fr-FR"/>
        </w:rPr>
        <w:t>a)</w:t>
      </w:r>
      <w:r w:rsidR="001C481F" w:rsidRPr="001C481F">
        <w:rPr>
          <w:lang w:val="fr-FR"/>
        </w:rPr>
        <w:tab/>
        <w:t>En raison des restrictions qui entravent la liberté de circulation dans le Territoire palestinien occupé, les femmes et les filles palestiniennes continuent d</w:t>
      </w:r>
      <w:r w:rsidR="0047269F">
        <w:rPr>
          <w:lang w:val="fr-FR"/>
        </w:rPr>
        <w:t>’</w:t>
      </w:r>
      <w:r w:rsidR="001C481F" w:rsidRPr="001C481F">
        <w:rPr>
          <w:lang w:val="fr-FR"/>
        </w:rPr>
        <w:t>être harcelées aux postes de contrôle ou par des colons lorsqu</w:t>
      </w:r>
      <w:r w:rsidR="0047269F">
        <w:rPr>
          <w:lang w:val="fr-FR"/>
        </w:rPr>
        <w:t>’</w:t>
      </w:r>
      <w:r w:rsidR="001C481F" w:rsidRPr="001C481F">
        <w:rPr>
          <w:lang w:val="fr-FR"/>
        </w:rPr>
        <w:t>elles se rendent sur leur lieu de travail ou à l</w:t>
      </w:r>
      <w:r w:rsidR="0047269F">
        <w:rPr>
          <w:lang w:val="fr-FR"/>
        </w:rPr>
        <w:t>’</w:t>
      </w:r>
      <w:r w:rsidR="001C481F" w:rsidRPr="001C481F">
        <w:rPr>
          <w:lang w:val="fr-FR"/>
        </w:rPr>
        <w:t>école et en reviennent</w:t>
      </w:r>
      <w:r w:rsidR="0047269F">
        <w:rPr>
          <w:lang w:val="fr-FR"/>
        </w:rPr>
        <w:t> ;</w:t>
      </w:r>
    </w:p>
    <w:p w14:paraId="7A9093B3" w14:textId="7A8EE95B" w:rsidR="001C481F" w:rsidRPr="001C481F" w:rsidRDefault="009949C5" w:rsidP="001C481F">
      <w:pPr>
        <w:pStyle w:val="SingleTxt"/>
        <w:rPr>
          <w:lang w:val="fr-FR"/>
        </w:rPr>
      </w:pPr>
      <w:r>
        <w:rPr>
          <w:lang w:val="fr-FR"/>
        </w:rPr>
        <w:lastRenderedPageBreak/>
        <w:tab/>
      </w:r>
      <w:r w:rsidR="001C481F" w:rsidRPr="001C481F">
        <w:rPr>
          <w:lang w:val="fr-FR"/>
        </w:rPr>
        <w:t>b)</w:t>
      </w:r>
      <w:r w:rsidR="001C481F" w:rsidRPr="001C481F">
        <w:rPr>
          <w:lang w:val="fr-FR"/>
        </w:rPr>
        <w:tab/>
        <w:t>Les descentes nocturnes menées par les forces de sécurité israéliennes touchent de façon disproportionnée les femmes et les filles.</w:t>
      </w:r>
    </w:p>
    <w:p w14:paraId="177F3E47" w14:textId="19BB7EBF" w:rsidR="001C481F" w:rsidRPr="00F6442E" w:rsidRDefault="001C481F" w:rsidP="00D55120">
      <w:pPr>
        <w:pStyle w:val="SingleTxt"/>
        <w:numPr>
          <w:ilvl w:val="0"/>
          <w:numId w:val="10"/>
        </w:numPr>
        <w:spacing w:line="240" w:lineRule="exact"/>
        <w:rPr>
          <w:b/>
          <w:bCs/>
          <w:lang w:val="fr-FR"/>
        </w:rPr>
      </w:pPr>
      <w:r w:rsidRPr="001C481F">
        <w:rPr>
          <w:b/>
          <w:bCs/>
          <w:lang w:val="fr-FR"/>
        </w:rPr>
        <w:t xml:space="preserve">Le Comité renouvelle ses observations finales </w:t>
      </w:r>
      <w:r w:rsidRPr="00F6442E">
        <w:rPr>
          <w:b/>
          <w:bCs/>
          <w:lang w:val="fr-FR"/>
        </w:rPr>
        <w:t>précédentes</w:t>
      </w:r>
      <w:r w:rsidR="00A01FB8">
        <w:rPr>
          <w:b/>
          <w:bCs/>
          <w:lang w:val="fr-FR"/>
        </w:rPr>
        <w:t xml:space="preserve"> </w:t>
      </w:r>
      <w:r w:rsidRPr="00F6442E">
        <w:rPr>
          <w:b/>
          <w:bCs/>
          <w:lang w:val="fr-FR"/>
        </w:rPr>
        <w:t>(</w:t>
      </w:r>
      <w:hyperlink r:id="rId37" w:history="1">
        <w:r w:rsidR="00A01FB8" w:rsidRPr="00FC4232">
          <w:rPr>
            <w:rStyle w:val="Hyperlink"/>
            <w:color w:val="0000FF"/>
            <w:lang w:val="fr-FR"/>
          </w:rPr>
          <w:t>CEDAW/C/ISR/</w:t>
        </w:r>
        <w:r w:rsidRPr="00FC4232">
          <w:rPr>
            <w:rStyle w:val="Hyperlink"/>
            <w:color w:val="0000FF"/>
            <w:lang w:val="fr-FR"/>
          </w:rPr>
          <w:t>CO/5</w:t>
        </w:r>
      </w:hyperlink>
      <w:r w:rsidRPr="00F6442E">
        <w:rPr>
          <w:b/>
          <w:bCs/>
          <w:lang w:val="fr-FR"/>
        </w:rPr>
        <w:t>, par. 23) et recommande que l</w:t>
      </w:r>
      <w:r w:rsidR="0047269F" w:rsidRPr="00F6442E">
        <w:rPr>
          <w:b/>
          <w:bCs/>
          <w:lang w:val="fr-FR"/>
        </w:rPr>
        <w:t>’</w:t>
      </w:r>
      <w:r w:rsidRPr="00F6442E">
        <w:rPr>
          <w:b/>
          <w:bCs/>
          <w:lang w:val="fr-FR"/>
        </w:rPr>
        <w:t>État partie :</w:t>
      </w:r>
    </w:p>
    <w:p w14:paraId="0784F433" w14:textId="3B2DE5E6" w:rsidR="001C481F" w:rsidRPr="001C481F" w:rsidRDefault="009949C5" w:rsidP="001C481F">
      <w:pPr>
        <w:pStyle w:val="SingleTxt"/>
        <w:rPr>
          <w:b/>
          <w:lang w:val="fr-FR"/>
        </w:rPr>
      </w:pPr>
      <w:r>
        <w:rPr>
          <w:b/>
          <w:bCs/>
          <w:lang w:val="fr-FR"/>
        </w:rPr>
        <w:tab/>
      </w:r>
      <w:r w:rsidR="001C481F" w:rsidRPr="001C481F">
        <w:rPr>
          <w:b/>
          <w:bCs/>
          <w:lang w:val="fr-FR"/>
        </w:rPr>
        <w:t>a)</w:t>
      </w:r>
      <w:r w:rsidR="001C481F" w:rsidRPr="001C481F">
        <w:rPr>
          <w:lang w:val="fr-FR"/>
        </w:rPr>
        <w:tab/>
      </w:r>
      <w:r w:rsidR="001C481F" w:rsidRPr="001C481F">
        <w:rPr>
          <w:b/>
          <w:bCs/>
          <w:lang w:val="fr-FR"/>
        </w:rPr>
        <w:t>Mette un terme immédiat à l</w:t>
      </w:r>
      <w:r w:rsidR="0047269F">
        <w:rPr>
          <w:b/>
          <w:bCs/>
          <w:lang w:val="fr-FR"/>
        </w:rPr>
        <w:t>’</w:t>
      </w:r>
      <w:r w:rsidR="001C481F" w:rsidRPr="001C481F">
        <w:rPr>
          <w:b/>
          <w:bCs/>
          <w:lang w:val="fr-FR"/>
        </w:rPr>
        <w:t>ensemble des violations et des exactions commises contre les femmes et les filles dans le Territoire palestinien occupé et lève toutes les restrictions à la liberté de circulation</w:t>
      </w:r>
      <w:r w:rsidR="0047269F">
        <w:rPr>
          <w:b/>
          <w:bCs/>
          <w:lang w:val="fr-FR"/>
        </w:rPr>
        <w:t> ;</w:t>
      </w:r>
    </w:p>
    <w:p w14:paraId="12990A2B" w14:textId="21D808AC" w:rsidR="001C481F" w:rsidRPr="001C481F" w:rsidRDefault="009949C5" w:rsidP="001C481F">
      <w:pPr>
        <w:pStyle w:val="SingleTxt"/>
        <w:rPr>
          <w:b/>
          <w:lang w:val="fr-FR"/>
        </w:rPr>
      </w:pPr>
      <w:r>
        <w:rPr>
          <w:b/>
          <w:bCs/>
          <w:lang w:val="fr-FR"/>
        </w:rPr>
        <w:tab/>
      </w:r>
      <w:r w:rsidR="001C481F" w:rsidRPr="001C481F">
        <w:rPr>
          <w:b/>
          <w:bCs/>
          <w:lang w:val="fr-FR"/>
        </w:rPr>
        <w:t>b)</w:t>
      </w:r>
      <w:r w:rsidR="001C481F" w:rsidRPr="001C481F">
        <w:rPr>
          <w:lang w:val="fr-FR"/>
        </w:rPr>
        <w:tab/>
      </w:r>
      <w:r w:rsidR="001C481F" w:rsidRPr="001C481F">
        <w:rPr>
          <w:b/>
          <w:bCs/>
          <w:lang w:val="fr-FR"/>
        </w:rPr>
        <w:t>Lutte contre l</w:t>
      </w:r>
      <w:r w:rsidR="0047269F">
        <w:rPr>
          <w:b/>
          <w:bCs/>
          <w:lang w:val="fr-FR"/>
        </w:rPr>
        <w:t>’</w:t>
      </w:r>
      <w:r w:rsidR="001C481F" w:rsidRPr="001C481F">
        <w:rPr>
          <w:b/>
          <w:bCs/>
          <w:lang w:val="fr-FR"/>
        </w:rPr>
        <w:t>impunité des auteurs de violations des droits de l</w:t>
      </w:r>
      <w:r w:rsidR="0047269F">
        <w:rPr>
          <w:b/>
          <w:bCs/>
          <w:lang w:val="fr-FR"/>
        </w:rPr>
        <w:t>’</w:t>
      </w:r>
      <w:r w:rsidR="001C481F" w:rsidRPr="001C481F">
        <w:rPr>
          <w:b/>
          <w:bCs/>
          <w:lang w:val="fr-FR"/>
        </w:rPr>
        <w:t>homme et propose des voies de recours aux victimes</w:t>
      </w:r>
      <w:r w:rsidR="0047269F">
        <w:rPr>
          <w:b/>
          <w:bCs/>
          <w:lang w:val="fr-FR"/>
        </w:rPr>
        <w:t> ;</w:t>
      </w:r>
      <w:r w:rsidR="001C481F" w:rsidRPr="001C481F">
        <w:rPr>
          <w:lang w:val="fr-FR"/>
        </w:rPr>
        <w:t xml:space="preserve"> </w:t>
      </w:r>
    </w:p>
    <w:p w14:paraId="1427CB98" w14:textId="10189E2F" w:rsidR="001C481F" w:rsidRDefault="009949C5" w:rsidP="001C481F">
      <w:pPr>
        <w:pStyle w:val="SingleTxt"/>
        <w:rPr>
          <w:lang w:val="fr-FR"/>
        </w:rPr>
      </w:pPr>
      <w:r>
        <w:rPr>
          <w:b/>
          <w:bCs/>
          <w:lang w:val="fr-FR"/>
        </w:rPr>
        <w:tab/>
      </w:r>
      <w:r w:rsidR="001C481F" w:rsidRPr="001C481F">
        <w:rPr>
          <w:b/>
          <w:bCs/>
          <w:lang w:val="fr-FR"/>
        </w:rPr>
        <w:t>c)</w:t>
      </w:r>
      <w:r w:rsidR="001C481F" w:rsidRPr="001C481F">
        <w:rPr>
          <w:lang w:val="fr-FR"/>
        </w:rPr>
        <w:tab/>
      </w:r>
      <w:r w:rsidR="001C481F" w:rsidRPr="001C481F">
        <w:rPr>
          <w:b/>
          <w:bCs/>
          <w:lang w:val="fr-FR"/>
        </w:rPr>
        <w:t>Veille à ce que les descentes nocturnes soient menées dans le respect des garanties prévues par la loi et des droits consacrés par la Convention.</w:t>
      </w:r>
      <w:r w:rsidR="001C481F" w:rsidRPr="001C481F">
        <w:rPr>
          <w:lang w:val="fr-FR"/>
        </w:rPr>
        <w:t xml:space="preserve"> </w:t>
      </w:r>
    </w:p>
    <w:p w14:paraId="1B793AE2" w14:textId="281F8EA3" w:rsidR="00410A6C" w:rsidRPr="00410A6C" w:rsidRDefault="00410A6C" w:rsidP="00410A6C">
      <w:pPr>
        <w:pStyle w:val="SingleTxt"/>
        <w:spacing w:after="0" w:line="120" w:lineRule="exact"/>
        <w:rPr>
          <w:sz w:val="10"/>
          <w:lang w:val="fr-FR"/>
        </w:rPr>
      </w:pPr>
    </w:p>
    <w:p w14:paraId="55BA53FE" w14:textId="77777777" w:rsidR="001C481F" w:rsidRPr="001C481F" w:rsidRDefault="001C481F" w:rsidP="00410A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481F">
        <w:rPr>
          <w:lang w:val="fr-FR"/>
        </w:rPr>
        <w:tab/>
      </w:r>
      <w:r w:rsidRPr="001C481F">
        <w:rPr>
          <w:lang w:val="fr-FR"/>
        </w:rPr>
        <w:tab/>
        <w:t xml:space="preserve">Expulsions et démolition de maisons </w:t>
      </w:r>
    </w:p>
    <w:p w14:paraId="64C483D7" w14:textId="24471626" w:rsidR="00410A6C" w:rsidRPr="00410A6C" w:rsidRDefault="00410A6C" w:rsidP="00410A6C">
      <w:pPr>
        <w:pStyle w:val="SingleTxt"/>
        <w:spacing w:after="0" w:line="120" w:lineRule="exact"/>
        <w:rPr>
          <w:sz w:val="10"/>
          <w:lang w:val="fr-FR"/>
        </w:rPr>
      </w:pPr>
    </w:p>
    <w:p w14:paraId="683525F1" w14:textId="48FA3423" w:rsidR="001C481F" w:rsidRPr="001C481F" w:rsidRDefault="001C481F" w:rsidP="00D55120">
      <w:pPr>
        <w:pStyle w:val="SingleTxt"/>
        <w:numPr>
          <w:ilvl w:val="0"/>
          <w:numId w:val="11"/>
        </w:numPr>
        <w:spacing w:line="240" w:lineRule="exact"/>
        <w:rPr>
          <w:lang w:val="fr-FR"/>
        </w:rPr>
      </w:pPr>
      <w:r w:rsidRPr="001C481F">
        <w:rPr>
          <w:lang w:val="fr-FR"/>
        </w:rPr>
        <w:t>Le Comité</w:t>
      </w:r>
      <w:r w:rsidR="00871D56">
        <w:rPr>
          <w:lang w:val="fr-FR"/>
        </w:rPr>
        <w:t>,</w:t>
      </w:r>
      <w:r w:rsidRPr="001C481F">
        <w:rPr>
          <w:lang w:val="fr-FR"/>
        </w:rPr>
        <w:t xml:space="preserve"> rappel</w:t>
      </w:r>
      <w:r w:rsidR="00871D56">
        <w:rPr>
          <w:lang w:val="fr-FR"/>
        </w:rPr>
        <w:t>ant</w:t>
      </w:r>
      <w:r w:rsidRPr="001C481F">
        <w:rPr>
          <w:lang w:val="fr-FR"/>
        </w:rPr>
        <w:t xml:space="preserve"> ses précédentes observations finales (</w:t>
      </w:r>
      <w:r w:rsidR="007310F5" w:rsidRPr="00FC4232">
        <w:rPr>
          <w:lang w:val="fr-FR"/>
        </w:rPr>
        <w:t>ibid.</w:t>
      </w:r>
      <w:r w:rsidR="00F6442E">
        <w:rPr>
          <w:lang w:val="fr-FR"/>
        </w:rPr>
        <w:t>, par. </w:t>
      </w:r>
      <w:r w:rsidRPr="001C481F">
        <w:rPr>
          <w:lang w:val="fr-FR"/>
        </w:rPr>
        <w:t>28) et note avec préoccupation que l</w:t>
      </w:r>
      <w:r w:rsidR="0047269F">
        <w:rPr>
          <w:lang w:val="fr-FR"/>
        </w:rPr>
        <w:t>’</w:t>
      </w:r>
      <w:r w:rsidRPr="001C481F">
        <w:rPr>
          <w:lang w:val="fr-FR"/>
        </w:rPr>
        <w:t xml:space="preserve">État partie continue de </w:t>
      </w:r>
      <w:r w:rsidR="005C1D78">
        <w:rPr>
          <w:lang w:val="fr-FR"/>
        </w:rPr>
        <w:t>démolir</w:t>
      </w:r>
      <w:r w:rsidRPr="001C481F">
        <w:rPr>
          <w:lang w:val="fr-FR"/>
        </w:rPr>
        <w:t xml:space="preserve"> de</w:t>
      </w:r>
      <w:r w:rsidR="005C1D78">
        <w:rPr>
          <w:lang w:val="fr-FR"/>
        </w:rPr>
        <w:t>s</w:t>
      </w:r>
      <w:r w:rsidRPr="001C481F">
        <w:rPr>
          <w:lang w:val="fr-FR"/>
        </w:rPr>
        <w:t xml:space="preserve"> biens, d</w:t>
      </w:r>
      <w:r w:rsidR="005C1D78">
        <w:rPr>
          <w:lang w:val="fr-FR"/>
        </w:rPr>
        <w:t xml:space="preserve">es </w:t>
      </w:r>
      <w:r w:rsidRPr="001C481F">
        <w:rPr>
          <w:lang w:val="fr-FR"/>
        </w:rPr>
        <w:t>habitations et d</w:t>
      </w:r>
      <w:r w:rsidR="005C1D78">
        <w:rPr>
          <w:lang w:val="fr-FR"/>
        </w:rPr>
        <w:t xml:space="preserve">es </w:t>
      </w:r>
      <w:r w:rsidRPr="001C481F">
        <w:rPr>
          <w:lang w:val="fr-FR"/>
        </w:rPr>
        <w:t>écoles ainsi qu</w:t>
      </w:r>
      <w:r w:rsidR="005A3498">
        <w:rPr>
          <w:lang w:val="fr-FR"/>
        </w:rPr>
        <w:t xml:space="preserve">e de procéder </w:t>
      </w:r>
      <w:r w:rsidRPr="001C481F">
        <w:rPr>
          <w:lang w:val="fr-FR"/>
        </w:rPr>
        <w:t>à des expulsions forcées, en particulier dans les</w:t>
      </w:r>
      <w:r w:rsidR="00837CC2">
        <w:rPr>
          <w:lang w:val="fr-FR"/>
        </w:rPr>
        <w:t xml:space="preserve"> secteurs du</w:t>
      </w:r>
      <w:r w:rsidRPr="001C481F">
        <w:rPr>
          <w:lang w:val="fr-FR"/>
        </w:rPr>
        <w:t xml:space="preserve"> Territoire palestinien occupé, y compris Jérusalem-Est, </w:t>
      </w:r>
      <w:r w:rsidR="00867E60">
        <w:rPr>
          <w:lang w:val="fr-FR"/>
        </w:rPr>
        <w:t>qui se trouvent</w:t>
      </w:r>
      <w:r w:rsidRPr="001C481F">
        <w:rPr>
          <w:lang w:val="fr-FR"/>
        </w:rPr>
        <w:t xml:space="preserve"> sous sa juridiction ou son contrôle effectif. Il note que la pratique des démolitions punitives touchant des familles entières sans distinction constitue une peine collective et une violation du droit international humanitaire. Il est préoccupé de constater ce qui suit :</w:t>
      </w:r>
    </w:p>
    <w:p w14:paraId="59FD7341" w14:textId="389C1589" w:rsidR="001C481F" w:rsidRPr="001C481F" w:rsidRDefault="00410A6C" w:rsidP="001C481F">
      <w:pPr>
        <w:pStyle w:val="SingleTxt"/>
        <w:rPr>
          <w:lang w:val="fr-FR"/>
        </w:rPr>
      </w:pPr>
      <w:r>
        <w:rPr>
          <w:lang w:val="fr-FR"/>
        </w:rPr>
        <w:tab/>
      </w:r>
      <w:r w:rsidR="001C481F" w:rsidRPr="001C481F">
        <w:rPr>
          <w:lang w:val="fr-FR"/>
        </w:rPr>
        <w:t>a)</w:t>
      </w:r>
      <w:r w:rsidR="001C481F" w:rsidRPr="001C481F">
        <w:rPr>
          <w:lang w:val="fr-FR"/>
        </w:rPr>
        <w:tab/>
        <w:t>Les autorités de l</w:t>
      </w:r>
      <w:r w:rsidR="0047269F">
        <w:rPr>
          <w:lang w:val="fr-FR"/>
        </w:rPr>
        <w:t>’</w:t>
      </w:r>
      <w:r w:rsidR="001C481F" w:rsidRPr="001C481F">
        <w:rPr>
          <w:lang w:val="fr-FR"/>
        </w:rPr>
        <w:t>État partie ont repris la pratique des démolitions punitives, qu</w:t>
      </w:r>
      <w:r w:rsidR="0047269F">
        <w:rPr>
          <w:lang w:val="fr-FR"/>
        </w:rPr>
        <w:t>’</w:t>
      </w:r>
      <w:r w:rsidR="001C481F" w:rsidRPr="001C481F">
        <w:rPr>
          <w:lang w:val="fr-FR"/>
        </w:rPr>
        <w:t>elles avaient suspendue en 2005 et qui frappe des familles et touche de manière disproportionnée les femmes et les filles ainsi que les ménages dirigés par une femme</w:t>
      </w:r>
      <w:r w:rsidR="0047269F">
        <w:rPr>
          <w:lang w:val="fr-FR"/>
        </w:rPr>
        <w:t> ;</w:t>
      </w:r>
    </w:p>
    <w:p w14:paraId="6B3B633F" w14:textId="25396914" w:rsidR="001C481F" w:rsidRPr="001C481F" w:rsidRDefault="00410A6C" w:rsidP="001C481F">
      <w:pPr>
        <w:pStyle w:val="SingleTxt"/>
        <w:rPr>
          <w:lang w:val="fr-FR"/>
        </w:rPr>
      </w:pPr>
      <w:r>
        <w:rPr>
          <w:lang w:val="fr-FR"/>
        </w:rPr>
        <w:tab/>
      </w:r>
      <w:r w:rsidR="001C481F" w:rsidRPr="001C481F">
        <w:rPr>
          <w:lang w:val="fr-FR"/>
        </w:rPr>
        <w:t>b)</w:t>
      </w:r>
      <w:r w:rsidR="001C481F" w:rsidRPr="001C481F">
        <w:rPr>
          <w:lang w:val="fr-FR"/>
        </w:rPr>
        <w:tab/>
        <w:t>En raison des politiques d</w:t>
      </w:r>
      <w:r w:rsidR="0047269F">
        <w:rPr>
          <w:lang w:val="fr-FR"/>
        </w:rPr>
        <w:t>’</w:t>
      </w:r>
      <w:r w:rsidR="001C481F" w:rsidRPr="001C481F">
        <w:rPr>
          <w:lang w:val="fr-FR"/>
        </w:rPr>
        <w:t>urbanisme et d</w:t>
      </w:r>
      <w:r w:rsidR="0047269F">
        <w:rPr>
          <w:lang w:val="fr-FR"/>
        </w:rPr>
        <w:t>’</w:t>
      </w:r>
      <w:r w:rsidR="001C481F" w:rsidRPr="001C481F">
        <w:rPr>
          <w:lang w:val="fr-FR"/>
        </w:rPr>
        <w:t>aménagement discriminatoires appliquées dans la zone C de la Cisjordanie, y compris Jérusalem-Est, les Palestiniens n</w:t>
      </w:r>
      <w:r w:rsidR="0047269F">
        <w:rPr>
          <w:lang w:val="fr-FR"/>
        </w:rPr>
        <w:t>’</w:t>
      </w:r>
      <w:r w:rsidR="001C481F" w:rsidRPr="001C481F">
        <w:rPr>
          <w:lang w:val="fr-FR"/>
        </w:rPr>
        <w:t>obtiennent pas de permis d</w:t>
      </w:r>
      <w:r w:rsidR="0047269F">
        <w:rPr>
          <w:lang w:val="fr-FR"/>
        </w:rPr>
        <w:t>’</w:t>
      </w:r>
      <w:r w:rsidR="001C481F" w:rsidRPr="001C481F">
        <w:rPr>
          <w:lang w:val="fr-FR"/>
        </w:rPr>
        <w:t>habitation et des ordonnances d</w:t>
      </w:r>
      <w:r w:rsidR="0047269F">
        <w:rPr>
          <w:lang w:val="fr-FR"/>
        </w:rPr>
        <w:t>’</w:t>
      </w:r>
      <w:r w:rsidR="001C481F" w:rsidRPr="001C481F">
        <w:rPr>
          <w:lang w:val="fr-FR"/>
        </w:rPr>
        <w:t>expulsion et de démolition sont émises à leur encontre.</w:t>
      </w:r>
    </w:p>
    <w:p w14:paraId="605B5189" w14:textId="708ECB98" w:rsidR="001C481F" w:rsidRPr="00F6442E" w:rsidRDefault="001C481F" w:rsidP="00D55120">
      <w:pPr>
        <w:pStyle w:val="SingleTxt"/>
        <w:numPr>
          <w:ilvl w:val="0"/>
          <w:numId w:val="11"/>
        </w:numPr>
        <w:spacing w:line="240" w:lineRule="exact"/>
        <w:rPr>
          <w:b/>
          <w:bCs/>
          <w:lang w:val="fr-FR"/>
        </w:rPr>
      </w:pPr>
      <w:r w:rsidRPr="001C481F">
        <w:rPr>
          <w:b/>
          <w:bCs/>
          <w:lang w:val="fr-FR"/>
        </w:rPr>
        <w:t xml:space="preserve">Le Comité réitère sa recommandation précédente </w:t>
      </w:r>
      <w:r w:rsidRPr="00F6442E">
        <w:rPr>
          <w:b/>
          <w:bCs/>
          <w:lang w:val="fr-FR"/>
        </w:rPr>
        <w:t>(voir</w:t>
      </w:r>
      <w:r w:rsidR="00BE2D93">
        <w:rPr>
          <w:b/>
          <w:bCs/>
          <w:lang w:val="fr-FR"/>
        </w:rPr>
        <w:t xml:space="preserve"> </w:t>
      </w:r>
      <w:bookmarkStart w:id="1" w:name="_GoBack"/>
      <w:r w:rsidR="007310F5" w:rsidRPr="005665F6">
        <w:rPr>
          <w:b/>
          <w:bCs/>
          <w:lang w:val="fr-FR"/>
        </w:rPr>
        <w:t>ibid.</w:t>
      </w:r>
      <w:bookmarkEnd w:id="1"/>
      <w:r w:rsidRPr="00F6442E">
        <w:rPr>
          <w:b/>
          <w:bCs/>
          <w:lang w:val="fr-FR"/>
        </w:rPr>
        <w:t>, par. 29), à savoir que l</w:t>
      </w:r>
      <w:r w:rsidR="0047269F" w:rsidRPr="00F6442E">
        <w:rPr>
          <w:b/>
          <w:bCs/>
          <w:lang w:val="fr-FR"/>
        </w:rPr>
        <w:t>’</w:t>
      </w:r>
      <w:r w:rsidRPr="00F6442E">
        <w:rPr>
          <w:b/>
          <w:bCs/>
          <w:lang w:val="fr-FR"/>
        </w:rPr>
        <w:t>État partie</w:t>
      </w:r>
      <w:r w:rsidR="0047269F" w:rsidRPr="00F6442E">
        <w:rPr>
          <w:b/>
          <w:bCs/>
          <w:lang w:val="fr-FR"/>
        </w:rPr>
        <w:t xml:space="preserve"> : </w:t>
      </w:r>
    </w:p>
    <w:p w14:paraId="2A53D31B" w14:textId="2D74C9D0" w:rsidR="001C481F" w:rsidRPr="001C481F" w:rsidRDefault="001C481F" w:rsidP="001C481F">
      <w:pPr>
        <w:pStyle w:val="SingleTxt"/>
        <w:rPr>
          <w:b/>
          <w:lang w:val="fr-FR"/>
        </w:rPr>
      </w:pPr>
      <w:r w:rsidRPr="001C481F">
        <w:rPr>
          <w:lang w:val="fr-FR"/>
        </w:rPr>
        <w:tab/>
      </w:r>
      <w:r w:rsidRPr="001C481F">
        <w:rPr>
          <w:b/>
          <w:bCs/>
          <w:lang w:val="fr-FR"/>
        </w:rPr>
        <w:t>a)</w:t>
      </w:r>
      <w:r w:rsidRPr="001C481F">
        <w:rPr>
          <w:lang w:val="fr-FR"/>
        </w:rPr>
        <w:tab/>
      </w:r>
      <w:r w:rsidRPr="001C481F">
        <w:rPr>
          <w:b/>
          <w:bCs/>
          <w:lang w:val="fr-FR"/>
        </w:rPr>
        <w:t xml:space="preserve">Suspende toutes les politiques relatives à la pratique des démolitions punitives et des expulsions forcées, qui ont un effet préjudiciable sur le bien-être physique et psychologique des femmes et des filles arabes israéliennes et des femmes et des filles palestiniennes </w:t>
      </w:r>
      <w:r w:rsidR="00E9400C" w:rsidRPr="001C481F">
        <w:rPr>
          <w:b/>
          <w:bCs/>
          <w:lang w:val="fr-FR"/>
        </w:rPr>
        <w:t>d</w:t>
      </w:r>
      <w:r w:rsidR="00E9400C">
        <w:rPr>
          <w:b/>
          <w:bCs/>
          <w:lang w:val="fr-FR"/>
        </w:rPr>
        <w:t>u</w:t>
      </w:r>
      <w:r w:rsidR="00E9400C" w:rsidRPr="001C481F">
        <w:rPr>
          <w:b/>
          <w:bCs/>
          <w:lang w:val="fr-FR"/>
        </w:rPr>
        <w:t xml:space="preserve"> </w:t>
      </w:r>
      <w:r w:rsidRPr="001C481F">
        <w:rPr>
          <w:b/>
          <w:bCs/>
          <w:lang w:val="fr-FR"/>
        </w:rPr>
        <w:t>Territoire palestinien occupé</w:t>
      </w:r>
      <w:r w:rsidR="0047269F">
        <w:rPr>
          <w:b/>
          <w:bCs/>
          <w:lang w:val="fr-FR"/>
        </w:rPr>
        <w:t> ;</w:t>
      </w:r>
    </w:p>
    <w:p w14:paraId="6CD68095" w14:textId="4ED9C778" w:rsidR="001C481F" w:rsidRPr="001C481F" w:rsidRDefault="001C481F" w:rsidP="001C481F">
      <w:pPr>
        <w:pStyle w:val="SingleTxt"/>
        <w:rPr>
          <w:b/>
          <w:lang w:val="fr-FR"/>
        </w:rPr>
      </w:pPr>
      <w:r w:rsidRPr="001C481F">
        <w:rPr>
          <w:lang w:val="fr-FR"/>
        </w:rPr>
        <w:tab/>
      </w:r>
      <w:r w:rsidRPr="001C481F">
        <w:rPr>
          <w:b/>
          <w:bCs/>
          <w:lang w:val="fr-FR"/>
        </w:rPr>
        <w:t>b)</w:t>
      </w:r>
      <w:r w:rsidRPr="001C481F">
        <w:rPr>
          <w:lang w:val="fr-FR"/>
        </w:rPr>
        <w:tab/>
      </w:r>
      <w:r w:rsidRPr="001C481F">
        <w:rPr>
          <w:b/>
          <w:bCs/>
          <w:lang w:val="fr-FR"/>
        </w:rPr>
        <w:t>Cesse immédiatement d</w:t>
      </w:r>
      <w:r w:rsidR="0047269F">
        <w:rPr>
          <w:b/>
          <w:bCs/>
          <w:lang w:val="fr-FR"/>
        </w:rPr>
        <w:t>’</w:t>
      </w:r>
      <w:r w:rsidRPr="001C481F">
        <w:rPr>
          <w:b/>
          <w:bCs/>
          <w:lang w:val="fr-FR"/>
        </w:rPr>
        <w:t>exécuter les ordonnances d</w:t>
      </w:r>
      <w:r w:rsidR="0047269F">
        <w:rPr>
          <w:b/>
          <w:bCs/>
          <w:lang w:val="fr-FR"/>
        </w:rPr>
        <w:t>’</w:t>
      </w:r>
      <w:r w:rsidRPr="001C481F">
        <w:rPr>
          <w:b/>
          <w:bCs/>
          <w:lang w:val="fr-FR"/>
        </w:rPr>
        <w:t>expulsion et de démolition fondées sur des politiques d</w:t>
      </w:r>
      <w:r w:rsidR="0047269F">
        <w:rPr>
          <w:b/>
          <w:bCs/>
          <w:lang w:val="fr-FR"/>
        </w:rPr>
        <w:t>’</w:t>
      </w:r>
      <w:r w:rsidRPr="001C481F">
        <w:rPr>
          <w:b/>
          <w:bCs/>
          <w:lang w:val="fr-FR"/>
        </w:rPr>
        <w:t>urbanisme et d</w:t>
      </w:r>
      <w:r w:rsidR="0047269F">
        <w:rPr>
          <w:b/>
          <w:bCs/>
          <w:lang w:val="fr-FR"/>
        </w:rPr>
        <w:t>’</w:t>
      </w:r>
      <w:r w:rsidRPr="001C481F">
        <w:rPr>
          <w:b/>
          <w:bCs/>
          <w:lang w:val="fr-FR"/>
        </w:rPr>
        <w:t>aménagement discriminatoires</w:t>
      </w:r>
      <w:r w:rsidR="0047269F">
        <w:rPr>
          <w:b/>
          <w:bCs/>
          <w:lang w:val="fr-FR"/>
        </w:rPr>
        <w:t> ;</w:t>
      </w:r>
    </w:p>
    <w:p w14:paraId="7C0FC2CB" w14:textId="1EA97884" w:rsidR="001C481F" w:rsidRDefault="00410A6C" w:rsidP="001C481F">
      <w:pPr>
        <w:pStyle w:val="SingleTxt"/>
        <w:rPr>
          <w:b/>
          <w:bCs/>
          <w:lang w:val="fr-FR"/>
        </w:rPr>
      </w:pPr>
      <w:r>
        <w:rPr>
          <w:b/>
          <w:bCs/>
          <w:lang w:val="fr-FR"/>
        </w:rPr>
        <w:tab/>
      </w:r>
      <w:r w:rsidR="001C481F" w:rsidRPr="001C481F">
        <w:rPr>
          <w:b/>
          <w:bCs/>
          <w:lang w:val="fr-FR"/>
        </w:rPr>
        <w:t>c)</w:t>
      </w:r>
      <w:r w:rsidR="001C481F" w:rsidRPr="001C481F">
        <w:rPr>
          <w:lang w:val="fr-FR"/>
        </w:rPr>
        <w:tab/>
      </w:r>
      <w:r w:rsidR="001C481F" w:rsidRPr="001C481F">
        <w:rPr>
          <w:b/>
          <w:bCs/>
          <w:lang w:val="fr-FR"/>
        </w:rPr>
        <w:t>Revoie sa politique en matière d</w:t>
      </w:r>
      <w:r w:rsidR="0047269F">
        <w:rPr>
          <w:b/>
          <w:bCs/>
          <w:lang w:val="fr-FR"/>
        </w:rPr>
        <w:t>’</w:t>
      </w:r>
      <w:r w:rsidR="001C481F" w:rsidRPr="001C481F">
        <w:rPr>
          <w:b/>
          <w:bCs/>
          <w:lang w:val="fr-FR"/>
        </w:rPr>
        <w:t>octroi de permis d</w:t>
      </w:r>
      <w:r w:rsidR="0047269F">
        <w:rPr>
          <w:b/>
          <w:bCs/>
          <w:lang w:val="fr-FR"/>
        </w:rPr>
        <w:t>’</w:t>
      </w:r>
      <w:r w:rsidR="001C481F" w:rsidRPr="001C481F">
        <w:rPr>
          <w:b/>
          <w:bCs/>
          <w:lang w:val="fr-FR"/>
        </w:rPr>
        <w:t>habitation, discriminatoire à l</w:t>
      </w:r>
      <w:r w:rsidR="0047269F">
        <w:rPr>
          <w:b/>
          <w:bCs/>
          <w:lang w:val="fr-FR"/>
        </w:rPr>
        <w:t>’</w:t>
      </w:r>
      <w:r w:rsidR="001C481F" w:rsidRPr="001C481F">
        <w:rPr>
          <w:b/>
          <w:bCs/>
          <w:lang w:val="fr-FR"/>
        </w:rPr>
        <w:t>égard des Palestiniens.</w:t>
      </w:r>
    </w:p>
    <w:p w14:paraId="0542E360" w14:textId="2766FE35" w:rsidR="00410A6C" w:rsidRPr="00410A6C" w:rsidRDefault="00410A6C" w:rsidP="00410A6C">
      <w:pPr>
        <w:pStyle w:val="SingleTxt"/>
        <w:spacing w:after="0" w:line="120" w:lineRule="exact"/>
        <w:rPr>
          <w:b/>
          <w:bCs/>
          <w:sz w:val="10"/>
          <w:lang w:val="fr-FR"/>
        </w:rPr>
      </w:pPr>
    </w:p>
    <w:p w14:paraId="03B0F0E4" w14:textId="77777777" w:rsidR="001C481F" w:rsidRPr="001C481F" w:rsidRDefault="001C481F" w:rsidP="00410A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481F">
        <w:rPr>
          <w:lang w:val="fr-FR"/>
        </w:rPr>
        <w:tab/>
      </w:r>
      <w:r w:rsidRPr="001C481F">
        <w:rPr>
          <w:lang w:val="fr-FR"/>
        </w:rPr>
        <w:tab/>
        <w:t>Traite des êtres humains et exploitation de la prostitution</w:t>
      </w:r>
    </w:p>
    <w:p w14:paraId="78FD9FBA" w14:textId="31D87A29" w:rsidR="00410A6C" w:rsidRPr="00410A6C" w:rsidRDefault="00410A6C" w:rsidP="00410A6C">
      <w:pPr>
        <w:pStyle w:val="SingleTxt"/>
        <w:spacing w:after="0" w:line="120" w:lineRule="exact"/>
        <w:rPr>
          <w:sz w:val="10"/>
          <w:lang w:val="fr-FR"/>
        </w:rPr>
      </w:pPr>
    </w:p>
    <w:p w14:paraId="36161A25" w14:textId="66B35D1D" w:rsidR="001C481F" w:rsidRPr="001C481F" w:rsidRDefault="001C481F" w:rsidP="00D55120">
      <w:pPr>
        <w:pStyle w:val="SingleTxt"/>
        <w:numPr>
          <w:ilvl w:val="0"/>
          <w:numId w:val="12"/>
        </w:numPr>
        <w:spacing w:line="240" w:lineRule="exact"/>
        <w:rPr>
          <w:lang w:val="fr-FR"/>
        </w:rPr>
      </w:pPr>
      <w:r w:rsidRPr="001C481F">
        <w:rPr>
          <w:lang w:val="fr-FR"/>
        </w:rPr>
        <w:t>Le Comité prend note des efforts déployés par l</w:t>
      </w:r>
      <w:r w:rsidR="0047269F">
        <w:rPr>
          <w:lang w:val="fr-FR"/>
        </w:rPr>
        <w:t>’</w:t>
      </w:r>
      <w:r w:rsidRPr="001C481F">
        <w:rPr>
          <w:lang w:val="fr-FR"/>
        </w:rPr>
        <w:t>État partie pour ériger en infraction pénale l</w:t>
      </w:r>
      <w:r w:rsidR="0047269F">
        <w:rPr>
          <w:lang w:val="fr-FR"/>
        </w:rPr>
        <w:t>’</w:t>
      </w:r>
      <w:r w:rsidRPr="001C481F">
        <w:rPr>
          <w:lang w:val="fr-FR"/>
        </w:rPr>
        <w:t>achat de services sexuels</w:t>
      </w:r>
      <w:r w:rsidR="00E9400C">
        <w:rPr>
          <w:lang w:val="fr-FR"/>
        </w:rPr>
        <w:t xml:space="preserve"> et pour</w:t>
      </w:r>
      <w:r w:rsidRPr="001C481F">
        <w:rPr>
          <w:lang w:val="fr-FR"/>
        </w:rPr>
        <w:t xml:space="preserve"> lutter contre la traite des êtres humains, notamment au moyen de l</w:t>
      </w:r>
      <w:r w:rsidR="0047269F">
        <w:rPr>
          <w:lang w:val="fr-FR"/>
        </w:rPr>
        <w:t>’</w:t>
      </w:r>
      <w:r w:rsidRPr="001C481F">
        <w:rPr>
          <w:lang w:val="fr-FR"/>
        </w:rPr>
        <w:t>organisation de sessions de formation régulières à l</w:t>
      </w:r>
      <w:r w:rsidR="0047269F">
        <w:rPr>
          <w:lang w:val="fr-FR"/>
        </w:rPr>
        <w:t>’</w:t>
      </w:r>
      <w:r w:rsidRPr="001C481F">
        <w:rPr>
          <w:lang w:val="fr-FR"/>
        </w:rPr>
        <w:t>intention des fonctionnaires et de la fourniture d</w:t>
      </w:r>
      <w:r w:rsidR="0047269F">
        <w:rPr>
          <w:lang w:val="fr-FR"/>
        </w:rPr>
        <w:t>’</w:t>
      </w:r>
      <w:r w:rsidRPr="001C481F">
        <w:rPr>
          <w:lang w:val="fr-FR"/>
        </w:rPr>
        <w:t>une aide juridictionnelle gratuite aux victimes. Toutefois, le Comité juge préoccupant que l</w:t>
      </w:r>
      <w:r w:rsidR="0047269F">
        <w:rPr>
          <w:lang w:val="fr-FR"/>
        </w:rPr>
        <w:t>’</w:t>
      </w:r>
      <w:r w:rsidRPr="001C481F">
        <w:rPr>
          <w:lang w:val="fr-FR"/>
        </w:rPr>
        <w:t xml:space="preserve">État partie demeure un pays </w:t>
      </w:r>
      <w:r w:rsidRPr="001C481F">
        <w:rPr>
          <w:lang w:val="fr-FR"/>
        </w:rPr>
        <w:lastRenderedPageBreak/>
        <w:t>de destination pour la traite de femmes et d</w:t>
      </w:r>
      <w:r w:rsidR="0047269F">
        <w:rPr>
          <w:lang w:val="fr-FR"/>
        </w:rPr>
        <w:t>’</w:t>
      </w:r>
      <w:r w:rsidRPr="001C481F">
        <w:rPr>
          <w:lang w:val="fr-FR"/>
        </w:rPr>
        <w:t>enfants à des fins d</w:t>
      </w:r>
      <w:r w:rsidR="0047269F">
        <w:rPr>
          <w:lang w:val="fr-FR"/>
        </w:rPr>
        <w:t>’</w:t>
      </w:r>
      <w:r w:rsidRPr="001C481F">
        <w:rPr>
          <w:lang w:val="fr-FR"/>
        </w:rPr>
        <w:t>exploitation sexuelle et de travail forcé. Le Comité est particulièrement préoccupé de constater ce qui suit :</w:t>
      </w:r>
    </w:p>
    <w:p w14:paraId="08F5C394" w14:textId="0A080A70" w:rsidR="001C481F" w:rsidRPr="001C481F" w:rsidRDefault="001C481F" w:rsidP="001C481F">
      <w:pPr>
        <w:pStyle w:val="SingleTxt"/>
        <w:rPr>
          <w:lang w:val="fr-FR"/>
        </w:rPr>
      </w:pPr>
      <w:r w:rsidRPr="001C481F">
        <w:rPr>
          <w:lang w:val="fr-FR"/>
        </w:rPr>
        <w:tab/>
        <w:t>a)</w:t>
      </w:r>
      <w:r w:rsidRPr="001C481F">
        <w:rPr>
          <w:lang w:val="fr-FR"/>
        </w:rPr>
        <w:tab/>
        <w:t>L</w:t>
      </w:r>
      <w:r w:rsidR="0047269F">
        <w:rPr>
          <w:lang w:val="fr-FR"/>
        </w:rPr>
        <w:t>’</w:t>
      </w:r>
      <w:r w:rsidRPr="001C481F">
        <w:rPr>
          <w:lang w:val="fr-FR"/>
        </w:rPr>
        <w:t>État partie ne dispose d</w:t>
      </w:r>
      <w:r w:rsidR="0047269F">
        <w:rPr>
          <w:lang w:val="fr-FR"/>
        </w:rPr>
        <w:t>’</w:t>
      </w:r>
      <w:r w:rsidRPr="001C481F">
        <w:rPr>
          <w:lang w:val="fr-FR"/>
        </w:rPr>
        <w:t>aucun système d</w:t>
      </w:r>
      <w:r w:rsidR="0047269F">
        <w:rPr>
          <w:lang w:val="fr-FR"/>
        </w:rPr>
        <w:t>’</w:t>
      </w:r>
      <w:r w:rsidRPr="001C481F">
        <w:rPr>
          <w:lang w:val="fr-FR"/>
        </w:rPr>
        <w:t>identification précoce des femmes et des filles victimes de traite à des fins d</w:t>
      </w:r>
      <w:r w:rsidR="0047269F">
        <w:rPr>
          <w:lang w:val="fr-FR"/>
        </w:rPr>
        <w:t>’</w:t>
      </w:r>
      <w:r w:rsidRPr="001C481F">
        <w:rPr>
          <w:lang w:val="fr-FR"/>
        </w:rPr>
        <w:t>exploitation sexuelle, qui arrivent souvent sur son territoire en tant que travailleuses, et les services chargés d</w:t>
      </w:r>
      <w:r w:rsidR="0047269F">
        <w:rPr>
          <w:lang w:val="fr-FR"/>
        </w:rPr>
        <w:t>’</w:t>
      </w:r>
      <w:r w:rsidRPr="001C481F">
        <w:rPr>
          <w:lang w:val="fr-FR"/>
        </w:rPr>
        <w:t>identifier les victimes sont inefficaces</w:t>
      </w:r>
      <w:r w:rsidR="0047269F">
        <w:rPr>
          <w:lang w:val="fr-FR"/>
        </w:rPr>
        <w:t> ;</w:t>
      </w:r>
      <w:r w:rsidRPr="001C481F">
        <w:rPr>
          <w:lang w:val="fr-FR"/>
        </w:rPr>
        <w:t xml:space="preserve"> </w:t>
      </w:r>
    </w:p>
    <w:p w14:paraId="575CB8D7" w14:textId="54FC3483" w:rsidR="001C481F" w:rsidRPr="001C481F" w:rsidRDefault="00410A6C" w:rsidP="001C481F">
      <w:pPr>
        <w:pStyle w:val="SingleTxt"/>
        <w:rPr>
          <w:lang w:val="fr-FR"/>
        </w:rPr>
      </w:pPr>
      <w:r>
        <w:rPr>
          <w:lang w:val="fr-FR"/>
        </w:rPr>
        <w:tab/>
      </w:r>
      <w:r w:rsidR="001C481F" w:rsidRPr="001C481F">
        <w:rPr>
          <w:lang w:val="fr-FR"/>
        </w:rPr>
        <w:t>b)</w:t>
      </w:r>
      <w:r w:rsidR="001C481F" w:rsidRPr="001C481F">
        <w:rPr>
          <w:lang w:val="fr-FR"/>
        </w:rPr>
        <w:tab/>
        <w:t>L</w:t>
      </w:r>
      <w:r w:rsidR="0047269F">
        <w:rPr>
          <w:lang w:val="fr-FR"/>
        </w:rPr>
        <w:t>’</w:t>
      </w:r>
      <w:r w:rsidR="001C481F" w:rsidRPr="001C481F">
        <w:rPr>
          <w:lang w:val="fr-FR"/>
        </w:rPr>
        <w:t>État partie n</w:t>
      </w:r>
      <w:r w:rsidR="0047269F">
        <w:rPr>
          <w:lang w:val="fr-FR"/>
        </w:rPr>
        <w:t>’</w:t>
      </w:r>
      <w:r w:rsidR="001C481F" w:rsidRPr="001C481F">
        <w:rPr>
          <w:lang w:val="fr-FR"/>
        </w:rPr>
        <w:t>a mis en place aucun mécanisme d</w:t>
      </w:r>
      <w:r w:rsidR="0047269F">
        <w:rPr>
          <w:lang w:val="fr-FR"/>
        </w:rPr>
        <w:t>’</w:t>
      </w:r>
      <w:r w:rsidR="001C481F" w:rsidRPr="001C481F">
        <w:rPr>
          <w:lang w:val="fr-FR"/>
        </w:rPr>
        <w:t>inspection visant à recenser les victimes de la traite dans le secteur agricole</w:t>
      </w:r>
      <w:r w:rsidR="0047269F">
        <w:rPr>
          <w:lang w:val="fr-FR"/>
        </w:rPr>
        <w:t> ;</w:t>
      </w:r>
      <w:r w:rsidR="001C481F" w:rsidRPr="001C481F">
        <w:rPr>
          <w:lang w:val="fr-FR"/>
        </w:rPr>
        <w:t xml:space="preserve"> </w:t>
      </w:r>
    </w:p>
    <w:p w14:paraId="1B2BF32A" w14:textId="0488A31D" w:rsidR="001C481F" w:rsidRPr="001C481F" w:rsidRDefault="001C481F" w:rsidP="001C481F">
      <w:pPr>
        <w:pStyle w:val="SingleTxt"/>
        <w:rPr>
          <w:lang w:val="fr-FR"/>
        </w:rPr>
      </w:pPr>
      <w:r w:rsidRPr="001C481F">
        <w:rPr>
          <w:lang w:val="fr-FR"/>
        </w:rPr>
        <w:tab/>
        <w:t>c)</w:t>
      </w:r>
      <w:r w:rsidRPr="001C481F">
        <w:rPr>
          <w:lang w:val="fr-FR"/>
        </w:rPr>
        <w:tab/>
        <w:t>Il est rare que des poursuites soient engagées contre les trafiquants, en raison du manque de coordination entre la police et les services chargés des migrations</w:t>
      </w:r>
      <w:r w:rsidR="0047269F">
        <w:rPr>
          <w:lang w:val="fr-FR"/>
        </w:rPr>
        <w:t> ;</w:t>
      </w:r>
    </w:p>
    <w:p w14:paraId="001C4AAF" w14:textId="7D49DE67" w:rsidR="001C481F" w:rsidRPr="001C481F" w:rsidRDefault="00410A6C" w:rsidP="001C481F">
      <w:pPr>
        <w:pStyle w:val="SingleTxt"/>
        <w:rPr>
          <w:lang w:val="fr-FR"/>
        </w:rPr>
      </w:pPr>
      <w:r>
        <w:rPr>
          <w:lang w:val="fr-FR"/>
        </w:rPr>
        <w:tab/>
      </w:r>
      <w:r w:rsidR="001C481F" w:rsidRPr="001C481F">
        <w:rPr>
          <w:lang w:val="fr-FR"/>
        </w:rPr>
        <w:t>d)</w:t>
      </w:r>
      <w:r w:rsidR="001C481F" w:rsidRPr="001C481F">
        <w:rPr>
          <w:lang w:val="fr-FR"/>
        </w:rPr>
        <w:tab/>
        <w:t>Les éléments d</w:t>
      </w:r>
      <w:r w:rsidR="0047269F">
        <w:rPr>
          <w:lang w:val="fr-FR"/>
        </w:rPr>
        <w:t>’</w:t>
      </w:r>
      <w:r w:rsidR="001C481F" w:rsidRPr="001C481F">
        <w:rPr>
          <w:lang w:val="fr-FR"/>
        </w:rPr>
        <w:t>information dont on dispose au sujet de l</w:t>
      </w:r>
      <w:r w:rsidR="0047269F">
        <w:rPr>
          <w:lang w:val="fr-FR"/>
        </w:rPr>
        <w:t>’</w:t>
      </w:r>
      <w:r w:rsidR="001C481F" w:rsidRPr="001C481F">
        <w:rPr>
          <w:lang w:val="fr-FR"/>
        </w:rPr>
        <w:t xml:space="preserve">exploitation sexuelle des femmes qui pratiquent la prostitution et sur les programmes de réinsertion destinés à celles qui souhaitent y renoncer sont insuffisants. </w:t>
      </w:r>
    </w:p>
    <w:p w14:paraId="5869C66F" w14:textId="36B00852" w:rsidR="001C481F" w:rsidRPr="001C481F" w:rsidRDefault="001C481F" w:rsidP="00D55120">
      <w:pPr>
        <w:pStyle w:val="SingleTxt"/>
        <w:numPr>
          <w:ilvl w:val="0"/>
          <w:numId w:val="12"/>
        </w:numPr>
        <w:spacing w:line="240" w:lineRule="exact"/>
        <w:rPr>
          <w:b/>
          <w:lang w:val="fr-FR"/>
        </w:rPr>
      </w:pPr>
      <w:r w:rsidRPr="001C481F">
        <w:rPr>
          <w:b/>
          <w:bCs/>
          <w:lang w:val="fr-FR"/>
        </w:rPr>
        <w:t>Le Comité recommande que l</w:t>
      </w:r>
      <w:r w:rsidR="0047269F">
        <w:rPr>
          <w:b/>
          <w:bCs/>
          <w:lang w:val="fr-FR"/>
        </w:rPr>
        <w:t>’</w:t>
      </w:r>
      <w:r w:rsidRPr="001C481F">
        <w:rPr>
          <w:b/>
          <w:bCs/>
          <w:lang w:val="fr-FR"/>
        </w:rPr>
        <w:t>État partie :</w:t>
      </w:r>
    </w:p>
    <w:p w14:paraId="6CEE6644" w14:textId="7185298D" w:rsidR="001C481F" w:rsidRPr="001C481F" w:rsidRDefault="001C481F" w:rsidP="001C481F">
      <w:pPr>
        <w:pStyle w:val="SingleTxt"/>
        <w:rPr>
          <w:b/>
          <w:lang w:val="fr-FR"/>
        </w:rPr>
      </w:pPr>
      <w:r w:rsidRPr="001C481F">
        <w:rPr>
          <w:lang w:val="fr-FR"/>
        </w:rPr>
        <w:tab/>
      </w:r>
      <w:r w:rsidRPr="001C481F">
        <w:rPr>
          <w:b/>
          <w:bCs/>
          <w:lang w:val="fr-FR"/>
        </w:rPr>
        <w:t>a)</w:t>
      </w:r>
      <w:r w:rsidRPr="001C481F">
        <w:rPr>
          <w:lang w:val="fr-FR"/>
        </w:rPr>
        <w:tab/>
      </w:r>
      <w:r w:rsidRPr="001C481F">
        <w:rPr>
          <w:b/>
          <w:bCs/>
          <w:lang w:val="fr-FR"/>
        </w:rPr>
        <w:t xml:space="preserve">Veille à ce que le </w:t>
      </w:r>
      <w:r w:rsidR="005006BE">
        <w:rPr>
          <w:b/>
          <w:bCs/>
          <w:lang w:val="fr-FR"/>
        </w:rPr>
        <w:t>bureau du coordonnateur</w:t>
      </w:r>
      <w:r w:rsidR="005006BE" w:rsidRPr="001C481F">
        <w:rPr>
          <w:b/>
          <w:bCs/>
          <w:lang w:val="fr-FR"/>
        </w:rPr>
        <w:t xml:space="preserve"> </w:t>
      </w:r>
      <w:r w:rsidRPr="001C481F">
        <w:rPr>
          <w:b/>
          <w:bCs/>
          <w:lang w:val="fr-FR"/>
        </w:rPr>
        <w:t xml:space="preserve">national de </w:t>
      </w:r>
      <w:r w:rsidR="005006BE">
        <w:rPr>
          <w:b/>
          <w:bCs/>
          <w:lang w:val="fr-FR"/>
        </w:rPr>
        <w:t xml:space="preserve">la </w:t>
      </w:r>
      <w:r w:rsidRPr="001C481F">
        <w:rPr>
          <w:b/>
          <w:bCs/>
          <w:lang w:val="fr-FR"/>
        </w:rPr>
        <w:t>lutte contre la traite des personnes renforce ses mécanismes d</w:t>
      </w:r>
      <w:r w:rsidR="0047269F">
        <w:rPr>
          <w:b/>
          <w:bCs/>
          <w:lang w:val="fr-FR"/>
        </w:rPr>
        <w:t>’</w:t>
      </w:r>
      <w:r w:rsidRPr="001C481F">
        <w:rPr>
          <w:b/>
          <w:bCs/>
          <w:lang w:val="fr-FR"/>
        </w:rPr>
        <w:t>identification précoce des femmes et filles qui en sont victimes</w:t>
      </w:r>
      <w:r w:rsidR="0047269F">
        <w:rPr>
          <w:b/>
          <w:bCs/>
          <w:lang w:val="fr-FR"/>
        </w:rPr>
        <w:t> ;</w:t>
      </w:r>
      <w:r w:rsidRPr="001C481F">
        <w:rPr>
          <w:lang w:val="fr-FR"/>
        </w:rPr>
        <w:t xml:space="preserve"> </w:t>
      </w:r>
    </w:p>
    <w:p w14:paraId="10D6340B" w14:textId="6F5414E8" w:rsidR="001C481F" w:rsidRPr="001C481F" w:rsidRDefault="001C481F" w:rsidP="001C481F">
      <w:pPr>
        <w:pStyle w:val="SingleTxt"/>
        <w:rPr>
          <w:b/>
          <w:lang w:val="fr-FR"/>
        </w:rPr>
      </w:pPr>
      <w:r w:rsidRPr="001C481F">
        <w:rPr>
          <w:lang w:val="fr-FR"/>
        </w:rPr>
        <w:tab/>
      </w:r>
      <w:r w:rsidRPr="001C481F">
        <w:rPr>
          <w:b/>
          <w:bCs/>
          <w:lang w:val="fr-FR"/>
        </w:rPr>
        <w:t>b)</w:t>
      </w:r>
      <w:r w:rsidRPr="001C481F">
        <w:rPr>
          <w:lang w:val="fr-FR"/>
        </w:rPr>
        <w:tab/>
      </w:r>
      <w:r w:rsidRPr="001C481F">
        <w:rPr>
          <w:b/>
          <w:bCs/>
          <w:lang w:val="fr-FR"/>
        </w:rPr>
        <w:t>Améliore la coordination des activités menées par les organes chargés de veiller à l</w:t>
      </w:r>
      <w:r w:rsidR="0047269F">
        <w:rPr>
          <w:b/>
          <w:bCs/>
          <w:lang w:val="fr-FR"/>
        </w:rPr>
        <w:t>’</w:t>
      </w:r>
      <w:r w:rsidRPr="001C481F">
        <w:rPr>
          <w:b/>
          <w:bCs/>
          <w:lang w:val="fr-FR"/>
        </w:rPr>
        <w:t>application des lois relatives à la lutte contre la traite des êtres humains et l</w:t>
      </w:r>
      <w:r w:rsidR="0047269F">
        <w:rPr>
          <w:b/>
          <w:bCs/>
          <w:lang w:val="fr-FR"/>
        </w:rPr>
        <w:t>’</w:t>
      </w:r>
      <w:r w:rsidRPr="001C481F">
        <w:rPr>
          <w:b/>
          <w:bCs/>
          <w:lang w:val="fr-FR"/>
        </w:rPr>
        <w:t>exploitation de la prostitution</w:t>
      </w:r>
      <w:r w:rsidR="0047269F">
        <w:rPr>
          <w:b/>
          <w:bCs/>
          <w:lang w:val="fr-FR"/>
        </w:rPr>
        <w:t> ;</w:t>
      </w:r>
      <w:r w:rsidRPr="001C481F">
        <w:rPr>
          <w:lang w:val="fr-FR"/>
        </w:rPr>
        <w:t xml:space="preserve"> </w:t>
      </w:r>
    </w:p>
    <w:p w14:paraId="04974EDC" w14:textId="1C97EF46" w:rsidR="001C481F" w:rsidRPr="001C481F" w:rsidRDefault="00410A6C" w:rsidP="001C481F">
      <w:pPr>
        <w:pStyle w:val="SingleTxt"/>
        <w:rPr>
          <w:b/>
          <w:lang w:val="fr-FR"/>
        </w:rPr>
      </w:pPr>
      <w:r>
        <w:rPr>
          <w:b/>
          <w:bCs/>
          <w:lang w:val="fr-FR"/>
        </w:rPr>
        <w:tab/>
      </w:r>
      <w:r w:rsidR="001C481F" w:rsidRPr="001C481F">
        <w:rPr>
          <w:b/>
          <w:bCs/>
          <w:lang w:val="fr-FR"/>
        </w:rPr>
        <w:t>c)</w:t>
      </w:r>
      <w:r w:rsidR="001C481F" w:rsidRPr="001C481F">
        <w:rPr>
          <w:lang w:val="fr-FR"/>
        </w:rPr>
        <w:tab/>
      </w:r>
      <w:r w:rsidR="001C481F" w:rsidRPr="001C481F">
        <w:rPr>
          <w:b/>
          <w:bCs/>
          <w:lang w:val="fr-FR"/>
        </w:rPr>
        <w:t xml:space="preserve">Présente dans son </w:t>
      </w:r>
      <w:r w:rsidR="00F74A8F">
        <w:rPr>
          <w:b/>
          <w:bCs/>
          <w:lang w:val="fr-FR"/>
        </w:rPr>
        <w:t>septième</w:t>
      </w:r>
      <w:r w:rsidR="00F74A8F" w:rsidRPr="001C481F">
        <w:rPr>
          <w:b/>
          <w:bCs/>
          <w:lang w:val="fr-FR"/>
        </w:rPr>
        <w:t xml:space="preserve"> </w:t>
      </w:r>
      <w:r w:rsidR="001C481F" w:rsidRPr="001C481F">
        <w:rPr>
          <w:b/>
          <w:bCs/>
          <w:lang w:val="fr-FR"/>
        </w:rPr>
        <w:t>rapport périodique des informations sur l</w:t>
      </w:r>
      <w:r w:rsidR="0047269F">
        <w:rPr>
          <w:b/>
          <w:bCs/>
          <w:lang w:val="fr-FR"/>
        </w:rPr>
        <w:t>’</w:t>
      </w:r>
      <w:r w:rsidR="001C481F" w:rsidRPr="001C481F">
        <w:rPr>
          <w:b/>
          <w:bCs/>
          <w:lang w:val="fr-FR"/>
        </w:rPr>
        <w:t>ampleur du problème de l</w:t>
      </w:r>
      <w:r w:rsidR="0047269F">
        <w:rPr>
          <w:b/>
          <w:bCs/>
          <w:lang w:val="fr-FR"/>
        </w:rPr>
        <w:t>’</w:t>
      </w:r>
      <w:r w:rsidR="001C481F" w:rsidRPr="001C481F">
        <w:rPr>
          <w:b/>
          <w:bCs/>
          <w:lang w:val="fr-FR"/>
        </w:rPr>
        <w:t>exploitation de la prostitution et sur les mécanismes mis en place pour recenser les victimes de traite à des fins d</w:t>
      </w:r>
      <w:r w:rsidR="0047269F">
        <w:rPr>
          <w:b/>
          <w:bCs/>
          <w:lang w:val="fr-FR"/>
        </w:rPr>
        <w:t>’</w:t>
      </w:r>
      <w:r w:rsidR="001C481F" w:rsidRPr="001C481F">
        <w:rPr>
          <w:b/>
          <w:bCs/>
          <w:lang w:val="fr-FR"/>
        </w:rPr>
        <w:t>exploitation sexuelle ou de travail forcé dans le secteur agricole</w:t>
      </w:r>
      <w:r w:rsidR="0047269F">
        <w:rPr>
          <w:b/>
          <w:bCs/>
          <w:lang w:val="fr-FR"/>
        </w:rPr>
        <w:t> ;</w:t>
      </w:r>
    </w:p>
    <w:p w14:paraId="3BB8FEA0" w14:textId="71CACE9F" w:rsidR="001C481F" w:rsidRPr="001C481F" w:rsidRDefault="001C481F" w:rsidP="001C481F">
      <w:pPr>
        <w:pStyle w:val="SingleTxt"/>
        <w:rPr>
          <w:b/>
          <w:lang w:val="fr-FR"/>
        </w:rPr>
      </w:pPr>
      <w:r w:rsidRPr="001C481F">
        <w:rPr>
          <w:lang w:val="fr-FR"/>
        </w:rPr>
        <w:tab/>
      </w:r>
      <w:r w:rsidRPr="001C481F">
        <w:rPr>
          <w:b/>
          <w:bCs/>
          <w:lang w:val="fr-FR"/>
        </w:rPr>
        <w:t>d)</w:t>
      </w:r>
      <w:r w:rsidRPr="001C481F">
        <w:rPr>
          <w:lang w:val="fr-FR"/>
        </w:rPr>
        <w:tab/>
      </w:r>
      <w:r w:rsidRPr="001C481F">
        <w:rPr>
          <w:b/>
          <w:bCs/>
          <w:lang w:val="fr-FR"/>
        </w:rPr>
        <w:t>Renforce la coopération bilatérale, régionale et internationale afin de prévenir la traite, notamment en échangeant des informations et en harmonisant les procédures juridiques qui permettent d</w:t>
      </w:r>
      <w:r w:rsidR="0047269F">
        <w:rPr>
          <w:b/>
          <w:bCs/>
          <w:lang w:val="fr-FR"/>
        </w:rPr>
        <w:t>’</w:t>
      </w:r>
      <w:r w:rsidRPr="001C481F">
        <w:rPr>
          <w:b/>
          <w:bCs/>
          <w:lang w:val="fr-FR"/>
        </w:rPr>
        <w:t>engager des poursuites contre les trafiquants</w:t>
      </w:r>
      <w:r w:rsidR="0047269F">
        <w:rPr>
          <w:b/>
          <w:bCs/>
          <w:lang w:val="fr-FR"/>
        </w:rPr>
        <w:t> ;</w:t>
      </w:r>
    </w:p>
    <w:p w14:paraId="430D1C83" w14:textId="31ED0E07" w:rsidR="001C481F" w:rsidRDefault="00410A6C" w:rsidP="001C481F">
      <w:pPr>
        <w:pStyle w:val="SingleTxt"/>
        <w:rPr>
          <w:b/>
          <w:bCs/>
          <w:lang w:val="fr-FR"/>
        </w:rPr>
      </w:pPr>
      <w:r>
        <w:rPr>
          <w:b/>
          <w:bCs/>
          <w:lang w:val="fr-FR"/>
        </w:rPr>
        <w:tab/>
      </w:r>
      <w:r w:rsidR="001C481F" w:rsidRPr="001C481F">
        <w:rPr>
          <w:b/>
          <w:bCs/>
          <w:lang w:val="fr-FR"/>
        </w:rPr>
        <w:t>e)</w:t>
      </w:r>
      <w:r w:rsidR="001C481F" w:rsidRPr="001C481F">
        <w:rPr>
          <w:lang w:val="fr-FR"/>
        </w:rPr>
        <w:tab/>
      </w:r>
      <w:r w:rsidR="001C481F" w:rsidRPr="001C481F">
        <w:rPr>
          <w:b/>
          <w:bCs/>
          <w:lang w:val="fr-FR"/>
        </w:rPr>
        <w:t>Crée des programmes de réinsertion à l</w:t>
      </w:r>
      <w:r w:rsidR="0047269F">
        <w:rPr>
          <w:b/>
          <w:bCs/>
          <w:lang w:val="fr-FR"/>
        </w:rPr>
        <w:t>’</w:t>
      </w:r>
      <w:r w:rsidR="001C481F" w:rsidRPr="001C481F">
        <w:rPr>
          <w:b/>
          <w:bCs/>
          <w:lang w:val="fr-FR"/>
        </w:rPr>
        <w:t>intention des femmes souhaitant renoncer à la prostitution.</w:t>
      </w:r>
    </w:p>
    <w:p w14:paraId="45A918CA" w14:textId="67D48C75" w:rsidR="00410A6C" w:rsidRPr="00410A6C" w:rsidRDefault="00410A6C" w:rsidP="00410A6C">
      <w:pPr>
        <w:pStyle w:val="SingleTxt"/>
        <w:spacing w:after="0" w:line="120" w:lineRule="exact"/>
        <w:rPr>
          <w:b/>
          <w:bCs/>
          <w:sz w:val="10"/>
          <w:lang w:val="fr-FR"/>
        </w:rPr>
      </w:pPr>
    </w:p>
    <w:p w14:paraId="690BA601" w14:textId="77777777" w:rsidR="001C481F" w:rsidRPr="001C481F" w:rsidRDefault="001C481F" w:rsidP="00410A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481F">
        <w:rPr>
          <w:lang w:val="fr-FR"/>
        </w:rPr>
        <w:tab/>
      </w:r>
      <w:r w:rsidRPr="001C481F">
        <w:rPr>
          <w:lang w:val="fr-FR"/>
        </w:rPr>
        <w:tab/>
        <w:t xml:space="preserve">Participation à la vie politique et à la vie publique </w:t>
      </w:r>
    </w:p>
    <w:p w14:paraId="0C68CBE6" w14:textId="3EEDCF5C" w:rsidR="00410A6C" w:rsidRPr="00410A6C" w:rsidRDefault="00410A6C" w:rsidP="00410A6C">
      <w:pPr>
        <w:pStyle w:val="SingleTxt"/>
        <w:spacing w:after="0" w:line="120" w:lineRule="exact"/>
        <w:rPr>
          <w:sz w:val="10"/>
          <w:lang w:val="fr-FR"/>
        </w:rPr>
      </w:pPr>
    </w:p>
    <w:p w14:paraId="7EEC5B16" w14:textId="737188DA" w:rsidR="001C481F" w:rsidRPr="001C481F" w:rsidRDefault="001C481F" w:rsidP="00D55120">
      <w:pPr>
        <w:pStyle w:val="SingleTxt"/>
        <w:numPr>
          <w:ilvl w:val="0"/>
          <w:numId w:val="13"/>
        </w:numPr>
        <w:spacing w:line="240" w:lineRule="exact"/>
        <w:rPr>
          <w:lang w:val="fr-FR"/>
        </w:rPr>
      </w:pPr>
      <w:r w:rsidRPr="001C481F">
        <w:rPr>
          <w:lang w:val="fr-FR"/>
        </w:rPr>
        <w:t>Le Comité salue les progrès accomplis par l</w:t>
      </w:r>
      <w:r w:rsidR="0047269F">
        <w:rPr>
          <w:lang w:val="fr-FR"/>
        </w:rPr>
        <w:t>’</w:t>
      </w:r>
      <w:r w:rsidRPr="001C481F">
        <w:rPr>
          <w:lang w:val="fr-FR"/>
        </w:rPr>
        <w:t>État partie en vue d</w:t>
      </w:r>
      <w:r w:rsidR="0047269F">
        <w:rPr>
          <w:lang w:val="fr-FR"/>
        </w:rPr>
        <w:t>’</w:t>
      </w:r>
      <w:r w:rsidRPr="001C481F">
        <w:rPr>
          <w:lang w:val="fr-FR"/>
        </w:rPr>
        <w:t>accroître la présence des femmes dans les instances judiciaires et dans la fonction publique, ainsi que dans les conseils d</w:t>
      </w:r>
      <w:r w:rsidR="0047269F">
        <w:rPr>
          <w:lang w:val="fr-FR"/>
        </w:rPr>
        <w:t>’</w:t>
      </w:r>
      <w:r w:rsidRPr="001C481F">
        <w:rPr>
          <w:lang w:val="fr-FR"/>
        </w:rPr>
        <w:t>administration des organismes publics. Il se félicite de la nomination de deux femmes aux postes de directrice des ressources humaines de l</w:t>
      </w:r>
      <w:r w:rsidR="0047269F">
        <w:rPr>
          <w:lang w:val="fr-FR"/>
        </w:rPr>
        <w:t>’</w:t>
      </w:r>
      <w:r w:rsidRPr="001C481F">
        <w:rPr>
          <w:lang w:val="fr-FR"/>
        </w:rPr>
        <w:t>administration des tribunaux rabbiniques et de juge dans un tribunal religieux musulman. Néanmoins, il demeure préoccupé par :</w:t>
      </w:r>
    </w:p>
    <w:p w14:paraId="4C6F5C51" w14:textId="659C1412" w:rsidR="001C481F" w:rsidRPr="001C481F" w:rsidRDefault="001C481F" w:rsidP="001C481F">
      <w:pPr>
        <w:pStyle w:val="SingleTxt"/>
        <w:rPr>
          <w:lang w:val="fr-FR"/>
        </w:rPr>
      </w:pPr>
      <w:r w:rsidRPr="001C481F">
        <w:rPr>
          <w:lang w:val="fr-FR"/>
        </w:rPr>
        <w:tab/>
        <w:t>a)</w:t>
      </w:r>
      <w:r w:rsidRPr="001C481F">
        <w:rPr>
          <w:lang w:val="fr-FR"/>
        </w:rPr>
        <w:tab/>
        <w:t xml:space="preserve">La faible représentation des femmes </w:t>
      </w:r>
      <w:r w:rsidR="001D3121">
        <w:rPr>
          <w:lang w:val="fr-FR"/>
        </w:rPr>
        <w:t>au Parlement</w:t>
      </w:r>
      <w:r w:rsidRPr="001C481F">
        <w:rPr>
          <w:lang w:val="fr-FR"/>
        </w:rPr>
        <w:t>, à des postes ministériels ou à des postes de haut rang dans les universités ou le corps diplomatique, et par le fait que les femmes ne peuvent siéger en tant que juges dans les tribunaux rabbiniques</w:t>
      </w:r>
      <w:r w:rsidR="0047269F">
        <w:rPr>
          <w:lang w:val="fr-FR"/>
        </w:rPr>
        <w:t> ;</w:t>
      </w:r>
      <w:r w:rsidRPr="001C481F">
        <w:rPr>
          <w:lang w:val="fr-FR"/>
        </w:rPr>
        <w:t xml:space="preserve"> </w:t>
      </w:r>
    </w:p>
    <w:p w14:paraId="67357D0B" w14:textId="43283646" w:rsidR="001C481F" w:rsidRPr="001C481F" w:rsidRDefault="001C481F" w:rsidP="001C481F">
      <w:pPr>
        <w:pStyle w:val="SingleTxt"/>
        <w:rPr>
          <w:lang w:val="fr-FR"/>
        </w:rPr>
      </w:pPr>
      <w:r w:rsidRPr="001C481F">
        <w:rPr>
          <w:lang w:val="fr-FR"/>
        </w:rPr>
        <w:tab/>
        <w:t>b)</w:t>
      </w:r>
      <w:r w:rsidRPr="001C481F">
        <w:rPr>
          <w:lang w:val="fr-FR"/>
        </w:rPr>
        <w:tab/>
        <w:t>La faible participation des femmes des communautés arabe et bédouine à la vie politique et publique</w:t>
      </w:r>
      <w:r w:rsidR="0047269F">
        <w:rPr>
          <w:lang w:val="fr-FR"/>
        </w:rPr>
        <w:t> ;</w:t>
      </w:r>
    </w:p>
    <w:p w14:paraId="0A0B053D" w14:textId="2F45CEFA" w:rsidR="001C481F" w:rsidRPr="001C481F" w:rsidRDefault="00410A6C" w:rsidP="001C481F">
      <w:pPr>
        <w:pStyle w:val="SingleTxt"/>
        <w:rPr>
          <w:lang w:val="fr-FR"/>
        </w:rPr>
      </w:pPr>
      <w:r>
        <w:rPr>
          <w:lang w:val="fr-FR"/>
        </w:rPr>
        <w:tab/>
      </w:r>
      <w:r w:rsidR="001C481F" w:rsidRPr="001C481F">
        <w:rPr>
          <w:lang w:val="fr-FR"/>
        </w:rPr>
        <w:t>c)</w:t>
      </w:r>
      <w:r w:rsidR="001C481F" w:rsidRPr="001C481F">
        <w:rPr>
          <w:lang w:val="fr-FR"/>
        </w:rPr>
        <w:tab/>
        <w:t>L</w:t>
      </w:r>
      <w:r w:rsidR="0047269F">
        <w:rPr>
          <w:lang w:val="fr-FR"/>
        </w:rPr>
        <w:t>’</w:t>
      </w:r>
      <w:r w:rsidR="001C481F" w:rsidRPr="001C481F">
        <w:rPr>
          <w:lang w:val="fr-FR"/>
        </w:rPr>
        <w:t>absence de mesures de lutte contre la discrimination pratiquée par les partis</w:t>
      </w:r>
      <w:r w:rsidR="00FC0C27">
        <w:rPr>
          <w:lang w:val="fr-FR"/>
        </w:rPr>
        <w:t xml:space="preserve"> politiques</w:t>
      </w:r>
      <w:r w:rsidR="001C481F" w:rsidRPr="001C481F">
        <w:rPr>
          <w:lang w:val="fr-FR"/>
        </w:rPr>
        <w:t xml:space="preserve"> ultra-orthodoxes Yehadut Hatorah et Shas, qui n</w:t>
      </w:r>
      <w:r w:rsidR="0047269F">
        <w:rPr>
          <w:lang w:val="fr-FR"/>
        </w:rPr>
        <w:t>’</w:t>
      </w:r>
      <w:r w:rsidR="001C481F" w:rsidRPr="001C481F">
        <w:rPr>
          <w:lang w:val="fr-FR"/>
        </w:rPr>
        <w:t xml:space="preserve">admettent pas les </w:t>
      </w:r>
      <w:r w:rsidR="001C481F" w:rsidRPr="001C481F">
        <w:rPr>
          <w:lang w:val="fr-FR"/>
        </w:rPr>
        <w:lastRenderedPageBreak/>
        <w:t xml:space="preserve">femmes en leur sein et leur interdisent de se présenter aux élections </w:t>
      </w:r>
      <w:r w:rsidR="00E00165">
        <w:rPr>
          <w:lang w:val="fr-FR"/>
        </w:rPr>
        <w:t>au Parlement</w:t>
      </w:r>
      <w:r w:rsidR="001C481F" w:rsidRPr="001C481F">
        <w:rPr>
          <w:lang w:val="fr-FR"/>
        </w:rPr>
        <w:t xml:space="preserve"> ou aux conseils municipaux ou régionaux, et par l</w:t>
      </w:r>
      <w:r w:rsidR="0047269F">
        <w:rPr>
          <w:lang w:val="fr-FR"/>
        </w:rPr>
        <w:t>’</w:t>
      </w:r>
      <w:r w:rsidR="001C481F" w:rsidRPr="001C481F">
        <w:rPr>
          <w:lang w:val="fr-FR"/>
        </w:rPr>
        <w:t>avis formulé par le Procureur général, selon lequel il n</w:t>
      </w:r>
      <w:r w:rsidR="0047269F">
        <w:rPr>
          <w:lang w:val="fr-FR"/>
        </w:rPr>
        <w:t>’</w:t>
      </w:r>
      <w:r w:rsidR="001C481F" w:rsidRPr="001C481F">
        <w:rPr>
          <w:lang w:val="fr-FR"/>
        </w:rPr>
        <w:t>existe aucun motif juridique d</w:t>
      </w:r>
      <w:r w:rsidR="0047269F">
        <w:rPr>
          <w:lang w:val="fr-FR"/>
        </w:rPr>
        <w:t>’</w:t>
      </w:r>
      <w:r w:rsidR="001C481F" w:rsidRPr="001C481F">
        <w:rPr>
          <w:lang w:val="fr-FR"/>
        </w:rPr>
        <w:t>invalider les statuts de ces partis ni de les empêcher de participer aux élections, en dépit du fait que les partis politiques ne devraient pas être autorisés à adopter des statuts dérogeant à la loi fondamentale relative à la liberté et à la dignité de la personne ou à la loi fondamentale relative à la Knesset.</w:t>
      </w:r>
    </w:p>
    <w:p w14:paraId="63D49A66" w14:textId="2074C4D0" w:rsidR="001C481F" w:rsidRPr="001C481F" w:rsidRDefault="001C481F" w:rsidP="00D55120">
      <w:pPr>
        <w:pStyle w:val="SingleTxt"/>
        <w:numPr>
          <w:ilvl w:val="0"/>
          <w:numId w:val="13"/>
        </w:numPr>
        <w:spacing w:line="240" w:lineRule="exact"/>
        <w:rPr>
          <w:b/>
          <w:lang w:val="fr-FR"/>
        </w:rPr>
      </w:pPr>
      <w:r w:rsidRPr="001C481F">
        <w:rPr>
          <w:b/>
          <w:bCs/>
          <w:lang w:val="fr-FR"/>
        </w:rPr>
        <w:t>Le Comité recommande que l</w:t>
      </w:r>
      <w:r w:rsidR="0047269F">
        <w:rPr>
          <w:b/>
          <w:bCs/>
          <w:lang w:val="fr-FR"/>
        </w:rPr>
        <w:t>’</w:t>
      </w:r>
      <w:r w:rsidRPr="001C481F">
        <w:rPr>
          <w:b/>
          <w:bCs/>
          <w:lang w:val="fr-FR"/>
        </w:rPr>
        <w:t>État partie :</w:t>
      </w:r>
    </w:p>
    <w:p w14:paraId="6E341F75" w14:textId="24221E6B" w:rsidR="001C481F" w:rsidRPr="001C481F" w:rsidRDefault="001C481F" w:rsidP="001C481F">
      <w:pPr>
        <w:pStyle w:val="SingleTxt"/>
        <w:rPr>
          <w:b/>
          <w:lang w:val="fr-FR"/>
        </w:rPr>
      </w:pPr>
      <w:r w:rsidRPr="001C481F">
        <w:rPr>
          <w:lang w:val="fr-FR"/>
        </w:rPr>
        <w:tab/>
      </w:r>
      <w:r w:rsidRPr="001C481F">
        <w:rPr>
          <w:b/>
          <w:bCs/>
          <w:lang w:val="fr-FR"/>
        </w:rPr>
        <w:t>a)</w:t>
      </w:r>
      <w:r w:rsidRPr="001C481F">
        <w:rPr>
          <w:lang w:val="fr-FR"/>
        </w:rPr>
        <w:tab/>
      </w:r>
      <w:r w:rsidRPr="001C481F">
        <w:rPr>
          <w:b/>
          <w:bCs/>
          <w:lang w:val="fr-FR"/>
        </w:rPr>
        <w:t>Continue de prendre des mesures ciblées en vue d</w:t>
      </w:r>
      <w:r w:rsidR="0047269F">
        <w:rPr>
          <w:b/>
          <w:bCs/>
          <w:lang w:val="fr-FR"/>
        </w:rPr>
        <w:t>’</w:t>
      </w:r>
      <w:r w:rsidRPr="001C481F">
        <w:rPr>
          <w:b/>
          <w:bCs/>
          <w:lang w:val="fr-FR"/>
        </w:rPr>
        <w:t xml:space="preserve">accroître encore la représentation des femmes dans la vie politique et publique, en particulier </w:t>
      </w:r>
      <w:r w:rsidR="00F71043">
        <w:rPr>
          <w:b/>
          <w:bCs/>
          <w:lang w:val="fr-FR"/>
        </w:rPr>
        <w:t>au Parlement</w:t>
      </w:r>
      <w:r w:rsidRPr="001C481F">
        <w:rPr>
          <w:b/>
          <w:bCs/>
          <w:lang w:val="fr-FR"/>
        </w:rPr>
        <w:t>, à des postes ministériels et à des postes de haut niveau dans les universités et le corps diplomatique</w:t>
      </w:r>
      <w:r w:rsidR="0047269F">
        <w:rPr>
          <w:b/>
          <w:bCs/>
          <w:lang w:val="fr-FR"/>
        </w:rPr>
        <w:t> ;</w:t>
      </w:r>
      <w:r w:rsidRPr="001C481F">
        <w:rPr>
          <w:b/>
          <w:bCs/>
          <w:lang w:val="fr-FR"/>
        </w:rPr>
        <w:t xml:space="preserve"> engage des consultations avec les parties intéressées en vue d</w:t>
      </w:r>
      <w:r w:rsidR="0047269F">
        <w:rPr>
          <w:b/>
          <w:bCs/>
          <w:lang w:val="fr-FR"/>
        </w:rPr>
        <w:t>’</w:t>
      </w:r>
      <w:r w:rsidRPr="001C481F">
        <w:rPr>
          <w:b/>
          <w:bCs/>
          <w:lang w:val="fr-FR"/>
        </w:rPr>
        <w:t>adopter une réforme permettant aux femmes de siéger en qualité de juges dans les tribunaux rabbiniques</w:t>
      </w:r>
      <w:r w:rsidR="0047269F">
        <w:rPr>
          <w:b/>
          <w:bCs/>
          <w:lang w:val="fr-FR"/>
        </w:rPr>
        <w:t> ;</w:t>
      </w:r>
      <w:r w:rsidRPr="001C481F">
        <w:rPr>
          <w:lang w:val="fr-FR"/>
        </w:rPr>
        <w:t xml:space="preserve"> </w:t>
      </w:r>
    </w:p>
    <w:p w14:paraId="60A7B4A0" w14:textId="486667A3" w:rsidR="001C481F" w:rsidRPr="001C481F" w:rsidRDefault="001C481F" w:rsidP="001C481F">
      <w:pPr>
        <w:pStyle w:val="SingleTxt"/>
        <w:rPr>
          <w:b/>
          <w:lang w:val="fr-FR"/>
        </w:rPr>
      </w:pPr>
      <w:r w:rsidRPr="001C481F">
        <w:rPr>
          <w:lang w:val="fr-FR"/>
        </w:rPr>
        <w:tab/>
      </w:r>
      <w:r w:rsidRPr="001C481F">
        <w:rPr>
          <w:b/>
          <w:bCs/>
          <w:lang w:val="fr-FR"/>
        </w:rPr>
        <w:t>b)</w:t>
      </w:r>
      <w:r w:rsidRPr="001C481F">
        <w:rPr>
          <w:lang w:val="fr-FR"/>
        </w:rPr>
        <w:tab/>
      </w:r>
      <w:r w:rsidRPr="001C481F">
        <w:rPr>
          <w:b/>
          <w:bCs/>
          <w:lang w:val="fr-FR"/>
        </w:rPr>
        <w:t>Mette en place des mesures temporaires spéciales, telles que des quotas, afin d</w:t>
      </w:r>
      <w:r w:rsidR="0047269F">
        <w:rPr>
          <w:b/>
          <w:bCs/>
          <w:lang w:val="fr-FR"/>
        </w:rPr>
        <w:t>’</w:t>
      </w:r>
      <w:r w:rsidRPr="001C481F">
        <w:rPr>
          <w:b/>
          <w:bCs/>
          <w:lang w:val="fr-FR"/>
        </w:rPr>
        <w:t>accroître la participation des femmes arabes et bédouines israéliennes à la vie politique et à la vie publique</w:t>
      </w:r>
      <w:r w:rsidR="0047269F">
        <w:rPr>
          <w:b/>
          <w:bCs/>
          <w:lang w:val="fr-FR"/>
        </w:rPr>
        <w:t> ;</w:t>
      </w:r>
    </w:p>
    <w:p w14:paraId="1CC95856" w14:textId="794B1BC0" w:rsidR="001C481F" w:rsidRDefault="001C481F" w:rsidP="001C481F">
      <w:pPr>
        <w:pStyle w:val="SingleTxt"/>
        <w:rPr>
          <w:lang w:val="fr-FR"/>
        </w:rPr>
      </w:pPr>
      <w:r w:rsidRPr="001C481F">
        <w:rPr>
          <w:lang w:val="fr-FR"/>
        </w:rPr>
        <w:tab/>
      </w:r>
      <w:r w:rsidRPr="001C481F">
        <w:rPr>
          <w:b/>
          <w:bCs/>
          <w:lang w:val="fr-FR"/>
        </w:rPr>
        <w:t>c)</w:t>
      </w:r>
      <w:r w:rsidRPr="001C481F">
        <w:rPr>
          <w:lang w:val="fr-FR"/>
        </w:rPr>
        <w:tab/>
      </w:r>
      <w:r w:rsidRPr="001C481F">
        <w:rPr>
          <w:b/>
          <w:bCs/>
          <w:lang w:val="fr-FR"/>
        </w:rPr>
        <w:t>Adopte une législation excluant de quelque élection que ce soit tout parti politique qui, en violation de l</w:t>
      </w:r>
      <w:r w:rsidR="0047269F">
        <w:rPr>
          <w:b/>
          <w:bCs/>
          <w:lang w:val="fr-FR"/>
        </w:rPr>
        <w:t>’</w:t>
      </w:r>
      <w:r w:rsidRPr="001C481F">
        <w:rPr>
          <w:b/>
          <w:bCs/>
          <w:lang w:val="fr-FR"/>
        </w:rPr>
        <w:t xml:space="preserve">article 7 de la Convention et des lois fondamentales </w:t>
      </w:r>
      <w:r w:rsidR="00FE01E9">
        <w:rPr>
          <w:b/>
          <w:bCs/>
          <w:lang w:val="fr-FR"/>
        </w:rPr>
        <w:t>applicables</w:t>
      </w:r>
      <w:r w:rsidRPr="001C481F">
        <w:rPr>
          <w:b/>
          <w:bCs/>
          <w:lang w:val="fr-FR"/>
        </w:rPr>
        <w:t>, notamment la loi fondamentale relative à la dignité et à la liberté de la personne, applique des règles discriminatoires interdisant aux femmes d</w:t>
      </w:r>
      <w:r w:rsidR="0047269F">
        <w:rPr>
          <w:b/>
          <w:bCs/>
          <w:lang w:val="fr-FR"/>
        </w:rPr>
        <w:t>’</w:t>
      </w:r>
      <w:r w:rsidRPr="001C481F">
        <w:rPr>
          <w:b/>
          <w:bCs/>
          <w:lang w:val="fr-FR"/>
        </w:rPr>
        <w:t xml:space="preserve">en être membres ou de se porter candidates </w:t>
      </w:r>
      <w:r w:rsidR="00090B95">
        <w:rPr>
          <w:b/>
          <w:bCs/>
          <w:lang w:val="fr-FR"/>
        </w:rPr>
        <w:t>au Parlement</w:t>
      </w:r>
      <w:r w:rsidRPr="001C481F">
        <w:rPr>
          <w:b/>
          <w:bCs/>
          <w:lang w:val="fr-FR"/>
        </w:rPr>
        <w:t xml:space="preserve"> ou aux conseils municipaux ou régionaux, et donc d</w:t>
      </w:r>
      <w:r w:rsidR="0047269F">
        <w:rPr>
          <w:b/>
          <w:bCs/>
          <w:lang w:val="fr-FR"/>
        </w:rPr>
        <w:t>’</w:t>
      </w:r>
      <w:r w:rsidRPr="001C481F">
        <w:rPr>
          <w:b/>
          <w:bCs/>
          <w:lang w:val="fr-FR"/>
        </w:rPr>
        <w:t>y être élues.</w:t>
      </w:r>
      <w:r w:rsidRPr="001C481F">
        <w:rPr>
          <w:lang w:val="fr-FR"/>
        </w:rPr>
        <w:t xml:space="preserve"> </w:t>
      </w:r>
    </w:p>
    <w:p w14:paraId="066093BD" w14:textId="1062E783" w:rsidR="00410A6C" w:rsidRPr="00410A6C" w:rsidRDefault="00410A6C" w:rsidP="00410A6C">
      <w:pPr>
        <w:pStyle w:val="SingleTxt"/>
        <w:spacing w:after="0" w:line="120" w:lineRule="exact"/>
        <w:rPr>
          <w:sz w:val="10"/>
          <w:lang w:val="fr-FR"/>
        </w:rPr>
      </w:pPr>
    </w:p>
    <w:p w14:paraId="734E9888" w14:textId="37660357" w:rsidR="001C481F" w:rsidRDefault="001C481F" w:rsidP="00410A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481F">
        <w:rPr>
          <w:lang w:val="fr-FR"/>
        </w:rPr>
        <w:tab/>
      </w:r>
      <w:r w:rsidRPr="001C481F">
        <w:rPr>
          <w:lang w:val="fr-FR"/>
        </w:rPr>
        <w:tab/>
        <w:t>Défenseurs des droits de l</w:t>
      </w:r>
      <w:r w:rsidR="0047269F">
        <w:rPr>
          <w:lang w:val="fr-FR"/>
        </w:rPr>
        <w:t>’</w:t>
      </w:r>
      <w:r w:rsidRPr="001C481F">
        <w:rPr>
          <w:lang w:val="fr-FR"/>
        </w:rPr>
        <w:t>homme et organisations non gouvernementales</w:t>
      </w:r>
    </w:p>
    <w:p w14:paraId="5F300200" w14:textId="4DAB0B0D" w:rsidR="00410A6C" w:rsidRPr="00410A6C" w:rsidRDefault="00410A6C" w:rsidP="00410A6C">
      <w:pPr>
        <w:pStyle w:val="SingleTxt"/>
        <w:spacing w:after="0" w:line="120" w:lineRule="exact"/>
        <w:rPr>
          <w:sz w:val="10"/>
          <w:lang w:val="fr-FR"/>
        </w:rPr>
      </w:pPr>
    </w:p>
    <w:p w14:paraId="293E8993" w14:textId="312569BA" w:rsidR="001C481F" w:rsidRPr="001C481F" w:rsidRDefault="001C481F" w:rsidP="00D55120">
      <w:pPr>
        <w:pStyle w:val="SingleTxt"/>
        <w:numPr>
          <w:ilvl w:val="0"/>
          <w:numId w:val="14"/>
        </w:numPr>
        <w:spacing w:line="240" w:lineRule="exact"/>
        <w:rPr>
          <w:lang w:val="fr-FR"/>
        </w:rPr>
      </w:pPr>
      <w:r w:rsidRPr="001C481F">
        <w:rPr>
          <w:lang w:val="fr-FR"/>
        </w:rPr>
        <w:t>Le Comité est troublé de constater que, depuis l</w:t>
      </w:r>
      <w:r w:rsidR="0047269F">
        <w:rPr>
          <w:lang w:val="fr-FR"/>
        </w:rPr>
        <w:t>’</w:t>
      </w:r>
      <w:r w:rsidRPr="001C481F">
        <w:rPr>
          <w:lang w:val="fr-FR"/>
        </w:rPr>
        <w:t xml:space="preserve">adoption </w:t>
      </w:r>
      <w:r w:rsidR="00636AD4">
        <w:rPr>
          <w:lang w:val="fr-FR"/>
        </w:rPr>
        <w:t>des lois dites</w:t>
      </w:r>
      <w:r w:rsidRPr="001C481F">
        <w:rPr>
          <w:lang w:val="fr-FR"/>
        </w:rPr>
        <w:t xml:space="preserve"> </w:t>
      </w:r>
      <w:r w:rsidR="00636AD4">
        <w:rPr>
          <w:lang w:val="fr-FR"/>
        </w:rPr>
        <w:t>« </w:t>
      </w:r>
      <w:r w:rsidRPr="001C481F">
        <w:rPr>
          <w:lang w:val="fr-FR"/>
        </w:rPr>
        <w:t>boycottage</w:t>
      </w:r>
      <w:r w:rsidR="00636AD4">
        <w:rPr>
          <w:lang w:val="fr-FR"/>
        </w:rPr>
        <w:t> »</w:t>
      </w:r>
      <w:r w:rsidRPr="001C481F">
        <w:rPr>
          <w:lang w:val="fr-FR"/>
        </w:rPr>
        <w:t xml:space="preserve"> et </w:t>
      </w:r>
      <w:r w:rsidR="00636AD4">
        <w:rPr>
          <w:lang w:val="fr-FR"/>
        </w:rPr>
        <w:t>« </w:t>
      </w:r>
      <w:r w:rsidRPr="001C481F">
        <w:rPr>
          <w:lang w:val="fr-FR"/>
        </w:rPr>
        <w:t>Na</w:t>
      </w:r>
      <w:r w:rsidR="00636AD4">
        <w:rPr>
          <w:lang w:val="fr-FR"/>
        </w:rPr>
        <w:t>k</w:t>
      </w:r>
      <w:r w:rsidRPr="001C481F">
        <w:rPr>
          <w:lang w:val="fr-FR"/>
        </w:rPr>
        <w:t>ba</w:t>
      </w:r>
      <w:r w:rsidR="00636AD4">
        <w:rPr>
          <w:lang w:val="fr-FR"/>
        </w:rPr>
        <w:t> »</w:t>
      </w:r>
      <w:r w:rsidRPr="001C481F">
        <w:rPr>
          <w:lang w:val="fr-FR"/>
        </w:rPr>
        <w:t xml:space="preserve"> en 2011, les défenseurs des droits de l</w:t>
      </w:r>
      <w:r w:rsidR="0047269F">
        <w:rPr>
          <w:lang w:val="fr-FR"/>
        </w:rPr>
        <w:t>’</w:t>
      </w:r>
      <w:r w:rsidRPr="001C481F">
        <w:rPr>
          <w:lang w:val="fr-FR"/>
        </w:rPr>
        <w:t>homme, y compris lorsqu</w:t>
      </w:r>
      <w:r w:rsidR="0047269F">
        <w:rPr>
          <w:lang w:val="fr-FR"/>
        </w:rPr>
        <w:t>’</w:t>
      </w:r>
      <w:r w:rsidRPr="001C481F">
        <w:rPr>
          <w:lang w:val="fr-FR"/>
        </w:rPr>
        <w:t>il s</w:t>
      </w:r>
      <w:r w:rsidR="0047269F">
        <w:rPr>
          <w:lang w:val="fr-FR"/>
        </w:rPr>
        <w:t>’</w:t>
      </w:r>
      <w:r w:rsidRPr="001C481F">
        <w:rPr>
          <w:lang w:val="fr-FR"/>
        </w:rPr>
        <w:t xml:space="preserve">agit de femmes israéliennes et palestiniennes, voient leurs activités soumises à des restrictions pénalisantes, notamment pour ce qui est de leur financement. </w:t>
      </w:r>
    </w:p>
    <w:p w14:paraId="5F30A318" w14:textId="584D56B8" w:rsidR="001C481F" w:rsidRPr="00FC4232" w:rsidRDefault="001C481F" w:rsidP="00D55120">
      <w:pPr>
        <w:pStyle w:val="SingleTxt"/>
        <w:numPr>
          <w:ilvl w:val="0"/>
          <w:numId w:val="14"/>
        </w:numPr>
        <w:spacing w:line="240" w:lineRule="exact"/>
        <w:rPr>
          <w:b/>
          <w:lang w:val="fr-FR"/>
        </w:rPr>
      </w:pPr>
      <w:r w:rsidRPr="001C481F">
        <w:rPr>
          <w:b/>
          <w:bCs/>
          <w:lang w:val="fr-FR"/>
        </w:rPr>
        <w:t>Le Comité recommande que l</w:t>
      </w:r>
      <w:r w:rsidR="0047269F">
        <w:rPr>
          <w:b/>
          <w:bCs/>
          <w:lang w:val="fr-FR"/>
        </w:rPr>
        <w:t>’</w:t>
      </w:r>
      <w:r w:rsidRPr="001C481F">
        <w:rPr>
          <w:b/>
          <w:bCs/>
          <w:lang w:val="fr-FR"/>
        </w:rPr>
        <w:t>État partie prenne des mesures spécifiques, et en particulier</w:t>
      </w:r>
      <w:r w:rsidR="00D55120">
        <w:rPr>
          <w:b/>
          <w:bCs/>
          <w:lang w:val="fr-FR"/>
        </w:rPr>
        <w:t xml:space="preserve"> </w:t>
      </w:r>
      <w:r w:rsidRPr="001C481F">
        <w:rPr>
          <w:b/>
          <w:bCs/>
          <w:lang w:val="fr-FR"/>
        </w:rPr>
        <w:t>modifie certaines de ses lois, pour permettre aux femmes israéliennes et palestiniennes défendant les droits de l</w:t>
      </w:r>
      <w:r w:rsidR="0047269F">
        <w:rPr>
          <w:b/>
          <w:bCs/>
          <w:lang w:val="fr-FR"/>
        </w:rPr>
        <w:t>’</w:t>
      </w:r>
      <w:r w:rsidRPr="001C481F">
        <w:rPr>
          <w:b/>
          <w:bCs/>
          <w:lang w:val="fr-FR"/>
        </w:rPr>
        <w:t>homme et aux organisations non gouvernementales œuvrant en faveur de l</w:t>
      </w:r>
      <w:r w:rsidR="0047269F">
        <w:rPr>
          <w:b/>
          <w:bCs/>
          <w:lang w:val="fr-FR"/>
        </w:rPr>
        <w:t>’</w:t>
      </w:r>
      <w:r w:rsidRPr="001C481F">
        <w:rPr>
          <w:b/>
          <w:bCs/>
          <w:lang w:val="fr-FR"/>
        </w:rPr>
        <w:t>égalité des sexes et de l</w:t>
      </w:r>
      <w:r w:rsidR="0047269F">
        <w:rPr>
          <w:b/>
          <w:bCs/>
          <w:lang w:val="fr-FR"/>
        </w:rPr>
        <w:t>’</w:t>
      </w:r>
      <w:r w:rsidRPr="001C481F">
        <w:rPr>
          <w:b/>
          <w:bCs/>
          <w:lang w:val="fr-FR"/>
        </w:rPr>
        <w:t>autonomisation des femmes de mener leurs activités dans un environnement favorable et sans restriction indue, notamment en ce qui concerne leur financement par des acteurs étrangers.</w:t>
      </w:r>
    </w:p>
    <w:p w14:paraId="2A04A404" w14:textId="7157BE5D" w:rsidR="00104C7D" w:rsidRPr="00FC4232" w:rsidRDefault="00104C7D" w:rsidP="00FC4232">
      <w:pPr>
        <w:pStyle w:val="SingleTxt"/>
        <w:tabs>
          <w:tab w:val="clear" w:pos="1742"/>
        </w:tabs>
        <w:spacing w:after="0" w:line="120" w:lineRule="exact"/>
        <w:rPr>
          <w:b/>
          <w:bCs/>
          <w:sz w:val="10"/>
          <w:lang w:val="fr-FR"/>
        </w:rPr>
      </w:pPr>
    </w:p>
    <w:p w14:paraId="67EDAFA0" w14:textId="77777777" w:rsidR="001C481F" w:rsidRPr="001C481F" w:rsidRDefault="001C481F" w:rsidP="009E7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481F">
        <w:rPr>
          <w:lang w:val="fr-FR"/>
        </w:rPr>
        <w:tab/>
      </w:r>
      <w:r w:rsidRPr="001C481F">
        <w:rPr>
          <w:lang w:val="fr-FR"/>
        </w:rPr>
        <w:tab/>
        <w:t>Nationalité et regroupement familial</w:t>
      </w:r>
    </w:p>
    <w:p w14:paraId="515A0EE7" w14:textId="3DB98C7A" w:rsidR="009E77AD" w:rsidRPr="009E77AD" w:rsidRDefault="009E77AD" w:rsidP="009E77AD">
      <w:pPr>
        <w:pStyle w:val="SingleTxt"/>
        <w:spacing w:after="0" w:line="120" w:lineRule="exact"/>
        <w:rPr>
          <w:sz w:val="10"/>
          <w:lang w:val="fr-FR"/>
        </w:rPr>
      </w:pPr>
    </w:p>
    <w:p w14:paraId="24777A26" w14:textId="52599F07" w:rsidR="001C481F" w:rsidRPr="001C481F" w:rsidRDefault="001C481F" w:rsidP="00D55120">
      <w:pPr>
        <w:pStyle w:val="SingleTxt"/>
        <w:numPr>
          <w:ilvl w:val="0"/>
          <w:numId w:val="15"/>
        </w:numPr>
        <w:spacing w:line="240" w:lineRule="exact"/>
        <w:rPr>
          <w:lang w:val="fr-FR"/>
        </w:rPr>
      </w:pPr>
      <w:r w:rsidRPr="001C481F">
        <w:rPr>
          <w:lang w:val="fr-FR"/>
        </w:rPr>
        <w:t>Le Comité note avec préoccupation que la loi sur la citoyenneté et l</w:t>
      </w:r>
      <w:r w:rsidR="0047269F">
        <w:rPr>
          <w:lang w:val="fr-FR"/>
        </w:rPr>
        <w:t>’</w:t>
      </w:r>
      <w:r w:rsidRPr="001C481F">
        <w:rPr>
          <w:lang w:val="fr-FR"/>
        </w:rPr>
        <w:t xml:space="preserve">entrée en Israël (disposition temporaire), qui </w:t>
      </w:r>
      <w:r w:rsidR="00A65DBF">
        <w:rPr>
          <w:lang w:val="fr-FR"/>
        </w:rPr>
        <w:t xml:space="preserve">est entrée en vigueur en 2003 et </w:t>
      </w:r>
      <w:r w:rsidRPr="001C481F">
        <w:rPr>
          <w:lang w:val="fr-FR"/>
        </w:rPr>
        <w:t>devait être provisoire mais continue d</w:t>
      </w:r>
      <w:r w:rsidR="0047269F">
        <w:rPr>
          <w:lang w:val="fr-FR"/>
        </w:rPr>
        <w:t>’</w:t>
      </w:r>
      <w:r w:rsidRPr="001C481F">
        <w:rPr>
          <w:lang w:val="fr-FR"/>
        </w:rPr>
        <w:t>être renouvelée, interdit l</w:t>
      </w:r>
      <w:r w:rsidR="0047269F">
        <w:rPr>
          <w:lang w:val="fr-FR"/>
        </w:rPr>
        <w:t>’</w:t>
      </w:r>
      <w:r w:rsidRPr="001C481F">
        <w:rPr>
          <w:lang w:val="fr-FR"/>
        </w:rPr>
        <w:t>octroi du statut de résident aux conjoints de citoyens israéliens d</w:t>
      </w:r>
      <w:r w:rsidR="0047269F">
        <w:rPr>
          <w:lang w:val="fr-FR"/>
        </w:rPr>
        <w:t>’</w:t>
      </w:r>
      <w:r w:rsidRPr="001C481F">
        <w:rPr>
          <w:lang w:val="fr-FR"/>
        </w:rPr>
        <w:t>origine palestinienne ou de Palestiniens ayant obtenu un droit de séjour permanent en Israël. Il constate que cette interdiction est totale pour les Gazaouis, tandis que les Palestiniens de Cisjordanie peuvent obtenir un permis de séjour temporaire depuis 2005. Il est particulièrement préoccupé par ce qui suit :</w:t>
      </w:r>
    </w:p>
    <w:p w14:paraId="1695C24C" w14:textId="0A679187" w:rsidR="001C481F" w:rsidRPr="001C481F" w:rsidRDefault="001C481F" w:rsidP="001C481F">
      <w:pPr>
        <w:pStyle w:val="SingleTxt"/>
        <w:rPr>
          <w:lang w:val="fr-FR"/>
        </w:rPr>
      </w:pPr>
      <w:r w:rsidRPr="001C481F">
        <w:rPr>
          <w:lang w:val="fr-FR"/>
        </w:rPr>
        <w:tab/>
        <w:t>a)</w:t>
      </w:r>
      <w:r w:rsidRPr="001C481F">
        <w:rPr>
          <w:lang w:val="fr-FR"/>
        </w:rPr>
        <w:tab/>
        <w:t xml:space="preserve">La </w:t>
      </w:r>
      <w:r w:rsidR="00DB3B55">
        <w:rPr>
          <w:lang w:val="fr-FR"/>
        </w:rPr>
        <w:t>législation</w:t>
      </w:r>
      <w:r w:rsidRPr="001C481F">
        <w:rPr>
          <w:lang w:val="fr-FR"/>
        </w:rPr>
        <w:t xml:space="preserve"> interdit, sur la seule base de leur nationalité, l</w:t>
      </w:r>
      <w:r w:rsidR="0047269F">
        <w:rPr>
          <w:lang w:val="fr-FR"/>
        </w:rPr>
        <w:t>’</w:t>
      </w:r>
      <w:r w:rsidRPr="001C481F">
        <w:rPr>
          <w:lang w:val="fr-FR"/>
        </w:rPr>
        <w:t xml:space="preserve">octroi de la citoyenneté israélienne ou du droit de résider en Israël aux Palestiniens </w:t>
      </w:r>
      <w:r w:rsidR="00685EFA" w:rsidRPr="001C481F">
        <w:rPr>
          <w:lang w:val="fr-FR"/>
        </w:rPr>
        <w:t>d</w:t>
      </w:r>
      <w:r w:rsidR="00685EFA">
        <w:rPr>
          <w:lang w:val="fr-FR"/>
        </w:rPr>
        <w:t>u</w:t>
      </w:r>
      <w:r w:rsidR="00685EFA" w:rsidRPr="001C481F">
        <w:rPr>
          <w:lang w:val="fr-FR"/>
        </w:rPr>
        <w:t xml:space="preserve"> </w:t>
      </w:r>
      <w:r w:rsidRPr="001C481F">
        <w:rPr>
          <w:lang w:val="fr-FR"/>
        </w:rPr>
        <w:t xml:space="preserve">Territoire palestinien occupé qui sont mariés à une personne de nationalité israélienne ou </w:t>
      </w:r>
      <w:r w:rsidRPr="001C481F">
        <w:rPr>
          <w:lang w:val="fr-FR"/>
        </w:rPr>
        <w:lastRenderedPageBreak/>
        <w:t>résidant à Jérusalem-Est, ce qui est pourtant autorisé pour les personnes d</w:t>
      </w:r>
      <w:r w:rsidR="0047269F">
        <w:rPr>
          <w:lang w:val="fr-FR"/>
        </w:rPr>
        <w:t>’</w:t>
      </w:r>
      <w:r w:rsidRPr="001C481F">
        <w:rPr>
          <w:lang w:val="fr-FR"/>
        </w:rPr>
        <w:t>autres nationalités se trouvant dans la même situation</w:t>
      </w:r>
      <w:r w:rsidR="0047269F">
        <w:rPr>
          <w:lang w:val="fr-FR"/>
        </w:rPr>
        <w:t> ;</w:t>
      </w:r>
    </w:p>
    <w:p w14:paraId="0A4BA3D2" w14:textId="7BD4329B" w:rsidR="001C481F" w:rsidRPr="001C481F" w:rsidRDefault="001C481F" w:rsidP="001C481F">
      <w:pPr>
        <w:pStyle w:val="SingleTxt"/>
        <w:rPr>
          <w:lang w:val="fr-FR"/>
        </w:rPr>
      </w:pPr>
      <w:r w:rsidRPr="001C481F">
        <w:rPr>
          <w:lang w:val="fr-FR"/>
        </w:rPr>
        <w:tab/>
        <w:t>b)</w:t>
      </w:r>
      <w:r w:rsidRPr="001C481F">
        <w:rPr>
          <w:lang w:val="fr-FR"/>
        </w:rPr>
        <w:tab/>
        <w:t>La</w:t>
      </w:r>
      <w:r w:rsidR="00685EFA">
        <w:rPr>
          <w:lang w:val="fr-FR"/>
        </w:rPr>
        <w:t xml:space="preserve"> </w:t>
      </w:r>
      <w:r w:rsidR="002153E7">
        <w:rPr>
          <w:lang w:val="fr-FR"/>
        </w:rPr>
        <w:t>législation</w:t>
      </w:r>
      <w:r w:rsidRPr="001C481F">
        <w:rPr>
          <w:lang w:val="fr-FR"/>
        </w:rPr>
        <w:t xml:space="preserve"> oblige les couples à choisir une de ces trois options</w:t>
      </w:r>
      <w:r w:rsidR="0047269F">
        <w:rPr>
          <w:lang w:val="fr-FR"/>
        </w:rPr>
        <w:t xml:space="preserve"> : </w:t>
      </w:r>
      <w:r w:rsidRPr="001C481F">
        <w:rPr>
          <w:lang w:val="fr-FR"/>
        </w:rPr>
        <w:t>vivre séparément, ce qui empêche l</w:t>
      </w:r>
      <w:r w:rsidR="0047269F">
        <w:rPr>
          <w:lang w:val="fr-FR"/>
        </w:rPr>
        <w:t>’</w:t>
      </w:r>
      <w:r w:rsidRPr="001C481F">
        <w:rPr>
          <w:lang w:val="fr-FR"/>
        </w:rPr>
        <w:t>un des conjoints de voir ses enfants grandir</w:t>
      </w:r>
      <w:r w:rsidR="0047269F">
        <w:rPr>
          <w:lang w:val="fr-FR"/>
        </w:rPr>
        <w:t> ;</w:t>
      </w:r>
      <w:r w:rsidRPr="001C481F">
        <w:rPr>
          <w:lang w:val="fr-FR"/>
        </w:rPr>
        <w:t xml:space="preserve"> vivre ensemble à Jérusalem-Est, auquel cas le conjoint en provenance </w:t>
      </w:r>
      <w:r w:rsidR="00685EFA" w:rsidRPr="001C481F">
        <w:rPr>
          <w:lang w:val="fr-FR"/>
        </w:rPr>
        <w:t>d</w:t>
      </w:r>
      <w:r w:rsidR="00685EFA">
        <w:rPr>
          <w:lang w:val="fr-FR"/>
        </w:rPr>
        <w:t>u</w:t>
      </w:r>
      <w:r w:rsidR="00685EFA" w:rsidRPr="001C481F">
        <w:rPr>
          <w:lang w:val="fr-FR"/>
        </w:rPr>
        <w:t xml:space="preserve"> </w:t>
      </w:r>
      <w:r w:rsidRPr="001C481F">
        <w:rPr>
          <w:lang w:val="fr-FR"/>
        </w:rPr>
        <w:t>Territoire palestinien occupé, considéré comme un sans-papiers, se voit privé de ses droits fondamentaux et est susceptible d</w:t>
      </w:r>
      <w:r w:rsidR="0047269F">
        <w:rPr>
          <w:lang w:val="fr-FR"/>
        </w:rPr>
        <w:t>’</w:t>
      </w:r>
      <w:r w:rsidRPr="001C481F">
        <w:rPr>
          <w:lang w:val="fr-FR"/>
        </w:rPr>
        <w:t>être expulsé si les autorités constatent qu</w:t>
      </w:r>
      <w:r w:rsidR="0047269F">
        <w:rPr>
          <w:lang w:val="fr-FR"/>
        </w:rPr>
        <w:t>’</w:t>
      </w:r>
      <w:r w:rsidRPr="001C481F">
        <w:rPr>
          <w:lang w:val="fr-FR"/>
        </w:rPr>
        <w:t>il réside à Jérusalem-Est</w:t>
      </w:r>
      <w:r w:rsidR="0047269F">
        <w:rPr>
          <w:lang w:val="fr-FR"/>
        </w:rPr>
        <w:t> ;</w:t>
      </w:r>
      <w:r w:rsidRPr="001C481F">
        <w:rPr>
          <w:lang w:val="fr-FR"/>
        </w:rPr>
        <w:t xml:space="preserve"> vivre en Cisjordanie, mais dans ce cas le conjoint de nationalité israélienne risque d</w:t>
      </w:r>
      <w:r w:rsidR="0047269F">
        <w:rPr>
          <w:lang w:val="fr-FR"/>
        </w:rPr>
        <w:t>’</w:t>
      </w:r>
      <w:r w:rsidRPr="001C481F">
        <w:rPr>
          <w:lang w:val="fr-FR"/>
        </w:rPr>
        <w:t>être déchu de sa citoyenneté et les résidents permanents risquent de perdre ce statut</w:t>
      </w:r>
      <w:r w:rsidR="0047269F">
        <w:rPr>
          <w:lang w:val="fr-FR"/>
        </w:rPr>
        <w:t> ;</w:t>
      </w:r>
      <w:r w:rsidRPr="001C481F">
        <w:rPr>
          <w:lang w:val="fr-FR"/>
        </w:rPr>
        <w:t xml:space="preserve"> </w:t>
      </w:r>
    </w:p>
    <w:p w14:paraId="12D86A56" w14:textId="7CAE609E" w:rsidR="001C481F" w:rsidRPr="001C481F" w:rsidRDefault="001C481F" w:rsidP="001C481F">
      <w:pPr>
        <w:pStyle w:val="SingleTxt"/>
        <w:rPr>
          <w:lang w:val="fr-FR"/>
        </w:rPr>
      </w:pPr>
      <w:r w:rsidRPr="001C481F">
        <w:rPr>
          <w:lang w:val="fr-FR"/>
        </w:rPr>
        <w:tab/>
        <w:t>c)</w:t>
      </w:r>
      <w:r w:rsidRPr="001C481F">
        <w:rPr>
          <w:lang w:val="fr-FR"/>
        </w:rPr>
        <w:tab/>
        <w:t xml:space="preserve">Si la </w:t>
      </w:r>
      <w:r w:rsidR="001773DE">
        <w:rPr>
          <w:lang w:val="fr-FR"/>
        </w:rPr>
        <w:t>législation</w:t>
      </w:r>
      <w:r w:rsidRPr="001C481F">
        <w:rPr>
          <w:lang w:val="fr-FR"/>
        </w:rPr>
        <w:t xml:space="preserve"> permet désormais d</w:t>
      </w:r>
      <w:r w:rsidR="0047269F">
        <w:rPr>
          <w:lang w:val="fr-FR"/>
        </w:rPr>
        <w:t>’</w:t>
      </w:r>
      <w:r w:rsidRPr="001C481F">
        <w:rPr>
          <w:lang w:val="fr-FR"/>
        </w:rPr>
        <w:t>accorder un permis de séjour temporaire pour raisons humanitaires ou même un permis de séjour permanent dans certaines circonstances, les titres temporaires sont délivrés en fonction de critères d</w:t>
      </w:r>
      <w:r w:rsidR="0047269F">
        <w:rPr>
          <w:lang w:val="fr-FR"/>
        </w:rPr>
        <w:t>’</w:t>
      </w:r>
      <w:r w:rsidRPr="001C481F">
        <w:rPr>
          <w:lang w:val="fr-FR"/>
        </w:rPr>
        <w:t>âge et de sécurité stricts et peuvent être retirés de façon arbitraire</w:t>
      </w:r>
      <w:r w:rsidR="0047269F">
        <w:rPr>
          <w:lang w:val="fr-FR"/>
        </w:rPr>
        <w:t> ;</w:t>
      </w:r>
    </w:p>
    <w:p w14:paraId="13741DD1" w14:textId="50884E52" w:rsidR="001C481F" w:rsidRPr="001C481F" w:rsidRDefault="009E77AD" w:rsidP="001C481F">
      <w:pPr>
        <w:pStyle w:val="SingleTxt"/>
        <w:rPr>
          <w:lang w:val="fr-FR"/>
        </w:rPr>
      </w:pPr>
      <w:r>
        <w:rPr>
          <w:lang w:val="fr-FR"/>
        </w:rPr>
        <w:tab/>
      </w:r>
      <w:r w:rsidR="001C481F" w:rsidRPr="001C481F">
        <w:rPr>
          <w:lang w:val="fr-FR"/>
        </w:rPr>
        <w:t>d)</w:t>
      </w:r>
      <w:r w:rsidR="001C481F" w:rsidRPr="001C481F">
        <w:rPr>
          <w:lang w:val="fr-FR"/>
        </w:rPr>
        <w:tab/>
      </w:r>
      <w:r w:rsidR="00A309A4">
        <w:rPr>
          <w:lang w:val="fr-FR"/>
        </w:rPr>
        <w:t xml:space="preserve">Conformément à la résolution </w:t>
      </w:r>
      <w:r w:rsidR="001C481F" w:rsidRPr="001C481F">
        <w:rPr>
          <w:lang w:val="fr-FR"/>
        </w:rPr>
        <w:t>gouvernementale n</w:t>
      </w:r>
      <w:r w:rsidR="009414AA">
        <w:rPr>
          <w:vertAlign w:val="superscript"/>
          <w:lang w:val="fr-FR"/>
        </w:rPr>
        <w:t>o</w:t>
      </w:r>
      <w:r w:rsidR="009414AA" w:rsidRPr="009414AA">
        <w:rPr>
          <w:lang w:val="fr-FR"/>
        </w:rPr>
        <w:t> </w:t>
      </w:r>
      <w:r w:rsidR="001C481F" w:rsidRPr="001C481F">
        <w:rPr>
          <w:lang w:val="fr-FR"/>
        </w:rPr>
        <w:t>3598 de juin 2008, le regroupement familial de Palestiniens de nationalité israélienne ou qui sont résidents israéliens et de personnes en provenance de Gaza est purement et simplement interdit.</w:t>
      </w:r>
    </w:p>
    <w:p w14:paraId="68A893B8" w14:textId="3CC2A693" w:rsidR="001C481F" w:rsidRPr="009E77AD" w:rsidRDefault="001C481F" w:rsidP="00D55120">
      <w:pPr>
        <w:pStyle w:val="SingleTxt"/>
        <w:numPr>
          <w:ilvl w:val="0"/>
          <w:numId w:val="15"/>
        </w:numPr>
        <w:spacing w:line="240" w:lineRule="exact"/>
        <w:rPr>
          <w:b/>
          <w:lang w:val="fr-FR"/>
        </w:rPr>
      </w:pPr>
      <w:r w:rsidRPr="001C481F">
        <w:rPr>
          <w:b/>
          <w:bCs/>
          <w:lang w:val="fr-FR"/>
        </w:rPr>
        <w:t>Comme précé</w:t>
      </w:r>
      <w:r w:rsidR="009E77AD">
        <w:rPr>
          <w:b/>
          <w:bCs/>
          <w:lang w:val="fr-FR"/>
        </w:rPr>
        <w:t xml:space="preserve">demment </w:t>
      </w:r>
      <w:r w:rsidR="009E77AD" w:rsidRPr="009414AA">
        <w:rPr>
          <w:b/>
          <w:bCs/>
          <w:lang w:val="fr-FR"/>
        </w:rPr>
        <w:t>(</w:t>
      </w:r>
      <w:hyperlink r:id="rId38" w:history="1">
        <w:r w:rsidR="009E77AD" w:rsidRPr="00483725">
          <w:rPr>
            <w:rStyle w:val="Hyperlink"/>
            <w:b/>
            <w:bCs/>
            <w:color w:val="0000FF"/>
            <w:lang w:val="fr-FR"/>
          </w:rPr>
          <w:t>CEDAW/C/ISR/CO/5</w:t>
        </w:r>
      </w:hyperlink>
      <w:r w:rsidR="009E77AD" w:rsidRPr="009414AA">
        <w:rPr>
          <w:b/>
          <w:bCs/>
          <w:lang w:val="fr-FR"/>
        </w:rPr>
        <w:t>,</w:t>
      </w:r>
      <w:r w:rsidR="009E77AD">
        <w:rPr>
          <w:b/>
          <w:bCs/>
          <w:lang w:val="fr-FR"/>
        </w:rPr>
        <w:t xml:space="preserve"> par. </w:t>
      </w:r>
      <w:r w:rsidRPr="001C481F">
        <w:rPr>
          <w:b/>
          <w:bCs/>
          <w:lang w:val="fr-FR"/>
        </w:rPr>
        <w:t>24), le Comité recommande que l</w:t>
      </w:r>
      <w:r w:rsidR="0047269F">
        <w:rPr>
          <w:b/>
          <w:bCs/>
          <w:lang w:val="fr-FR"/>
        </w:rPr>
        <w:t>’</w:t>
      </w:r>
      <w:r w:rsidRPr="001C481F">
        <w:rPr>
          <w:b/>
          <w:bCs/>
          <w:lang w:val="fr-FR"/>
        </w:rPr>
        <w:t>État partie recherche avec objectivité un équilibre entre ses préoccupations en matière de sécurité et les droits fondamentaux des personnes auxquelles s</w:t>
      </w:r>
      <w:r w:rsidR="0047269F">
        <w:rPr>
          <w:b/>
          <w:bCs/>
          <w:lang w:val="fr-FR"/>
        </w:rPr>
        <w:t>’</w:t>
      </w:r>
      <w:r w:rsidRPr="001C481F">
        <w:rPr>
          <w:b/>
          <w:bCs/>
          <w:lang w:val="fr-FR"/>
        </w:rPr>
        <w:t>appliquent ses lois et politiques et modifie celles-ci afin de faciliter le regroupement familial de tous ses citoyens et résidents permanents.</w:t>
      </w:r>
      <w:r w:rsidRPr="001C481F">
        <w:rPr>
          <w:lang w:val="fr-FR"/>
        </w:rPr>
        <w:t xml:space="preserve"> </w:t>
      </w:r>
      <w:r w:rsidRPr="001C481F">
        <w:rPr>
          <w:b/>
          <w:bCs/>
          <w:lang w:val="fr-FR"/>
        </w:rPr>
        <w:t>Dans cette optique, l</w:t>
      </w:r>
      <w:r w:rsidR="0047269F">
        <w:rPr>
          <w:b/>
          <w:bCs/>
          <w:lang w:val="fr-FR"/>
        </w:rPr>
        <w:t>’</w:t>
      </w:r>
      <w:r w:rsidRPr="001C481F">
        <w:rPr>
          <w:b/>
          <w:bCs/>
          <w:lang w:val="fr-FR"/>
        </w:rPr>
        <w:t>État partie devrait réexaminer la loi sur la citoyenneté et l</w:t>
      </w:r>
      <w:r w:rsidR="0047269F">
        <w:rPr>
          <w:b/>
          <w:bCs/>
          <w:lang w:val="fr-FR"/>
        </w:rPr>
        <w:t>’</w:t>
      </w:r>
      <w:r w:rsidRPr="001C481F">
        <w:rPr>
          <w:b/>
          <w:bCs/>
          <w:lang w:val="fr-FR"/>
        </w:rPr>
        <w:t xml:space="preserve">entrée en Israël (disposition temporaire) et la </w:t>
      </w:r>
      <w:r w:rsidR="00A309A4">
        <w:rPr>
          <w:b/>
          <w:bCs/>
          <w:lang w:val="fr-FR"/>
        </w:rPr>
        <w:t>résolution</w:t>
      </w:r>
      <w:r w:rsidR="00A309A4" w:rsidRPr="001C481F">
        <w:rPr>
          <w:b/>
          <w:bCs/>
          <w:lang w:val="fr-FR"/>
        </w:rPr>
        <w:t xml:space="preserve"> </w:t>
      </w:r>
      <w:r w:rsidRPr="001C481F">
        <w:rPr>
          <w:b/>
          <w:bCs/>
          <w:lang w:val="fr-FR"/>
        </w:rPr>
        <w:t>gouvernementale n</w:t>
      </w:r>
      <w:r w:rsidR="009E77AD">
        <w:rPr>
          <w:b/>
          <w:bCs/>
          <w:vertAlign w:val="superscript"/>
          <w:lang w:val="fr-FR"/>
        </w:rPr>
        <w:t>o </w:t>
      </w:r>
      <w:r w:rsidRPr="001C481F">
        <w:rPr>
          <w:b/>
          <w:bCs/>
          <w:lang w:val="fr-FR"/>
        </w:rPr>
        <w:t>3598 de juin 2008 pour les mettre en conformité avec les articles 9 et 16 de la Convention, notamment en prévoyant des mesures ciblées, applicables au cas par cas et respectueuses des principes d</w:t>
      </w:r>
      <w:r w:rsidR="0047269F">
        <w:rPr>
          <w:b/>
          <w:bCs/>
          <w:lang w:val="fr-FR"/>
        </w:rPr>
        <w:t>’</w:t>
      </w:r>
      <w:r w:rsidRPr="001C481F">
        <w:rPr>
          <w:b/>
          <w:bCs/>
          <w:lang w:val="fr-FR"/>
        </w:rPr>
        <w:t>égalité et de proportionnalité.</w:t>
      </w:r>
    </w:p>
    <w:p w14:paraId="6B25758B" w14:textId="3E67FDD9" w:rsidR="009E77AD" w:rsidRPr="009E77AD" w:rsidRDefault="009E77AD" w:rsidP="009E77AD">
      <w:pPr>
        <w:pStyle w:val="SingleTxt"/>
        <w:spacing w:after="0" w:line="120" w:lineRule="exact"/>
        <w:rPr>
          <w:b/>
          <w:sz w:val="10"/>
          <w:lang w:val="fr-FR"/>
        </w:rPr>
      </w:pPr>
    </w:p>
    <w:p w14:paraId="2637EDE9" w14:textId="77777777" w:rsidR="001C481F" w:rsidRPr="001C481F" w:rsidRDefault="001C481F" w:rsidP="009E7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481F">
        <w:rPr>
          <w:lang w:val="fr-FR"/>
        </w:rPr>
        <w:tab/>
      </w:r>
      <w:r w:rsidRPr="001C481F">
        <w:rPr>
          <w:lang w:val="fr-FR"/>
        </w:rPr>
        <w:tab/>
        <w:t>Éducation</w:t>
      </w:r>
    </w:p>
    <w:p w14:paraId="1BD627DB" w14:textId="49F19B3F" w:rsidR="009E77AD" w:rsidRPr="009E77AD" w:rsidRDefault="009E77AD" w:rsidP="009E77AD">
      <w:pPr>
        <w:pStyle w:val="SingleTxt"/>
        <w:spacing w:after="0" w:line="120" w:lineRule="exact"/>
        <w:rPr>
          <w:sz w:val="10"/>
          <w:lang w:val="fr-FR"/>
        </w:rPr>
      </w:pPr>
    </w:p>
    <w:p w14:paraId="4AAEC4FB" w14:textId="7426254D" w:rsidR="001C481F" w:rsidRPr="001C481F" w:rsidRDefault="001C481F" w:rsidP="00D55120">
      <w:pPr>
        <w:pStyle w:val="SingleTxt"/>
        <w:numPr>
          <w:ilvl w:val="0"/>
          <w:numId w:val="16"/>
        </w:numPr>
        <w:spacing w:line="240" w:lineRule="exact"/>
        <w:rPr>
          <w:lang w:val="fr-FR"/>
        </w:rPr>
      </w:pPr>
      <w:r w:rsidRPr="001C481F">
        <w:rPr>
          <w:lang w:val="fr-FR"/>
        </w:rPr>
        <w:t>Le Comité constate avec satisfaction que la population de l</w:t>
      </w:r>
      <w:r w:rsidR="0047269F">
        <w:rPr>
          <w:lang w:val="fr-FR"/>
        </w:rPr>
        <w:t>’</w:t>
      </w:r>
      <w:r w:rsidRPr="001C481F">
        <w:rPr>
          <w:lang w:val="fr-FR"/>
        </w:rPr>
        <w:t>État partie présente un niveau d</w:t>
      </w:r>
      <w:r w:rsidR="0047269F">
        <w:rPr>
          <w:lang w:val="fr-FR"/>
        </w:rPr>
        <w:t>’</w:t>
      </w:r>
      <w:r w:rsidRPr="001C481F">
        <w:rPr>
          <w:lang w:val="fr-FR"/>
        </w:rPr>
        <w:t>instruction élevé et se félicite des mesures prises pour améliorer encore l</w:t>
      </w:r>
      <w:r w:rsidR="0047269F">
        <w:rPr>
          <w:lang w:val="fr-FR"/>
        </w:rPr>
        <w:t>’</w:t>
      </w:r>
      <w:r w:rsidRPr="001C481F">
        <w:rPr>
          <w:lang w:val="fr-FR"/>
        </w:rPr>
        <w:t>accès des femmes et des filles à un enseignement de qualité, et plus particulièrement du programme de cinq ans visant à intégrer les femmes et les filles appartenant à la population ultra-orthodoxe au système éducatif. Il se félicite également de l</w:t>
      </w:r>
      <w:r w:rsidR="0047269F">
        <w:rPr>
          <w:lang w:val="fr-FR"/>
        </w:rPr>
        <w:t>’</w:t>
      </w:r>
      <w:r w:rsidRPr="001C481F">
        <w:rPr>
          <w:lang w:val="fr-FR"/>
        </w:rPr>
        <w:t>approbation</w:t>
      </w:r>
      <w:r w:rsidR="00171ECC">
        <w:rPr>
          <w:lang w:val="fr-FR"/>
        </w:rPr>
        <w:t>, en 2014,</w:t>
      </w:r>
      <w:r w:rsidRPr="001C481F">
        <w:rPr>
          <w:lang w:val="fr-FR"/>
        </w:rPr>
        <w:t xml:space="preserve"> de la modification</w:t>
      </w:r>
      <w:r w:rsidR="00D55120">
        <w:rPr>
          <w:lang w:val="fr-FR"/>
        </w:rPr>
        <w:t xml:space="preserve"> </w:t>
      </w:r>
      <w:r w:rsidRPr="001C481F">
        <w:rPr>
          <w:lang w:val="fr-FR"/>
        </w:rPr>
        <w:t>de la loi sur les droits des élèves, qui interdit toute discrimination fondée sur l</w:t>
      </w:r>
      <w:r w:rsidR="0047269F">
        <w:rPr>
          <w:lang w:val="fr-FR"/>
        </w:rPr>
        <w:t>’</w:t>
      </w:r>
      <w:r w:rsidRPr="001C481F">
        <w:rPr>
          <w:lang w:val="fr-FR"/>
        </w:rPr>
        <w:t>orientation sexuelle ou l</w:t>
      </w:r>
      <w:r w:rsidR="0047269F">
        <w:rPr>
          <w:lang w:val="fr-FR"/>
        </w:rPr>
        <w:t>’</w:t>
      </w:r>
      <w:r w:rsidRPr="001C481F">
        <w:rPr>
          <w:lang w:val="fr-FR"/>
        </w:rPr>
        <w:t>identité de genre. Cependant, il est préoccupé par ce qui suit :</w:t>
      </w:r>
    </w:p>
    <w:p w14:paraId="2DC7BA02" w14:textId="2233892F" w:rsidR="001C481F" w:rsidRPr="001C481F" w:rsidRDefault="001C481F" w:rsidP="001C481F">
      <w:pPr>
        <w:pStyle w:val="SingleTxt"/>
        <w:rPr>
          <w:lang w:val="fr-FR"/>
        </w:rPr>
      </w:pPr>
      <w:r w:rsidRPr="001C481F">
        <w:rPr>
          <w:lang w:val="fr-FR"/>
        </w:rPr>
        <w:tab/>
        <w:t>a)</w:t>
      </w:r>
      <w:r w:rsidRPr="001C481F">
        <w:rPr>
          <w:lang w:val="fr-FR"/>
        </w:rPr>
        <w:tab/>
        <w:t>Les femmes et les filles appartenant aux communautés arabe israélienne, bédouine et ultra-orthodoxe accèdent plus difficilement à l</w:t>
      </w:r>
      <w:r w:rsidR="0047269F">
        <w:rPr>
          <w:lang w:val="fr-FR"/>
        </w:rPr>
        <w:t>’</w:t>
      </w:r>
      <w:r w:rsidRPr="001C481F">
        <w:rPr>
          <w:lang w:val="fr-FR"/>
        </w:rPr>
        <w:t>éducation et, de ce fait, demeurent plus nombreuses à abandonner leurs études et continuent d</w:t>
      </w:r>
      <w:r w:rsidR="0047269F">
        <w:rPr>
          <w:lang w:val="fr-FR"/>
        </w:rPr>
        <w:t>’</w:t>
      </w:r>
      <w:r w:rsidRPr="001C481F">
        <w:rPr>
          <w:lang w:val="fr-FR"/>
        </w:rPr>
        <w:t>obtenir de moins bons résultats que les autres dans l</w:t>
      </w:r>
      <w:r w:rsidR="0047269F">
        <w:rPr>
          <w:lang w:val="fr-FR"/>
        </w:rPr>
        <w:t>’</w:t>
      </w:r>
      <w:r w:rsidRPr="001C481F">
        <w:rPr>
          <w:lang w:val="fr-FR"/>
        </w:rPr>
        <w:t>enseignement supérieur</w:t>
      </w:r>
      <w:r w:rsidR="0047269F">
        <w:rPr>
          <w:lang w:val="fr-FR"/>
        </w:rPr>
        <w:t> ;</w:t>
      </w:r>
    </w:p>
    <w:p w14:paraId="6237BCFC" w14:textId="7F8A6DF5" w:rsidR="001C481F" w:rsidRPr="001C481F" w:rsidRDefault="001C481F" w:rsidP="001C481F">
      <w:pPr>
        <w:pStyle w:val="SingleTxt"/>
        <w:rPr>
          <w:lang w:val="fr-FR"/>
        </w:rPr>
      </w:pPr>
      <w:r w:rsidRPr="001C481F">
        <w:rPr>
          <w:lang w:val="fr-FR"/>
        </w:rPr>
        <w:tab/>
        <w:t>b)</w:t>
      </w:r>
      <w:r w:rsidRPr="001C481F">
        <w:rPr>
          <w:lang w:val="fr-FR"/>
        </w:rPr>
        <w:tab/>
        <w:t>Les femmes demeurent sous-représentées aux postes universitaires de haut niveau et dans le domaine scientifique</w:t>
      </w:r>
      <w:r w:rsidR="0047269F">
        <w:rPr>
          <w:lang w:val="fr-FR"/>
        </w:rPr>
        <w:t> ;</w:t>
      </w:r>
    </w:p>
    <w:p w14:paraId="0F59FCB8" w14:textId="56F7AF1F" w:rsidR="001C481F" w:rsidRPr="001C481F" w:rsidRDefault="001C481F" w:rsidP="001C481F">
      <w:pPr>
        <w:pStyle w:val="SingleTxt"/>
        <w:rPr>
          <w:lang w:val="fr-FR"/>
        </w:rPr>
      </w:pPr>
      <w:r w:rsidRPr="001C481F">
        <w:rPr>
          <w:lang w:val="fr-FR"/>
        </w:rPr>
        <w:tab/>
        <w:t>c)</w:t>
      </w:r>
      <w:r w:rsidRPr="001C481F">
        <w:rPr>
          <w:lang w:val="fr-FR"/>
        </w:rPr>
        <w:tab/>
        <w:t>Les livres de classe utilisés dans le système scolaire arabe contiennent encore des stéréotypes négatifs concernant les rôles et les responsabilités des hommes et des femmes, en dépit de l</w:t>
      </w:r>
      <w:r w:rsidR="0047269F">
        <w:rPr>
          <w:lang w:val="fr-FR"/>
        </w:rPr>
        <w:t>’</w:t>
      </w:r>
      <w:r w:rsidRPr="001C481F">
        <w:rPr>
          <w:lang w:val="fr-FR"/>
        </w:rPr>
        <w:t>adoption en 2015 de la directive relative aux méthodes d</w:t>
      </w:r>
      <w:r w:rsidR="0047269F">
        <w:rPr>
          <w:lang w:val="fr-FR"/>
        </w:rPr>
        <w:t>’</w:t>
      </w:r>
      <w:r w:rsidRPr="001C481F">
        <w:rPr>
          <w:lang w:val="fr-FR"/>
        </w:rPr>
        <w:t>enseignement, en application de laquelle le Ministère de l</w:t>
      </w:r>
      <w:r w:rsidR="0047269F">
        <w:rPr>
          <w:lang w:val="fr-FR"/>
        </w:rPr>
        <w:t>’</w:t>
      </w:r>
      <w:r w:rsidRPr="001C481F">
        <w:rPr>
          <w:lang w:val="fr-FR"/>
        </w:rPr>
        <w:t>éducation examine soigneusement la place faite à l</w:t>
      </w:r>
      <w:r w:rsidR="0047269F">
        <w:rPr>
          <w:lang w:val="fr-FR"/>
        </w:rPr>
        <w:t>’</w:t>
      </w:r>
      <w:r w:rsidRPr="001C481F">
        <w:rPr>
          <w:lang w:val="fr-FR"/>
        </w:rPr>
        <w:t>égalité des sexes dans les manuels avant de les approuver.</w:t>
      </w:r>
    </w:p>
    <w:p w14:paraId="0A40EB46" w14:textId="69F8AF87" w:rsidR="001C481F" w:rsidRPr="001C481F" w:rsidRDefault="001C481F" w:rsidP="00FC4232">
      <w:pPr>
        <w:pStyle w:val="SingleTxt"/>
        <w:keepNext/>
        <w:keepLines/>
        <w:numPr>
          <w:ilvl w:val="0"/>
          <w:numId w:val="16"/>
        </w:numPr>
        <w:spacing w:line="240" w:lineRule="exact"/>
        <w:rPr>
          <w:b/>
          <w:lang w:val="fr-FR"/>
        </w:rPr>
      </w:pPr>
      <w:r w:rsidRPr="001C481F">
        <w:rPr>
          <w:b/>
          <w:bCs/>
          <w:lang w:val="fr-FR"/>
        </w:rPr>
        <w:lastRenderedPageBreak/>
        <w:t>Le Comité recommande que l</w:t>
      </w:r>
      <w:r w:rsidR="0047269F">
        <w:rPr>
          <w:b/>
          <w:bCs/>
          <w:lang w:val="fr-FR"/>
        </w:rPr>
        <w:t>’</w:t>
      </w:r>
      <w:r w:rsidRPr="001C481F">
        <w:rPr>
          <w:b/>
          <w:bCs/>
          <w:lang w:val="fr-FR"/>
        </w:rPr>
        <w:t>État partie</w:t>
      </w:r>
      <w:r w:rsidR="0047269F">
        <w:rPr>
          <w:b/>
          <w:bCs/>
          <w:lang w:val="fr-FR"/>
        </w:rPr>
        <w:t xml:space="preserve"> : </w:t>
      </w:r>
    </w:p>
    <w:p w14:paraId="778E9A64" w14:textId="77060A28" w:rsidR="001C481F" w:rsidRPr="001C481F" w:rsidRDefault="001C481F" w:rsidP="00FC4232">
      <w:pPr>
        <w:pStyle w:val="SingleTxt"/>
        <w:keepNext/>
        <w:keepLines/>
        <w:rPr>
          <w:b/>
          <w:lang w:val="fr-FR"/>
        </w:rPr>
      </w:pPr>
      <w:r w:rsidRPr="001C481F">
        <w:rPr>
          <w:lang w:val="fr-FR"/>
        </w:rPr>
        <w:tab/>
      </w:r>
      <w:r w:rsidRPr="001C481F">
        <w:rPr>
          <w:b/>
          <w:bCs/>
          <w:lang w:val="fr-FR"/>
        </w:rPr>
        <w:t>a)</w:t>
      </w:r>
      <w:r w:rsidRPr="001C481F">
        <w:rPr>
          <w:lang w:val="fr-FR"/>
        </w:rPr>
        <w:tab/>
      </w:r>
      <w:r w:rsidRPr="001C481F">
        <w:rPr>
          <w:b/>
          <w:bCs/>
          <w:lang w:val="fr-FR"/>
        </w:rPr>
        <w:t>Renforce ses stratégies visant à améliorer les résultats scolaires des femmes et filles appartenant aux communautés arabe israélienne, bédouine et ultra-orthodoxe, notamment au moyen de mesures temporaires spéciales telles que l</w:t>
      </w:r>
      <w:r w:rsidR="0047269F">
        <w:rPr>
          <w:b/>
          <w:bCs/>
          <w:lang w:val="fr-FR"/>
        </w:rPr>
        <w:t>’</w:t>
      </w:r>
      <w:r w:rsidRPr="001C481F">
        <w:rPr>
          <w:b/>
          <w:bCs/>
          <w:lang w:val="fr-FR"/>
        </w:rPr>
        <w:t>octroi de bourses d</w:t>
      </w:r>
      <w:r w:rsidR="0047269F">
        <w:rPr>
          <w:b/>
          <w:bCs/>
          <w:lang w:val="fr-FR"/>
        </w:rPr>
        <w:t>’</w:t>
      </w:r>
      <w:r w:rsidRPr="001C481F">
        <w:rPr>
          <w:b/>
          <w:bCs/>
          <w:lang w:val="fr-FR"/>
        </w:rPr>
        <w:t>études ciblées, et charge des fonctionnaires du Ministère de l</w:t>
      </w:r>
      <w:r w:rsidR="0047269F">
        <w:rPr>
          <w:b/>
          <w:bCs/>
          <w:lang w:val="fr-FR"/>
        </w:rPr>
        <w:t>’</w:t>
      </w:r>
      <w:r w:rsidRPr="001C481F">
        <w:rPr>
          <w:b/>
          <w:bCs/>
          <w:lang w:val="fr-FR"/>
        </w:rPr>
        <w:t>éducation de veiller à l</w:t>
      </w:r>
      <w:r w:rsidR="0047269F">
        <w:rPr>
          <w:b/>
          <w:bCs/>
          <w:lang w:val="fr-FR"/>
        </w:rPr>
        <w:t>’</w:t>
      </w:r>
      <w:r w:rsidRPr="001C481F">
        <w:rPr>
          <w:b/>
          <w:bCs/>
          <w:lang w:val="fr-FR"/>
        </w:rPr>
        <w:t>assiduité scolaire afin d</w:t>
      </w:r>
      <w:r w:rsidR="0047269F">
        <w:rPr>
          <w:b/>
          <w:bCs/>
          <w:lang w:val="fr-FR"/>
        </w:rPr>
        <w:t>’</w:t>
      </w:r>
      <w:r w:rsidRPr="001C481F">
        <w:rPr>
          <w:b/>
          <w:bCs/>
          <w:lang w:val="fr-FR"/>
        </w:rPr>
        <w:t xml:space="preserve">éviter </w:t>
      </w:r>
      <w:r w:rsidR="00454610">
        <w:rPr>
          <w:b/>
          <w:bCs/>
          <w:lang w:val="fr-FR"/>
        </w:rPr>
        <w:t>qu’elles</w:t>
      </w:r>
      <w:r w:rsidRPr="001C481F">
        <w:rPr>
          <w:b/>
          <w:bCs/>
          <w:lang w:val="fr-FR"/>
        </w:rPr>
        <w:t xml:space="preserve"> n</w:t>
      </w:r>
      <w:r w:rsidR="0047269F">
        <w:rPr>
          <w:b/>
          <w:bCs/>
          <w:lang w:val="fr-FR"/>
        </w:rPr>
        <w:t>’</w:t>
      </w:r>
      <w:r w:rsidRPr="001C481F">
        <w:rPr>
          <w:b/>
          <w:bCs/>
          <w:lang w:val="fr-FR"/>
        </w:rPr>
        <w:t>abandonnent leurs études</w:t>
      </w:r>
      <w:r w:rsidR="0047269F">
        <w:rPr>
          <w:b/>
          <w:bCs/>
          <w:lang w:val="fr-FR"/>
        </w:rPr>
        <w:t> ;</w:t>
      </w:r>
    </w:p>
    <w:p w14:paraId="34C5F6D9" w14:textId="27530818" w:rsidR="001C481F" w:rsidRPr="001C481F" w:rsidRDefault="009E77AD" w:rsidP="001C481F">
      <w:pPr>
        <w:pStyle w:val="SingleTxt"/>
        <w:rPr>
          <w:b/>
          <w:lang w:val="fr-FR"/>
        </w:rPr>
      </w:pPr>
      <w:r>
        <w:rPr>
          <w:b/>
          <w:bCs/>
          <w:lang w:val="fr-FR"/>
        </w:rPr>
        <w:tab/>
      </w:r>
      <w:r w:rsidR="001C481F" w:rsidRPr="001C481F">
        <w:rPr>
          <w:b/>
          <w:bCs/>
          <w:lang w:val="fr-FR"/>
        </w:rPr>
        <w:t>b)</w:t>
      </w:r>
      <w:r w:rsidR="001C481F" w:rsidRPr="001C481F">
        <w:rPr>
          <w:lang w:val="fr-FR"/>
        </w:rPr>
        <w:tab/>
      </w:r>
      <w:r w:rsidR="001C481F" w:rsidRPr="001C481F">
        <w:rPr>
          <w:b/>
          <w:bCs/>
          <w:lang w:val="fr-FR"/>
        </w:rPr>
        <w:t>Utilise davantage les mécanismes tels que les mesures temporaires spéciales visant à accroître la représentation des femmes aux postes universitaires de haut niveau</w:t>
      </w:r>
      <w:r w:rsidR="0047269F">
        <w:rPr>
          <w:b/>
          <w:bCs/>
          <w:lang w:val="fr-FR"/>
        </w:rPr>
        <w:t> ;</w:t>
      </w:r>
    </w:p>
    <w:p w14:paraId="299BBAE0" w14:textId="1F341CE1" w:rsidR="001C481F" w:rsidRDefault="001C481F" w:rsidP="001C481F">
      <w:pPr>
        <w:pStyle w:val="SingleTxt"/>
        <w:rPr>
          <w:b/>
          <w:bCs/>
          <w:lang w:val="fr-FR"/>
        </w:rPr>
      </w:pPr>
      <w:r w:rsidRPr="001C481F">
        <w:rPr>
          <w:lang w:val="fr-FR"/>
        </w:rPr>
        <w:tab/>
      </w:r>
      <w:r w:rsidRPr="001C481F">
        <w:rPr>
          <w:b/>
          <w:bCs/>
          <w:lang w:val="fr-FR"/>
        </w:rPr>
        <w:t>c)</w:t>
      </w:r>
      <w:r w:rsidRPr="001C481F">
        <w:rPr>
          <w:lang w:val="fr-FR"/>
        </w:rPr>
        <w:tab/>
      </w:r>
      <w:r w:rsidR="009E3075">
        <w:rPr>
          <w:b/>
          <w:lang w:val="fr-FR"/>
        </w:rPr>
        <w:t>Examine</w:t>
      </w:r>
      <w:r w:rsidRPr="001C481F">
        <w:rPr>
          <w:b/>
          <w:lang w:val="fr-FR"/>
        </w:rPr>
        <w:t xml:space="preserve"> </w:t>
      </w:r>
      <w:r w:rsidR="009E3075">
        <w:rPr>
          <w:b/>
          <w:lang w:val="fr-FR"/>
        </w:rPr>
        <w:t>l</w:t>
      </w:r>
      <w:r w:rsidRPr="001C481F">
        <w:rPr>
          <w:b/>
          <w:bCs/>
          <w:lang w:val="fr-FR"/>
        </w:rPr>
        <w:t>es manuels scolaires du système éducatif arabe afin d</w:t>
      </w:r>
      <w:r w:rsidR="0047269F">
        <w:rPr>
          <w:b/>
          <w:bCs/>
          <w:lang w:val="fr-FR"/>
        </w:rPr>
        <w:t>’</w:t>
      </w:r>
      <w:r w:rsidRPr="001C481F">
        <w:rPr>
          <w:b/>
          <w:bCs/>
          <w:lang w:val="fr-FR"/>
        </w:rPr>
        <w:t>y repérer et d</w:t>
      </w:r>
      <w:r w:rsidR="0047269F">
        <w:rPr>
          <w:b/>
          <w:bCs/>
          <w:lang w:val="fr-FR"/>
        </w:rPr>
        <w:t>’</w:t>
      </w:r>
      <w:r w:rsidRPr="001C481F">
        <w:rPr>
          <w:b/>
          <w:bCs/>
          <w:lang w:val="fr-FR"/>
        </w:rPr>
        <w:t>en ôter les stéréotypes discriminatoires.</w:t>
      </w:r>
    </w:p>
    <w:p w14:paraId="09AA7530" w14:textId="2376979B" w:rsidR="009E77AD" w:rsidRPr="009E77AD" w:rsidRDefault="009E77AD" w:rsidP="009E77AD">
      <w:pPr>
        <w:pStyle w:val="SingleTxt"/>
        <w:spacing w:after="0" w:line="120" w:lineRule="exact"/>
        <w:rPr>
          <w:b/>
          <w:bCs/>
          <w:sz w:val="10"/>
          <w:lang w:val="fr-FR"/>
        </w:rPr>
      </w:pPr>
    </w:p>
    <w:p w14:paraId="565CE742" w14:textId="77777777" w:rsidR="001C481F" w:rsidRPr="001C481F" w:rsidRDefault="001C481F" w:rsidP="009E7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481F">
        <w:rPr>
          <w:lang w:val="fr-FR"/>
        </w:rPr>
        <w:tab/>
      </w:r>
      <w:r w:rsidRPr="001C481F">
        <w:rPr>
          <w:lang w:val="fr-FR"/>
        </w:rPr>
        <w:tab/>
        <w:t>Emploi</w:t>
      </w:r>
    </w:p>
    <w:p w14:paraId="550B1024" w14:textId="59998CBC" w:rsidR="009E77AD" w:rsidRPr="009E77AD" w:rsidRDefault="009E77AD" w:rsidP="009E77AD">
      <w:pPr>
        <w:pStyle w:val="SingleTxt"/>
        <w:spacing w:after="0" w:line="120" w:lineRule="exact"/>
        <w:rPr>
          <w:sz w:val="10"/>
          <w:lang w:val="fr-FR"/>
        </w:rPr>
      </w:pPr>
    </w:p>
    <w:p w14:paraId="4520BE8B" w14:textId="0355C071" w:rsidR="001C481F" w:rsidRPr="001C481F" w:rsidRDefault="001C481F" w:rsidP="00D55120">
      <w:pPr>
        <w:pStyle w:val="SingleTxt"/>
        <w:numPr>
          <w:ilvl w:val="0"/>
          <w:numId w:val="17"/>
        </w:numPr>
        <w:spacing w:line="240" w:lineRule="exact"/>
        <w:rPr>
          <w:lang w:val="fr-FR"/>
        </w:rPr>
      </w:pPr>
      <w:r w:rsidRPr="001C481F">
        <w:rPr>
          <w:lang w:val="fr-FR"/>
        </w:rPr>
        <w:t>Le Comité accueille avec satisfaction l</w:t>
      </w:r>
      <w:r w:rsidR="0047269F">
        <w:rPr>
          <w:lang w:val="fr-FR"/>
        </w:rPr>
        <w:t>’</w:t>
      </w:r>
      <w:r w:rsidRPr="001C481F">
        <w:rPr>
          <w:lang w:val="fr-FR"/>
        </w:rPr>
        <w:t>adoption</w:t>
      </w:r>
      <w:r w:rsidR="00200A05">
        <w:rPr>
          <w:lang w:val="fr-FR"/>
        </w:rPr>
        <w:t>, en 2014,</w:t>
      </w:r>
      <w:r w:rsidRPr="001C481F">
        <w:rPr>
          <w:lang w:val="fr-FR"/>
        </w:rPr>
        <w:t xml:space="preserve"> de la modification n</w:t>
      </w:r>
      <w:r w:rsidR="002012DE" w:rsidRPr="002012DE">
        <w:rPr>
          <w:vertAlign w:val="superscript"/>
          <w:lang w:val="fr-FR"/>
        </w:rPr>
        <w:t>o</w:t>
      </w:r>
      <w:r w:rsidR="002012DE" w:rsidRPr="002012DE">
        <w:rPr>
          <w:lang w:val="fr-FR"/>
        </w:rPr>
        <w:t> </w:t>
      </w:r>
      <w:r w:rsidRPr="001C481F">
        <w:rPr>
          <w:lang w:val="fr-FR"/>
        </w:rPr>
        <w:t>5 de la loi sur l</w:t>
      </w:r>
      <w:r w:rsidR="0047269F">
        <w:rPr>
          <w:lang w:val="fr-FR"/>
        </w:rPr>
        <w:t>’</w:t>
      </w:r>
      <w:r w:rsidRPr="001C481F">
        <w:rPr>
          <w:lang w:val="fr-FR"/>
        </w:rPr>
        <w:t>égalité de rémunération des hommes et des femmes, qui oblige les organismes publics tenus de soumettre des rapports sur les traitements qu</w:t>
      </w:r>
      <w:r w:rsidR="0047269F">
        <w:rPr>
          <w:lang w:val="fr-FR"/>
        </w:rPr>
        <w:t>’</w:t>
      </w:r>
      <w:r w:rsidRPr="001C481F">
        <w:rPr>
          <w:lang w:val="fr-FR"/>
        </w:rPr>
        <w:t>ils versent à confirmer l</w:t>
      </w:r>
      <w:r w:rsidR="0047269F">
        <w:rPr>
          <w:lang w:val="fr-FR"/>
        </w:rPr>
        <w:t>’</w:t>
      </w:r>
      <w:r w:rsidRPr="001C481F">
        <w:rPr>
          <w:lang w:val="fr-FR"/>
        </w:rPr>
        <w:t>égalité de rémunération de leurs salariés des deux sexes, ainsi que l</w:t>
      </w:r>
      <w:r w:rsidR="0047269F">
        <w:rPr>
          <w:lang w:val="fr-FR"/>
        </w:rPr>
        <w:t>’</w:t>
      </w:r>
      <w:r w:rsidRPr="001C481F">
        <w:rPr>
          <w:lang w:val="fr-FR"/>
        </w:rPr>
        <w:t>adoption du Règlement visant à encourager l</w:t>
      </w:r>
      <w:r w:rsidR="0047269F">
        <w:rPr>
          <w:lang w:val="fr-FR"/>
        </w:rPr>
        <w:t>’</w:t>
      </w:r>
      <w:r w:rsidRPr="001C481F">
        <w:rPr>
          <w:lang w:val="fr-FR"/>
        </w:rPr>
        <w:t>intégration et la promotion des femmes dans l</w:t>
      </w:r>
      <w:r w:rsidR="0047269F">
        <w:rPr>
          <w:lang w:val="fr-FR"/>
        </w:rPr>
        <w:t>’</w:t>
      </w:r>
      <w:r w:rsidRPr="001C481F">
        <w:rPr>
          <w:lang w:val="fr-FR"/>
        </w:rPr>
        <w:t>emploi et à adapter les emplois aux femmes, qui définit la procédure de sélection des employeurs pouvant prétendre à une subvention ou à une récompense pour avoir œuvré en faveur de l</w:t>
      </w:r>
      <w:r w:rsidR="0047269F">
        <w:rPr>
          <w:lang w:val="fr-FR"/>
        </w:rPr>
        <w:t>’</w:t>
      </w:r>
      <w:r w:rsidRPr="001C481F">
        <w:rPr>
          <w:lang w:val="fr-FR"/>
        </w:rPr>
        <w:t>égalité des sexes. Il est toutefois préoccupé par</w:t>
      </w:r>
      <w:r w:rsidR="008146B3">
        <w:rPr>
          <w:lang w:val="fr-FR"/>
        </w:rPr>
        <w:t xml:space="preserve"> </w:t>
      </w:r>
      <w:r w:rsidRPr="001C481F">
        <w:rPr>
          <w:lang w:val="fr-FR"/>
        </w:rPr>
        <w:t>ce qui suit :</w:t>
      </w:r>
    </w:p>
    <w:p w14:paraId="143AC619" w14:textId="040489F0" w:rsidR="001C481F" w:rsidRPr="001C481F" w:rsidRDefault="001C481F" w:rsidP="001C481F">
      <w:pPr>
        <w:pStyle w:val="SingleTxt"/>
        <w:rPr>
          <w:lang w:val="fr-FR"/>
        </w:rPr>
      </w:pPr>
      <w:r w:rsidRPr="001C481F">
        <w:rPr>
          <w:lang w:val="fr-FR"/>
        </w:rPr>
        <w:tab/>
        <w:t>a)</w:t>
      </w:r>
      <w:r w:rsidRPr="001C481F">
        <w:rPr>
          <w:lang w:val="fr-FR"/>
        </w:rPr>
        <w:tab/>
        <w:t>La ségrégation sur le marché du travail, le fait qu</w:t>
      </w:r>
      <w:r w:rsidR="0047269F">
        <w:rPr>
          <w:lang w:val="fr-FR"/>
        </w:rPr>
        <w:t>’</w:t>
      </w:r>
      <w:r w:rsidRPr="001C481F">
        <w:rPr>
          <w:lang w:val="fr-FR"/>
        </w:rPr>
        <w:t>une grande majorité de femmes continue de suivre un parcours professionnel classique et la persistance d</w:t>
      </w:r>
      <w:r w:rsidR="0047269F">
        <w:rPr>
          <w:lang w:val="fr-FR"/>
        </w:rPr>
        <w:t>’</w:t>
      </w:r>
      <w:r w:rsidRPr="001C481F">
        <w:rPr>
          <w:lang w:val="fr-FR"/>
        </w:rPr>
        <w:t>un écart de rémunération entre les sexes, qui, dans la fonction publique, résulte en partie de disparités concernant l</w:t>
      </w:r>
      <w:r w:rsidR="0047269F">
        <w:rPr>
          <w:lang w:val="fr-FR"/>
        </w:rPr>
        <w:t>’</w:t>
      </w:r>
      <w:r w:rsidRPr="001C481F">
        <w:rPr>
          <w:lang w:val="fr-FR"/>
        </w:rPr>
        <w:t>indemnité véhicule motorisé et les heures supplémentaires</w:t>
      </w:r>
      <w:r w:rsidR="0047269F">
        <w:rPr>
          <w:lang w:val="fr-FR"/>
        </w:rPr>
        <w:t> ;</w:t>
      </w:r>
      <w:r w:rsidRPr="001C481F">
        <w:rPr>
          <w:lang w:val="fr-FR"/>
        </w:rPr>
        <w:t xml:space="preserve"> </w:t>
      </w:r>
    </w:p>
    <w:p w14:paraId="2DCE5A44" w14:textId="6DD2D245" w:rsidR="001C481F" w:rsidRPr="001C481F" w:rsidRDefault="001C481F" w:rsidP="001C481F">
      <w:pPr>
        <w:pStyle w:val="SingleTxt"/>
        <w:rPr>
          <w:lang w:val="fr-FR"/>
        </w:rPr>
      </w:pPr>
      <w:r w:rsidRPr="001C481F">
        <w:rPr>
          <w:lang w:val="fr-FR"/>
        </w:rPr>
        <w:tab/>
        <w:t>b)</w:t>
      </w:r>
      <w:r w:rsidRPr="001C481F">
        <w:rPr>
          <w:lang w:val="fr-FR"/>
        </w:rPr>
        <w:tab/>
        <w:t>La faible présence des femmes bédouines et ultra-orthodoxes sur le marché du travail</w:t>
      </w:r>
      <w:r w:rsidR="0047269F">
        <w:rPr>
          <w:lang w:val="fr-FR"/>
        </w:rPr>
        <w:t> ;</w:t>
      </w:r>
      <w:r w:rsidRPr="001C481F">
        <w:rPr>
          <w:lang w:val="fr-FR"/>
        </w:rPr>
        <w:t xml:space="preserve"> </w:t>
      </w:r>
    </w:p>
    <w:p w14:paraId="6069AA7C" w14:textId="766BAD0D" w:rsidR="001C481F" w:rsidRPr="001C481F" w:rsidRDefault="001C481F" w:rsidP="001C481F">
      <w:pPr>
        <w:pStyle w:val="SingleTxt"/>
        <w:rPr>
          <w:lang w:val="fr-FR"/>
        </w:rPr>
      </w:pPr>
      <w:r w:rsidRPr="001C481F">
        <w:rPr>
          <w:lang w:val="fr-FR"/>
        </w:rPr>
        <w:tab/>
        <w:t>c)</w:t>
      </w:r>
      <w:r w:rsidRPr="001C481F">
        <w:rPr>
          <w:lang w:val="fr-FR"/>
        </w:rPr>
        <w:tab/>
        <w:t>Les obstacles qui continuent d</w:t>
      </w:r>
      <w:r w:rsidR="0047269F">
        <w:rPr>
          <w:lang w:val="fr-FR"/>
        </w:rPr>
        <w:t>’</w:t>
      </w:r>
      <w:r w:rsidRPr="001C481F">
        <w:rPr>
          <w:lang w:val="fr-FR"/>
        </w:rPr>
        <w:t>entraver l</w:t>
      </w:r>
      <w:r w:rsidR="0047269F">
        <w:rPr>
          <w:lang w:val="fr-FR"/>
        </w:rPr>
        <w:t>’</w:t>
      </w:r>
      <w:r w:rsidRPr="001C481F">
        <w:rPr>
          <w:lang w:val="fr-FR"/>
        </w:rPr>
        <w:t>accès des femmes arabes israéliennes à l</w:t>
      </w:r>
      <w:r w:rsidR="0047269F">
        <w:rPr>
          <w:lang w:val="fr-FR"/>
        </w:rPr>
        <w:t>’</w:t>
      </w:r>
      <w:r w:rsidRPr="001C481F">
        <w:rPr>
          <w:lang w:val="fr-FR"/>
        </w:rPr>
        <w:t>emploi</w:t>
      </w:r>
      <w:r w:rsidR="0047269F">
        <w:rPr>
          <w:lang w:val="fr-FR"/>
        </w:rPr>
        <w:t> ;</w:t>
      </w:r>
    </w:p>
    <w:p w14:paraId="50BE3156" w14:textId="4D8C3E84" w:rsidR="001C481F" w:rsidRPr="001C481F" w:rsidRDefault="001C481F" w:rsidP="001C481F">
      <w:pPr>
        <w:pStyle w:val="SingleTxt"/>
        <w:rPr>
          <w:lang w:val="fr-FR"/>
        </w:rPr>
      </w:pPr>
      <w:r w:rsidRPr="001C481F">
        <w:rPr>
          <w:lang w:val="fr-FR"/>
        </w:rPr>
        <w:tab/>
        <w:t>d)</w:t>
      </w:r>
      <w:r w:rsidRPr="001C481F">
        <w:rPr>
          <w:lang w:val="fr-FR"/>
        </w:rPr>
        <w:tab/>
        <w:t>La hausse du nombre d</w:t>
      </w:r>
      <w:r w:rsidR="0047269F">
        <w:rPr>
          <w:lang w:val="fr-FR"/>
        </w:rPr>
        <w:t>’</w:t>
      </w:r>
      <w:r w:rsidRPr="001C481F">
        <w:rPr>
          <w:lang w:val="fr-FR"/>
        </w:rPr>
        <w:t>actes de harcèlement sexuel constatés au sein des Forces de défense israéliennes, que l</w:t>
      </w:r>
      <w:r w:rsidR="0047269F">
        <w:rPr>
          <w:lang w:val="fr-FR"/>
        </w:rPr>
        <w:t>’</w:t>
      </w:r>
      <w:r w:rsidRPr="001C481F">
        <w:rPr>
          <w:lang w:val="fr-FR"/>
        </w:rPr>
        <w:t xml:space="preserve">État partie attribue à </w:t>
      </w:r>
      <w:r w:rsidR="00BA1D31">
        <w:rPr>
          <w:lang w:val="fr-FR"/>
        </w:rPr>
        <w:t>l’</w:t>
      </w:r>
      <w:r w:rsidRPr="001C481F">
        <w:rPr>
          <w:lang w:val="fr-FR"/>
        </w:rPr>
        <w:t>augmentation du nombre de cas dénoncés, et l</w:t>
      </w:r>
      <w:r w:rsidR="0047269F">
        <w:rPr>
          <w:lang w:val="fr-FR"/>
        </w:rPr>
        <w:t>’</w:t>
      </w:r>
      <w:r w:rsidRPr="001C481F">
        <w:rPr>
          <w:lang w:val="fr-FR"/>
        </w:rPr>
        <w:t>insuffisance des sanctions prises à l</w:t>
      </w:r>
      <w:r w:rsidR="0047269F">
        <w:rPr>
          <w:lang w:val="fr-FR"/>
        </w:rPr>
        <w:t>’</w:t>
      </w:r>
      <w:r w:rsidRPr="001C481F">
        <w:rPr>
          <w:lang w:val="fr-FR"/>
        </w:rPr>
        <w:t>encontre des auteurs de ces actes, ainsi que le manque d</w:t>
      </w:r>
      <w:r w:rsidR="0047269F">
        <w:rPr>
          <w:lang w:val="fr-FR"/>
        </w:rPr>
        <w:t>’</w:t>
      </w:r>
      <w:r w:rsidRPr="001C481F">
        <w:rPr>
          <w:lang w:val="fr-FR"/>
        </w:rPr>
        <w:t>informations concernant l</w:t>
      </w:r>
      <w:r w:rsidR="0047269F">
        <w:rPr>
          <w:lang w:val="fr-FR"/>
        </w:rPr>
        <w:t>’</w:t>
      </w:r>
      <w:r w:rsidRPr="001C481F">
        <w:rPr>
          <w:lang w:val="fr-FR"/>
        </w:rPr>
        <w:t>incidence du recrutement d</w:t>
      </w:r>
      <w:r w:rsidR="0047269F">
        <w:rPr>
          <w:lang w:val="fr-FR"/>
        </w:rPr>
        <w:t>’</w:t>
      </w:r>
      <w:r w:rsidRPr="001C481F">
        <w:rPr>
          <w:lang w:val="fr-FR"/>
        </w:rPr>
        <w:t>hommes ultra-orthodoxes dans l</w:t>
      </w:r>
      <w:r w:rsidR="0047269F">
        <w:rPr>
          <w:lang w:val="fr-FR"/>
        </w:rPr>
        <w:t>’</w:t>
      </w:r>
      <w:r w:rsidRPr="001C481F">
        <w:rPr>
          <w:lang w:val="fr-FR"/>
        </w:rPr>
        <w:t>armée sur les possibilités d</w:t>
      </w:r>
      <w:r w:rsidR="0047269F">
        <w:rPr>
          <w:lang w:val="fr-FR"/>
        </w:rPr>
        <w:t>’</w:t>
      </w:r>
      <w:r w:rsidRPr="001C481F">
        <w:rPr>
          <w:lang w:val="fr-FR"/>
        </w:rPr>
        <w:t xml:space="preserve">avancement offertes aux femmes dans les Forces de défense. </w:t>
      </w:r>
    </w:p>
    <w:p w14:paraId="2B77855D" w14:textId="127D2D39" w:rsidR="001C481F" w:rsidRPr="009414AA" w:rsidRDefault="001C481F" w:rsidP="00D55120">
      <w:pPr>
        <w:pStyle w:val="SingleTxt"/>
        <w:numPr>
          <w:ilvl w:val="0"/>
          <w:numId w:val="17"/>
        </w:numPr>
        <w:spacing w:line="240" w:lineRule="exact"/>
        <w:rPr>
          <w:b/>
          <w:bCs/>
          <w:lang w:val="fr-FR"/>
        </w:rPr>
      </w:pPr>
      <w:r w:rsidRPr="001C481F">
        <w:rPr>
          <w:b/>
          <w:bCs/>
          <w:lang w:val="fr-FR"/>
        </w:rPr>
        <w:t>Le Comité</w:t>
      </w:r>
      <w:r w:rsidR="00E63FE0">
        <w:rPr>
          <w:b/>
          <w:bCs/>
          <w:lang w:val="fr-FR"/>
        </w:rPr>
        <w:t>,</w:t>
      </w:r>
      <w:r w:rsidRPr="001C481F">
        <w:rPr>
          <w:b/>
          <w:bCs/>
          <w:lang w:val="fr-FR"/>
        </w:rPr>
        <w:t xml:space="preserve"> </w:t>
      </w:r>
      <w:r w:rsidR="00E63FE0" w:rsidRPr="001C481F">
        <w:rPr>
          <w:b/>
          <w:bCs/>
          <w:lang w:val="fr-FR"/>
        </w:rPr>
        <w:t>réit</w:t>
      </w:r>
      <w:r w:rsidR="00E63FE0">
        <w:rPr>
          <w:b/>
          <w:bCs/>
          <w:lang w:val="fr-FR"/>
        </w:rPr>
        <w:t>érant</w:t>
      </w:r>
      <w:r w:rsidR="00E63FE0" w:rsidRPr="001C481F">
        <w:rPr>
          <w:b/>
          <w:bCs/>
          <w:lang w:val="fr-FR"/>
        </w:rPr>
        <w:t xml:space="preserve"> </w:t>
      </w:r>
      <w:r w:rsidRPr="001C481F">
        <w:rPr>
          <w:b/>
          <w:bCs/>
          <w:lang w:val="fr-FR"/>
        </w:rPr>
        <w:t>sa précédente recommandation (</w:t>
      </w:r>
      <w:hyperlink r:id="rId39" w:history="1">
        <w:r w:rsidRPr="00483725">
          <w:rPr>
            <w:rStyle w:val="Hyperlink"/>
            <w:b/>
            <w:bCs/>
            <w:color w:val="0000FF"/>
            <w:lang w:val="fr-FR"/>
          </w:rPr>
          <w:t>CEDAW/C/ISR/CO/5</w:t>
        </w:r>
      </w:hyperlink>
      <w:r w:rsidRPr="009414AA">
        <w:rPr>
          <w:b/>
          <w:bCs/>
          <w:lang w:val="fr-FR"/>
        </w:rPr>
        <w:t>, par. 37)</w:t>
      </w:r>
      <w:r w:rsidR="00E63FE0">
        <w:rPr>
          <w:b/>
          <w:bCs/>
          <w:lang w:val="fr-FR"/>
        </w:rPr>
        <w:t>,</w:t>
      </w:r>
      <w:r w:rsidRPr="009414AA">
        <w:rPr>
          <w:b/>
          <w:bCs/>
          <w:lang w:val="fr-FR"/>
        </w:rPr>
        <w:t xml:space="preserve"> invite de nouveau l</w:t>
      </w:r>
      <w:r w:rsidR="0047269F" w:rsidRPr="009414AA">
        <w:rPr>
          <w:b/>
          <w:bCs/>
          <w:lang w:val="fr-FR"/>
        </w:rPr>
        <w:t>’</w:t>
      </w:r>
      <w:r w:rsidRPr="009414AA">
        <w:rPr>
          <w:b/>
          <w:bCs/>
          <w:lang w:val="fr-FR"/>
        </w:rPr>
        <w:t>État partie à :</w:t>
      </w:r>
    </w:p>
    <w:p w14:paraId="23440173" w14:textId="42B7D014" w:rsidR="001C481F" w:rsidRPr="001C481F" w:rsidRDefault="001C481F" w:rsidP="001C481F">
      <w:pPr>
        <w:pStyle w:val="SingleTxt"/>
        <w:rPr>
          <w:b/>
          <w:lang w:val="fr-FR"/>
        </w:rPr>
      </w:pPr>
      <w:r w:rsidRPr="001C481F">
        <w:rPr>
          <w:lang w:val="fr-FR"/>
        </w:rPr>
        <w:tab/>
      </w:r>
      <w:r w:rsidRPr="001C481F">
        <w:rPr>
          <w:b/>
          <w:bCs/>
          <w:lang w:val="fr-FR"/>
        </w:rPr>
        <w:t>a)</w:t>
      </w:r>
      <w:r w:rsidRPr="001C481F">
        <w:rPr>
          <w:lang w:val="fr-FR"/>
        </w:rPr>
        <w:tab/>
      </w:r>
      <w:r w:rsidRPr="001C481F">
        <w:rPr>
          <w:b/>
          <w:bCs/>
          <w:lang w:val="fr-FR"/>
        </w:rPr>
        <w:t>Redoubler d</w:t>
      </w:r>
      <w:r w:rsidR="0047269F">
        <w:rPr>
          <w:b/>
          <w:bCs/>
          <w:lang w:val="fr-FR"/>
        </w:rPr>
        <w:t>’</w:t>
      </w:r>
      <w:r w:rsidRPr="001C481F">
        <w:rPr>
          <w:b/>
          <w:bCs/>
          <w:lang w:val="fr-FR"/>
        </w:rPr>
        <w:t>efforts pour garantir aux femmes l</w:t>
      </w:r>
      <w:r w:rsidR="0047269F">
        <w:rPr>
          <w:b/>
          <w:bCs/>
          <w:lang w:val="fr-FR"/>
        </w:rPr>
        <w:t>’</w:t>
      </w:r>
      <w:r w:rsidRPr="001C481F">
        <w:rPr>
          <w:b/>
          <w:bCs/>
          <w:lang w:val="fr-FR"/>
        </w:rPr>
        <w:t>égalité des chances dans l</w:t>
      </w:r>
      <w:r w:rsidR="0047269F">
        <w:rPr>
          <w:b/>
          <w:bCs/>
          <w:lang w:val="fr-FR"/>
        </w:rPr>
        <w:t>’</w:t>
      </w:r>
      <w:r w:rsidRPr="001C481F">
        <w:rPr>
          <w:b/>
          <w:bCs/>
          <w:lang w:val="fr-FR"/>
        </w:rPr>
        <w:t>emploi en luttant contre la ségrégation sur le marché du travail,</w:t>
      </w:r>
      <w:r w:rsidRPr="001C481F">
        <w:rPr>
          <w:lang w:val="fr-FR"/>
        </w:rPr>
        <w:t xml:space="preserve"> </w:t>
      </w:r>
      <w:r w:rsidRPr="001C481F">
        <w:rPr>
          <w:b/>
          <w:bCs/>
          <w:lang w:val="fr-FR"/>
        </w:rPr>
        <w:t xml:space="preserve">et à prendre des mesures </w:t>
      </w:r>
      <w:r w:rsidR="00CA565B">
        <w:rPr>
          <w:b/>
          <w:bCs/>
          <w:lang w:val="fr-FR"/>
        </w:rPr>
        <w:t>spécifiques</w:t>
      </w:r>
      <w:r w:rsidR="00CA565B" w:rsidRPr="001C481F">
        <w:rPr>
          <w:b/>
          <w:bCs/>
          <w:lang w:val="fr-FR"/>
        </w:rPr>
        <w:t xml:space="preserve"> </w:t>
      </w:r>
      <w:r w:rsidRPr="001C481F">
        <w:rPr>
          <w:b/>
          <w:bCs/>
          <w:lang w:val="fr-FR"/>
        </w:rPr>
        <w:t>pour réduire l</w:t>
      </w:r>
      <w:r w:rsidR="0047269F">
        <w:rPr>
          <w:b/>
          <w:bCs/>
          <w:lang w:val="fr-FR"/>
        </w:rPr>
        <w:t>’</w:t>
      </w:r>
      <w:r w:rsidRPr="001C481F">
        <w:rPr>
          <w:b/>
          <w:bCs/>
          <w:lang w:val="fr-FR"/>
        </w:rPr>
        <w:t>écart de rémunération entre les sexes en appliquant le principe de l</w:t>
      </w:r>
      <w:r w:rsidR="0047269F">
        <w:rPr>
          <w:b/>
          <w:bCs/>
          <w:lang w:val="fr-FR"/>
        </w:rPr>
        <w:t>’</w:t>
      </w:r>
      <w:r w:rsidRPr="001C481F">
        <w:rPr>
          <w:b/>
          <w:bCs/>
          <w:lang w:val="fr-FR"/>
        </w:rPr>
        <w:t>égalité de salaire à travail égal et en réalisant plus souvent des enquêtes sur les salaires</w:t>
      </w:r>
      <w:r w:rsidR="0047269F">
        <w:rPr>
          <w:b/>
          <w:bCs/>
          <w:lang w:val="fr-FR"/>
        </w:rPr>
        <w:t> ;</w:t>
      </w:r>
    </w:p>
    <w:p w14:paraId="02F86941" w14:textId="16F9F647" w:rsidR="001C481F" w:rsidRPr="001C481F" w:rsidRDefault="009E77AD" w:rsidP="001C481F">
      <w:pPr>
        <w:pStyle w:val="SingleTxt"/>
        <w:rPr>
          <w:b/>
          <w:lang w:val="fr-FR"/>
        </w:rPr>
      </w:pPr>
      <w:r>
        <w:rPr>
          <w:b/>
          <w:bCs/>
          <w:lang w:val="fr-FR"/>
        </w:rPr>
        <w:tab/>
      </w:r>
      <w:r w:rsidR="001C481F" w:rsidRPr="001C481F">
        <w:rPr>
          <w:b/>
          <w:bCs/>
          <w:lang w:val="fr-FR"/>
        </w:rPr>
        <w:t>b)</w:t>
      </w:r>
      <w:r w:rsidR="001C481F" w:rsidRPr="001C481F">
        <w:rPr>
          <w:lang w:val="fr-FR"/>
        </w:rPr>
        <w:tab/>
      </w:r>
      <w:r w:rsidR="001C481F" w:rsidRPr="001C481F">
        <w:rPr>
          <w:b/>
          <w:bCs/>
          <w:lang w:val="fr-FR"/>
        </w:rPr>
        <w:t>Organiser des cours et des formations professionnelles afin que les femmes participent autant que les hommes à la conception des technologies numériques</w:t>
      </w:r>
      <w:r w:rsidR="0047269F">
        <w:rPr>
          <w:b/>
          <w:bCs/>
          <w:lang w:val="fr-FR"/>
        </w:rPr>
        <w:t> ;</w:t>
      </w:r>
    </w:p>
    <w:p w14:paraId="0EEA993D" w14:textId="20B65ADF" w:rsidR="001C481F" w:rsidRPr="001C481F" w:rsidRDefault="001C481F" w:rsidP="001C481F">
      <w:pPr>
        <w:pStyle w:val="SingleTxt"/>
        <w:rPr>
          <w:b/>
          <w:lang w:val="fr-FR"/>
        </w:rPr>
      </w:pPr>
      <w:r w:rsidRPr="001C481F">
        <w:rPr>
          <w:lang w:val="fr-FR"/>
        </w:rPr>
        <w:lastRenderedPageBreak/>
        <w:tab/>
      </w:r>
      <w:r w:rsidRPr="001C481F">
        <w:rPr>
          <w:b/>
          <w:bCs/>
          <w:lang w:val="fr-FR"/>
        </w:rPr>
        <w:t>c)</w:t>
      </w:r>
      <w:r w:rsidRPr="001C481F">
        <w:rPr>
          <w:lang w:val="fr-FR"/>
        </w:rPr>
        <w:tab/>
      </w:r>
      <w:r w:rsidRPr="001C481F">
        <w:rPr>
          <w:b/>
          <w:bCs/>
          <w:lang w:val="fr-FR"/>
        </w:rPr>
        <w:t xml:space="preserve">Prendre des dispositions </w:t>
      </w:r>
      <w:r w:rsidR="007E297B">
        <w:rPr>
          <w:b/>
          <w:bCs/>
          <w:lang w:val="fr-FR"/>
        </w:rPr>
        <w:t>spécifiques</w:t>
      </w:r>
      <w:r w:rsidRPr="001C481F">
        <w:rPr>
          <w:b/>
          <w:bCs/>
          <w:lang w:val="fr-FR"/>
        </w:rPr>
        <w:t>, notamment des mesures temporaires spéciales, pour accroître la présence des femmes bédouines et ultra-orthodoxes sur le marché du travail et lever les obstacles à l</w:t>
      </w:r>
      <w:r w:rsidR="0047269F">
        <w:rPr>
          <w:b/>
          <w:bCs/>
          <w:lang w:val="fr-FR"/>
        </w:rPr>
        <w:t>’</w:t>
      </w:r>
      <w:r w:rsidRPr="001C481F">
        <w:rPr>
          <w:b/>
          <w:bCs/>
          <w:lang w:val="fr-FR"/>
        </w:rPr>
        <w:t>accès à l</w:t>
      </w:r>
      <w:r w:rsidR="0047269F">
        <w:rPr>
          <w:b/>
          <w:bCs/>
          <w:lang w:val="fr-FR"/>
        </w:rPr>
        <w:t>’</w:t>
      </w:r>
      <w:r w:rsidRPr="001C481F">
        <w:rPr>
          <w:b/>
          <w:bCs/>
          <w:lang w:val="fr-FR"/>
        </w:rPr>
        <w:t>emploi rencontrés par les femmes arabes israéliennes</w:t>
      </w:r>
      <w:r w:rsidR="0047269F">
        <w:rPr>
          <w:b/>
          <w:bCs/>
          <w:lang w:val="fr-FR"/>
        </w:rPr>
        <w:t> ;</w:t>
      </w:r>
    </w:p>
    <w:p w14:paraId="59057C99" w14:textId="6E139F2A" w:rsidR="001C481F" w:rsidRDefault="001C481F" w:rsidP="001C481F">
      <w:pPr>
        <w:pStyle w:val="SingleTxt"/>
        <w:rPr>
          <w:b/>
          <w:bCs/>
          <w:lang w:val="fr-FR"/>
        </w:rPr>
      </w:pPr>
      <w:r w:rsidRPr="001C481F">
        <w:rPr>
          <w:lang w:val="fr-FR"/>
        </w:rPr>
        <w:tab/>
      </w:r>
      <w:r w:rsidRPr="001C481F">
        <w:rPr>
          <w:b/>
          <w:bCs/>
          <w:lang w:val="fr-FR"/>
        </w:rPr>
        <w:t>d)</w:t>
      </w:r>
      <w:r w:rsidRPr="001C481F">
        <w:rPr>
          <w:lang w:val="fr-FR"/>
        </w:rPr>
        <w:tab/>
      </w:r>
      <w:r w:rsidRPr="001C481F">
        <w:rPr>
          <w:b/>
          <w:bCs/>
          <w:lang w:val="fr-FR"/>
        </w:rPr>
        <w:t xml:space="preserve">Accentuer ses efforts pour combattre le harcèlement sexuel, en particulier au sein des Forces de défenses israéliennes, en faisant appliquer la loi de prévention du harcèlement sexuel, et à mesurer </w:t>
      </w:r>
      <w:r w:rsidRPr="001C481F">
        <w:rPr>
          <w:b/>
          <w:lang w:val="fr-FR"/>
        </w:rPr>
        <w:t>l</w:t>
      </w:r>
      <w:r w:rsidR="0047269F">
        <w:rPr>
          <w:b/>
          <w:lang w:val="fr-FR"/>
        </w:rPr>
        <w:t>’</w:t>
      </w:r>
      <w:r w:rsidRPr="001C481F">
        <w:rPr>
          <w:b/>
          <w:lang w:val="fr-FR"/>
        </w:rPr>
        <w:t>incidence du recrutement d</w:t>
      </w:r>
      <w:r w:rsidR="0047269F">
        <w:rPr>
          <w:b/>
          <w:lang w:val="fr-FR"/>
        </w:rPr>
        <w:t>’</w:t>
      </w:r>
      <w:r w:rsidRPr="001C481F">
        <w:rPr>
          <w:b/>
          <w:lang w:val="fr-FR"/>
        </w:rPr>
        <w:t>hommes ultra-orthodoxes dans l</w:t>
      </w:r>
      <w:r w:rsidR="0047269F">
        <w:rPr>
          <w:b/>
          <w:lang w:val="fr-FR"/>
        </w:rPr>
        <w:t>’</w:t>
      </w:r>
      <w:r w:rsidRPr="001C481F">
        <w:rPr>
          <w:b/>
          <w:lang w:val="fr-FR"/>
        </w:rPr>
        <w:t>armée sur les possibilités d</w:t>
      </w:r>
      <w:r w:rsidR="0047269F">
        <w:rPr>
          <w:b/>
          <w:lang w:val="fr-FR"/>
        </w:rPr>
        <w:t>’</w:t>
      </w:r>
      <w:r w:rsidRPr="001C481F">
        <w:rPr>
          <w:b/>
          <w:lang w:val="fr-FR"/>
        </w:rPr>
        <w:t>avancement offertes aux femmes dans les Forces de défense</w:t>
      </w:r>
      <w:r w:rsidRPr="001C481F">
        <w:rPr>
          <w:b/>
          <w:bCs/>
          <w:lang w:val="fr-FR"/>
        </w:rPr>
        <w:t>.</w:t>
      </w:r>
    </w:p>
    <w:p w14:paraId="1E4EF590" w14:textId="2742B483" w:rsidR="009E77AD" w:rsidRPr="009E77AD" w:rsidRDefault="009E77AD" w:rsidP="009E77AD">
      <w:pPr>
        <w:pStyle w:val="SingleTxt"/>
        <w:spacing w:after="0" w:line="120" w:lineRule="exact"/>
        <w:rPr>
          <w:b/>
          <w:bCs/>
          <w:sz w:val="10"/>
          <w:lang w:val="fr-FR"/>
        </w:rPr>
      </w:pPr>
    </w:p>
    <w:p w14:paraId="4289D658" w14:textId="77777777" w:rsidR="001C481F" w:rsidRPr="001C481F" w:rsidRDefault="001C481F" w:rsidP="009E7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481F">
        <w:rPr>
          <w:lang w:val="fr-FR"/>
        </w:rPr>
        <w:tab/>
      </w:r>
      <w:r w:rsidRPr="001C481F">
        <w:rPr>
          <w:lang w:val="fr-FR"/>
        </w:rPr>
        <w:tab/>
        <w:t xml:space="preserve">Santé </w:t>
      </w:r>
    </w:p>
    <w:p w14:paraId="518B54D5" w14:textId="19BDBE4D" w:rsidR="009E77AD" w:rsidRPr="009E77AD" w:rsidRDefault="009E77AD" w:rsidP="009E77AD">
      <w:pPr>
        <w:pStyle w:val="SingleTxt"/>
        <w:spacing w:after="0" w:line="120" w:lineRule="exact"/>
        <w:rPr>
          <w:sz w:val="10"/>
          <w:lang w:val="fr-FR"/>
        </w:rPr>
      </w:pPr>
    </w:p>
    <w:p w14:paraId="3CF0C2DD" w14:textId="070A22A3" w:rsidR="001C481F" w:rsidRPr="001C481F" w:rsidRDefault="001C481F" w:rsidP="00D55120">
      <w:pPr>
        <w:pStyle w:val="SingleTxt"/>
        <w:numPr>
          <w:ilvl w:val="0"/>
          <w:numId w:val="18"/>
        </w:numPr>
        <w:spacing w:line="240" w:lineRule="exact"/>
        <w:rPr>
          <w:lang w:val="fr-FR"/>
        </w:rPr>
      </w:pPr>
      <w:r w:rsidRPr="001C481F">
        <w:rPr>
          <w:lang w:val="fr-FR"/>
        </w:rPr>
        <w:t>Le Comité salue les efforts déployés par l</w:t>
      </w:r>
      <w:r w:rsidR="0047269F">
        <w:rPr>
          <w:lang w:val="fr-FR"/>
        </w:rPr>
        <w:t>’</w:t>
      </w:r>
      <w:r w:rsidRPr="001C481F">
        <w:rPr>
          <w:lang w:val="fr-FR"/>
        </w:rPr>
        <w:t>État partie pour fournir des services de santé de haute qualité et faire progresser la recherche médicale, tout en regrettant que des discriminations subsistent en matière d</w:t>
      </w:r>
      <w:r w:rsidR="0047269F">
        <w:rPr>
          <w:lang w:val="fr-FR"/>
        </w:rPr>
        <w:t>’</w:t>
      </w:r>
      <w:r w:rsidRPr="001C481F">
        <w:rPr>
          <w:lang w:val="fr-FR"/>
        </w:rPr>
        <w:t>accès aux soins de santé. Il accueille avec satisfaction les mesures prises pour améliorer les soins de santé prodigués aux femmes et aux filles. Il prend note de l</w:t>
      </w:r>
      <w:r w:rsidR="0047269F">
        <w:rPr>
          <w:lang w:val="fr-FR"/>
        </w:rPr>
        <w:t>’</w:t>
      </w:r>
      <w:r w:rsidRPr="001C481F">
        <w:rPr>
          <w:lang w:val="fr-FR"/>
        </w:rPr>
        <w:t>élaboration d</w:t>
      </w:r>
      <w:r w:rsidR="0047269F">
        <w:rPr>
          <w:lang w:val="fr-FR"/>
        </w:rPr>
        <w:t>’</w:t>
      </w:r>
      <w:r w:rsidRPr="001C481F">
        <w:rPr>
          <w:lang w:val="fr-FR"/>
        </w:rPr>
        <w:t>un programme d</w:t>
      </w:r>
      <w:r w:rsidR="0047269F">
        <w:rPr>
          <w:lang w:val="fr-FR"/>
        </w:rPr>
        <w:t>’</w:t>
      </w:r>
      <w:r w:rsidRPr="001C481F">
        <w:rPr>
          <w:lang w:val="fr-FR"/>
        </w:rPr>
        <w:t>intervention et d</w:t>
      </w:r>
      <w:r w:rsidR="0047269F">
        <w:rPr>
          <w:lang w:val="fr-FR"/>
        </w:rPr>
        <w:t>’</w:t>
      </w:r>
      <w:r w:rsidRPr="001C481F">
        <w:rPr>
          <w:lang w:val="fr-FR"/>
        </w:rPr>
        <w:t>un plan d</w:t>
      </w:r>
      <w:r w:rsidR="0047269F">
        <w:rPr>
          <w:lang w:val="fr-FR"/>
        </w:rPr>
        <w:t>’</w:t>
      </w:r>
      <w:r w:rsidRPr="001C481F">
        <w:rPr>
          <w:lang w:val="fr-FR"/>
        </w:rPr>
        <w:t>action visant à éliminer les discriminations dans le secteur de la santé, notamment le racisme à l</w:t>
      </w:r>
      <w:r w:rsidR="0047269F">
        <w:rPr>
          <w:lang w:val="fr-FR"/>
        </w:rPr>
        <w:t>’</w:t>
      </w:r>
      <w:r w:rsidRPr="001C481F">
        <w:rPr>
          <w:lang w:val="fr-FR"/>
        </w:rPr>
        <w:t>égard des personnes d</w:t>
      </w:r>
      <w:r w:rsidR="0047269F">
        <w:rPr>
          <w:lang w:val="fr-FR"/>
        </w:rPr>
        <w:t>’</w:t>
      </w:r>
      <w:r w:rsidRPr="001C481F">
        <w:rPr>
          <w:lang w:val="fr-FR"/>
        </w:rPr>
        <w:t>origine éthiopienne, et à renforcer l</w:t>
      </w:r>
      <w:r w:rsidR="0047269F">
        <w:rPr>
          <w:lang w:val="fr-FR"/>
        </w:rPr>
        <w:t>’</w:t>
      </w:r>
      <w:r w:rsidRPr="001C481F">
        <w:rPr>
          <w:lang w:val="fr-FR"/>
        </w:rPr>
        <w:t>infrastructure de santé et le personnel médical dans les zones rurales. Il est cependant troublé de constater que :</w:t>
      </w:r>
    </w:p>
    <w:p w14:paraId="7B706A67" w14:textId="272E6906" w:rsidR="001C481F" w:rsidRPr="001C481F" w:rsidRDefault="001C481F" w:rsidP="001C481F">
      <w:pPr>
        <w:pStyle w:val="SingleTxt"/>
        <w:rPr>
          <w:lang w:val="fr-FR"/>
        </w:rPr>
      </w:pPr>
      <w:r w:rsidRPr="001C481F">
        <w:rPr>
          <w:lang w:val="fr-FR"/>
        </w:rPr>
        <w:tab/>
        <w:t>a)</w:t>
      </w:r>
      <w:r w:rsidRPr="001C481F">
        <w:rPr>
          <w:lang w:val="fr-FR"/>
        </w:rPr>
        <w:tab/>
        <w:t>Les femmes et filles d</w:t>
      </w:r>
      <w:r w:rsidR="0047269F">
        <w:rPr>
          <w:lang w:val="fr-FR"/>
        </w:rPr>
        <w:t>’</w:t>
      </w:r>
      <w:r w:rsidRPr="001C481F">
        <w:rPr>
          <w:lang w:val="fr-FR"/>
        </w:rPr>
        <w:t>origine éthiopienne continuent d</w:t>
      </w:r>
      <w:r w:rsidR="0047269F">
        <w:rPr>
          <w:lang w:val="fr-FR"/>
        </w:rPr>
        <w:t>’</w:t>
      </w:r>
      <w:r w:rsidRPr="001C481F">
        <w:rPr>
          <w:lang w:val="fr-FR"/>
        </w:rPr>
        <w:t>être victimes de discriminations qui entravent leur accès aux services de santé</w:t>
      </w:r>
      <w:r w:rsidR="00535175">
        <w:rPr>
          <w:lang w:val="fr-FR"/>
        </w:rPr>
        <w:t> </w:t>
      </w:r>
      <w:r w:rsidR="0047269F">
        <w:rPr>
          <w:lang w:val="fr-FR"/>
        </w:rPr>
        <w:t>;</w:t>
      </w:r>
    </w:p>
    <w:p w14:paraId="22AEF49F" w14:textId="398DC37B" w:rsidR="001C481F" w:rsidRPr="001C481F" w:rsidRDefault="001C481F" w:rsidP="001C481F">
      <w:pPr>
        <w:pStyle w:val="SingleTxt"/>
        <w:rPr>
          <w:lang w:val="fr-FR"/>
        </w:rPr>
      </w:pPr>
      <w:r w:rsidRPr="001C481F">
        <w:rPr>
          <w:lang w:val="fr-FR"/>
        </w:rPr>
        <w:tab/>
        <w:t>b)</w:t>
      </w:r>
      <w:r w:rsidRPr="001C481F">
        <w:rPr>
          <w:lang w:val="fr-FR"/>
        </w:rPr>
        <w:tab/>
        <w:t>Du fait de l</w:t>
      </w:r>
      <w:r w:rsidR="0047269F">
        <w:rPr>
          <w:lang w:val="fr-FR"/>
        </w:rPr>
        <w:t>’</w:t>
      </w:r>
      <w:r w:rsidRPr="001C481F">
        <w:rPr>
          <w:lang w:val="fr-FR"/>
        </w:rPr>
        <w:t xml:space="preserve">application, aux points de contrôle, de restrictions qui entravent la liberté de circulation, les femmes et filles palestiniennes </w:t>
      </w:r>
      <w:r w:rsidR="00685EFA" w:rsidRPr="001C481F">
        <w:rPr>
          <w:lang w:val="fr-FR"/>
        </w:rPr>
        <w:t>d</w:t>
      </w:r>
      <w:r w:rsidR="00685EFA">
        <w:rPr>
          <w:lang w:val="fr-FR"/>
        </w:rPr>
        <w:t>u</w:t>
      </w:r>
      <w:r w:rsidR="00685EFA" w:rsidRPr="001C481F">
        <w:rPr>
          <w:lang w:val="fr-FR"/>
        </w:rPr>
        <w:t xml:space="preserve"> </w:t>
      </w:r>
      <w:r w:rsidRPr="001C481F">
        <w:rPr>
          <w:lang w:val="fr-FR"/>
        </w:rPr>
        <w:t>Territoire palestinien occupé éprouvent beaucoup de difficultés pour accéder</w:t>
      </w:r>
      <w:r w:rsidR="00D55120">
        <w:rPr>
          <w:lang w:val="fr-FR"/>
        </w:rPr>
        <w:t xml:space="preserve"> </w:t>
      </w:r>
      <w:r w:rsidRPr="001C481F">
        <w:rPr>
          <w:lang w:val="fr-FR"/>
        </w:rPr>
        <w:t>aux établissements de santé tels que les hôpitaux ou les centres de consultation et pour obtenir des soins d</w:t>
      </w:r>
      <w:r w:rsidR="0047269F">
        <w:rPr>
          <w:lang w:val="fr-FR"/>
        </w:rPr>
        <w:t>’</w:t>
      </w:r>
      <w:r w:rsidRPr="001C481F">
        <w:rPr>
          <w:lang w:val="fr-FR"/>
        </w:rPr>
        <w:t>urgence ou des traitements spécialisés</w:t>
      </w:r>
      <w:r w:rsidR="0047269F">
        <w:rPr>
          <w:lang w:val="fr-FR"/>
        </w:rPr>
        <w:t> ;</w:t>
      </w:r>
    </w:p>
    <w:p w14:paraId="2CEB2D56" w14:textId="385331C6" w:rsidR="001C481F" w:rsidRPr="001C481F" w:rsidRDefault="001C481F" w:rsidP="001C481F">
      <w:pPr>
        <w:pStyle w:val="SingleTxt"/>
        <w:rPr>
          <w:lang w:val="fr-FR"/>
        </w:rPr>
      </w:pPr>
      <w:r w:rsidRPr="001C481F">
        <w:rPr>
          <w:lang w:val="fr-FR"/>
        </w:rPr>
        <w:tab/>
        <w:t>c)</w:t>
      </w:r>
      <w:r w:rsidRPr="001C481F">
        <w:rPr>
          <w:lang w:val="fr-FR"/>
        </w:rPr>
        <w:tab/>
        <w:t>L</w:t>
      </w:r>
      <w:r w:rsidR="0047269F">
        <w:rPr>
          <w:lang w:val="fr-FR"/>
        </w:rPr>
        <w:t>’</w:t>
      </w:r>
      <w:r w:rsidRPr="001C481F">
        <w:rPr>
          <w:lang w:val="fr-FR"/>
        </w:rPr>
        <w:t>état de santé des femmes et des filles appartenant aux communautés arabe israélienne et bédouine demeure fragile</w:t>
      </w:r>
      <w:r w:rsidR="0047269F">
        <w:rPr>
          <w:lang w:val="fr-FR"/>
        </w:rPr>
        <w:t xml:space="preserve"> : </w:t>
      </w:r>
      <w:r w:rsidRPr="001C481F">
        <w:rPr>
          <w:lang w:val="fr-FR"/>
        </w:rPr>
        <w:t xml:space="preserve">on enregistre parmi elles des taux de mortalité infantile et maternelle élevés et </w:t>
      </w:r>
      <w:r w:rsidR="00A06645">
        <w:rPr>
          <w:lang w:val="fr-FR"/>
        </w:rPr>
        <w:t>c’est parmi elles qu’on observe le plus fort taux d’obésité et de cancer du poumon de l’ensemble de la population israélienne</w:t>
      </w:r>
      <w:r w:rsidR="0047269F">
        <w:rPr>
          <w:lang w:val="fr-FR"/>
        </w:rPr>
        <w:t> ;</w:t>
      </w:r>
    </w:p>
    <w:p w14:paraId="55371136" w14:textId="2B5F8D74" w:rsidR="001C481F" w:rsidRPr="001C481F" w:rsidRDefault="001C481F" w:rsidP="001C481F">
      <w:pPr>
        <w:pStyle w:val="SingleTxt"/>
        <w:rPr>
          <w:lang w:val="fr-FR"/>
        </w:rPr>
      </w:pPr>
      <w:r w:rsidRPr="001C481F">
        <w:rPr>
          <w:lang w:val="fr-FR"/>
        </w:rPr>
        <w:tab/>
        <w:t>d)</w:t>
      </w:r>
      <w:r w:rsidRPr="001C481F">
        <w:rPr>
          <w:lang w:val="fr-FR"/>
        </w:rPr>
        <w:tab/>
        <w:t>Le Code pénal de 1977 autorise certes l</w:t>
      </w:r>
      <w:r w:rsidR="0047269F">
        <w:rPr>
          <w:lang w:val="fr-FR"/>
        </w:rPr>
        <w:t>’</w:t>
      </w:r>
      <w:r w:rsidRPr="001C481F">
        <w:rPr>
          <w:lang w:val="fr-FR"/>
        </w:rPr>
        <w:t>avortement en cas de viol, d</w:t>
      </w:r>
      <w:r w:rsidR="0047269F">
        <w:rPr>
          <w:lang w:val="fr-FR"/>
        </w:rPr>
        <w:t>’</w:t>
      </w:r>
      <w:r w:rsidRPr="001C481F">
        <w:rPr>
          <w:lang w:val="fr-FR"/>
        </w:rPr>
        <w:t>inceste ou de danger pour la santé physique ou mentale de la mère ou lorsque le fœtus présente un problème psychologique ou physique grave, mais les femmes doivent encore se soumettre à des procédures administratives complexes et onéreuses pour être autorisées à avorter par le Comité de l</w:t>
      </w:r>
      <w:r w:rsidR="0047269F">
        <w:rPr>
          <w:lang w:val="fr-FR"/>
        </w:rPr>
        <w:t>’</w:t>
      </w:r>
      <w:r w:rsidRPr="001C481F">
        <w:rPr>
          <w:lang w:val="fr-FR"/>
        </w:rPr>
        <w:t>interruption de grossesse.</w:t>
      </w:r>
    </w:p>
    <w:p w14:paraId="3C9C1DB5" w14:textId="3E50AFE2" w:rsidR="001C481F" w:rsidRPr="001C481F" w:rsidRDefault="001C481F" w:rsidP="00D55120">
      <w:pPr>
        <w:pStyle w:val="SingleTxt"/>
        <w:numPr>
          <w:ilvl w:val="0"/>
          <w:numId w:val="18"/>
        </w:numPr>
        <w:spacing w:line="240" w:lineRule="exact"/>
        <w:rPr>
          <w:b/>
          <w:lang w:val="fr-FR"/>
        </w:rPr>
      </w:pPr>
      <w:r w:rsidRPr="001C481F">
        <w:rPr>
          <w:b/>
          <w:bCs/>
          <w:lang w:val="fr-FR"/>
        </w:rPr>
        <w:t>Le Comité recommande que l</w:t>
      </w:r>
      <w:r w:rsidR="0047269F">
        <w:rPr>
          <w:b/>
          <w:bCs/>
          <w:lang w:val="fr-FR"/>
        </w:rPr>
        <w:t>’</w:t>
      </w:r>
      <w:r w:rsidRPr="001C481F">
        <w:rPr>
          <w:b/>
          <w:bCs/>
          <w:lang w:val="fr-FR"/>
        </w:rPr>
        <w:t>État partie :</w:t>
      </w:r>
    </w:p>
    <w:p w14:paraId="4C2C8178" w14:textId="41291118" w:rsidR="001C481F" w:rsidRPr="001C481F" w:rsidRDefault="001C481F" w:rsidP="001C481F">
      <w:pPr>
        <w:pStyle w:val="SingleTxt"/>
        <w:rPr>
          <w:b/>
          <w:lang w:val="fr-FR"/>
        </w:rPr>
      </w:pPr>
      <w:r w:rsidRPr="001C481F">
        <w:rPr>
          <w:lang w:val="fr-FR"/>
        </w:rPr>
        <w:tab/>
      </w:r>
      <w:r w:rsidRPr="001C481F">
        <w:rPr>
          <w:b/>
          <w:bCs/>
          <w:lang w:val="fr-FR"/>
        </w:rPr>
        <w:t>a)</w:t>
      </w:r>
      <w:r w:rsidRPr="001C481F">
        <w:rPr>
          <w:lang w:val="fr-FR"/>
        </w:rPr>
        <w:tab/>
      </w:r>
      <w:r w:rsidRPr="001C481F">
        <w:rPr>
          <w:b/>
          <w:bCs/>
          <w:lang w:val="fr-FR"/>
        </w:rPr>
        <w:t>Adopte les programmes d</w:t>
      </w:r>
      <w:r w:rsidR="0047269F">
        <w:rPr>
          <w:b/>
          <w:bCs/>
          <w:lang w:val="fr-FR"/>
        </w:rPr>
        <w:t>’</w:t>
      </w:r>
      <w:r w:rsidRPr="001C481F">
        <w:rPr>
          <w:b/>
          <w:bCs/>
          <w:lang w:val="fr-FR"/>
        </w:rPr>
        <w:t>intervention et les plans d</w:t>
      </w:r>
      <w:r w:rsidR="0047269F">
        <w:rPr>
          <w:b/>
          <w:bCs/>
          <w:lang w:val="fr-FR"/>
        </w:rPr>
        <w:t>’</w:t>
      </w:r>
      <w:r w:rsidRPr="001C481F">
        <w:rPr>
          <w:b/>
          <w:bCs/>
          <w:lang w:val="fr-FR"/>
        </w:rPr>
        <w:t>actions voulus, et notamment applique des mesures pénales strictes, pour lutter contre la discrimination dans le secteur de la santé, en particulier à l</w:t>
      </w:r>
      <w:r w:rsidR="0047269F">
        <w:rPr>
          <w:b/>
          <w:bCs/>
          <w:lang w:val="fr-FR"/>
        </w:rPr>
        <w:t>’</w:t>
      </w:r>
      <w:r w:rsidRPr="001C481F">
        <w:rPr>
          <w:b/>
          <w:bCs/>
          <w:lang w:val="fr-FR"/>
        </w:rPr>
        <w:t>égard des femmes et des filles d</w:t>
      </w:r>
      <w:r w:rsidR="0047269F">
        <w:rPr>
          <w:b/>
          <w:bCs/>
          <w:lang w:val="fr-FR"/>
        </w:rPr>
        <w:t>’</w:t>
      </w:r>
      <w:r w:rsidRPr="001C481F">
        <w:rPr>
          <w:b/>
          <w:bCs/>
          <w:lang w:val="fr-FR"/>
        </w:rPr>
        <w:t>origine éthiopienne</w:t>
      </w:r>
      <w:r w:rsidR="0047269F">
        <w:rPr>
          <w:b/>
          <w:bCs/>
          <w:lang w:val="fr-FR"/>
        </w:rPr>
        <w:t> ;</w:t>
      </w:r>
      <w:r w:rsidRPr="001C481F">
        <w:rPr>
          <w:lang w:val="fr-FR"/>
        </w:rPr>
        <w:t xml:space="preserve"> </w:t>
      </w:r>
    </w:p>
    <w:p w14:paraId="626FB4D4" w14:textId="0B0F5FE9" w:rsidR="001C481F" w:rsidRPr="001C481F" w:rsidRDefault="001C481F" w:rsidP="001C481F">
      <w:pPr>
        <w:pStyle w:val="SingleTxt"/>
        <w:rPr>
          <w:b/>
          <w:lang w:val="fr-FR"/>
        </w:rPr>
      </w:pPr>
      <w:r w:rsidRPr="001C481F">
        <w:rPr>
          <w:lang w:val="fr-FR"/>
        </w:rPr>
        <w:tab/>
      </w:r>
      <w:r w:rsidRPr="001C481F">
        <w:rPr>
          <w:b/>
          <w:bCs/>
          <w:lang w:val="fr-FR"/>
        </w:rPr>
        <w:t>b)</w:t>
      </w:r>
      <w:r w:rsidRPr="001C481F">
        <w:rPr>
          <w:lang w:val="fr-FR"/>
        </w:rPr>
        <w:tab/>
      </w:r>
      <w:r w:rsidRPr="001C481F">
        <w:rPr>
          <w:b/>
          <w:bCs/>
          <w:lang w:val="fr-FR"/>
        </w:rPr>
        <w:t>Intensifie encore ses efforts, notamment en appliquant le plan national de dépistage du cancer du sein et en assurant le traitement des cancers ovarien et du poumon, afin que s</w:t>
      </w:r>
      <w:r w:rsidR="0047269F">
        <w:rPr>
          <w:b/>
          <w:bCs/>
          <w:lang w:val="fr-FR"/>
        </w:rPr>
        <w:t>’</w:t>
      </w:r>
      <w:r w:rsidRPr="001C481F">
        <w:rPr>
          <w:b/>
          <w:bCs/>
          <w:lang w:val="fr-FR"/>
        </w:rPr>
        <w:t>améliore la santé des femmes des communautés arabe israélienne et bédouine − en particulier pour ce qui est de l</w:t>
      </w:r>
      <w:r w:rsidR="0047269F">
        <w:rPr>
          <w:b/>
          <w:bCs/>
          <w:lang w:val="fr-FR"/>
        </w:rPr>
        <w:t>’</w:t>
      </w:r>
      <w:r w:rsidRPr="001C481F">
        <w:rPr>
          <w:b/>
          <w:bCs/>
          <w:lang w:val="fr-FR"/>
        </w:rPr>
        <w:t>obésité, du cancer du poumon et de la mortalité infantile et maternelle</w:t>
      </w:r>
      <w:r w:rsidR="0047269F">
        <w:rPr>
          <w:b/>
          <w:bCs/>
          <w:lang w:val="fr-FR"/>
        </w:rPr>
        <w:t> ;</w:t>
      </w:r>
    </w:p>
    <w:p w14:paraId="727919DB" w14:textId="4B7113CE" w:rsidR="001C481F" w:rsidRDefault="001C481F" w:rsidP="001C481F">
      <w:pPr>
        <w:pStyle w:val="SingleTxt"/>
        <w:rPr>
          <w:lang w:val="fr-FR"/>
        </w:rPr>
      </w:pPr>
      <w:r w:rsidRPr="001C481F">
        <w:rPr>
          <w:lang w:val="fr-FR"/>
        </w:rPr>
        <w:tab/>
      </w:r>
      <w:r w:rsidRPr="001C481F">
        <w:rPr>
          <w:b/>
          <w:bCs/>
          <w:lang w:val="fr-FR"/>
        </w:rPr>
        <w:t>c)</w:t>
      </w:r>
      <w:r w:rsidRPr="001C481F">
        <w:rPr>
          <w:lang w:val="fr-FR"/>
        </w:rPr>
        <w:tab/>
      </w:r>
      <w:r w:rsidRPr="001C481F">
        <w:rPr>
          <w:b/>
          <w:bCs/>
          <w:lang w:val="fr-FR"/>
        </w:rPr>
        <w:t>Fasse réaliser une étude d</w:t>
      </w:r>
      <w:r w:rsidR="0047269F">
        <w:rPr>
          <w:b/>
          <w:bCs/>
          <w:lang w:val="fr-FR"/>
        </w:rPr>
        <w:t>’</w:t>
      </w:r>
      <w:r w:rsidRPr="001C481F">
        <w:rPr>
          <w:b/>
          <w:bCs/>
          <w:lang w:val="fr-FR"/>
        </w:rPr>
        <w:t xml:space="preserve">impact et veille à ce que les procédures administratives à suivre pour obtenir une autorisation auprès du Comité de </w:t>
      </w:r>
      <w:r w:rsidRPr="001C481F">
        <w:rPr>
          <w:b/>
          <w:bCs/>
          <w:lang w:val="fr-FR"/>
        </w:rPr>
        <w:lastRenderedPageBreak/>
        <w:t>l</w:t>
      </w:r>
      <w:r w:rsidR="0047269F">
        <w:rPr>
          <w:b/>
          <w:bCs/>
          <w:lang w:val="fr-FR"/>
        </w:rPr>
        <w:t>’</w:t>
      </w:r>
      <w:r w:rsidRPr="001C481F">
        <w:rPr>
          <w:b/>
          <w:bCs/>
          <w:lang w:val="fr-FR"/>
        </w:rPr>
        <w:t>interruption de grossesse n</w:t>
      </w:r>
      <w:r w:rsidR="0047269F">
        <w:rPr>
          <w:b/>
          <w:bCs/>
          <w:lang w:val="fr-FR"/>
        </w:rPr>
        <w:t>’</w:t>
      </w:r>
      <w:r w:rsidRPr="001C481F">
        <w:rPr>
          <w:b/>
          <w:bCs/>
          <w:lang w:val="fr-FR"/>
        </w:rPr>
        <w:t>entravent pas l</w:t>
      </w:r>
      <w:r w:rsidR="0047269F">
        <w:rPr>
          <w:b/>
          <w:bCs/>
          <w:lang w:val="fr-FR"/>
        </w:rPr>
        <w:t>’</w:t>
      </w:r>
      <w:r w:rsidRPr="001C481F">
        <w:rPr>
          <w:b/>
          <w:bCs/>
          <w:lang w:val="fr-FR"/>
        </w:rPr>
        <w:t>accès des femmes et des filles à des services d</w:t>
      </w:r>
      <w:r w:rsidR="0047269F">
        <w:rPr>
          <w:b/>
          <w:bCs/>
          <w:lang w:val="fr-FR"/>
        </w:rPr>
        <w:t>’</w:t>
      </w:r>
      <w:r w:rsidRPr="001C481F">
        <w:rPr>
          <w:b/>
          <w:bCs/>
          <w:lang w:val="fr-FR"/>
        </w:rPr>
        <w:t>avortement sans risque.</w:t>
      </w:r>
      <w:r w:rsidRPr="001C481F">
        <w:rPr>
          <w:lang w:val="fr-FR"/>
        </w:rPr>
        <w:t xml:space="preserve"> </w:t>
      </w:r>
    </w:p>
    <w:p w14:paraId="6A9C7FDD" w14:textId="65EF7C68" w:rsidR="00BE7934" w:rsidRPr="00BE7934" w:rsidRDefault="00BE7934" w:rsidP="00BE7934">
      <w:pPr>
        <w:pStyle w:val="SingleTxt"/>
        <w:spacing w:after="0" w:line="120" w:lineRule="exact"/>
        <w:rPr>
          <w:sz w:val="10"/>
          <w:lang w:val="fr-FR"/>
        </w:rPr>
      </w:pPr>
    </w:p>
    <w:p w14:paraId="2AE1D587" w14:textId="77777777" w:rsidR="001C481F" w:rsidRPr="001C481F" w:rsidRDefault="001C481F" w:rsidP="00BE79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481F">
        <w:rPr>
          <w:lang w:val="fr-FR"/>
        </w:rPr>
        <w:tab/>
      </w:r>
      <w:r w:rsidRPr="001C481F">
        <w:rPr>
          <w:lang w:val="fr-FR"/>
        </w:rPr>
        <w:tab/>
        <w:t>Autonomisation économique des femmes</w:t>
      </w:r>
    </w:p>
    <w:p w14:paraId="5A81FD0F" w14:textId="79FC48BD" w:rsidR="00BE7934" w:rsidRPr="00BE7934" w:rsidRDefault="00BE7934" w:rsidP="00BE7934">
      <w:pPr>
        <w:pStyle w:val="SingleTxt"/>
        <w:spacing w:after="0" w:line="120" w:lineRule="exact"/>
        <w:rPr>
          <w:sz w:val="10"/>
          <w:lang w:val="fr-FR"/>
        </w:rPr>
      </w:pPr>
    </w:p>
    <w:p w14:paraId="34C97655" w14:textId="214F570D" w:rsidR="001C481F" w:rsidRPr="001C481F" w:rsidRDefault="001C481F" w:rsidP="00D55120">
      <w:pPr>
        <w:pStyle w:val="SingleTxt"/>
        <w:numPr>
          <w:ilvl w:val="0"/>
          <w:numId w:val="19"/>
        </w:numPr>
        <w:spacing w:line="240" w:lineRule="exact"/>
        <w:rPr>
          <w:lang w:val="fr-FR"/>
        </w:rPr>
      </w:pPr>
      <w:r w:rsidRPr="001C481F">
        <w:rPr>
          <w:lang w:val="fr-FR"/>
        </w:rPr>
        <w:t>Le Comité salue les efforts déployés par l</w:t>
      </w:r>
      <w:r w:rsidR="0047269F">
        <w:rPr>
          <w:lang w:val="fr-FR"/>
        </w:rPr>
        <w:t>’</w:t>
      </w:r>
      <w:r w:rsidRPr="001C481F">
        <w:rPr>
          <w:lang w:val="fr-FR"/>
        </w:rPr>
        <w:t>État partie pour rendre les femmes plus autonomes économiquement et améliorer leur protection sociale, et se félicite que l</w:t>
      </w:r>
      <w:r w:rsidR="0047269F">
        <w:rPr>
          <w:lang w:val="fr-FR"/>
        </w:rPr>
        <w:t>’</w:t>
      </w:r>
      <w:r w:rsidRPr="001C481F">
        <w:rPr>
          <w:lang w:val="fr-FR"/>
        </w:rPr>
        <w:t>État partie ait adopté en 2015 une stratégie de transition des objectifs du Millénaire pour le développement aux objectifs de développement durable. Il est néanmoins préoccupé par ce qui suit :</w:t>
      </w:r>
    </w:p>
    <w:p w14:paraId="2FCD7000" w14:textId="330218D4" w:rsidR="001C481F" w:rsidRPr="001C481F" w:rsidRDefault="001C481F" w:rsidP="001C481F">
      <w:pPr>
        <w:pStyle w:val="SingleTxt"/>
        <w:rPr>
          <w:lang w:val="fr-FR"/>
        </w:rPr>
      </w:pPr>
      <w:r w:rsidRPr="001C481F">
        <w:rPr>
          <w:lang w:val="fr-FR"/>
        </w:rPr>
        <w:tab/>
        <w:t>a)</w:t>
      </w:r>
      <w:r w:rsidRPr="001C481F">
        <w:rPr>
          <w:lang w:val="fr-FR"/>
        </w:rPr>
        <w:tab/>
        <w:t>Le manque d</w:t>
      </w:r>
      <w:r w:rsidR="0047269F">
        <w:rPr>
          <w:lang w:val="fr-FR"/>
        </w:rPr>
        <w:t>’</w:t>
      </w:r>
      <w:r w:rsidRPr="001C481F">
        <w:rPr>
          <w:lang w:val="fr-FR"/>
        </w:rPr>
        <w:t>information au sujet des prêts et des mécanismes de financement mis à la disposition des femmes et des filles ou au sujet des formations destinées à développer leur esprit d</w:t>
      </w:r>
      <w:r w:rsidR="0047269F">
        <w:rPr>
          <w:lang w:val="fr-FR"/>
        </w:rPr>
        <w:t>’</w:t>
      </w:r>
      <w:r w:rsidRPr="001C481F">
        <w:rPr>
          <w:lang w:val="fr-FR"/>
        </w:rPr>
        <w:t>entreprise et leur maîtrise des technologies numériques</w:t>
      </w:r>
      <w:r w:rsidR="0047269F">
        <w:rPr>
          <w:lang w:val="fr-FR"/>
        </w:rPr>
        <w:t> ;</w:t>
      </w:r>
    </w:p>
    <w:p w14:paraId="774E70A9" w14:textId="5B05EC90" w:rsidR="001C481F" w:rsidRPr="001C481F" w:rsidRDefault="001C481F" w:rsidP="001C481F">
      <w:pPr>
        <w:pStyle w:val="SingleTxt"/>
        <w:rPr>
          <w:lang w:val="fr-FR"/>
        </w:rPr>
      </w:pPr>
      <w:r w:rsidRPr="001C481F">
        <w:rPr>
          <w:lang w:val="fr-FR"/>
        </w:rPr>
        <w:tab/>
        <w:t>b)</w:t>
      </w:r>
      <w:r w:rsidRPr="001C481F">
        <w:rPr>
          <w:lang w:val="fr-FR"/>
        </w:rPr>
        <w:tab/>
        <w:t>L</w:t>
      </w:r>
      <w:r w:rsidR="0047269F">
        <w:rPr>
          <w:lang w:val="fr-FR"/>
        </w:rPr>
        <w:t>’</w:t>
      </w:r>
      <w:r w:rsidRPr="001C481F">
        <w:rPr>
          <w:lang w:val="fr-FR"/>
        </w:rPr>
        <w:t>absence d</w:t>
      </w:r>
      <w:r w:rsidR="0047269F">
        <w:rPr>
          <w:lang w:val="fr-FR"/>
        </w:rPr>
        <w:t>’</w:t>
      </w:r>
      <w:r w:rsidRPr="001C481F">
        <w:rPr>
          <w:lang w:val="fr-FR"/>
        </w:rPr>
        <w:t>informations relatives aux mesures prises par l</w:t>
      </w:r>
      <w:r w:rsidR="0047269F">
        <w:rPr>
          <w:lang w:val="fr-FR"/>
        </w:rPr>
        <w:t>’</w:t>
      </w:r>
      <w:r w:rsidRPr="001C481F">
        <w:rPr>
          <w:lang w:val="fr-FR"/>
        </w:rPr>
        <w:t>État partie pour atteindre les objectifs de développement durable tout en veillant à ce que les femmes participent aux activités menées dans cette optique.</w:t>
      </w:r>
    </w:p>
    <w:p w14:paraId="1744FA3C" w14:textId="00EA07E4" w:rsidR="001C481F" w:rsidRPr="001C481F" w:rsidRDefault="001C481F" w:rsidP="00D55120">
      <w:pPr>
        <w:pStyle w:val="SingleTxt"/>
        <w:numPr>
          <w:ilvl w:val="0"/>
          <w:numId w:val="19"/>
        </w:numPr>
        <w:spacing w:line="240" w:lineRule="exact"/>
        <w:rPr>
          <w:b/>
          <w:lang w:val="fr-FR"/>
        </w:rPr>
      </w:pPr>
      <w:r w:rsidRPr="001C481F">
        <w:rPr>
          <w:b/>
          <w:bCs/>
          <w:lang w:val="fr-FR"/>
        </w:rPr>
        <w:t>Le Comité recommande que l</w:t>
      </w:r>
      <w:r w:rsidR="0047269F">
        <w:rPr>
          <w:b/>
          <w:bCs/>
          <w:lang w:val="fr-FR"/>
        </w:rPr>
        <w:t>’</w:t>
      </w:r>
      <w:r w:rsidRPr="001C481F">
        <w:rPr>
          <w:b/>
          <w:bCs/>
          <w:lang w:val="fr-FR"/>
        </w:rPr>
        <w:t>État partie :</w:t>
      </w:r>
    </w:p>
    <w:p w14:paraId="4C408692" w14:textId="18F1EFB8" w:rsidR="001C481F" w:rsidRPr="001C481F" w:rsidRDefault="001C481F" w:rsidP="001C481F">
      <w:pPr>
        <w:pStyle w:val="SingleTxt"/>
        <w:rPr>
          <w:b/>
          <w:lang w:val="fr-FR"/>
        </w:rPr>
      </w:pPr>
      <w:r w:rsidRPr="001C481F">
        <w:rPr>
          <w:lang w:val="fr-FR"/>
        </w:rPr>
        <w:tab/>
      </w:r>
      <w:r w:rsidRPr="001C481F">
        <w:rPr>
          <w:b/>
          <w:bCs/>
          <w:lang w:val="fr-FR"/>
        </w:rPr>
        <w:t>a)</w:t>
      </w:r>
      <w:r w:rsidRPr="001C481F">
        <w:rPr>
          <w:lang w:val="fr-FR"/>
        </w:rPr>
        <w:tab/>
      </w:r>
      <w:r w:rsidRPr="001C481F">
        <w:rPr>
          <w:b/>
          <w:bCs/>
          <w:lang w:val="fr-FR"/>
        </w:rPr>
        <w:t xml:space="preserve">Présente, dans son </w:t>
      </w:r>
      <w:r w:rsidR="00156C3D">
        <w:rPr>
          <w:b/>
          <w:bCs/>
          <w:lang w:val="fr-FR"/>
        </w:rPr>
        <w:t>septième</w:t>
      </w:r>
      <w:r w:rsidR="00156C3D" w:rsidRPr="001C481F">
        <w:rPr>
          <w:b/>
          <w:bCs/>
          <w:lang w:val="fr-FR"/>
        </w:rPr>
        <w:t xml:space="preserve"> </w:t>
      </w:r>
      <w:r w:rsidRPr="001C481F">
        <w:rPr>
          <w:b/>
          <w:bCs/>
          <w:lang w:val="fr-FR"/>
        </w:rPr>
        <w:t>rapport périodique, des informations détaillées sur les modalités de l</w:t>
      </w:r>
      <w:r w:rsidR="0047269F">
        <w:rPr>
          <w:b/>
          <w:bCs/>
          <w:lang w:val="fr-FR"/>
        </w:rPr>
        <w:t>’</w:t>
      </w:r>
      <w:r w:rsidRPr="001C481F">
        <w:rPr>
          <w:b/>
          <w:bCs/>
          <w:lang w:val="fr-FR"/>
        </w:rPr>
        <w:t>accès des femmes aux prêts et autres mécanismes de financement existants et sur l</w:t>
      </w:r>
      <w:r w:rsidR="0047269F">
        <w:rPr>
          <w:b/>
          <w:bCs/>
          <w:lang w:val="fr-FR"/>
        </w:rPr>
        <w:t>’</w:t>
      </w:r>
      <w:r w:rsidRPr="001C481F">
        <w:rPr>
          <w:b/>
          <w:bCs/>
          <w:lang w:val="fr-FR"/>
        </w:rPr>
        <w:t>action menée en vue de renforcer l</w:t>
      </w:r>
      <w:r w:rsidR="0047269F">
        <w:rPr>
          <w:b/>
          <w:bCs/>
          <w:lang w:val="fr-FR"/>
        </w:rPr>
        <w:t>’</w:t>
      </w:r>
      <w:r w:rsidRPr="001C481F">
        <w:rPr>
          <w:b/>
          <w:bCs/>
          <w:lang w:val="fr-FR"/>
        </w:rPr>
        <w:t>esprit d</w:t>
      </w:r>
      <w:r w:rsidR="0047269F">
        <w:rPr>
          <w:b/>
          <w:bCs/>
          <w:lang w:val="fr-FR"/>
        </w:rPr>
        <w:t>’</w:t>
      </w:r>
      <w:r w:rsidRPr="001C481F">
        <w:rPr>
          <w:b/>
          <w:bCs/>
          <w:lang w:val="fr-FR"/>
        </w:rPr>
        <w:t>entreprise et la maîtrise des technologies numériques parmi les femmes et les filles</w:t>
      </w:r>
      <w:r w:rsidR="009414AA">
        <w:rPr>
          <w:b/>
          <w:bCs/>
          <w:lang w:val="fr-FR"/>
        </w:rPr>
        <w:t> </w:t>
      </w:r>
      <w:r w:rsidR="0047269F">
        <w:rPr>
          <w:b/>
          <w:bCs/>
          <w:lang w:val="fr-FR"/>
        </w:rPr>
        <w:t>;</w:t>
      </w:r>
    </w:p>
    <w:p w14:paraId="62776069" w14:textId="1D4AEEF2" w:rsidR="001C481F" w:rsidRDefault="001C481F" w:rsidP="001C481F">
      <w:pPr>
        <w:pStyle w:val="SingleTxt"/>
        <w:rPr>
          <w:b/>
          <w:bCs/>
          <w:lang w:val="fr-FR"/>
        </w:rPr>
      </w:pPr>
      <w:r w:rsidRPr="001C481F">
        <w:rPr>
          <w:lang w:val="fr-FR"/>
        </w:rPr>
        <w:tab/>
      </w:r>
      <w:r w:rsidRPr="001C481F">
        <w:rPr>
          <w:b/>
          <w:bCs/>
          <w:lang w:val="fr-FR"/>
        </w:rPr>
        <w:t>b)</w:t>
      </w:r>
      <w:r w:rsidRPr="001C481F">
        <w:rPr>
          <w:lang w:val="fr-FR"/>
        </w:rPr>
        <w:tab/>
      </w:r>
      <w:r w:rsidRPr="001C481F">
        <w:rPr>
          <w:b/>
          <w:bCs/>
          <w:lang w:val="fr-FR"/>
        </w:rPr>
        <w:t xml:space="preserve">Veille à ce que les femmes participent aux activités menées au titre des </w:t>
      </w:r>
      <w:r w:rsidR="003C632A">
        <w:rPr>
          <w:b/>
          <w:bCs/>
          <w:lang w:val="fr-FR"/>
        </w:rPr>
        <w:t>objectifs de développement durable</w:t>
      </w:r>
      <w:r w:rsidRPr="001C481F">
        <w:rPr>
          <w:b/>
          <w:bCs/>
          <w:lang w:val="fr-FR"/>
        </w:rPr>
        <w:t>.</w:t>
      </w:r>
    </w:p>
    <w:p w14:paraId="61CAC4F3" w14:textId="1E451152" w:rsidR="00BE7934" w:rsidRPr="00BE7934" w:rsidRDefault="00BE7934" w:rsidP="00BE7934">
      <w:pPr>
        <w:pStyle w:val="SingleTxt"/>
        <w:spacing w:after="0" w:line="120" w:lineRule="exact"/>
        <w:rPr>
          <w:b/>
          <w:bCs/>
          <w:sz w:val="10"/>
          <w:lang w:val="fr-FR"/>
        </w:rPr>
      </w:pPr>
    </w:p>
    <w:p w14:paraId="18BA8007" w14:textId="1EC84BF0" w:rsidR="001C481F" w:rsidRDefault="001C481F" w:rsidP="00BE79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481F">
        <w:rPr>
          <w:lang w:val="fr-FR"/>
        </w:rPr>
        <w:tab/>
      </w:r>
      <w:r w:rsidRPr="001C481F">
        <w:rPr>
          <w:lang w:val="fr-FR"/>
        </w:rPr>
        <w:tab/>
        <w:t>Groupes de femmes défavorisés</w:t>
      </w:r>
    </w:p>
    <w:p w14:paraId="051609BD" w14:textId="3441D4EC" w:rsidR="00BE7934" w:rsidRPr="00BE7934" w:rsidRDefault="00BE7934" w:rsidP="00BE7934">
      <w:pPr>
        <w:pStyle w:val="SingleTxt"/>
        <w:spacing w:after="0" w:line="120" w:lineRule="exact"/>
        <w:rPr>
          <w:b/>
          <w:sz w:val="10"/>
          <w:lang w:val="fr-FR"/>
        </w:rPr>
      </w:pPr>
    </w:p>
    <w:p w14:paraId="45CE44E4" w14:textId="1FFA8E72" w:rsidR="001C481F" w:rsidRDefault="001C481F" w:rsidP="00BE793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481F">
        <w:rPr>
          <w:lang w:val="fr-FR"/>
        </w:rPr>
        <w:tab/>
      </w:r>
      <w:r w:rsidRPr="001C481F">
        <w:rPr>
          <w:lang w:val="fr-FR"/>
        </w:rPr>
        <w:tab/>
        <w:t>Femmes et filles réfugiées et demandeuses d</w:t>
      </w:r>
      <w:r w:rsidR="0047269F">
        <w:rPr>
          <w:lang w:val="fr-FR"/>
        </w:rPr>
        <w:t>’</w:t>
      </w:r>
      <w:r w:rsidRPr="001C481F">
        <w:rPr>
          <w:lang w:val="fr-FR"/>
        </w:rPr>
        <w:t>asile</w:t>
      </w:r>
    </w:p>
    <w:p w14:paraId="6AB9FD82" w14:textId="302FE2D6" w:rsidR="00BE7934" w:rsidRPr="00BE7934" w:rsidRDefault="00BE7934" w:rsidP="00BE7934">
      <w:pPr>
        <w:pStyle w:val="SingleTxt"/>
        <w:spacing w:after="0" w:line="120" w:lineRule="exact"/>
        <w:rPr>
          <w:sz w:val="10"/>
          <w:lang w:val="fr-FR"/>
        </w:rPr>
      </w:pPr>
    </w:p>
    <w:p w14:paraId="1535A916" w14:textId="662A9C49" w:rsidR="001C481F" w:rsidRPr="001C481F" w:rsidRDefault="001C481F" w:rsidP="00D55120">
      <w:pPr>
        <w:pStyle w:val="SingleTxt"/>
        <w:numPr>
          <w:ilvl w:val="0"/>
          <w:numId w:val="20"/>
        </w:numPr>
        <w:spacing w:line="240" w:lineRule="exact"/>
        <w:rPr>
          <w:lang w:val="fr-FR"/>
        </w:rPr>
      </w:pPr>
      <w:r w:rsidRPr="001C481F">
        <w:rPr>
          <w:lang w:val="fr-FR"/>
        </w:rPr>
        <w:t>Le Comité se félicite que le Ministère de la santé ait ouvert en janvier 2013 un centre de consultation dans le sud de Tel-Aviv-Jaffa pour les résidents étrangers non couverts par le système national d</w:t>
      </w:r>
      <w:r w:rsidR="0047269F">
        <w:rPr>
          <w:lang w:val="fr-FR"/>
        </w:rPr>
        <w:t>’</w:t>
      </w:r>
      <w:r w:rsidRPr="001C481F">
        <w:rPr>
          <w:lang w:val="fr-FR"/>
        </w:rPr>
        <w:t>assurance maladie. Cependant, il note avec préoccupation que les demandeuses d</w:t>
      </w:r>
      <w:r w:rsidR="0047269F">
        <w:rPr>
          <w:lang w:val="fr-FR"/>
        </w:rPr>
        <w:t>’</w:t>
      </w:r>
      <w:r w:rsidRPr="001C481F">
        <w:rPr>
          <w:lang w:val="fr-FR"/>
        </w:rPr>
        <w:t>asile continuent de vivre dans l</w:t>
      </w:r>
      <w:r w:rsidR="0047269F">
        <w:rPr>
          <w:lang w:val="fr-FR"/>
        </w:rPr>
        <w:t>’</w:t>
      </w:r>
      <w:r w:rsidRPr="001C481F">
        <w:rPr>
          <w:lang w:val="fr-FR"/>
        </w:rPr>
        <w:t>incertitude du fait que l</w:t>
      </w:r>
      <w:r w:rsidR="0047269F">
        <w:rPr>
          <w:lang w:val="fr-FR"/>
        </w:rPr>
        <w:t>’</w:t>
      </w:r>
      <w:r w:rsidRPr="001C481F">
        <w:rPr>
          <w:lang w:val="fr-FR"/>
        </w:rPr>
        <w:t>État partie ne répond favorablement qu</w:t>
      </w:r>
      <w:r w:rsidR="0047269F">
        <w:rPr>
          <w:lang w:val="fr-FR"/>
        </w:rPr>
        <w:t>’</w:t>
      </w:r>
      <w:r w:rsidRPr="001C481F">
        <w:rPr>
          <w:lang w:val="fr-FR"/>
        </w:rPr>
        <w:t>à un petit nombre de demandes, ce qui entrave fortement leur accès à l</w:t>
      </w:r>
      <w:r w:rsidR="0047269F">
        <w:rPr>
          <w:lang w:val="fr-FR"/>
        </w:rPr>
        <w:t>’</w:t>
      </w:r>
      <w:r w:rsidRPr="001C481F">
        <w:rPr>
          <w:lang w:val="fr-FR"/>
        </w:rPr>
        <w:t>éducation, à l</w:t>
      </w:r>
      <w:r w:rsidR="0047269F">
        <w:rPr>
          <w:lang w:val="fr-FR"/>
        </w:rPr>
        <w:t>’</w:t>
      </w:r>
      <w:r w:rsidRPr="001C481F">
        <w:rPr>
          <w:lang w:val="fr-FR"/>
        </w:rPr>
        <w:t xml:space="preserve">emploi, aux soins de santé et à la justice. </w:t>
      </w:r>
    </w:p>
    <w:p w14:paraId="46A464B1" w14:textId="43E93315" w:rsidR="001C481F" w:rsidRPr="00BE7934" w:rsidRDefault="001C481F" w:rsidP="00D55120">
      <w:pPr>
        <w:pStyle w:val="SingleTxt"/>
        <w:numPr>
          <w:ilvl w:val="0"/>
          <w:numId w:val="20"/>
        </w:numPr>
        <w:spacing w:line="240" w:lineRule="exact"/>
        <w:rPr>
          <w:b/>
          <w:lang w:val="fr-FR"/>
        </w:rPr>
      </w:pPr>
      <w:r w:rsidRPr="001C481F">
        <w:rPr>
          <w:b/>
          <w:bCs/>
          <w:lang w:val="fr-FR"/>
        </w:rPr>
        <w:t>Le Comit</w:t>
      </w:r>
      <w:r w:rsidR="006E43D9">
        <w:rPr>
          <w:b/>
          <w:bCs/>
          <w:lang w:val="fr-FR"/>
        </w:rPr>
        <w:t>é,</w:t>
      </w:r>
      <w:r w:rsidRPr="001C481F">
        <w:rPr>
          <w:b/>
          <w:bCs/>
          <w:lang w:val="fr-FR"/>
        </w:rPr>
        <w:t xml:space="preserve"> </w:t>
      </w:r>
      <w:r w:rsidR="006E43D9" w:rsidRPr="001C481F">
        <w:rPr>
          <w:b/>
          <w:bCs/>
          <w:lang w:val="fr-FR"/>
        </w:rPr>
        <w:t>réit</w:t>
      </w:r>
      <w:r w:rsidR="006E43D9">
        <w:rPr>
          <w:b/>
          <w:bCs/>
          <w:lang w:val="fr-FR"/>
        </w:rPr>
        <w:t>érant</w:t>
      </w:r>
      <w:r w:rsidR="006E43D9" w:rsidRPr="001C481F">
        <w:rPr>
          <w:b/>
          <w:bCs/>
          <w:lang w:val="fr-FR"/>
        </w:rPr>
        <w:t xml:space="preserve"> </w:t>
      </w:r>
      <w:r w:rsidRPr="001C481F">
        <w:rPr>
          <w:b/>
          <w:bCs/>
          <w:lang w:val="fr-FR"/>
        </w:rPr>
        <w:t>sa recommandation précédente (</w:t>
      </w:r>
      <w:hyperlink r:id="rId40" w:history="1">
        <w:r w:rsidRPr="00483725">
          <w:rPr>
            <w:rStyle w:val="Hyperlink"/>
            <w:b/>
            <w:bCs/>
            <w:color w:val="0000FF"/>
            <w:lang w:val="fr-FR"/>
          </w:rPr>
          <w:t>CEDAW/C/ISR/CO/5</w:t>
        </w:r>
      </w:hyperlink>
      <w:r w:rsidRPr="001C481F">
        <w:rPr>
          <w:b/>
          <w:bCs/>
          <w:lang w:val="fr-FR"/>
        </w:rPr>
        <w:t>, par. 47)</w:t>
      </w:r>
      <w:r w:rsidR="00ED49E8">
        <w:rPr>
          <w:b/>
          <w:bCs/>
          <w:lang w:val="fr-FR"/>
        </w:rPr>
        <w:t>,</w:t>
      </w:r>
      <w:r w:rsidRPr="001C481F">
        <w:rPr>
          <w:b/>
          <w:bCs/>
          <w:lang w:val="fr-FR"/>
        </w:rPr>
        <w:t xml:space="preserve"> invite l</w:t>
      </w:r>
      <w:r w:rsidR="0047269F">
        <w:rPr>
          <w:b/>
          <w:bCs/>
          <w:lang w:val="fr-FR"/>
        </w:rPr>
        <w:t>’</w:t>
      </w:r>
      <w:r w:rsidRPr="001C481F">
        <w:rPr>
          <w:b/>
          <w:bCs/>
          <w:lang w:val="fr-FR"/>
        </w:rPr>
        <w:t xml:space="preserve">État partie à abroger les dispositions </w:t>
      </w:r>
      <w:r w:rsidR="002B6C59">
        <w:rPr>
          <w:b/>
          <w:bCs/>
          <w:lang w:val="fr-FR"/>
        </w:rPr>
        <w:t xml:space="preserve">correspondantes </w:t>
      </w:r>
      <w:r w:rsidRPr="001C481F">
        <w:rPr>
          <w:b/>
          <w:bCs/>
          <w:lang w:val="fr-FR"/>
        </w:rPr>
        <w:t>de la loi relative à la prévention de l</w:t>
      </w:r>
      <w:r w:rsidR="0047269F">
        <w:rPr>
          <w:b/>
          <w:bCs/>
          <w:lang w:val="fr-FR"/>
        </w:rPr>
        <w:t>’</w:t>
      </w:r>
      <w:r w:rsidRPr="001C481F">
        <w:rPr>
          <w:b/>
          <w:bCs/>
          <w:lang w:val="fr-FR"/>
        </w:rPr>
        <w:t>infiltration</w:t>
      </w:r>
      <w:r w:rsidR="004071F8">
        <w:rPr>
          <w:b/>
          <w:bCs/>
          <w:lang w:val="fr-FR"/>
        </w:rPr>
        <w:t xml:space="preserve"> (infractions et </w:t>
      </w:r>
      <w:r w:rsidR="00BA1D31">
        <w:rPr>
          <w:b/>
          <w:bCs/>
          <w:lang w:val="fr-FR"/>
        </w:rPr>
        <w:t>juridiction</w:t>
      </w:r>
      <w:r w:rsidR="004071F8">
        <w:rPr>
          <w:b/>
          <w:bCs/>
          <w:lang w:val="fr-FR"/>
        </w:rPr>
        <w:t>)</w:t>
      </w:r>
      <w:r w:rsidRPr="001C481F">
        <w:rPr>
          <w:b/>
          <w:bCs/>
          <w:lang w:val="fr-FR"/>
        </w:rPr>
        <w:t>, afin de faciliter l</w:t>
      </w:r>
      <w:r w:rsidR="0047269F">
        <w:rPr>
          <w:b/>
          <w:bCs/>
          <w:lang w:val="fr-FR"/>
        </w:rPr>
        <w:t>’</w:t>
      </w:r>
      <w:r w:rsidRPr="001C481F">
        <w:rPr>
          <w:b/>
          <w:bCs/>
          <w:lang w:val="fr-FR"/>
        </w:rPr>
        <w:t>examen des demandes d</w:t>
      </w:r>
      <w:r w:rsidR="0047269F">
        <w:rPr>
          <w:b/>
          <w:bCs/>
          <w:lang w:val="fr-FR"/>
        </w:rPr>
        <w:t>’</w:t>
      </w:r>
      <w:r w:rsidRPr="001C481F">
        <w:rPr>
          <w:b/>
          <w:bCs/>
          <w:lang w:val="fr-FR"/>
        </w:rPr>
        <w:t>asile émanant de femmes et l</w:t>
      </w:r>
      <w:r w:rsidR="0047269F">
        <w:rPr>
          <w:b/>
          <w:bCs/>
          <w:lang w:val="fr-FR"/>
        </w:rPr>
        <w:t>’</w:t>
      </w:r>
      <w:r w:rsidRPr="001C481F">
        <w:rPr>
          <w:b/>
          <w:bCs/>
          <w:lang w:val="fr-FR"/>
        </w:rPr>
        <w:t>accès de celles-ci aux services essentiels.</w:t>
      </w:r>
    </w:p>
    <w:p w14:paraId="3735A7D9" w14:textId="26612301" w:rsidR="00BE7934" w:rsidRPr="00BE7934" w:rsidRDefault="00BE7934" w:rsidP="00BE7934">
      <w:pPr>
        <w:pStyle w:val="SingleTxt"/>
        <w:spacing w:after="0" w:line="120" w:lineRule="exact"/>
        <w:rPr>
          <w:b/>
          <w:bCs/>
          <w:sz w:val="10"/>
          <w:lang w:val="fr-FR"/>
        </w:rPr>
      </w:pPr>
    </w:p>
    <w:p w14:paraId="2BB7C0E1" w14:textId="4D3AD313" w:rsidR="001C481F" w:rsidRDefault="001C481F" w:rsidP="00BE793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481F">
        <w:rPr>
          <w:lang w:val="fr-FR"/>
        </w:rPr>
        <w:tab/>
      </w:r>
      <w:r w:rsidRPr="001C481F">
        <w:rPr>
          <w:lang w:val="fr-FR"/>
        </w:rPr>
        <w:tab/>
        <w:t>Femmes en détention</w:t>
      </w:r>
    </w:p>
    <w:p w14:paraId="64C04B47" w14:textId="2387F9C9" w:rsidR="00BE7934" w:rsidRPr="00BE7934" w:rsidRDefault="00BE7934" w:rsidP="00BE7934">
      <w:pPr>
        <w:pStyle w:val="SingleTxt"/>
        <w:spacing w:after="0" w:line="120" w:lineRule="exact"/>
        <w:rPr>
          <w:sz w:val="10"/>
          <w:lang w:val="fr-FR"/>
        </w:rPr>
      </w:pPr>
    </w:p>
    <w:p w14:paraId="436F44C4" w14:textId="5209B793" w:rsidR="001C481F" w:rsidRPr="001C481F" w:rsidRDefault="001C481F" w:rsidP="00D55120">
      <w:pPr>
        <w:pStyle w:val="SingleTxt"/>
        <w:numPr>
          <w:ilvl w:val="0"/>
          <w:numId w:val="21"/>
        </w:numPr>
        <w:spacing w:line="240" w:lineRule="exact"/>
        <w:rPr>
          <w:lang w:val="fr-FR"/>
        </w:rPr>
      </w:pPr>
      <w:r w:rsidRPr="001C481F">
        <w:rPr>
          <w:lang w:val="fr-FR"/>
        </w:rPr>
        <w:t>Le Comité exprime de nouveau son inquiétude devant le nombre grandissant de femmes et de filles palestiniennes placées en internement administratif et transférées de force depuis le Territoire palestinien occupée vers des lieux de détention situés en Israël, et au vu des informations selon lesquelles leur accès à la justice et aux soins de santé est limité.</w:t>
      </w:r>
    </w:p>
    <w:p w14:paraId="1EADE28E" w14:textId="7F2A2F85" w:rsidR="001C481F" w:rsidRPr="00A35D02" w:rsidRDefault="001C481F" w:rsidP="00D55120">
      <w:pPr>
        <w:pStyle w:val="SingleTxt"/>
        <w:numPr>
          <w:ilvl w:val="0"/>
          <w:numId w:val="21"/>
        </w:numPr>
        <w:spacing w:line="240" w:lineRule="exact"/>
        <w:rPr>
          <w:b/>
          <w:bCs/>
          <w:lang w:val="fr-FR"/>
        </w:rPr>
      </w:pPr>
      <w:r w:rsidRPr="001C481F">
        <w:rPr>
          <w:b/>
          <w:bCs/>
          <w:lang w:val="fr-FR"/>
        </w:rPr>
        <w:t>Conformément aux Règles des Nations Unies concernant le traitement des détenues et l</w:t>
      </w:r>
      <w:r w:rsidR="0047269F">
        <w:rPr>
          <w:b/>
          <w:bCs/>
          <w:lang w:val="fr-FR"/>
        </w:rPr>
        <w:t>’</w:t>
      </w:r>
      <w:r w:rsidRPr="001C481F">
        <w:rPr>
          <w:b/>
          <w:bCs/>
          <w:lang w:val="fr-FR"/>
        </w:rPr>
        <w:t>imposition de mesures non privatives de liberté aux délinquantes (Règles de Bangkok), le Comité recommande que l</w:t>
      </w:r>
      <w:r w:rsidR="0047269F">
        <w:rPr>
          <w:b/>
          <w:bCs/>
          <w:lang w:val="fr-FR"/>
        </w:rPr>
        <w:t>’</w:t>
      </w:r>
      <w:r w:rsidRPr="001C481F">
        <w:rPr>
          <w:b/>
          <w:bCs/>
          <w:lang w:val="fr-FR"/>
        </w:rPr>
        <w:t xml:space="preserve">État partie se penche sur la </w:t>
      </w:r>
      <w:r w:rsidRPr="001C481F">
        <w:rPr>
          <w:b/>
          <w:bCs/>
          <w:lang w:val="fr-FR"/>
        </w:rPr>
        <w:lastRenderedPageBreak/>
        <w:t>question de l</w:t>
      </w:r>
      <w:r w:rsidR="0047269F">
        <w:rPr>
          <w:b/>
          <w:bCs/>
          <w:lang w:val="fr-FR"/>
        </w:rPr>
        <w:t>’</w:t>
      </w:r>
      <w:r w:rsidRPr="001C481F">
        <w:rPr>
          <w:b/>
          <w:bCs/>
          <w:lang w:val="fr-FR"/>
        </w:rPr>
        <w:t>internement administratif prolongé en veillant à ce que les femmes et les filles palestiniennes placées en détention soient rapidement présentées à un juge.</w:t>
      </w:r>
      <w:r w:rsidRPr="001C481F">
        <w:rPr>
          <w:lang w:val="fr-FR"/>
        </w:rPr>
        <w:t xml:space="preserve"> </w:t>
      </w:r>
      <w:r w:rsidRPr="001C481F">
        <w:rPr>
          <w:b/>
          <w:bCs/>
          <w:lang w:val="fr-FR"/>
        </w:rPr>
        <w:t>Il recommande également que l</w:t>
      </w:r>
      <w:r w:rsidR="0047269F">
        <w:rPr>
          <w:b/>
          <w:bCs/>
          <w:lang w:val="fr-FR"/>
        </w:rPr>
        <w:t>’</w:t>
      </w:r>
      <w:r w:rsidRPr="001C481F">
        <w:rPr>
          <w:b/>
          <w:bCs/>
          <w:lang w:val="fr-FR"/>
        </w:rPr>
        <w:t>État partie améliore leurs conditions de détention et veille à ce que les détenues puissent avoir accès à la justice et à des services de santé.</w:t>
      </w:r>
      <w:r w:rsidRPr="001C481F">
        <w:rPr>
          <w:lang w:val="fr-FR"/>
        </w:rPr>
        <w:t xml:space="preserve"> </w:t>
      </w:r>
    </w:p>
    <w:p w14:paraId="518E599E" w14:textId="190FE0C7" w:rsidR="00A35D02" w:rsidRPr="00A35D02" w:rsidRDefault="00A35D02" w:rsidP="00A35D02">
      <w:pPr>
        <w:pStyle w:val="SingleTxt"/>
        <w:spacing w:after="0" w:line="120" w:lineRule="exact"/>
        <w:rPr>
          <w:sz w:val="10"/>
          <w:lang w:val="fr-FR"/>
        </w:rPr>
      </w:pPr>
    </w:p>
    <w:p w14:paraId="0FD922C7" w14:textId="77777777" w:rsidR="001C481F" w:rsidRPr="001C481F" w:rsidRDefault="001C481F" w:rsidP="00A35D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481F">
        <w:rPr>
          <w:lang w:val="fr-FR"/>
        </w:rPr>
        <w:tab/>
      </w:r>
      <w:r w:rsidRPr="001C481F">
        <w:rPr>
          <w:lang w:val="fr-FR"/>
        </w:rPr>
        <w:tab/>
        <w:t>Femmes rurales</w:t>
      </w:r>
    </w:p>
    <w:p w14:paraId="0D689DB4" w14:textId="03E6C8BE" w:rsidR="00A35D02" w:rsidRPr="00A35D02" w:rsidRDefault="00A35D02" w:rsidP="00A35D02">
      <w:pPr>
        <w:pStyle w:val="SingleTxt"/>
        <w:spacing w:after="0" w:line="120" w:lineRule="exact"/>
        <w:rPr>
          <w:i/>
          <w:sz w:val="10"/>
          <w:lang w:val="fr-FR"/>
        </w:rPr>
      </w:pPr>
    </w:p>
    <w:p w14:paraId="1817E0D2" w14:textId="21FD4C66" w:rsidR="001C481F" w:rsidRPr="001C481F" w:rsidRDefault="001C481F" w:rsidP="00A35D0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481F">
        <w:rPr>
          <w:lang w:val="fr-FR"/>
        </w:rPr>
        <w:tab/>
      </w:r>
      <w:r w:rsidRPr="001C481F">
        <w:rPr>
          <w:lang w:val="fr-FR"/>
        </w:rPr>
        <w:tab/>
        <w:t>Femmes bédouines</w:t>
      </w:r>
    </w:p>
    <w:p w14:paraId="00BCE41B" w14:textId="3D717C37" w:rsidR="00A35D02" w:rsidRPr="00A35D02" w:rsidRDefault="00A35D02" w:rsidP="00A35D02">
      <w:pPr>
        <w:pStyle w:val="SingleTxt"/>
        <w:spacing w:after="0" w:line="120" w:lineRule="exact"/>
        <w:rPr>
          <w:sz w:val="10"/>
          <w:lang w:val="fr-FR"/>
        </w:rPr>
      </w:pPr>
    </w:p>
    <w:p w14:paraId="6718986D" w14:textId="440C8B11" w:rsidR="001C481F" w:rsidRPr="001C481F" w:rsidRDefault="001C481F" w:rsidP="00D55120">
      <w:pPr>
        <w:pStyle w:val="SingleTxt"/>
        <w:numPr>
          <w:ilvl w:val="0"/>
          <w:numId w:val="22"/>
        </w:numPr>
        <w:spacing w:line="240" w:lineRule="exact"/>
        <w:rPr>
          <w:lang w:val="fr-FR"/>
        </w:rPr>
      </w:pPr>
      <w:r w:rsidRPr="001C481F">
        <w:rPr>
          <w:lang w:val="fr-FR"/>
        </w:rPr>
        <w:t>Le Comité note que, dans le cadre d</w:t>
      </w:r>
      <w:r w:rsidR="0047269F">
        <w:rPr>
          <w:lang w:val="fr-FR"/>
        </w:rPr>
        <w:t>’</w:t>
      </w:r>
      <w:r w:rsidRPr="001C481F">
        <w:rPr>
          <w:lang w:val="fr-FR"/>
        </w:rPr>
        <w:t>un projet, l</w:t>
      </w:r>
      <w:r w:rsidR="0047269F">
        <w:rPr>
          <w:lang w:val="fr-FR"/>
        </w:rPr>
        <w:t>’</w:t>
      </w:r>
      <w:r w:rsidRPr="001C481F">
        <w:rPr>
          <w:lang w:val="fr-FR"/>
        </w:rPr>
        <w:t>État partie a mis en place des « espaces sécurisés » pour les adolescentes bédouines en détresse afin d</w:t>
      </w:r>
      <w:r w:rsidR="0047269F">
        <w:rPr>
          <w:lang w:val="fr-FR"/>
        </w:rPr>
        <w:t>’</w:t>
      </w:r>
      <w:r w:rsidRPr="001C481F">
        <w:rPr>
          <w:lang w:val="fr-FR"/>
        </w:rPr>
        <w:t>éviter qu</w:t>
      </w:r>
      <w:r w:rsidR="0047269F">
        <w:rPr>
          <w:lang w:val="fr-FR"/>
        </w:rPr>
        <w:t>’</w:t>
      </w:r>
      <w:r w:rsidRPr="001C481F">
        <w:rPr>
          <w:lang w:val="fr-FR"/>
        </w:rPr>
        <w:t>elles abandonnent leurs études et de les rendre plus autonomes économiquement. Il prend note de l</w:t>
      </w:r>
      <w:r w:rsidR="0047269F">
        <w:rPr>
          <w:lang w:val="fr-FR"/>
        </w:rPr>
        <w:t>’</w:t>
      </w:r>
      <w:r w:rsidRPr="001C481F">
        <w:rPr>
          <w:lang w:val="fr-FR"/>
        </w:rPr>
        <w:t>adoption, en février 2017, d</w:t>
      </w:r>
      <w:r w:rsidR="0047269F">
        <w:rPr>
          <w:lang w:val="fr-FR"/>
        </w:rPr>
        <w:t>’</w:t>
      </w:r>
      <w:r w:rsidRPr="001C481F">
        <w:rPr>
          <w:lang w:val="fr-FR"/>
        </w:rPr>
        <w:t>un plan quinquennal de développement des localités bédouines du Néguev, notamment axé sur l</w:t>
      </w:r>
      <w:r w:rsidR="0047269F">
        <w:rPr>
          <w:lang w:val="fr-FR"/>
        </w:rPr>
        <w:t>’</w:t>
      </w:r>
      <w:r w:rsidRPr="001C481F">
        <w:rPr>
          <w:lang w:val="fr-FR"/>
        </w:rPr>
        <w:t>amélioration des infrastructures dans le secteur de la santé et de l</w:t>
      </w:r>
      <w:r w:rsidR="0047269F">
        <w:rPr>
          <w:lang w:val="fr-FR"/>
        </w:rPr>
        <w:t>’</w:t>
      </w:r>
      <w:r w:rsidRPr="001C481F">
        <w:rPr>
          <w:lang w:val="fr-FR"/>
        </w:rPr>
        <w:t>éducation. Il est néanmoins préoccupé par les faits suivants :</w:t>
      </w:r>
    </w:p>
    <w:p w14:paraId="359C7A05" w14:textId="6F455A45" w:rsidR="001C481F" w:rsidRPr="001C481F" w:rsidRDefault="00A35D02" w:rsidP="001C481F">
      <w:pPr>
        <w:pStyle w:val="SingleTxt"/>
        <w:rPr>
          <w:lang w:val="fr-FR"/>
        </w:rPr>
      </w:pPr>
      <w:r>
        <w:rPr>
          <w:lang w:val="fr-FR"/>
        </w:rPr>
        <w:tab/>
      </w:r>
      <w:r w:rsidR="001C481F" w:rsidRPr="001C481F">
        <w:rPr>
          <w:lang w:val="fr-FR"/>
        </w:rPr>
        <w:t>a)</w:t>
      </w:r>
      <w:r w:rsidR="001C481F" w:rsidRPr="001C481F">
        <w:rPr>
          <w:lang w:val="fr-FR"/>
        </w:rPr>
        <w:tab/>
        <w:t xml:space="preserve">Le plan </w:t>
      </w:r>
      <w:r w:rsidR="00E60F13">
        <w:rPr>
          <w:lang w:val="fr-FR"/>
        </w:rPr>
        <w:t>quinquennal</w:t>
      </w:r>
      <w:r w:rsidR="001C481F" w:rsidRPr="001C481F">
        <w:rPr>
          <w:lang w:val="fr-FR"/>
        </w:rPr>
        <w:t xml:space="preserve"> va de pair avec une urbanisation, des expulsions et des déplacements sous la contrainte et l</w:t>
      </w:r>
      <w:r w:rsidR="0047269F">
        <w:rPr>
          <w:lang w:val="fr-FR"/>
        </w:rPr>
        <w:t>’</w:t>
      </w:r>
      <w:r w:rsidR="001C481F" w:rsidRPr="001C481F">
        <w:rPr>
          <w:lang w:val="fr-FR"/>
        </w:rPr>
        <w:t xml:space="preserve">État partie continue de </w:t>
      </w:r>
      <w:r w:rsidR="0018055A">
        <w:rPr>
          <w:lang w:val="fr-FR"/>
        </w:rPr>
        <w:t>démolir</w:t>
      </w:r>
      <w:r w:rsidR="001C481F" w:rsidRPr="001C481F">
        <w:rPr>
          <w:lang w:val="fr-FR"/>
        </w:rPr>
        <w:t xml:space="preserve"> de</w:t>
      </w:r>
      <w:r w:rsidR="0018055A">
        <w:rPr>
          <w:lang w:val="fr-FR"/>
        </w:rPr>
        <w:t>s</w:t>
      </w:r>
      <w:r w:rsidR="001C481F" w:rsidRPr="001C481F">
        <w:rPr>
          <w:lang w:val="fr-FR"/>
        </w:rPr>
        <w:t xml:space="preserve"> logements et d</w:t>
      </w:r>
      <w:r w:rsidR="0018055A">
        <w:rPr>
          <w:lang w:val="fr-FR"/>
        </w:rPr>
        <w:t xml:space="preserve">es </w:t>
      </w:r>
      <w:r w:rsidR="001C481F" w:rsidRPr="001C481F">
        <w:rPr>
          <w:lang w:val="fr-FR"/>
        </w:rPr>
        <w:t>écoles afin d</w:t>
      </w:r>
      <w:r w:rsidR="0047269F">
        <w:rPr>
          <w:lang w:val="fr-FR"/>
        </w:rPr>
        <w:t>’</w:t>
      </w:r>
      <w:r w:rsidR="001C481F" w:rsidRPr="001C481F">
        <w:rPr>
          <w:lang w:val="fr-FR"/>
        </w:rPr>
        <w:t>obliger les populations bédouines à se réinstaller ailleurs</w:t>
      </w:r>
      <w:r w:rsidR="0047269F">
        <w:rPr>
          <w:lang w:val="fr-FR"/>
        </w:rPr>
        <w:t> ;</w:t>
      </w:r>
    </w:p>
    <w:p w14:paraId="4F01E549" w14:textId="7C25A51A" w:rsidR="001C481F" w:rsidRPr="001C481F" w:rsidRDefault="00A35D02" w:rsidP="001C481F">
      <w:pPr>
        <w:pStyle w:val="SingleTxt"/>
        <w:rPr>
          <w:lang w:val="fr-FR"/>
        </w:rPr>
      </w:pPr>
      <w:r>
        <w:rPr>
          <w:lang w:val="fr-FR"/>
        </w:rPr>
        <w:tab/>
      </w:r>
      <w:r w:rsidR="001C481F" w:rsidRPr="001C481F">
        <w:rPr>
          <w:lang w:val="fr-FR"/>
        </w:rPr>
        <w:t>b)</w:t>
      </w:r>
      <w:r w:rsidR="001C481F" w:rsidRPr="001C481F">
        <w:rPr>
          <w:lang w:val="fr-FR"/>
        </w:rPr>
        <w:tab/>
        <w:t>L</w:t>
      </w:r>
      <w:r w:rsidR="0047269F">
        <w:rPr>
          <w:lang w:val="fr-FR"/>
        </w:rPr>
        <w:t>’</w:t>
      </w:r>
      <w:r w:rsidR="001C481F" w:rsidRPr="001C481F">
        <w:rPr>
          <w:lang w:val="fr-FR"/>
        </w:rPr>
        <w:t>absence d</w:t>
      </w:r>
      <w:r w:rsidR="0047269F">
        <w:rPr>
          <w:lang w:val="fr-FR"/>
        </w:rPr>
        <w:t>’</w:t>
      </w:r>
      <w:r w:rsidR="001C481F" w:rsidRPr="001C481F">
        <w:rPr>
          <w:lang w:val="fr-FR"/>
        </w:rPr>
        <w:t>informations concernant l</w:t>
      </w:r>
      <w:r w:rsidR="0047269F">
        <w:rPr>
          <w:lang w:val="fr-FR"/>
        </w:rPr>
        <w:t>’</w:t>
      </w:r>
      <w:r w:rsidR="001C481F" w:rsidRPr="001C481F">
        <w:rPr>
          <w:lang w:val="fr-FR"/>
        </w:rPr>
        <w:t>accès des femmes bédouines aux services sociaux et aux mécanismes de financement, ainsi qu</w:t>
      </w:r>
      <w:r w:rsidR="0047269F">
        <w:rPr>
          <w:lang w:val="fr-FR"/>
        </w:rPr>
        <w:t>’</w:t>
      </w:r>
      <w:r w:rsidR="001C481F" w:rsidRPr="001C481F">
        <w:rPr>
          <w:lang w:val="fr-FR"/>
        </w:rPr>
        <w:t>aux technologies modernes.</w:t>
      </w:r>
    </w:p>
    <w:p w14:paraId="16C608B3" w14:textId="7480463F" w:rsidR="001C481F" w:rsidRPr="001C481F" w:rsidRDefault="001C481F" w:rsidP="00D55120">
      <w:pPr>
        <w:pStyle w:val="SingleTxt"/>
        <w:numPr>
          <w:ilvl w:val="0"/>
          <w:numId w:val="22"/>
        </w:numPr>
        <w:spacing w:line="240" w:lineRule="exact"/>
        <w:rPr>
          <w:b/>
          <w:lang w:val="fr-FR"/>
        </w:rPr>
      </w:pPr>
      <w:r w:rsidRPr="001C481F">
        <w:rPr>
          <w:b/>
          <w:bCs/>
          <w:lang w:val="fr-FR"/>
        </w:rPr>
        <w:t>Le Comité</w:t>
      </w:r>
      <w:r w:rsidR="00B03CCD">
        <w:rPr>
          <w:b/>
          <w:bCs/>
          <w:lang w:val="fr-FR"/>
        </w:rPr>
        <w:t>,</w:t>
      </w:r>
      <w:r w:rsidRPr="001C481F">
        <w:rPr>
          <w:b/>
          <w:bCs/>
          <w:lang w:val="fr-FR"/>
        </w:rPr>
        <w:t xml:space="preserve"> rappel</w:t>
      </w:r>
      <w:r w:rsidR="00B03CCD">
        <w:rPr>
          <w:b/>
          <w:bCs/>
          <w:lang w:val="fr-FR"/>
        </w:rPr>
        <w:t>ant</w:t>
      </w:r>
      <w:r w:rsidRPr="001C481F">
        <w:rPr>
          <w:b/>
          <w:bCs/>
          <w:lang w:val="fr-FR"/>
        </w:rPr>
        <w:t xml:space="preserve"> sa précédente recommandation (</w:t>
      </w:r>
      <w:r w:rsidR="00443BF0" w:rsidRPr="00F6704E">
        <w:rPr>
          <w:lang w:val="fr-FR"/>
        </w:rPr>
        <w:t>i</w:t>
      </w:r>
      <w:r w:rsidR="00443BF0">
        <w:rPr>
          <w:lang w:val="fr-FR"/>
        </w:rPr>
        <w:t>bid.</w:t>
      </w:r>
      <w:r w:rsidRPr="001C481F">
        <w:rPr>
          <w:b/>
          <w:bCs/>
          <w:lang w:val="fr-FR"/>
        </w:rPr>
        <w:t>, par. 45)</w:t>
      </w:r>
      <w:r w:rsidR="008B5217">
        <w:rPr>
          <w:b/>
          <w:bCs/>
          <w:lang w:val="fr-FR"/>
        </w:rPr>
        <w:t>,</w:t>
      </w:r>
      <w:r w:rsidRPr="001C481F">
        <w:rPr>
          <w:b/>
          <w:bCs/>
          <w:lang w:val="fr-FR"/>
        </w:rPr>
        <w:t xml:space="preserve"> invite de nouveau l</w:t>
      </w:r>
      <w:r w:rsidR="0047269F">
        <w:rPr>
          <w:b/>
          <w:bCs/>
          <w:lang w:val="fr-FR"/>
        </w:rPr>
        <w:t>’</w:t>
      </w:r>
      <w:r w:rsidRPr="001C481F">
        <w:rPr>
          <w:b/>
          <w:bCs/>
          <w:lang w:val="fr-FR"/>
        </w:rPr>
        <w:t>État partie à :</w:t>
      </w:r>
    </w:p>
    <w:p w14:paraId="46487313" w14:textId="7813C5C3" w:rsidR="001C481F" w:rsidRPr="001C481F" w:rsidRDefault="00A35D02" w:rsidP="001C481F">
      <w:pPr>
        <w:pStyle w:val="SingleTxt"/>
        <w:rPr>
          <w:b/>
          <w:lang w:val="fr-FR"/>
        </w:rPr>
      </w:pPr>
      <w:r>
        <w:rPr>
          <w:b/>
          <w:bCs/>
          <w:lang w:val="fr-FR"/>
        </w:rPr>
        <w:tab/>
      </w:r>
      <w:r w:rsidR="001C481F" w:rsidRPr="001C481F">
        <w:rPr>
          <w:b/>
          <w:bCs/>
          <w:lang w:val="fr-FR"/>
        </w:rPr>
        <w:t>a)</w:t>
      </w:r>
      <w:r w:rsidR="001C481F" w:rsidRPr="001C481F">
        <w:rPr>
          <w:lang w:val="fr-FR"/>
        </w:rPr>
        <w:tab/>
      </w:r>
      <w:r w:rsidR="001C481F" w:rsidRPr="001C481F">
        <w:rPr>
          <w:b/>
          <w:bCs/>
          <w:lang w:val="fr-FR"/>
        </w:rPr>
        <w:t xml:space="preserve">Prendre des mesures </w:t>
      </w:r>
      <w:r w:rsidR="00F6704E">
        <w:rPr>
          <w:b/>
          <w:bCs/>
          <w:lang w:val="fr-FR"/>
        </w:rPr>
        <w:t>spécifiques</w:t>
      </w:r>
      <w:r w:rsidR="00F6704E" w:rsidRPr="001C481F">
        <w:rPr>
          <w:b/>
          <w:bCs/>
          <w:lang w:val="fr-FR"/>
        </w:rPr>
        <w:t xml:space="preserve"> </w:t>
      </w:r>
      <w:r w:rsidR="001C481F" w:rsidRPr="001C481F">
        <w:rPr>
          <w:b/>
          <w:bCs/>
          <w:lang w:val="fr-FR"/>
        </w:rPr>
        <w:t>pour améliorer la situation des femmes et des filles bédouines en matière d</w:t>
      </w:r>
      <w:r w:rsidR="0047269F">
        <w:rPr>
          <w:b/>
          <w:bCs/>
          <w:lang w:val="fr-FR"/>
        </w:rPr>
        <w:t>’</w:t>
      </w:r>
      <w:r w:rsidR="001C481F" w:rsidRPr="001C481F">
        <w:rPr>
          <w:b/>
          <w:bCs/>
          <w:lang w:val="fr-FR"/>
        </w:rPr>
        <w:t>éducation, d</w:t>
      </w:r>
      <w:r w:rsidR="0047269F">
        <w:rPr>
          <w:b/>
          <w:bCs/>
          <w:lang w:val="fr-FR"/>
        </w:rPr>
        <w:t>’</w:t>
      </w:r>
      <w:r w:rsidR="001C481F" w:rsidRPr="001C481F">
        <w:rPr>
          <w:b/>
          <w:bCs/>
          <w:lang w:val="fr-FR"/>
        </w:rPr>
        <w:t xml:space="preserve">emploi, de </w:t>
      </w:r>
      <w:r w:rsidR="00FF7CC9">
        <w:rPr>
          <w:b/>
          <w:bCs/>
          <w:lang w:val="fr-FR"/>
        </w:rPr>
        <w:t xml:space="preserve">soins de </w:t>
      </w:r>
      <w:r w:rsidR="001C481F" w:rsidRPr="001C481F">
        <w:rPr>
          <w:b/>
          <w:bCs/>
          <w:lang w:val="fr-FR"/>
        </w:rPr>
        <w:t>santé et de logement, notamment en veillant à ce que les plans d</w:t>
      </w:r>
      <w:r w:rsidR="0047269F">
        <w:rPr>
          <w:b/>
          <w:bCs/>
          <w:lang w:val="fr-FR"/>
        </w:rPr>
        <w:t>’</w:t>
      </w:r>
      <w:r w:rsidR="001C481F" w:rsidRPr="001C481F">
        <w:rPr>
          <w:b/>
          <w:bCs/>
          <w:lang w:val="fr-FR"/>
        </w:rPr>
        <w:t>action visant à autonomiser ces femmes et ces filles soient assortis d</w:t>
      </w:r>
      <w:r w:rsidR="0047269F">
        <w:rPr>
          <w:b/>
          <w:bCs/>
          <w:lang w:val="fr-FR"/>
        </w:rPr>
        <w:t>’</w:t>
      </w:r>
      <w:r w:rsidR="001C481F" w:rsidRPr="001C481F">
        <w:rPr>
          <w:b/>
          <w:bCs/>
          <w:lang w:val="fr-FR"/>
        </w:rPr>
        <w:t>indicateurs et de points de référence précis et à ce que leur mise en œuvre fasse l</w:t>
      </w:r>
      <w:r w:rsidR="0047269F">
        <w:rPr>
          <w:b/>
          <w:bCs/>
          <w:lang w:val="fr-FR"/>
        </w:rPr>
        <w:t>’</w:t>
      </w:r>
      <w:r w:rsidR="001C481F" w:rsidRPr="001C481F">
        <w:rPr>
          <w:b/>
          <w:bCs/>
          <w:lang w:val="fr-FR"/>
        </w:rPr>
        <w:t>objet d</w:t>
      </w:r>
      <w:r w:rsidR="0047269F">
        <w:rPr>
          <w:b/>
          <w:bCs/>
          <w:lang w:val="fr-FR"/>
        </w:rPr>
        <w:t>’</w:t>
      </w:r>
      <w:r w:rsidR="001C481F" w:rsidRPr="001C481F">
        <w:rPr>
          <w:b/>
          <w:bCs/>
          <w:lang w:val="fr-FR"/>
        </w:rPr>
        <w:t>un suivi et d</w:t>
      </w:r>
      <w:r w:rsidR="0047269F">
        <w:rPr>
          <w:b/>
          <w:bCs/>
          <w:lang w:val="fr-FR"/>
        </w:rPr>
        <w:t>’</w:t>
      </w:r>
      <w:r w:rsidR="001C481F" w:rsidRPr="001C481F">
        <w:rPr>
          <w:b/>
          <w:bCs/>
          <w:lang w:val="fr-FR"/>
        </w:rPr>
        <w:t>une évaluation régulière</w:t>
      </w:r>
      <w:r w:rsidR="0047269F">
        <w:rPr>
          <w:b/>
          <w:bCs/>
          <w:lang w:val="fr-FR"/>
        </w:rPr>
        <w:t> ;</w:t>
      </w:r>
    </w:p>
    <w:p w14:paraId="647374A5" w14:textId="2996B2D1" w:rsidR="001C481F" w:rsidRDefault="00A35D02" w:rsidP="001C481F">
      <w:pPr>
        <w:pStyle w:val="SingleTxt"/>
        <w:rPr>
          <w:b/>
          <w:bCs/>
          <w:lang w:val="fr-FR"/>
        </w:rPr>
      </w:pPr>
      <w:r>
        <w:rPr>
          <w:b/>
          <w:bCs/>
          <w:lang w:val="fr-FR"/>
        </w:rPr>
        <w:tab/>
      </w:r>
      <w:r w:rsidR="001C481F" w:rsidRPr="001C481F">
        <w:rPr>
          <w:b/>
          <w:bCs/>
          <w:lang w:val="fr-FR"/>
        </w:rPr>
        <w:t>b)</w:t>
      </w:r>
      <w:r w:rsidR="001C481F" w:rsidRPr="001C481F">
        <w:rPr>
          <w:lang w:val="fr-FR"/>
        </w:rPr>
        <w:tab/>
      </w:r>
      <w:r w:rsidR="001C481F" w:rsidRPr="001C481F">
        <w:rPr>
          <w:b/>
          <w:bCs/>
          <w:lang w:val="fr-FR"/>
        </w:rPr>
        <w:t xml:space="preserve">Présenter, dans son </w:t>
      </w:r>
      <w:r w:rsidR="00FF7477">
        <w:rPr>
          <w:b/>
          <w:bCs/>
          <w:lang w:val="fr-FR"/>
        </w:rPr>
        <w:t>septième</w:t>
      </w:r>
      <w:r w:rsidR="00FF7477" w:rsidRPr="001C481F">
        <w:rPr>
          <w:b/>
          <w:bCs/>
          <w:lang w:val="fr-FR"/>
        </w:rPr>
        <w:t xml:space="preserve"> </w:t>
      </w:r>
      <w:r w:rsidR="001C481F" w:rsidRPr="001C481F">
        <w:rPr>
          <w:b/>
          <w:bCs/>
          <w:lang w:val="fr-FR"/>
        </w:rPr>
        <w:t>rapport périodique, des renseignements sur l</w:t>
      </w:r>
      <w:r w:rsidR="0047269F">
        <w:rPr>
          <w:b/>
          <w:bCs/>
          <w:lang w:val="fr-FR"/>
        </w:rPr>
        <w:t>’</w:t>
      </w:r>
      <w:r w:rsidR="001C481F" w:rsidRPr="001C481F">
        <w:rPr>
          <w:b/>
          <w:bCs/>
          <w:lang w:val="fr-FR"/>
        </w:rPr>
        <w:t>accès des femmes bédouines aux services sociaux et aux mécanismes de financement et sur l</w:t>
      </w:r>
      <w:r w:rsidR="0047269F">
        <w:rPr>
          <w:b/>
          <w:bCs/>
          <w:lang w:val="fr-FR"/>
        </w:rPr>
        <w:t>’</w:t>
      </w:r>
      <w:r w:rsidR="001C481F" w:rsidRPr="001C481F">
        <w:rPr>
          <w:b/>
          <w:bCs/>
          <w:lang w:val="fr-FR"/>
        </w:rPr>
        <w:t>usage qu</w:t>
      </w:r>
      <w:r w:rsidR="0047269F">
        <w:rPr>
          <w:b/>
          <w:bCs/>
          <w:lang w:val="fr-FR"/>
        </w:rPr>
        <w:t>’</w:t>
      </w:r>
      <w:r w:rsidR="001C481F" w:rsidRPr="001C481F">
        <w:rPr>
          <w:b/>
          <w:bCs/>
          <w:lang w:val="fr-FR"/>
        </w:rPr>
        <w:t>elles font des technologies modernes.</w:t>
      </w:r>
    </w:p>
    <w:p w14:paraId="4E7CE80C" w14:textId="73B068F7" w:rsidR="00A35D02" w:rsidRPr="00A35D02" w:rsidRDefault="00A35D02" w:rsidP="00A35D02">
      <w:pPr>
        <w:pStyle w:val="SingleTxt"/>
        <w:spacing w:after="0" w:line="120" w:lineRule="exact"/>
        <w:rPr>
          <w:b/>
          <w:bCs/>
          <w:sz w:val="10"/>
          <w:lang w:val="fr-FR"/>
        </w:rPr>
      </w:pPr>
    </w:p>
    <w:p w14:paraId="3C4EC87D" w14:textId="77777777" w:rsidR="001C481F" w:rsidRPr="001C481F" w:rsidRDefault="001C481F" w:rsidP="00A35D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481F">
        <w:rPr>
          <w:lang w:val="fr-FR"/>
        </w:rPr>
        <w:tab/>
      </w:r>
      <w:r w:rsidRPr="001C481F">
        <w:rPr>
          <w:lang w:val="fr-FR"/>
        </w:rPr>
        <w:tab/>
        <w:t xml:space="preserve">Mariage et rapports familiaux </w:t>
      </w:r>
    </w:p>
    <w:p w14:paraId="72588F50" w14:textId="06712E42" w:rsidR="00A35D02" w:rsidRPr="00A35D02" w:rsidRDefault="00A35D02" w:rsidP="00A35D02">
      <w:pPr>
        <w:pStyle w:val="SingleTxt"/>
        <w:spacing w:after="0" w:line="120" w:lineRule="exact"/>
        <w:rPr>
          <w:sz w:val="10"/>
          <w:lang w:val="fr-FR"/>
        </w:rPr>
      </w:pPr>
    </w:p>
    <w:p w14:paraId="356E487D" w14:textId="2D455F36" w:rsidR="001C481F" w:rsidRPr="001C481F" w:rsidRDefault="001C481F" w:rsidP="004A42D2">
      <w:pPr>
        <w:pStyle w:val="SingleTxt"/>
        <w:numPr>
          <w:ilvl w:val="0"/>
          <w:numId w:val="23"/>
        </w:numPr>
        <w:spacing w:line="234" w:lineRule="exact"/>
        <w:rPr>
          <w:lang w:val="fr-FR"/>
        </w:rPr>
      </w:pPr>
      <w:r w:rsidRPr="001C481F">
        <w:rPr>
          <w:lang w:val="fr-FR"/>
        </w:rPr>
        <w:t>Le Comité se félicite des réformes législatives intéressant le mariage et les rapports familiaux, notamment de la modification apportée en 2012 à la loi sur les tribunaux rabbiniques (application des jug</w:t>
      </w:r>
      <w:r w:rsidR="00A35D02">
        <w:rPr>
          <w:lang w:val="fr-FR"/>
        </w:rPr>
        <w:t>ements de divorce)</w:t>
      </w:r>
      <w:r w:rsidR="00DF3673">
        <w:rPr>
          <w:lang w:val="fr-FR"/>
        </w:rPr>
        <w:t xml:space="preserve"> </w:t>
      </w:r>
      <w:r w:rsidRPr="001C481F">
        <w:rPr>
          <w:lang w:val="fr-FR"/>
        </w:rPr>
        <w:t>−</w:t>
      </w:r>
      <w:r w:rsidR="00A35D02">
        <w:rPr>
          <w:lang w:val="fr-FR"/>
        </w:rPr>
        <w:t> </w:t>
      </w:r>
      <w:r w:rsidRPr="001C481F">
        <w:rPr>
          <w:lang w:val="fr-FR"/>
        </w:rPr>
        <w:t>ces tribunaux étant désormais tenus de suivre les progrès accomplis dans l</w:t>
      </w:r>
      <w:r w:rsidR="0047269F">
        <w:rPr>
          <w:lang w:val="fr-FR"/>
        </w:rPr>
        <w:t>’</w:t>
      </w:r>
      <w:r w:rsidRPr="001C481F">
        <w:rPr>
          <w:lang w:val="fr-FR"/>
        </w:rPr>
        <w:t xml:space="preserve">application des jugements de divorce. Il note que la </w:t>
      </w:r>
      <w:r w:rsidR="00B07E27">
        <w:rPr>
          <w:lang w:val="fr-FR"/>
        </w:rPr>
        <w:t>législation</w:t>
      </w:r>
      <w:r w:rsidR="00B07E27" w:rsidRPr="001C481F">
        <w:rPr>
          <w:lang w:val="fr-FR"/>
        </w:rPr>
        <w:t xml:space="preserve"> </w:t>
      </w:r>
      <w:r w:rsidRPr="001C481F">
        <w:rPr>
          <w:lang w:val="fr-FR"/>
        </w:rPr>
        <w:t>a de nouveau été modifiée en 2017 et que diverses sanctions peuvent désormais être infligées aux conjoints refusant d</w:t>
      </w:r>
      <w:r w:rsidR="0047269F">
        <w:rPr>
          <w:lang w:val="fr-FR"/>
        </w:rPr>
        <w:t>’</w:t>
      </w:r>
      <w:r w:rsidRPr="001C481F">
        <w:rPr>
          <w:lang w:val="fr-FR"/>
        </w:rPr>
        <w:t>accorder le divorce (</w:t>
      </w:r>
      <w:r w:rsidR="007D2221">
        <w:rPr>
          <w:i/>
          <w:lang w:val="fr-FR"/>
        </w:rPr>
        <w:t>g</w:t>
      </w:r>
      <w:r w:rsidR="007D2221" w:rsidRPr="001C481F">
        <w:rPr>
          <w:i/>
          <w:lang w:val="fr-FR"/>
        </w:rPr>
        <w:t>et</w:t>
      </w:r>
      <w:r w:rsidRPr="001C481F">
        <w:rPr>
          <w:lang w:val="fr-FR"/>
        </w:rPr>
        <w:t>). Il note également qu</w:t>
      </w:r>
      <w:r w:rsidR="0047269F">
        <w:rPr>
          <w:lang w:val="fr-FR"/>
        </w:rPr>
        <w:t>’</w:t>
      </w:r>
      <w:r w:rsidRPr="001C481F">
        <w:rPr>
          <w:lang w:val="fr-FR"/>
        </w:rPr>
        <w:t xml:space="preserve">en 2016, le Procureur général a publié </w:t>
      </w:r>
      <w:r w:rsidR="007D2221">
        <w:rPr>
          <w:lang w:val="fr-FR"/>
        </w:rPr>
        <w:t>une</w:t>
      </w:r>
      <w:r w:rsidRPr="001C481F">
        <w:rPr>
          <w:lang w:val="fr-FR"/>
        </w:rPr>
        <w:t xml:space="preserve"> directive qui réglemente les conditions d</w:t>
      </w:r>
      <w:r w:rsidR="0047269F">
        <w:rPr>
          <w:lang w:val="fr-FR"/>
        </w:rPr>
        <w:t>’</w:t>
      </w:r>
      <w:r w:rsidRPr="001C481F">
        <w:rPr>
          <w:lang w:val="fr-FR"/>
        </w:rPr>
        <w:t>ouverture de poursuites et d</w:t>
      </w:r>
      <w:r w:rsidR="0047269F">
        <w:rPr>
          <w:lang w:val="fr-FR"/>
        </w:rPr>
        <w:t>’</w:t>
      </w:r>
      <w:r w:rsidRPr="001C481F">
        <w:rPr>
          <w:lang w:val="fr-FR"/>
        </w:rPr>
        <w:t>imposition de sanctions en cas de refus de se conformer à une décision de justice d</w:t>
      </w:r>
      <w:r w:rsidR="0047269F">
        <w:rPr>
          <w:lang w:val="fr-FR"/>
        </w:rPr>
        <w:t>’</w:t>
      </w:r>
      <w:r w:rsidRPr="001C481F">
        <w:rPr>
          <w:lang w:val="fr-FR"/>
        </w:rPr>
        <w:t>un tribunal rabbinique concernant un divorce, l</w:t>
      </w:r>
      <w:r w:rsidR="0047269F">
        <w:rPr>
          <w:lang w:val="fr-FR"/>
        </w:rPr>
        <w:t>’</w:t>
      </w:r>
      <w:r w:rsidRPr="001C481F">
        <w:rPr>
          <w:lang w:val="fr-FR"/>
        </w:rPr>
        <w:t>objectif étant de réduire le nombre de femmes dont le mari ne peut leur accorder le divorce ou s</w:t>
      </w:r>
      <w:r w:rsidR="0047269F">
        <w:rPr>
          <w:lang w:val="fr-FR"/>
        </w:rPr>
        <w:t>’</w:t>
      </w:r>
      <w:r w:rsidRPr="001C481F">
        <w:rPr>
          <w:lang w:val="fr-FR"/>
        </w:rPr>
        <w:t>y refuse. Il note en outre que l</w:t>
      </w:r>
      <w:r w:rsidR="0047269F">
        <w:rPr>
          <w:lang w:val="fr-FR"/>
        </w:rPr>
        <w:t>’</w:t>
      </w:r>
      <w:r w:rsidRPr="001C481F">
        <w:rPr>
          <w:lang w:val="fr-FR"/>
        </w:rPr>
        <w:t>État partie a établi des procédures pour déterminer la compétence des tribunaux civils et religieux dans les affaires concernant les rapports familiaux et qu</w:t>
      </w:r>
      <w:r w:rsidR="0047269F">
        <w:rPr>
          <w:lang w:val="fr-FR"/>
        </w:rPr>
        <w:t>’</w:t>
      </w:r>
      <w:r w:rsidRPr="001C481F">
        <w:rPr>
          <w:lang w:val="fr-FR"/>
        </w:rPr>
        <w:t xml:space="preserve">il est nécessaire de lutter contre </w:t>
      </w:r>
      <w:r w:rsidR="00A5205F">
        <w:rPr>
          <w:lang w:val="fr-FR"/>
        </w:rPr>
        <w:t>la pratique dite de la « course à la juridiction »</w:t>
      </w:r>
      <w:r w:rsidRPr="001C481F">
        <w:rPr>
          <w:lang w:val="fr-FR"/>
        </w:rPr>
        <w:t>. Le Comité est préoccupé par les points suivants :</w:t>
      </w:r>
    </w:p>
    <w:p w14:paraId="62DFBE85" w14:textId="73E01C3B" w:rsidR="001C481F" w:rsidRPr="001C481F" w:rsidRDefault="001C481F" w:rsidP="004A42D2">
      <w:pPr>
        <w:pStyle w:val="SingleTxt"/>
        <w:spacing w:line="234" w:lineRule="exact"/>
        <w:rPr>
          <w:lang w:val="fr-FR"/>
        </w:rPr>
      </w:pPr>
      <w:r w:rsidRPr="001C481F">
        <w:rPr>
          <w:lang w:val="fr-FR"/>
        </w:rPr>
        <w:lastRenderedPageBreak/>
        <w:tab/>
        <w:t>a)</w:t>
      </w:r>
      <w:r w:rsidRPr="001C481F">
        <w:rPr>
          <w:lang w:val="fr-FR"/>
        </w:rPr>
        <w:tab/>
        <w:t>Les femmes sont victimes de discrimination en matière de divorce, ce qui s</w:t>
      </w:r>
      <w:r w:rsidR="0047269F">
        <w:rPr>
          <w:lang w:val="fr-FR"/>
        </w:rPr>
        <w:t>’</w:t>
      </w:r>
      <w:r w:rsidRPr="001C481F">
        <w:rPr>
          <w:lang w:val="fr-FR"/>
        </w:rPr>
        <w:t>explique par l</w:t>
      </w:r>
      <w:r w:rsidR="0047269F">
        <w:rPr>
          <w:lang w:val="fr-FR"/>
        </w:rPr>
        <w:t>’</w:t>
      </w:r>
      <w:r w:rsidRPr="001C481F">
        <w:rPr>
          <w:lang w:val="fr-FR"/>
        </w:rPr>
        <w:t>influence exercée par des lois religieuses elles-mêmes discriminatoires. Étant donné que le droit judaïque confère aux seuls hommes le droit d</w:t>
      </w:r>
      <w:r w:rsidR="0047269F">
        <w:rPr>
          <w:lang w:val="fr-FR"/>
        </w:rPr>
        <w:t>’</w:t>
      </w:r>
      <w:r w:rsidRPr="001C481F">
        <w:rPr>
          <w:lang w:val="fr-FR"/>
        </w:rPr>
        <w:t>accorder ou de refuser le divorce (</w:t>
      </w:r>
      <w:r w:rsidR="007D2221">
        <w:rPr>
          <w:i/>
          <w:lang w:val="fr-FR"/>
        </w:rPr>
        <w:t>g</w:t>
      </w:r>
      <w:r w:rsidR="007D2221" w:rsidRPr="001C481F">
        <w:rPr>
          <w:i/>
          <w:lang w:val="fr-FR"/>
        </w:rPr>
        <w:t>et</w:t>
      </w:r>
      <w:r w:rsidRPr="001C481F">
        <w:rPr>
          <w:lang w:val="fr-FR"/>
        </w:rPr>
        <w:t>), les femmes juives peuvent être soumises à un chantage par leur mari et doivent faire des concessions afin de pouvoir divorcer</w:t>
      </w:r>
      <w:r w:rsidR="0047269F">
        <w:rPr>
          <w:lang w:val="fr-FR"/>
        </w:rPr>
        <w:t> ;</w:t>
      </w:r>
      <w:r w:rsidRPr="001C481F">
        <w:rPr>
          <w:lang w:val="fr-FR"/>
        </w:rPr>
        <w:t xml:space="preserve"> quant aux femmes musulmanes, elles risquent de perdre la garde de leurs enfants si elles se lient à un autre homme</w:t>
      </w:r>
      <w:r w:rsidR="0047269F">
        <w:rPr>
          <w:lang w:val="fr-FR"/>
        </w:rPr>
        <w:t> ;</w:t>
      </w:r>
    </w:p>
    <w:p w14:paraId="3C9CEFB9" w14:textId="5693B6B5" w:rsidR="001C481F" w:rsidRPr="001C481F" w:rsidRDefault="001C481F" w:rsidP="004A42D2">
      <w:pPr>
        <w:pStyle w:val="SingleTxt"/>
        <w:spacing w:line="234" w:lineRule="exact"/>
        <w:rPr>
          <w:lang w:val="fr-FR"/>
        </w:rPr>
      </w:pPr>
      <w:r w:rsidRPr="001C481F">
        <w:rPr>
          <w:lang w:val="fr-FR"/>
        </w:rPr>
        <w:tab/>
        <w:t>b)</w:t>
      </w:r>
      <w:r w:rsidRPr="001C481F">
        <w:rPr>
          <w:lang w:val="fr-FR"/>
        </w:rPr>
        <w:tab/>
        <w:t>La loi ne reconnaît pas le mariage civil, et même les mariages civils conclus en dehors de l</w:t>
      </w:r>
      <w:r w:rsidR="0047269F">
        <w:rPr>
          <w:lang w:val="fr-FR"/>
        </w:rPr>
        <w:t>’</w:t>
      </w:r>
      <w:r w:rsidRPr="001C481F">
        <w:rPr>
          <w:lang w:val="fr-FR"/>
        </w:rPr>
        <w:t>État partie relèvent de la compétence des tribunaux religieux en cas de divorce</w:t>
      </w:r>
      <w:r w:rsidR="0047269F">
        <w:rPr>
          <w:lang w:val="fr-FR"/>
        </w:rPr>
        <w:t> ;</w:t>
      </w:r>
    </w:p>
    <w:p w14:paraId="6BA56C43" w14:textId="39D729CE" w:rsidR="001C481F" w:rsidRPr="004A42D2" w:rsidRDefault="00A35D02" w:rsidP="004A42D2">
      <w:pPr>
        <w:pStyle w:val="SingleTxt"/>
        <w:spacing w:line="234" w:lineRule="exact"/>
        <w:rPr>
          <w:w w:val="101"/>
          <w:lang w:val="fr-FR"/>
        </w:rPr>
      </w:pPr>
      <w:r>
        <w:rPr>
          <w:lang w:val="fr-FR"/>
        </w:rPr>
        <w:tab/>
      </w:r>
      <w:r w:rsidR="001C481F" w:rsidRPr="001C481F">
        <w:rPr>
          <w:lang w:val="fr-FR"/>
        </w:rPr>
        <w:t>c)</w:t>
      </w:r>
      <w:r w:rsidR="001C481F" w:rsidRPr="001C481F">
        <w:rPr>
          <w:lang w:val="fr-FR"/>
        </w:rPr>
        <w:tab/>
      </w:r>
      <w:r w:rsidR="001C481F" w:rsidRPr="004A42D2">
        <w:rPr>
          <w:w w:val="101"/>
          <w:lang w:val="fr-FR"/>
        </w:rPr>
        <w:t>Depuis que la Commission Schnitt a recommandé à l</w:t>
      </w:r>
      <w:r w:rsidR="0047269F" w:rsidRPr="004A42D2">
        <w:rPr>
          <w:w w:val="101"/>
          <w:lang w:val="fr-FR"/>
        </w:rPr>
        <w:t>’</w:t>
      </w:r>
      <w:r w:rsidR="001C481F" w:rsidRPr="004A42D2">
        <w:rPr>
          <w:w w:val="101"/>
          <w:lang w:val="fr-FR"/>
        </w:rPr>
        <w:t>État partie de supprimer la disposition de la loi de 1962 sur la capacité juridique et la garde des enfants qui accordait automatiquement à la mère la garde des enfants âgés de moins de 6 ans en cas de divorce (« présomption relative aux enfants en bas âge »), le nombre de demandes de garde conjointe adressées par des hommes afin de réduire le montant de la pension alimentaire a augmenté. De plus, certains utilisent cette nouvelle interprétation du droit pour extorquer des concessions aux femmes, ce qui entraîne une augmentation du nombre des litiges familiaux dont les tribunaux sont saisis</w:t>
      </w:r>
      <w:r w:rsidR="0047269F" w:rsidRPr="004A42D2">
        <w:rPr>
          <w:w w:val="101"/>
          <w:lang w:val="fr-FR"/>
        </w:rPr>
        <w:t> ;</w:t>
      </w:r>
    </w:p>
    <w:p w14:paraId="4437414C" w14:textId="59307751" w:rsidR="001C481F" w:rsidRPr="001C481F" w:rsidRDefault="007B249C" w:rsidP="004A42D2">
      <w:pPr>
        <w:pStyle w:val="SingleTxt"/>
        <w:spacing w:line="234" w:lineRule="exact"/>
        <w:rPr>
          <w:lang w:val="fr-FR"/>
        </w:rPr>
      </w:pPr>
      <w:r>
        <w:rPr>
          <w:lang w:val="fr-FR"/>
        </w:rPr>
        <w:tab/>
      </w:r>
      <w:r w:rsidR="001C481F" w:rsidRPr="001C481F">
        <w:rPr>
          <w:lang w:val="fr-FR"/>
        </w:rPr>
        <w:t>d)</w:t>
      </w:r>
      <w:r w:rsidR="001C481F" w:rsidRPr="001C481F">
        <w:rPr>
          <w:lang w:val="fr-FR"/>
        </w:rPr>
        <w:tab/>
        <w:t>La polygamie et la bigamie persistent</w:t>
      </w:r>
      <w:r w:rsidR="0047269F">
        <w:rPr>
          <w:lang w:val="fr-FR"/>
        </w:rPr>
        <w:t xml:space="preserve"> : </w:t>
      </w:r>
      <w:r w:rsidR="001C481F" w:rsidRPr="001C481F">
        <w:rPr>
          <w:lang w:val="fr-FR"/>
        </w:rPr>
        <w:t>les lois religieuses relatives à l</w:t>
      </w:r>
      <w:r w:rsidR="0047269F">
        <w:rPr>
          <w:lang w:val="fr-FR"/>
        </w:rPr>
        <w:t>’</w:t>
      </w:r>
      <w:r w:rsidR="001C481F" w:rsidRPr="001C481F">
        <w:rPr>
          <w:lang w:val="fr-FR"/>
        </w:rPr>
        <w:t>état civil prévoient en effet l</w:t>
      </w:r>
      <w:r w:rsidR="0047269F">
        <w:rPr>
          <w:lang w:val="fr-FR"/>
        </w:rPr>
        <w:t>’</w:t>
      </w:r>
      <w:r w:rsidR="001C481F" w:rsidRPr="001C481F">
        <w:rPr>
          <w:lang w:val="fr-FR"/>
        </w:rPr>
        <w:t>annulation rétroactive d</w:t>
      </w:r>
      <w:r w:rsidR="0047269F">
        <w:rPr>
          <w:lang w:val="fr-FR"/>
        </w:rPr>
        <w:t>’</w:t>
      </w:r>
      <w:r w:rsidR="001C481F" w:rsidRPr="001C481F">
        <w:rPr>
          <w:lang w:val="fr-FR"/>
        </w:rPr>
        <w:t xml:space="preserve">un divorce même lorsque les anciens conjoints se sont remariés, ce qui entraîne des conséquences négatives pour les femmes. </w:t>
      </w:r>
    </w:p>
    <w:p w14:paraId="16D0DD4C" w14:textId="7C12C0D5" w:rsidR="001C481F" w:rsidRPr="001C481F" w:rsidRDefault="001C481F" w:rsidP="004A42D2">
      <w:pPr>
        <w:pStyle w:val="SingleTxt"/>
        <w:numPr>
          <w:ilvl w:val="0"/>
          <w:numId w:val="23"/>
        </w:numPr>
        <w:spacing w:line="234" w:lineRule="exact"/>
        <w:rPr>
          <w:b/>
          <w:lang w:val="fr-FR"/>
        </w:rPr>
      </w:pPr>
      <w:r w:rsidRPr="001C481F">
        <w:rPr>
          <w:b/>
          <w:bCs/>
          <w:lang w:val="fr-FR"/>
        </w:rPr>
        <w:t>Rappelant</w:t>
      </w:r>
      <w:r w:rsidR="00DD069E">
        <w:rPr>
          <w:b/>
          <w:bCs/>
          <w:lang w:val="fr-FR"/>
        </w:rPr>
        <w:t xml:space="preserve"> ses recommandations précédentes (ibid., par. 49) ainsi que</w:t>
      </w:r>
      <w:r w:rsidRPr="001C481F">
        <w:rPr>
          <w:b/>
          <w:bCs/>
          <w:lang w:val="fr-FR"/>
        </w:rPr>
        <w:t xml:space="preserve"> </w:t>
      </w:r>
      <w:r w:rsidR="0005691F" w:rsidRPr="001C481F">
        <w:rPr>
          <w:b/>
          <w:bCs/>
          <w:lang w:val="fr-FR"/>
        </w:rPr>
        <w:t>s</w:t>
      </w:r>
      <w:r w:rsidR="0005691F">
        <w:rPr>
          <w:b/>
          <w:bCs/>
          <w:lang w:val="fr-FR"/>
        </w:rPr>
        <w:t>es</w:t>
      </w:r>
      <w:r w:rsidR="0005691F" w:rsidRPr="001C481F">
        <w:rPr>
          <w:b/>
          <w:bCs/>
          <w:lang w:val="fr-FR"/>
        </w:rPr>
        <w:t xml:space="preserve"> </w:t>
      </w:r>
      <w:r w:rsidR="00DD069E">
        <w:rPr>
          <w:b/>
          <w:bCs/>
          <w:lang w:val="fr-FR"/>
        </w:rPr>
        <w:t>r</w:t>
      </w:r>
      <w:r w:rsidR="00DD069E" w:rsidRPr="001C481F">
        <w:rPr>
          <w:b/>
          <w:bCs/>
          <w:lang w:val="fr-FR"/>
        </w:rPr>
        <w:t>ecommandation</w:t>
      </w:r>
      <w:r w:rsidR="0005691F">
        <w:rPr>
          <w:b/>
          <w:bCs/>
          <w:lang w:val="fr-FR"/>
        </w:rPr>
        <w:t>s</w:t>
      </w:r>
      <w:r w:rsidR="00DD069E" w:rsidRPr="001C481F">
        <w:rPr>
          <w:b/>
          <w:bCs/>
          <w:lang w:val="fr-FR"/>
        </w:rPr>
        <w:t xml:space="preserve"> </w:t>
      </w:r>
      <w:r w:rsidRPr="001C481F">
        <w:rPr>
          <w:b/>
          <w:bCs/>
          <w:lang w:val="fr-FR"/>
        </w:rPr>
        <w:t>générale</w:t>
      </w:r>
      <w:r w:rsidR="0005691F">
        <w:rPr>
          <w:b/>
          <w:bCs/>
          <w:lang w:val="fr-FR"/>
        </w:rPr>
        <w:t>s</w:t>
      </w:r>
      <w:r w:rsidRPr="001C481F">
        <w:rPr>
          <w:b/>
          <w:bCs/>
          <w:lang w:val="fr-FR"/>
        </w:rPr>
        <w:t xml:space="preserve"> n</w:t>
      </w:r>
      <w:r w:rsidR="00D55120">
        <w:rPr>
          <w:b/>
          <w:bCs/>
          <w:vertAlign w:val="superscript"/>
          <w:lang w:val="fr-FR"/>
        </w:rPr>
        <w:t>o</w:t>
      </w:r>
      <w:r w:rsidR="00D55120" w:rsidRPr="00D55120">
        <w:rPr>
          <w:b/>
          <w:bCs/>
          <w:lang w:val="fr-FR"/>
        </w:rPr>
        <w:t> </w:t>
      </w:r>
      <w:r w:rsidRPr="001C481F">
        <w:rPr>
          <w:b/>
          <w:bCs/>
          <w:lang w:val="fr-FR"/>
        </w:rPr>
        <w:t>21 (1998) sur l</w:t>
      </w:r>
      <w:r w:rsidR="0047269F">
        <w:rPr>
          <w:b/>
          <w:bCs/>
          <w:lang w:val="fr-FR"/>
        </w:rPr>
        <w:t>’</w:t>
      </w:r>
      <w:r w:rsidRPr="001C481F">
        <w:rPr>
          <w:b/>
          <w:bCs/>
          <w:lang w:val="fr-FR"/>
        </w:rPr>
        <w:t>égalité dans le mariage et les rapports familiaux et n</w:t>
      </w:r>
      <w:r w:rsidR="00D55120">
        <w:rPr>
          <w:b/>
          <w:bCs/>
          <w:vertAlign w:val="superscript"/>
          <w:lang w:val="fr-FR"/>
        </w:rPr>
        <w:t>o</w:t>
      </w:r>
      <w:r w:rsidR="00D55120" w:rsidRPr="00D55120">
        <w:rPr>
          <w:b/>
          <w:bCs/>
          <w:lang w:val="fr-FR"/>
        </w:rPr>
        <w:t> </w:t>
      </w:r>
      <w:r w:rsidRPr="001C481F">
        <w:rPr>
          <w:b/>
          <w:bCs/>
          <w:lang w:val="fr-FR"/>
        </w:rPr>
        <w:t>29 (2013) sur les conséquences économiques du mariage</w:t>
      </w:r>
      <w:r w:rsidR="004A0AD5">
        <w:rPr>
          <w:b/>
          <w:bCs/>
          <w:lang w:val="fr-FR"/>
        </w:rPr>
        <w:t xml:space="preserve"> et </w:t>
      </w:r>
      <w:r w:rsidRPr="001C481F">
        <w:rPr>
          <w:b/>
          <w:bCs/>
          <w:lang w:val="fr-FR"/>
        </w:rPr>
        <w:t xml:space="preserve">des liens familiaux et de leur </w:t>
      </w:r>
      <w:r w:rsidRPr="002012DE">
        <w:rPr>
          <w:b/>
          <w:bCs/>
          <w:lang w:val="fr-FR"/>
        </w:rPr>
        <w:t>dissolution</w:t>
      </w:r>
      <w:r w:rsidRPr="001C481F">
        <w:rPr>
          <w:b/>
          <w:bCs/>
          <w:lang w:val="fr-FR"/>
        </w:rPr>
        <w:t>, le Comité recommande</w:t>
      </w:r>
      <w:r w:rsidR="00D55120">
        <w:rPr>
          <w:b/>
          <w:bCs/>
          <w:lang w:val="fr-FR"/>
        </w:rPr>
        <w:t xml:space="preserve"> </w:t>
      </w:r>
      <w:r w:rsidRPr="001C481F">
        <w:rPr>
          <w:b/>
          <w:bCs/>
          <w:lang w:val="fr-FR"/>
        </w:rPr>
        <w:t>que l</w:t>
      </w:r>
      <w:r w:rsidR="0047269F">
        <w:rPr>
          <w:b/>
          <w:bCs/>
          <w:lang w:val="fr-FR"/>
        </w:rPr>
        <w:t>’</w:t>
      </w:r>
      <w:r w:rsidRPr="001C481F">
        <w:rPr>
          <w:b/>
          <w:bCs/>
          <w:lang w:val="fr-FR"/>
        </w:rPr>
        <w:t>État partie :</w:t>
      </w:r>
    </w:p>
    <w:p w14:paraId="65C67A88" w14:textId="590F86D5" w:rsidR="001C481F" w:rsidRPr="001C481F" w:rsidRDefault="00D55120" w:rsidP="004A42D2">
      <w:pPr>
        <w:pStyle w:val="SingleTxt"/>
        <w:spacing w:line="234" w:lineRule="exact"/>
        <w:rPr>
          <w:b/>
          <w:lang w:val="fr-FR"/>
        </w:rPr>
      </w:pPr>
      <w:r>
        <w:rPr>
          <w:b/>
          <w:bCs/>
          <w:lang w:val="fr-FR"/>
        </w:rPr>
        <w:tab/>
      </w:r>
      <w:r w:rsidR="001C481F" w:rsidRPr="001C481F">
        <w:rPr>
          <w:b/>
          <w:bCs/>
          <w:lang w:val="fr-FR"/>
        </w:rPr>
        <w:t>a)</w:t>
      </w:r>
      <w:r w:rsidR="001C481F" w:rsidRPr="001C481F">
        <w:rPr>
          <w:lang w:val="fr-FR"/>
        </w:rPr>
        <w:tab/>
      </w:r>
      <w:r w:rsidR="001C481F" w:rsidRPr="001C481F">
        <w:rPr>
          <w:b/>
          <w:bCs/>
          <w:lang w:val="fr-FR"/>
        </w:rPr>
        <w:t>Abolisse les dispositions discriminatoires accordant aux hommes le droit unilatéral de consentir au divorce (</w:t>
      </w:r>
      <w:r w:rsidR="007D2221">
        <w:rPr>
          <w:b/>
          <w:bCs/>
          <w:i/>
          <w:lang w:val="fr-FR"/>
        </w:rPr>
        <w:t>g</w:t>
      </w:r>
      <w:r w:rsidR="007D2221" w:rsidRPr="001C481F">
        <w:rPr>
          <w:b/>
          <w:bCs/>
          <w:i/>
          <w:lang w:val="fr-FR"/>
        </w:rPr>
        <w:t>et</w:t>
      </w:r>
      <w:r w:rsidR="001C481F" w:rsidRPr="001C481F">
        <w:rPr>
          <w:b/>
          <w:bCs/>
          <w:lang w:val="fr-FR"/>
        </w:rPr>
        <w:t>) et, dans l</w:t>
      </w:r>
      <w:r w:rsidR="0047269F">
        <w:rPr>
          <w:b/>
          <w:bCs/>
          <w:lang w:val="fr-FR"/>
        </w:rPr>
        <w:t>’</w:t>
      </w:r>
      <w:r w:rsidR="001C481F" w:rsidRPr="001C481F">
        <w:rPr>
          <w:b/>
          <w:bCs/>
          <w:lang w:val="fr-FR"/>
        </w:rPr>
        <w:t xml:space="preserve">intervalle, multiplie les sanctions pénales infligées aux maris qui refusent délibérément </w:t>
      </w:r>
      <w:r w:rsidR="006208C0">
        <w:rPr>
          <w:b/>
          <w:bCs/>
          <w:lang w:val="fr-FR"/>
        </w:rPr>
        <w:t>de consentir</w:t>
      </w:r>
      <w:r w:rsidR="001C481F" w:rsidRPr="001C481F">
        <w:rPr>
          <w:b/>
          <w:bCs/>
          <w:i/>
          <w:lang w:val="fr-FR"/>
        </w:rPr>
        <w:t>,</w:t>
      </w:r>
      <w:r w:rsidR="001C481F" w:rsidRPr="001C481F">
        <w:rPr>
          <w:b/>
          <w:bCs/>
          <w:lang w:val="fr-FR"/>
        </w:rPr>
        <w:t xml:space="preserve"> et qu</w:t>
      </w:r>
      <w:r w:rsidR="0047269F">
        <w:rPr>
          <w:b/>
          <w:bCs/>
          <w:lang w:val="fr-FR"/>
        </w:rPr>
        <w:t>’</w:t>
      </w:r>
      <w:r w:rsidR="001C481F" w:rsidRPr="001C481F">
        <w:rPr>
          <w:b/>
          <w:bCs/>
          <w:lang w:val="fr-FR"/>
        </w:rPr>
        <w:t>il élargisse les compétences des tribunaux rabbiniques en matière de supervision afin qu</w:t>
      </w:r>
      <w:r w:rsidR="0047269F">
        <w:rPr>
          <w:b/>
          <w:bCs/>
          <w:lang w:val="fr-FR"/>
        </w:rPr>
        <w:t>’</w:t>
      </w:r>
      <w:r w:rsidR="001C481F" w:rsidRPr="001C481F">
        <w:rPr>
          <w:b/>
          <w:bCs/>
          <w:lang w:val="fr-FR"/>
        </w:rPr>
        <w:t>ils puissent veiller au respect de ses prescriptions en la matière</w:t>
      </w:r>
      <w:r w:rsidR="0047269F">
        <w:rPr>
          <w:b/>
          <w:bCs/>
          <w:lang w:val="fr-FR"/>
        </w:rPr>
        <w:t> ;</w:t>
      </w:r>
      <w:r w:rsidR="001C481F" w:rsidRPr="001C481F">
        <w:rPr>
          <w:lang w:val="fr-FR"/>
        </w:rPr>
        <w:t xml:space="preserve"> </w:t>
      </w:r>
    </w:p>
    <w:p w14:paraId="0A57B004" w14:textId="2F6ECF6D" w:rsidR="001C481F" w:rsidRPr="001C481F" w:rsidRDefault="001C481F" w:rsidP="004A42D2">
      <w:pPr>
        <w:pStyle w:val="SingleTxt"/>
        <w:spacing w:line="234" w:lineRule="exact"/>
        <w:rPr>
          <w:b/>
          <w:lang w:val="fr-FR"/>
        </w:rPr>
      </w:pPr>
      <w:r w:rsidRPr="001C481F">
        <w:rPr>
          <w:lang w:val="fr-FR"/>
        </w:rPr>
        <w:tab/>
      </w:r>
      <w:r w:rsidRPr="001C481F">
        <w:rPr>
          <w:b/>
          <w:bCs/>
          <w:lang w:val="fr-FR"/>
        </w:rPr>
        <w:t>b)</w:t>
      </w:r>
      <w:r w:rsidRPr="001C481F">
        <w:rPr>
          <w:lang w:val="fr-FR"/>
        </w:rPr>
        <w:tab/>
      </w:r>
      <w:r w:rsidRPr="001C481F">
        <w:rPr>
          <w:b/>
          <w:bCs/>
          <w:lang w:val="fr-FR"/>
        </w:rPr>
        <w:t>Rende possible le mariage civil et le divorce devant une juridiction civile, au moins dans le cas des mariages civils conclus en dehors de son territoire</w:t>
      </w:r>
      <w:r w:rsidR="0047269F">
        <w:rPr>
          <w:b/>
          <w:bCs/>
          <w:lang w:val="fr-FR"/>
        </w:rPr>
        <w:t> ;</w:t>
      </w:r>
    </w:p>
    <w:p w14:paraId="61083F8D" w14:textId="4779B4E0" w:rsidR="001C481F" w:rsidRPr="001C481F" w:rsidRDefault="001C481F" w:rsidP="004A42D2">
      <w:pPr>
        <w:pStyle w:val="SingleTxt"/>
        <w:spacing w:line="234" w:lineRule="exact"/>
        <w:rPr>
          <w:b/>
          <w:lang w:val="fr-FR"/>
        </w:rPr>
      </w:pPr>
      <w:r w:rsidRPr="001C481F">
        <w:rPr>
          <w:lang w:val="fr-FR"/>
        </w:rPr>
        <w:tab/>
      </w:r>
      <w:r w:rsidRPr="001C481F">
        <w:rPr>
          <w:b/>
          <w:bCs/>
          <w:lang w:val="fr-FR"/>
        </w:rPr>
        <w:t>c)</w:t>
      </w:r>
      <w:r w:rsidRPr="001C481F">
        <w:rPr>
          <w:lang w:val="fr-FR"/>
        </w:rPr>
        <w:tab/>
      </w:r>
      <w:r w:rsidRPr="001C481F">
        <w:rPr>
          <w:b/>
          <w:bCs/>
          <w:lang w:val="fr-FR"/>
        </w:rPr>
        <w:t>Mette les lois religieuses relatives au mariage et au divorce en conformité avec la Convention</w:t>
      </w:r>
      <w:r w:rsidR="0047269F">
        <w:rPr>
          <w:b/>
          <w:bCs/>
          <w:lang w:val="fr-FR"/>
        </w:rPr>
        <w:t> ;</w:t>
      </w:r>
    </w:p>
    <w:p w14:paraId="147AE39C" w14:textId="087E8114" w:rsidR="001C481F" w:rsidRPr="001C481F" w:rsidRDefault="00D55120" w:rsidP="004A42D2">
      <w:pPr>
        <w:pStyle w:val="SingleTxt"/>
        <w:spacing w:line="234" w:lineRule="exact"/>
        <w:rPr>
          <w:b/>
          <w:lang w:val="fr-FR"/>
        </w:rPr>
      </w:pPr>
      <w:r>
        <w:rPr>
          <w:b/>
          <w:bCs/>
          <w:lang w:val="fr-FR"/>
        </w:rPr>
        <w:tab/>
      </w:r>
      <w:r w:rsidR="001C481F" w:rsidRPr="001C481F">
        <w:rPr>
          <w:b/>
          <w:bCs/>
          <w:lang w:val="fr-FR"/>
        </w:rPr>
        <w:t>d)</w:t>
      </w:r>
      <w:r w:rsidR="001C481F" w:rsidRPr="001C481F">
        <w:rPr>
          <w:lang w:val="fr-FR"/>
        </w:rPr>
        <w:tab/>
      </w:r>
      <w:r w:rsidR="001C481F" w:rsidRPr="001C481F">
        <w:rPr>
          <w:b/>
          <w:bCs/>
          <w:lang w:val="fr-FR"/>
        </w:rPr>
        <w:t>Étudie l</w:t>
      </w:r>
      <w:r w:rsidR="0047269F">
        <w:rPr>
          <w:b/>
          <w:bCs/>
          <w:lang w:val="fr-FR"/>
        </w:rPr>
        <w:t>’</w:t>
      </w:r>
      <w:r w:rsidR="001C481F" w:rsidRPr="001C481F">
        <w:rPr>
          <w:b/>
          <w:bCs/>
          <w:lang w:val="fr-FR"/>
        </w:rPr>
        <w:t>incidence de la présomption relative aux enfants en bas âge et de l</w:t>
      </w:r>
      <w:r w:rsidR="0047269F">
        <w:rPr>
          <w:b/>
          <w:bCs/>
          <w:lang w:val="fr-FR"/>
        </w:rPr>
        <w:t>’</w:t>
      </w:r>
      <w:r w:rsidR="001C481F" w:rsidRPr="001C481F">
        <w:rPr>
          <w:b/>
          <w:bCs/>
          <w:lang w:val="fr-FR"/>
        </w:rPr>
        <w:t>introduction de l</w:t>
      </w:r>
      <w:r w:rsidR="0047269F">
        <w:rPr>
          <w:b/>
          <w:bCs/>
          <w:lang w:val="fr-FR"/>
        </w:rPr>
        <w:t>’</w:t>
      </w:r>
      <w:r w:rsidR="001C481F" w:rsidRPr="001C481F">
        <w:rPr>
          <w:b/>
          <w:bCs/>
          <w:lang w:val="fr-FR"/>
        </w:rPr>
        <w:t>exercice en commun de l</w:t>
      </w:r>
      <w:r w:rsidR="0047269F">
        <w:rPr>
          <w:b/>
          <w:bCs/>
          <w:lang w:val="fr-FR"/>
        </w:rPr>
        <w:t>’</w:t>
      </w:r>
      <w:r w:rsidR="001C481F" w:rsidRPr="001C481F">
        <w:rPr>
          <w:b/>
          <w:bCs/>
          <w:lang w:val="fr-FR"/>
        </w:rPr>
        <w:t>autorité parentale</w:t>
      </w:r>
      <w:r w:rsidR="0068052F">
        <w:rPr>
          <w:b/>
          <w:bCs/>
          <w:lang w:val="fr-FR"/>
        </w:rPr>
        <w:t xml:space="preserve"> sur</w:t>
      </w:r>
      <w:r w:rsidR="0047269F">
        <w:rPr>
          <w:b/>
          <w:bCs/>
          <w:lang w:val="fr-FR"/>
        </w:rPr>
        <w:t xml:space="preserve"> </w:t>
      </w:r>
      <w:r w:rsidR="0068052F">
        <w:rPr>
          <w:b/>
          <w:bCs/>
          <w:lang w:val="fr-FR"/>
        </w:rPr>
        <w:t>l’</w:t>
      </w:r>
      <w:r w:rsidR="001C481F" w:rsidRPr="001C481F">
        <w:rPr>
          <w:b/>
          <w:bCs/>
          <w:lang w:val="fr-FR"/>
        </w:rPr>
        <w:t>augmentation du nombre de litiges suscités par la garde des enfants</w:t>
      </w:r>
      <w:r w:rsidR="0068052F">
        <w:rPr>
          <w:b/>
          <w:bCs/>
          <w:lang w:val="fr-FR"/>
        </w:rPr>
        <w:t>, l’</w:t>
      </w:r>
      <w:r w:rsidR="001C481F" w:rsidRPr="001C481F">
        <w:rPr>
          <w:b/>
          <w:bCs/>
          <w:lang w:val="fr-FR"/>
        </w:rPr>
        <w:t>aggravation de la pauvreté parmi les ménages dirigés par une femme</w:t>
      </w:r>
      <w:r w:rsidR="0068052F">
        <w:rPr>
          <w:b/>
          <w:bCs/>
          <w:lang w:val="fr-FR"/>
        </w:rPr>
        <w:t xml:space="preserve"> et</w:t>
      </w:r>
      <w:r w:rsidR="001C481F" w:rsidRPr="001C481F">
        <w:rPr>
          <w:b/>
          <w:bCs/>
          <w:lang w:val="fr-FR"/>
        </w:rPr>
        <w:t xml:space="preserve"> </w:t>
      </w:r>
      <w:r w:rsidR="0068052F">
        <w:rPr>
          <w:b/>
          <w:bCs/>
          <w:lang w:val="fr-FR"/>
        </w:rPr>
        <w:t>l’</w:t>
      </w:r>
      <w:r w:rsidR="001C481F" w:rsidRPr="001C481F">
        <w:rPr>
          <w:b/>
          <w:bCs/>
          <w:lang w:val="fr-FR"/>
        </w:rPr>
        <w:t>utilisation faite par les hommes de la garde conjointe ou de la menace d</w:t>
      </w:r>
      <w:r w:rsidR="0047269F">
        <w:rPr>
          <w:b/>
          <w:bCs/>
          <w:lang w:val="fr-FR"/>
        </w:rPr>
        <w:t>’</w:t>
      </w:r>
      <w:r w:rsidR="001C481F" w:rsidRPr="001C481F">
        <w:rPr>
          <w:b/>
          <w:bCs/>
          <w:lang w:val="fr-FR"/>
        </w:rPr>
        <w:t>y avoir recours pour extorquer des concessions aux femmes</w:t>
      </w:r>
      <w:r w:rsidR="0047269F">
        <w:rPr>
          <w:b/>
          <w:bCs/>
          <w:lang w:val="fr-FR"/>
        </w:rPr>
        <w:t> ;</w:t>
      </w:r>
    </w:p>
    <w:p w14:paraId="497A93EA" w14:textId="484017D3" w:rsidR="001C481F" w:rsidRDefault="00D55120" w:rsidP="004A42D2">
      <w:pPr>
        <w:pStyle w:val="SingleTxt"/>
        <w:spacing w:line="234" w:lineRule="exact"/>
        <w:rPr>
          <w:lang w:val="fr-FR"/>
        </w:rPr>
      </w:pPr>
      <w:r>
        <w:rPr>
          <w:b/>
          <w:bCs/>
          <w:lang w:val="fr-FR"/>
        </w:rPr>
        <w:tab/>
      </w:r>
      <w:r w:rsidR="001C481F" w:rsidRPr="001C481F">
        <w:rPr>
          <w:b/>
          <w:bCs/>
          <w:lang w:val="fr-FR"/>
        </w:rPr>
        <w:t>e)</w:t>
      </w:r>
      <w:r w:rsidR="001C481F" w:rsidRPr="001C481F">
        <w:rPr>
          <w:lang w:val="fr-FR"/>
        </w:rPr>
        <w:tab/>
      </w:r>
      <w:r w:rsidR="001C481F" w:rsidRPr="001C481F">
        <w:rPr>
          <w:b/>
          <w:bCs/>
          <w:lang w:val="fr-FR"/>
        </w:rPr>
        <w:t>Redouble d</w:t>
      </w:r>
      <w:r w:rsidR="0047269F">
        <w:rPr>
          <w:b/>
          <w:bCs/>
          <w:lang w:val="fr-FR"/>
        </w:rPr>
        <w:t>’</w:t>
      </w:r>
      <w:r w:rsidR="001C481F" w:rsidRPr="001C481F">
        <w:rPr>
          <w:b/>
          <w:bCs/>
          <w:lang w:val="fr-FR"/>
        </w:rPr>
        <w:t>efforts pour faire respecter l</w:t>
      </w:r>
      <w:r w:rsidR="0047269F">
        <w:rPr>
          <w:b/>
          <w:bCs/>
          <w:lang w:val="fr-FR"/>
        </w:rPr>
        <w:t>’</w:t>
      </w:r>
      <w:r w:rsidR="001C481F" w:rsidRPr="001C481F">
        <w:rPr>
          <w:b/>
          <w:bCs/>
          <w:lang w:val="fr-FR"/>
        </w:rPr>
        <w:t>interdiction de la polygamie, de la bigamie et de l</w:t>
      </w:r>
      <w:r w:rsidR="0047269F">
        <w:rPr>
          <w:b/>
          <w:bCs/>
          <w:lang w:val="fr-FR"/>
        </w:rPr>
        <w:t>’</w:t>
      </w:r>
      <w:r w:rsidR="001C481F" w:rsidRPr="001C481F">
        <w:rPr>
          <w:b/>
          <w:bCs/>
          <w:lang w:val="fr-FR"/>
        </w:rPr>
        <w:t>annulation rétroactive des divorces, en appliquant de manière stricte les sanctions prévues par le droit civil et en mettant sur pied des programmes d</w:t>
      </w:r>
      <w:r w:rsidR="0047269F">
        <w:rPr>
          <w:b/>
          <w:bCs/>
          <w:lang w:val="fr-FR"/>
        </w:rPr>
        <w:t>’</w:t>
      </w:r>
      <w:r w:rsidR="001C481F" w:rsidRPr="001C481F">
        <w:rPr>
          <w:b/>
          <w:bCs/>
          <w:lang w:val="fr-FR"/>
        </w:rPr>
        <w:t>éducation et de sensibilisation.</w:t>
      </w:r>
      <w:r w:rsidR="001C481F" w:rsidRPr="001C481F">
        <w:rPr>
          <w:lang w:val="fr-FR"/>
        </w:rPr>
        <w:t xml:space="preserve"> </w:t>
      </w:r>
    </w:p>
    <w:p w14:paraId="2C20BF2F" w14:textId="4DA7CB46" w:rsidR="00D55120" w:rsidRPr="00D55120" w:rsidRDefault="00D55120" w:rsidP="00D55120">
      <w:pPr>
        <w:pStyle w:val="SingleTxt"/>
        <w:spacing w:after="0" w:line="120" w:lineRule="exact"/>
        <w:rPr>
          <w:sz w:val="10"/>
          <w:lang w:val="fr-FR"/>
        </w:rPr>
      </w:pPr>
    </w:p>
    <w:p w14:paraId="7E895358" w14:textId="71ED6FBC" w:rsidR="001C481F" w:rsidRDefault="001C481F" w:rsidP="00D551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481F">
        <w:rPr>
          <w:lang w:val="fr-FR"/>
        </w:rPr>
        <w:tab/>
      </w:r>
      <w:r w:rsidRPr="001C481F">
        <w:rPr>
          <w:lang w:val="fr-FR"/>
        </w:rPr>
        <w:tab/>
        <w:t>Protocole facultatif à la Convention et modification du paragraphe 1</w:t>
      </w:r>
      <w:r w:rsidR="00D55120">
        <w:rPr>
          <w:lang w:val="fr-FR"/>
        </w:rPr>
        <w:t xml:space="preserve"> de l</w:t>
      </w:r>
      <w:r w:rsidR="0047269F">
        <w:rPr>
          <w:lang w:val="fr-FR"/>
        </w:rPr>
        <w:t>’</w:t>
      </w:r>
      <w:r w:rsidR="00D55120">
        <w:rPr>
          <w:lang w:val="fr-FR"/>
        </w:rPr>
        <w:t>article</w:t>
      </w:r>
      <w:r w:rsidR="00DF3673">
        <w:rPr>
          <w:lang w:val="fr-FR"/>
        </w:rPr>
        <w:t> </w:t>
      </w:r>
      <w:r w:rsidRPr="001C481F">
        <w:rPr>
          <w:lang w:val="fr-FR"/>
        </w:rPr>
        <w:t xml:space="preserve">20 de la Convention </w:t>
      </w:r>
    </w:p>
    <w:p w14:paraId="1E382465" w14:textId="00B345B9" w:rsidR="00D55120" w:rsidRPr="00D55120" w:rsidRDefault="00D55120" w:rsidP="00D55120">
      <w:pPr>
        <w:pStyle w:val="SingleTxt"/>
        <w:spacing w:after="0" w:line="120" w:lineRule="exact"/>
        <w:rPr>
          <w:sz w:val="10"/>
          <w:lang w:val="fr-FR"/>
        </w:rPr>
      </w:pPr>
    </w:p>
    <w:p w14:paraId="754F40EA" w14:textId="0AD98BCC" w:rsidR="001C481F" w:rsidRPr="00D55120" w:rsidRDefault="001C481F" w:rsidP="00D55120">
      <w:pPr>
        <w:pStyle w:val="SingleTxt"/>
        <w:numPr>
          <w:ilvl w:val="0"/>
          <w:numId w:val="24"/>
        </w:numPr>
        <w:spacing w:line="240" w:lineRule="exact"/>
        <w:rPr>
          <w:b/>
          <w:lang w:val="fr-FR"/>
        </w:rPr>
      </w:pPr>
      <w:r w:rsidRPr="001C481F">
        <w:rPr>
          <w:b/>
          <w:bCs/>
          <w:lang w:val="fr-FR"/>
        </w:rPr>
        <w:lastRenderedPageBreak/>
        <w:t>Le Comité engage l</w:t>
      </w:r>
      <w:r w:rsidR="0047269F">
        <w:rPr>
          <w:b/>
          <w:bCs/>
          <w:lang w:val="fr-FR"/>
        </w:rPr>
        <w:t>’</w:t>
      </w:r>
      <w:r w:rsidRPr="001C481F">
        <w:rPr>
          <w:b/>
          <w:bCs/>
          <w:lang w:val="fr-FR"/>
        </w:rPr>
        <w:t>État partie à ratifier le Protocole facultatif se rapportant à la Convention et à approuver dès que possible la modification du paragraphe 1 de l</w:t>
      </w:r>
      <w:r w:rsidR="0047269F">
        <w:rPr>
          <w:b/>
          <w:bCs/>
          <w:lang w:val="fr-FR"/>
        </w:rPr>
        <w:t>’</w:t>
      </w:r>
      <w:r w:rsidRPr="001C481F">
        <w:rPr>
          <w:b/>
          <w:bCs/>
          <w:lang w:val="fr-FR"/>
        </w:rPr>
        <w:t>article 20 de la Convention, relatif à son nombre de jours de réunion.</w:t>
      </w:r>
    </w:p>
    <w:p w14:paraId="3AB825AA" w14:textId="53BE4092" w:rsidR="00D55120" w:rsidRPr="00D55120" w:rsidRDefault="00D55120" w:rsidP="00D55120">
      <w:pPr>
        <w:pStyle w:val="SingleTxt"/>
        <w:spacing w:after="0" w:line="120" w:lineRule="exact"/>
        <w:rPr>
          <w:b/>
          <w:sz w:val="10"/>
          <w:lang w:val="fr-FR"/>
        </w:rPr>
      </w:pPr>
    </w:p>
    <w:p w14:paraId="7C7A4B36" w14:textId="3B27A46F" w:rsidR="001C481F" w:rsidRPr="001C481F" w:rsidRDefault="001C481F" w:rsidP="00D551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481F">
        <w:rPr>
          <w:lang w:val="fr-FR"/>
        </w:rPr>
        <w:tab/>
      </w:r>
      <w:r w:rsidRPr="001C481F">
        <w:rPr>
          <w:lang w:val="fr-FR"/>
        </w:rPr>
        <w:tab/>
        <w:t>Déclaration et Programme d</w:t>
      </w:r>
      <w:r w:rsidR="0047269F">
        <w:rPr>
          <w:lang w:val="fr-FR"/>
        </w:rPr>
        <w:t>’</w:t>
      </w:r>
      <w:r w:rsidRPr="001C481F">
        <w:rPr>
          <w:lang w:val="fr-FR"/>
        </w:rPr>
        <w:t xml:space="preserve">action de Beijing </w:t>
      </w:r>
    </w:p>
    <w:p w14:paraId="16191CA5" w14:textId="0273BDDB" w:rsidR="00D55120" w:rsidRPr="00D55120" w:rsidRDefault="00D55120" w:rsidP="00D55120">
      <w:pPr>
        <w:pStyle w:val="SingleTxt"/>
        <w:spacing w:after="0" w:line="120" w:lineRule="exact"/>
        <w:rPr>
          <w:sz w:val="10"/>
          <w:lang w:val="fr-FR"/>
        </w:rPr>
      </w:pPr>
    </w:p>
    <w:p w14:paraId="7AA460B5" w14:textId="5F7C5BD4" w:rsidR="001C481F" w:rsidRPr="00D55120" w:rsidRDefault="001C481F" w:rsidP="00D55120">
      <w:pPr>
        <w:pStyle w:val="SingleTxt"/>
        <w:numPr>
          <w:ilvl w:val="0"/>
          <w:numId w:val="25"/>
        </w:numPr>
        <w:spacing w:line="240" w:lineRule="exact"/>
        <w:rPr>
          <w:b/>
          <w:lang w:val="fr-FR"/>
        </w:rPr>
      </w:pPr>
      <w:r w:rsidRPr="001C481F">
        <w:rPr>
          <w:b/>
          <w:bCs/>
          <w:lang w:val="fr-FR"/>
        </w:rPr>
        <w:t>Le Comité demande à l</w:t>
      </w:r>
      <w:r w:rsidR="0047269F">
        <w:rPr>
          <w:b/>
          <w:bCs/>
          <w:lang w:val="fr-FR"/>
        </w:rPr>
        <w:t>’</w:t>
      </w:r>
      <w:r w:rsidRPr="001C481F">
        <w:rPr>
          <w:b/>
          <w:bCs/>
          <w:lang w:val="fr-FR"/>
        </w:rPr>
        <w:t>État partie de faire usage de la Déclaration et du Programme d</w:t>
      </w:r>
      <w:r w:rsidR="0047269F">
        <w:rPr>
          <w:b/>
          <w:bCs/>
          <w:lang w:val="fr-FR"/>
        </w:rPr>
        <w:t>’</w:t>
      </w:r>
      <w:r w:rsidRPr="001C481F">
        <w:rPr>
          <w:b/>
          <w:bCs/>
          <w:lang w:val="fr-FR"/>
        </w:rPr>
        <w:t>action de Beijing dans ses initiatives visant à mettre en œuvre les dispositions de la Convention.</w:t>
      </w:r>
    </w:p>
    <w:p w14:paraId="63120853" w14:textId="44DD8E47" w:rsidR="00D55120" w:rsidRPr="00D55120" w:rsidRDefault="00D55120" w:rsidP="00D55120">
      <w:pPr>
        <w:pStyle w:val="SingleTxt"/>
        <w:spacing w:after="0" w:line="120" w:lineRule="exact"/>
        <w:rPr>
          <w:b/>
          <w:bCs/>
          <w:sz w:val="10"/>
          <w:lang w:val="fr-FR"/>
        </w:rPr>
      </w:pPr>
    </w:p>
    <w:p w14:paraId="0F1EF6F8" w14:textId="49559D73" w:rsidR="001C481F" w:rsidRPr="001C481F" w:rsidRDefault="001C481F" w:rsidP="00D551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481F">
        <w:rPr>
          <w:lang w:val="fr-FR"/>
        </w:rPr>
        <w:tab/>
      </w:r>
      <w:r w:rsidRPr="001C481F">
        <w:rPr>
          <w:lang w:val="fr-FR"/>
        </w:rPr>
        <w:tab/>
        <w:t>Programme de développement durable à l</w:t>
      </w:r>
      <w:r w:rsidR="0047269F">
        <w:rPr>
          <w:lang w:val="fr-FR"/>
        </w:rPr>
        <w:t>’</w:t>
      </w:r>
      <w:r w:rsidRPr="001C481F">
        <w:rPr>
          <w:lang w:val="fr-FR"/>
        </w:rPr>
        <w:t xml:space="preserve">horizon 2030 </w:t>
      </w:r>
    </w:p>
    <w:p w14:paraId="1BEDE52A" w14:textId="451EA3EC" w:rsidR="00D55120" w:rsidRPr="00D55120" w:rsidRDefault="00D55120" w:rsidP="00D55120">
      <w:pPr>
        <w:pStyle w:val="SingleTxt"/>
        <w:spacing w:after="0" w:line="120" w:lineRule="exact"/>
        <w:rPr>
          <w:sz w:val="10"/>
          <w:lang w:val="fr-FR"/>
        </w:rPr>
      </w:pPr>
    </w:p>
    <w:p w14:paraId="31F53B45" w14:textId="515AB039" w:rsidR="001C481F" w:rsidRPr="00D55120" w:rsidRDefault="001C481F" w:rsidP="00D55120">
      <w:pPr>
        <w:pStyle w:val="SingleTxt"/>
        <w:numPr>
          <w:ilvl w:val="0"/>
          <w:numId w:val="26"/>
        </w:numPr>
        <w:spacing w:line="240" w:lineRule="exact"/>
        <w:rPr>
          <w:b/>
          <w:lang w:val="fr-FR"/>
        </w:rPr>
      </w:pPr>
      <w:r w:rsidRPr="001C481F">
        <w:rPr>
          <w:b/>
          <w:bCs/>
          <w:lang w:val="fr-FR"/>
        </w:rPr>
        <w:t>Le Comité demande que la mise en œuvre du programme de développement durable à l</w:t>
      </w:r>
      <w:r w:rsidR="0047269F">
        <w:rPr>
          <w:b/>
          <w:bCs/>
          <w:lang w:val="fr-FR"/>
        </w:rPr>
        <w:t>’</w:t>
      </w:r>
      <w:r w:rsidRPr="001C481F">
        <w:rPr>
          <w:b/>
          <w:bCs/>
          <w:lang w:val="fr-FR"/>
        </w:rPr>
        <w:t>horizon 2030 se fasse dans le respect d</w:t>
      </w:r>
      <w:r w:rsidR="0047269F">
        <w:rPr>
          <w:b/>
          <w:bCs/>
          <w:lang w:val="fr-FR"/>
        </w:rPr>
        <w:t>’</w:t>
      </w:r>
      <w:r w:rsidRPr="001C481F">
        <w:rPr>
          <w:b/>
          <w:bCs/>
          <w:lang w:val="fr-FR"/>
        </w:rPr>
        <w:t>une véritable égalité des sexes, conformément aux dispositions de la Convention.</w:t>
      </w:r>
    </w:p>
    <w:p w14:paraId="1F291DFA" w14:textId="1ADF9E6B" w:rsidR="00D55120" w:rsidRPr="00D55120" w:rsidRDefault="00D55120" w:rsidP="00D55120">
      <w:pPr>
        <w:pStyle w:val="SingleTxt"/>
        <w:spacing w:after="0" w:line="120" w:lineRule="exact"/>
        <w:rPr>
          <w:b/>
          <w:bCs/>
          <w:sz w:val="10"/>
          <w:lang w:val="fr-FR"/>
        </w:rPr>
      </w:pPr>
    </w:p>
    <w:p w14:paraId="27EFA23B" w14:textId="77777777" w:rsidR="001C481F" w:rsidRPr="001C481F" w:rsidRDefault="001C481F" w:rsidP="00D551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481F">
        <w:rPr>
          <w:lang w:val="fr-FR"/>
        </w:rPr>
        <w:tab/>
      </w:r>
      <w:r w:rsidRPr="001C481F">
        <w:rPr>
          <w:lang w:val="fr-FR"/>
        </w:rPr>
        <w:tab/>
        <w:t>Diffusion</w:t>
      </w:r>
    </w:p>
    <w:p w14:paraId="307F0661" w14:textId="0C5D5146" w:rsidR="00D55120" w:rsidRPr="00D55120" w:rsidRDefault="00D55120" w:rsidP="00D55120">
      <w:pPr>
        <w:pStyle w:val="SingleTxt"/>
        <w:spacing w:after="0" w:line="120" w:lineRule="exact"/>
        <w:rPr>
          <w:sz w:val="10"/>
          <w:lang w:val="fr-FR"/>
        </w:rPr>
      </w:pPr>
    </w:p>
    <w:p w14:paraId="2F2F74F2" w14:textId="64D699B4" w:rsidR="001C481F" w:rsidRPr="00D55120" w:rsidRDefault="001C481F" w:rsidP="00D55120">
      <w:pPr>
        <w:pStyle w:val="SingleTxt"/>
        <w:numPr>
          <w:ilvl w:val="0"/>
          <w:numId w:val="27"/>
        </w:numPr>
        <w:spacing w:line="240" w:lineRule="exact"/>
        <w:rPr>
          <w:b/>
          <w:lang w:val="fr-FR"/>
        </w:rPr>
      </w:pPr>
      <w:r w:rsidRPr="001C481F">
        <w:rPr>
          <w:b/>
          <w:bCs/>
          <w:lang w:val="fr-FR"/>
        </w:rPr>
        <w:t>Le Comité demande à l</w:t>
      </w:r>
      <w:r w:rsidR="0047269F">
        <w:rPr>
          <w:b/>
          <w:bCs/>
          <w:lang w:val="fr-FR"/>
        </w:rPr>
        <w:t>’</w:t>
      </w:r>
      <w:r w:rsidRPr="001C481F">
        <w:rPr>
          <w:b/>
          <w:bCs/>
          <w:lang w:val="fr-FR"/>
        </w:rPr>
        <w:t xml:space="preserve">État partie de faire diffuser rapidement les présentes observations finales dans </w:t>
      </w:r>
      <w:r w:rsidR="00AF64D6" w:rsidRPr="001C481F">
        <w:rPr>
          <w:b/>
          <w:bCs/>
          <w:lang w:val="fr-FR"/>
        </w:rPr>
        <w:t>l</w:t>
      </w:r>
      <w:r w:rsidR="00AF64D6">
        <w:rPr>
          <w:b/>
          <w:bCs/>
          <w:lang w:val="fr-FR"/>
        </w:rPr>
        <w:t>es</w:t>
      </w:r>
      <w:r w:rsidR="00AF64D6" w:rsidRPr="001C481F">
        <w:rPr>
          <w:b/>
          <w:bCs/>
          <w:lang w:val="fr-FR"/>
        </w:rPr>
        <w:t xml:space="preserve"> </w:t>
      </w:r>
      <w:r w:rsidRPr="001C481F">
        <w:rPr>
          <w:b/>
          <w:bCs/>
          <w:lang w:val="fr-FR"/>
        </w:rPr>
        <w:t>langue</w:t>
      </w:r>
      <w:r w:rsidR="00AF64D6">
        <w:rPr>
          <w:b/>
          <w:bCs/>
          <w:lang w:val="fr-FR"/>
        </w:rPr>
        <w:t>s</w:t>
      </w:r>
      <w:r w:rsidRPr="001C481F">
        <w:rPr>
          <w:b/>
          <w:bCs/>
          <w:lang w:val="fr-FR"/>
        </w:rPr>
        <w:t xml:space="preserve"> officielle</w:t>
      </w:r>
      <w:r w:rsidR="00AF64D6">
        <w:rPr>
          <w:b/>
          <w:bCs/>
          <w:lang w:val="fr-FR"/>
        </w:rPr>
        <w:t>s</w:t>
      </w:r>
      <w:r w:rsidRPr="001C481F">
        <w:rPr>
          <w:b/>
          <w:bCs/>
          <w:lang w:val="fr-FR"/>
        </w:rPr>
        <w:t xml:space="preserve"> de l</w:t>
      </w:r>
      <w:r w:rsidR="0047269F">
        <w:rPr>
          <w:b/>
          <w:bCs/>
          <w:lang w:val="fr-FR"/>
        </w:rPr>
        <w:t>’</w:t>
      </w:r>
      <w:r w:rsidRPr="001C481F">
        <w:rPr>
          <w:b/>
          <w:bCs/>
          <w:lang w:val="fr-FR"/>
        </w:rPr>
        <w:t>État partie, auprès des institutions étatiques compétentes à tous les niveaux (national, régional et local), en particulier auprès du Gouvernement, des ministères, du Parlement et du système judiciaire, afin qu</w:t>
      </w:r>
      <w:r w:rsidR="0047269F">
        <w:rPr>
          <w:b/>
          <w:bCs/>
          <w:lang w:val="fr-FR"/>
        </w:rPr>
        <w:t>’</w:t>
      </w:r>
      <w:r w:rsidRPr="001C481F">
        <w:rPr>
          <w:b/>
          <w:bCs/>
          <w:lang w:val="fr-FR"/>
        </w:rPr>
        <w:t>elles soient appliquées dans leur intégralité.</w:t>
      </w:r>
    </w:p>
    <w:p w14:paraId="334A0107" w14:textId="4ECCB6BD" w:rsidR="00D55120" w:rsidRPr="00D55120" w:rsidRDefault="00D55120" w:rsidP="00D55120">
      <w:pPr>
        <w:pStyle w:val="SingleTxt"/>
        <w:spacing w:after="0" w:line="120" w:lineRule="exact"/>
        <w:rPr>
          <w:b/>
          <w:bCs/>
          <w:sz w:val="10"/>
          <w:lang w:val="fr-FR"/>
        </w:rPr>
      </w:pPr>
    </w:p>
    <w:p w14:paraId="4AA634A4" w14:textId="49BF4FAB" w:rsidR="001C481F" w:rsidRPr="001C481F" w:rsidRDefault="001C481F" w:rsidP="00D551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481F">
        <w:rPr>
          <w:lang w:val="fr-FR"/>
        </w:rPr>
        <w:tab/>
      </w:r>
      <w:r w:rsidRPr="001C481F">
        <w:rPr>
          <w:lang w:val="fr-FR"/>
        </w:rPr>
        <w:tab/>
        <w:t>Ratification d</w:t>
      </w:r>
      <w:r w:rsidR="0047269F">
        <w:rPr>
          <w:lang w:val="fr-FR"/>
        </w:rPr>
        <w:t>’</w:t>
      </w:r>
      <w:r w:rsidRPr="001C481F">
        <w:rPr>
          <w:lang w:val="fr-FR"/>
        </w:rPr>
        <w:t xml:space="preserve">autres instruments </w:t>
      </w:r>
    </w:p>
    <w:p w14:paraId="534242D1" w14:textId="78767CE8" w:rsidR="00D55120" w:rsidRPr="00D55120" w:rsidRDefault="00D55120" w:rsidP="00D55120">
      <w:pPr>
        <w:pStyle w:val="SingleTxt"/>
        <w:spacing w:after="0" w:line="120" w:lineRule="exact"/>
        <w:rPr>
          <w:sz w:val="10"/>
          <w:lang w:val="fr-FR"/>
        </w:rPr>
      </w:pPr>
    </w:p>
    <w:p w14:paraId="653E516A" w14:textId="3976CB2B" w:rsidR="001C481F" w:rsidRPr="00DF3673" w:rsidRDefault="001C481F" w:rsidP="00D55120">
      <w:pPr>
        <w:pStyle w:val="SingleTxt"/>
        <w:numPr>
          <w:ilvl w:val="0"/>
          <w:numId w:val="28"/>
        </w:numPr>
        <w:spacing w:line="240" w:lineRule="exact"/>
        <w:rPr>
          <w:b/>
          <w:bCs/>
          <w:lang w:val="fr-FR"/>
        </w:rPr>
      </w:pPr>
      <w:r w:rsidRPr="00DF3673">
        <w:rPr>
          <w:b/>
          <w:bCs/>
          <w:lang w:val="fr-FR"/>
        </w:rPr>
        <w:t>Le Comité souligne que l</w:t>
      </w:r>
      <w:r w:rsidR="0047269F" w:rsidRPr="00DF3673">
        <w:rPr>
          <w:b/>
          <w:bCs/>
          <w:lang w:val="fr-FR"/>
        </w:rPr>
        <w:t>’</w:t>
      </w:r>
      <w:r w:rsidRPr="00DF3673">
        <w:rPr>
          <w:b/>
          <w:bCs/>
          <w:lang w:val="fr-FR"/>
        </w:rPr>
        <w:t>adhésion de l</w:t>
      </w:r>
      <w:r w:rsidR="0047269F" w:rsidRPr="00DF3673">
        <w:rPr>
          <w:b/>
          <w:bCs/>
          <w:lang w:val="fr-FR"/>
        </w:rPr>
        <w:t>’</w:t>
      </w:r>
      <w:r w:rsidRPr="00DF3673">
        <w:rPr>
          <w:b/>
          <w:bCs/>
          <w:lang w:val="fr-FR"/>
        </w:rPr>
        <w:t>État partie aux neuf principaux instruments internationaux relatifs aux droits de l</w:t>
      </w:r>
      <w:r w:rsidR="0047269F" w:rsidRPr="00DF3673">
        <w:rPr>
          <w:b/>
          <w:bCs/>
          <w:lang w:val="fr-FR"/>
        </w:rPr>
        <w:t>’</w:t>
      </w:r>
      <w:r w:rsidRPr="00DF3673">
        <w:rPr>
          <w:b/>
          <w:bCs/>
          <w:lang w:val="fr-FR"/>
        </w:rPr>
        <w:t>homme contribuerait à promouvoir l</w:t>
      </w:r>
      <w:r w:rsidR="0047269F" w:rsidRPr="00DF3673">
        <w:rPr>
          <w:b/>
          <w:bCs/>
          <w:lang w:val="fr-FR"/>
        </w:rPr>
        <w:t>’</w:t>
      </w:r>
      <w:r w:rsidRPr="00DF3673">
        <w:rPr>
          <w:b/>
          <w:bCs/>
          <w:lang w:val="fr-FR"/>
        </w:rPr>
        <w:t>exercice effectif des droits individuels et libertés fondamentales par les femmes dans tous les aspects de la vie. C</w:t>
      </w:r>
      <w:r w:rsidR="0047269F" w:rsidRPr="00DF3673">
        <w:rPr>
          <w:b/>
          <w:bCs/>
          <w:lang w:val="fr-FR"/>
        </w:rPr>
        <w:t>’</w:t>
      </w:r>
      <w:r w:rsidRPr="00DF3673">
        <w:rPr>
          <w:b/>
          <w:bCs/>
          <w:lang w:val="fr-FR"/>
        </w:rPr>
        <w:t>est pourquoi il encourage l</w:t>
      </w:r>
      <w:r w:rsidR="0047269F" w:rsidRPr="00DF3673">
        <w:rPr>
          <w:b/>
          <w:bCs/>
          <w:lang w:val="fr-FR"/>
        </w:rPr>
        <w:t>’</w:t>
      </w:r>
      <w:r w:rsidRPr="00DF3673">
        <w:rPr>
          <w:b/>
          <w:bCs/>
          <w:lang w:val="fr-FR"/>
        </w:rPr>
        <w:t>État partie à envisager de ratifier la Convention internationale sur la protection des droits de tous les travailleurs migrants et des membres de leur famille et la Convention internationale pour la protection de toutes les personnes contre les disparitions forcées, auxquelles il n</w:t>
      </w:r>
      <w:r w:rsidR="0047269F" w:rsidRPr="00DF3673">
        <w:rPr>
          <w:b/>
          <w:bCs/>
          <w:lang w:val="fr-FR"/>
        </w:rPr>
        <w:t>’</w:t>
      </w:r>
      <w:r w:rsidRPr="00DF3673">
        <w:rPr>
          <w:b/>
          <w:bCs/>
          <w:lang w:val="fr-FR"/>
        </w:rPr>
        <w:t>est pas encore partie.</w:t>
      </w:r>
    </w:p>
    <w:p w14:paraId="6248541E" w14:textId="74FD838E" w:rsidR="00D55120" w:rsidRPr="00D55120" w:rsidRDefault="00D55120" w:rsidP="00D55120">
      <w:pPr>
        <w:pStyle w:val="SingleTxt"/>
        <w:spacing w:after="0" w:line="120" w:lineRule="exact"/>
        <w:rPr>
          <w:b/>
          <w:sz w:val="10"/>
          <w:lang w:val="fr-FR"/>
        </w:rPr>
      </w:pPr>
    </w:p>
    <w:p w14:paraId="22C6478C" w14:textId="77777777" w:rsidR="001C481F" w:rsidRPr="001C481F" w:rsidRDefault="001C481F" w:rsidP="00D551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481F">
        <w:rPr>
          <w:lang w:val="fr-FR"/>
        </w:rPr>
        <w:tab/>
      </w:r>
      <w:r w:rsidRPr="001C481F">
        <w:rPr>
          <w:lang w:val="fr-FR"/>
        </w:rPr>
        <w:tab/>
        <w:t>Suivi des observations finales</w:t>
      </w:r>
    </w:p>
    <w:p w14:paraId="47ABD651" w14:textId="1CBF83CD" w:rsidR="00D55120" w:rsidRPr="00D55120" w:rsidRDefault="00D55120" w:rsidP="002012DE">
      <w:pPr>
        <w:pStyle w:val="SingleTxt"/>
        <w:keepNext/>
        <w:spacing w:after="0" w:line="120" w:lineRule="exact"/>
        <w:rPr>
          <w:sz w:val="10"/>
          <w:lang w:val="fr-FR"/>
        </w:rPr>
      </w:pPr>
    </w:p>
    <w:p w14:paraId="2BB378E3" w14:textId="1633395C" w:rsidR="001C481F" w:rsidRDefault="001C481F" w:rsidP="00D55120">
      <w:pPr>
        <w:pStyle w:val="SingleTxt"/>
        <w:numPr>
          <w:ilvl w:val="0"/>
          <w:numId w:val="29"/>
        </w:numPr>
        <w:spacing w:line="240" w:lineRule="exact"/>
        <w:rPr>
          <w:b/>
          <w:bCs/>
          <w:lang w:val="fr-FR"/>
        </w:rPr>
      </w:pPr>
      <w:r w:rsidRPr="00D55120">
        <w:rPr>
          <w:b/>
          <w:bCs/>
          <w:lang w:val="fr-FR"/>
        </w:rPr>
        <w:t>Le Comité prie l</w:t>
      </w:r>
      <w:r w:rsidR="0047269F">
        <w:rPr>
          <w:b/>
          <w:bCs/>
          <w:lang w:val="fr-FR"/>
        </w:rPr>
        <w:t>’</w:t>
      </w:r>
      <w:r w:rsidRPr="00D55120">
        <w:rPr>
          <w:b/>
          <w:bCs/>
          <w:lang w:val="fr-FR"/>
        </w:rPr>
        <w:t>État partie de fournir, dans un délai de deux ans, des renseignements écrits sur les mesures prises pour appliquer les recommandations formulées aux paragraphes 13 a), 53 et 57 a) et b) ci-dessus.</w:t>
      </w:r>
    </w:p>
    <w:p w14:paraId="443DDAA6" w14:textId="099D9DA3" w:rsidR="00D55120" w:rsidRPr="00D55120" w:rsidRDefault="00D55120" w:rsidP="00D55120">
      <w:pPr>
        <w:pStyle w:val="SingleTxt"/>
        <w:spacing w:after="0" w:line="120" w:lineRule="exact"/>
        <w:rPr>
          <w:b/>
          <w:bCs/>
          <w:sz w:val="10"/>
          <w:lang w:val="fr-FR"/>
        </w:rPr>
      </w:pPr>
    </w:p>
    <w:p w14:paraId="1F316AB1" w14:textId="332D1C7A" w:rsidR="001C481F" w:rsidRDefault="001C481F" w:rsidP="00D551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481F">
        <w:rPr>
          <w:lang w:val="fr-FR"/>
        </w:rPr>
        <w:tab/>
      </w:r>
      <w:r w:rsidRPr="001C481F">
        <w:rPr>
          <w:lang w:val="fr-FR"/>
        </w:rPr>
        <w:tab/>
        <w:t xml:space="preserve">Établissement du prochain rapport </w:t>
      </w:r>
    </w:p>
    <w:p w14:paraId="64AA3595" w14:textId="0A5CD3E4" w:rsidR="00D55120" w:rsidRPr="00D55120" w:rsidRDefault="00D55120" w:rsidP="00D55120">
      <w:pPr>
        <w:pStyle w:val="SingleTxt"/>
        <w:spacing w:after="0" w:line="120" w:lineRule="exact"/>
        <w:rPr>
          <w:sz w:val="10"/>
          <w:lang w:val="fr-FR"/>
        </w:rPr>
      </w:pPr>
    </w:p>
    <w:p w14:paraId="45D6D40E" w14:textId="26CAD4A8" w:rsidR="001C481F" w:rsidRPr="001C481F" w:rsidRDefault="001C481F" w:rsidP="00D55120">
      <w:pPr>
        <w:pStyle w:val="SingleTxt"/>
        <w:numPr>
          <w:ilvl w:val="0"/>
          <w:numId w:val="30"/>
        </w:numPr>
        <w:spacing w:line="240" w:lineRule="exact"/>
        <w:rPr>
          <w:lang w:val="fr-FR"/>
        </w:rPr>
      </w:pPr>
      <w:r w:rsidRPr="00D55120">
        <w:rPr>
          <w:b/>
          <w:bCs/>
          <w:lang w:val="fr-FR"/>
        </w:rPr>
        <w:t>Le Comité invite l</w:t>
      </w:r>
      <w:r w:rsidR="0047269F">
        <w:rPr>
          <w:b/>
          <w:bCs/>
          <w:lang w:val="fr-FR"/>
        </w:rPr>
        <w:t>’</w:t>
      </w:r>
      <w:r w:rsidRPr="00D55120">
        <w:rPr>
          <w:b/>
          <w:bCs/>
          <w:lang w:val="fr-FR"/>
        </w:rPr>
        <w:t xml:space="preserve">État partie à soumettre son </w:t>
      </w:r>
      <w:r w:rsidR="00AF64D6">
        <w:rPr>
          <w:b/>
          <w:bCs/>
          <w:lang w:val="fr-FR"/>
        </w:rPr>
        <w:t>septième</w:t>
      </w:r>
      <w:r w:rsidR="00AF64D6" w:rsidRPr="00D55120">
        <w:rPr>
          <w:b/>
          <w:bCs/>
          <w:lang w:val="fr-FR"/>
        </w:rPr>
        <w:t xml:space="preserve"> </w:t>
      </w:r>
      <w:r w:rsidRPr="00D55120">
        <w:rPr>
          <w:b/>
          <w:bCs/>
          <w:lang w:val="fr-FR"/>
        </w:rPr>
        <w:t>rapport périodique en novembre 2021. Le rapport doit être soumis à temps et, en cas de retard, couvrir toute la période allant jusqu</w:t>
      </w:r>
      <w:r w:rsidR="0047269F">
        <w:rPr>
          <w:b/>
          <w:bCs/>
          <w:lang w:val="fr-FR"/>
        </w:rPr>
        <w:t>’</w:t>
      </w:r>
      <w:r w:rsidRPr="00D55120">
        <w:rPr>
          <w:b/>
          <w:bCs/>
          <w:lang w:val="fr-FR"/>
        </w:rPr>
        <w:t>à la date de sa soumission</w:t>
      </w:r>
      <w:r w:rsidRPr="001C481F">
        <w:rPr>
          <w:lang w:val="fr-FR"/>
        </w:rPr>
        <w:t>.</w:t>
      </w:r>
    </w:p>
    <w:p w14:paraId="0C12AD4E" w14:textId="0BB10B3A" w:rsidR="00795AE6" w:rsidRDefault="001C481F" w:rsidP="003A2CDF">
      <w:pPr>
        <w:pStyle w:val="SingleTxt"/>
        <w:numPr>
          <w:ilvl w:val="0"/>
          <w:numId w:val="30"/>
        </w:numPr>
        <w:spacing w:line="240" w:lineRule="exact"/>
        <w:rPr>
          <w:b/>
          <w:bCs/>
          <w:lang w:val="fr-FR"/>
        </w:rPr>
      </w:pPr>
      <w:r w:rsidRPr="001C481F">
        <w:rPr>
          <w:b/>
          <w:bCs/>
          <w:lang w:val="fr-FR"/>
        </w:rPr>
        <w:t>Le Comité invite l</w:t>
      </w:r>
      <w:r w:rsidR="0047269F">
        <w:rPr>
          <w:b/>
          <w:bCs/>
          <w:lang w:val="fr-FR"/>
        </w:rPr>
        <w:t>’</w:t>
      </w:r>
      <w:r w:rsidRPr="001C481F">
        <w:rPr>
          <w:b/>
          <w:bCs/>
          <w:lang w:val="fr-FR"/>
        </w:rPr>
        <w:t xml:space="preserve">État partie à respecter les directives harmonisées </w:t>
      </w:r>
      <w:r w:rsidR="00B304BE">
        <w:rPr>
          <w:b/>
          <w:bCs/>
          <w:lang w:val="fr-FR"/>
        </w:rPr>
        <w:t>concernant</w:t>
      </w:r>
      <w:r w:rsidR="00B304BE" w:rsidRPr="001C481F">
        <w:rPr>
          <w:b/>
          <w:bCs/>
          <w:lang w:val="fr-FR"/>
        </w:rPr>
        <w:t xml:space="preserve"> </w:t>
      </w:r>
      <w:r w:rsidRPr="001C481F">
        <w:rPr>
          <w:b/>
          <w:bCs/>
          <w:lang w:val="fr-FR"/>
        </w:rPr>
        <w:t>l</w:t>
      </w:r>
      <w:r w:rsidR="0047269F">
        <w:rPr>
          <w:b/>
          <w:bCs/>
          <w:lang w:val="fr-FR"/>
        </w:rPr>
        <w:t>’</w:t>
      </w:r>
      <w:r w:rsidRPr="001C481F">
        <w:rPr>
          <w:b/>
          <w:bCs/>
          <w:lang w:val="fr-FR"/>
        </w:rPr>
        <w:t xml:space="preserve">établissement de rapports </w:t>
      </w:r>
      <w:r w:rsidR="00B304BE">
        <w:rPr>
          <w:b/>
          <w:bCs/>
          <w:lang w:val="fr-FR"/>
        </w:rPr>
        <w:t>destinés aux organes créés en vertu</w:t>
      </w:r>
      <w:r w:rsidRPr="001C481F">
        <w:rPr>
          <w:b/>
          <w:bCs/>
          <w:lang w:val="fr-FR"/>
        </w:rPr>
        <w:t xml:space="preserve"> </w:t>
      </w:r>
      <w:r w:rsidR="00B304BE" w:rsidRPr="001C481F">
        <w:rPr>
          <w:b/>
          <w:bCs/>
          <w:lang w:val="fr-FR"/>
        </w:rPr>
        <w:t>d</w:t>
      </w:r>
      <w:r w:rsidR="00B304BE">
        <w:rPr>
          <w:b/>
          <w:bCs/>
          <w:lang w:val="fr-FR"/>
        </w:rPr>
        <w:t>’</w:t>
      </w:r>
      <w:r w:rsidRPr="001C481F">
        <w:rPr>
          <w:b/>
          <w:bCs/>
          <w:lang w:val="fr-FR"/>
        </w:rPr>
        <w:t>instruments internationaux relatifs aux droits de l</w:t>
      </w:r>
      <w:r w:rsidR="0047269F">
        <w:rPr>
          <w:b/>
          <w:bCs/>
          <w:lang w:val="fr-FR"/>
        </w:rPr>
        <w:t>’</w:t>
      </w:r>
      <w:r w:rsidRPr="001C481F">
        <w:rPr>
          <w:b/>
          <w:bCs/>
          <w:lang w:val="fr-FR"/>
        </w:rPr>
        <w:t xml:space="preserve">homme, englobant le document de base commun et les rapports pour chaque instrument </w:t>
      </w:r>
      <w:r w:rsidRPr="00483725">
        <w:rPr>
          <w:b/>
          <w:bCs/>
          <w:color w:val="0000FF"/>
          <w:lang w:val="fr-FR"/>
        </w:rPr>
        <w:t>(</w:t>
      </w:r>
      <w:r w:rsidR="003A2CDF">
        <w:rPr>
          <w:b/>
          <w:bCs/>
          <w:color w:val="0000FF"/>
          <w:lang w:val="fr-FR"/>
        </w:rPr>
        <w:t xml:space="preserve">voir </w:t>
      </w:r>
      <w:r w:rsidR="003A2CDF" w:rsidRPr="003A2CDF">
        <w:rPr>
          <w:b/>
          <w:bCs/>
          <w:color w:val="0000FF"/>
          <w:lang w:val="fr-FR"/>
        </w:rPr>
        <w:t>HRI/GEN/2/Rev.6, chap. I</w:t>
      </w:r>
      <w:r w:rsidR="003A2CDF">
        <w:rPr>
          <w:b/>
          <w:bCs/>
          <w:color w:val="0000FF"/>
          <w:lang w:val="fr-FR"/>
        </w:rPr>
        <w:t>)</w:t>
      </w:r>
      <w:r w:rsidRPr="002012DE">
        <w:rPr>
          <w:b/>
          <w:bCs/>
          <w:lang w:val="fr-FR"/>
        </w:rPr>
        <w:t>).</w:t>
      </w:r>
    </w:p>
    <w:p w14:paraId="0E33D24E" w14:textId="49B60A60" w:rsidR="001C481F" w:rsidRPr="001C481F" w:rsidRDefault="001C481F" w:rsidP="00BA1D31">
      <w:pPr>
        <w:pStyle w:val="SingleTxt"/>
        <w:spacing w:after="0" w:line="240" w:lineRule="auto"/>
      </w:pPr>
      <w:r>
        <w:rPr>
          <w:noProof/>
          <w:w w:val="100"/>
          <w:lang w:val="fr-FR" w:eastAsia="zh-CN"/>
        </w:rPr>
        <mc:AlternateContent>
          <mc:Choice Requires="wps">
            <w:drawing>
              <wp:anchor distT="0" distB="0" distL="114300" distR="114300" simplePos="0" relativeHeight="251659264" behindDoc="0" locked="0" layoutInCell="1" allowOverlap="1" wp14:anchorId="264A44E6" wp14:editId="1432069A">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565150"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1C481F" w:rsidRPr="001C481F" w:rsidSect="001C481F">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1-17T18:51:00Z" w:initials="Start">
    <w:p w14:paraId="405408BD" w14:textId="77777777" w:rsidR="00213FA2" w:rsidRPr="001C481F" w:rsidRDefault="00213FA2">
      <w:pPr>
        <w:pStyle w:val="CommentText"/>
        <w:rPr>
          <w:lang w:val="en-US"/>
        </w:rPr>
      </w:pPr>
      <w:r>
        <w:fldChar w:fldCharType="begin"/>
      </w:r>
      <w:r w:rsidRPr="001C481F">
        <w:rPr>
          <w:rStyle w:val="CommentReference"/>
          <w:lang w:val="en-US"/>
        </w:rPr>
        <w:instrText xml:space="preserve"> </w:instrText>
      </w:r>
      <w:r w:rsidRPr="001C481F">
        <w:rPr>
          <w:lang w:val="en-US"/>
        </w:rPr>
        <w:instrText>PAGE \# "'Page: '#'</w:instrText>
      </w:r>
      <w:r w:rsidRPr="001C481F">
        <w:rPr>
          <w:lang w:val="en-US"/>
        </w:rPr>
        <w:br/>
        <w:instrText>'"</w:instrText>
      </w:r>
      <w:r w:rsidRPr="001C481F">
        <w:rPr>
          <w:rStyle w:val="CommentReference"/>
          <w:lang w:val="en-US"/>
        </w:rPr>
        <w:instrText xml:space="preserve"> </w:instrText>
      </w:r>
      <w:r>
        <w:fldChar w:fldCharType="end"/>
      </w:r>
      <w:r>
        <w:rPr>
          <w:rStyle w:val="CommentReference"/>
        </w:rPr>
        <w:annotationRef/>
      </w:r>
      <w:r w:rsidRPr="001C481F">
        <w:rPr>
          <w:lang w:val="en-US"/>
        </w:rPr>
        <w:t>&lt;&lt;ODS JOB NO&gt;&gt;N1739445F&lt;&lt;ODS JOB NO&gt;&gt;</w:t>
      </w:r>
    </w:p>
    <w:p w14:paraId="72E01266" w14:textId="77777777" w:rsidR="00213FA2" w:rsidRPr="001C481F" w:rsidRDefault="00213FA2">
      <w:pPr>
        <w:pStyle w:val="CommentText"/>
        <w:rPr>
          <w:lang w:val="en-US"/>
        </w:rPr>
      </w:pPr>
      <w:r w:rsidRPr="001C481F">
        <w:rPr>
          <w:lang w:val="en-US"/>
        </w:rPr>
        <w:t>&lt;&lt;ODS DOC SYMBOL1&gt;&gt;CEDAW/C/ISR/CO/6&lt;&lt;ODS DOC SYMBOL1&gt;&gt;</w:t>
      </w:r>
    </w:p>
    <w:p w14:paraId="192EC7CC" w14:textId="77777777" w:rsidR="00213FA2" w:rsidRDefault="00213FA2">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2EC7C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28A27" w14:textId="77777777" w:rsidR="004133C7" w:rsidRDefault="004133C7" w:rsidP="00101B18">
      <w:pPr>
        <w:spacing w:line="240" w:lineRule="auto"/>
      </w:pPr>
      <w:r>
        <w:separator/>
      </w:r>
    </w:p>
  </w:endnote>
  <w:endnote w:type="continuationSeparator" w:id="0">
    <w:p w14:paraId="18548E3A" w14:textId="77777777" w:rsidR="004133C7" w:rsidRDefault="004133C7"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13FA2" w14:paraId="433201AC" w14:textId="77777777" w:rsidTr="00795AE6">
      <w:tc>
        <w:tcPr>
          <w:tcW w:w="4920" w:type="dxa"/>
          <w:shd w:val="clear" w:color="auto" w:fill="auto"/>
        </w:tcPr>
        <w:p w14:paraId="7BD80FF3" w14:textId="5A50B674" w:rsidR="00213FA2" w:rsidRPr="00795AE6" w:rsidRDefault="00213FA2" w:rsidP="00795AE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60827">
            <w:rPr>
              <w:b w:val="0"/>
              <w:w w:val="103"/>
              <w:sz w:val="14"/>
            </w:rPr>
            <w:t>17-20374</w:t>
          </w:r>
          <w:r>
            <w:rPr>
              <w:b w:val="0"/>
              <w:w w:val="103"/>
              <w:sz w:val="14"/>
            </w:rPr>
            <w:fldChar w:fldCharType="end"/>
          </w:r>
        </w:p>
      </w:tc>
      <w:tc>
        <w:tcPr>
          <w:tcW w:w="4920" w:type="dxa"/>
          <w:shd w:val="clear" w:color="auto" w:fill="auto"/>
        </w:tcPr>
        <w:p w14:paraId="2AE8E1FA" w14:textId="19B83373" w:rsidR="00213FA2" w:rsidRPr="00795AE6" w:rsidRDefault="00213FA2" w:rsidP="00795AE6">
          <w:pPr>
            <w:pStyle w:val="Footer"/>
            <w:rPr>
              <w:w w:val="103"/>
            </w:rPr>
          </w:pPr>
          <w:r>
            <w:rPr>
              <w:w w:val="103"/>
            </w:rPr>
            <w:fldChar w:fldCharType="begin"/>
          </w:r>
          <w:r>
            <w:rPr>
              <w:w w:val="103"/>
            </w:rPr>
            <w:instrText xml:space="preserve"> PAGE  \* Arabic  \* MERGEFORMAT </w:instrText>
          </w:r>
          <w:r>
            <w:rPr>
              <w:w w:val="103"/>
            </w:rPr>
            <w:fldChar w:fldCharType="separate"/>
          </w:r>
          <w:r w:rsidR="00560827">
            <w:rPr>
              <w:noProof/>
              <w:w w:val="103"/>
            </w:rPr>
            <w:t>18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60827">
            <w:rPr>
              <w:noProof/>
              <w:w w:val="103"/>
            </w:rPr>
            <w:t>19</w:t>
          </w:r>
          <w:r>
            <w:rPr>
              <w:w w:val="103"/>
            </w:rPr>
            <w:fldChar w:fldCharType="end"/>
          </w:r>
        </w:p>
      </w:tc>
    </w:tr>
  </w:tbl>
  <w:p w14:paraId="7076F2C2" w14:textId="77777777" w:rsidR="00213FA2" w:rsidRPr="00795AE6" w:rsidRDefault="00213FA2" w:rsidP="00795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13FA2" w14:paraId="34F54F53" w14:textId="77777777" w:rsidTr="00795AE6">
      <w:tc>
        <w:tcPr>
          <w:tcW w:w="4920" w:type="dxa"/>
          <w:shd w:val="clear" w:color="auto" w:fill="auto"/>
        </w:tcPr>
        <w:p w14:paraId="5F6C6788" w14:textId="6EC1BEFF" w:rsidR="00213FA2" w:rsidRPr="00795AE6" w:rsidRDefault="00213FA2" w:rsidP="00795AE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60827">
            <w:rPr>
              <w:noProof/>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60827">
            <w:rPr>
              <w:noProof/>
              <w:w w:val="103"/>
            </w:rPr>
            <w:t>19</w:t>
          </w:r>
          <w:r>
            <w:rPr>
              <w:w w:val="103"/>
            </w:rPr>
            <w:fldChar w:fldCharType="end"/>
          </w:r>
        </w:p>
      </w:tc>
      <w:tc>
        <w:tcPr>
          <w:tcW w:w="4920" w:type="dxa"/>
          <w:shd w:val="clear" w:color="auto" w:fill="auto"/>
        </w:tcPr>
        <w:p w14:paraId="5CCCB980" w14:textId="17666CA0" w:rsidR="00213FA2" w:rsidRPr="00795AE6" w:rsidRDefault="00213FA2" w:rsidP="00795AE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60827">
            <w:rPr>
              <w:b w:val="0"/>
              <w:w w:val="103"/>
              <w:sz w:val="14"/>
            </w:rPr>
            <w:t>17-20374</w:t>
          </w:r>
          <w:r>
            <w:rPr>
              <w:b w:val="0"/>
              <w:w w:val="103"/>
              <w:sz w:val="14"/>
            </w:rPr>
            <w:fldChar w:fldCharType="end"/>
          </w:r>
        </w:p>
      </w:tc>
    </w:tr>
  </w:tbl>
  <w:p w14:paraId="41F0E53D" w14:textId="77777777" w:rsidR="00213FA2" w:rsidRPr="00795AE6" w:rsidRDefault="00213FA2" w:rsidP="00795A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0211" w14:textId="4B1A9D0D" w:rsidR="00213FA2" w:rsidRDefault="00213FA2" w:rsidP="00807FB7">
    <w:pPr>
      <w:pStyle w:val="Footer"/>
      <w:tabs>
        <w:tab w:val="clear" w:pos="4320"/>
        <w:tab w:val="clear" w:pos="8640"/>
        <w:tab w:val="left" w:pos="4198"/>
      </w:tabs>
    </w:pPr>
    <w:r>
      <w:rPr>
        <w:noProof/>
        <w:lang w:val="fr-FR" w:eastAsia="zh-CN"/>
      </w:rPr>
      <w:drawing>
        <wp:anchor distT="0" distB="0" distL="114300" distR="114300" simplePos="0" relativeHeight="251658240" behindDoc="0" locked="0" layoutInCell="1" allowOverlap="1" wp14:anchorId="3CFBEE8F" wp14:editId="27FBB1E0">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ISR/CO/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ISR/CO/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ab/>
    </w:r>
  </w:p>
  <w:tbl>
    <w:tblPr>
      <w:tblW w:w="0" w:type="auto"/>
      <w:tblLayout w:type="fixed"/>
      <w:tblLook w:val="0000" w:firstRow="0" w:lastRow="0" w:firstColumn="0" w:lastColumn="0" w:noHBand="0" w:noVBand="0"/>
    </w:tblPr>
    <w:tblGrid>
      <w:gridCol w:w="3758"/>
      <w:gridCol w:w="4920"/>
    </w:tblGrid>
    <w:tr w:rsidR="00213FA2" w14:paraId="1596E96A" w14:textId="77777777" w:rsidTr="00795AE6">
      <w:tc>
        <w:tcPr>
          <w:tcW w:w="3758" w:type="dxa"/>
        </w:tcPr>
        <w:p w14:paraId="02A22E55" w14:textId="7B346023" w:rsidR="00213FA2" w:rsidRDefault="00213FA2" w:rsidP="00795AE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60827">
            <w:rPr>
              <w:b w:val="0"/>
              <w:sz w:val="20"/>
            </w:rPr>
            <w:t>17-20374 (F)</w:t>
          </w:r>
          <w:r>
            <w:rPr>
              <w:b w:val="0"/>
              <w:sz w:val="20"/>
            </w:rPr>
            <w:fldChar w:fldCharType="end"/>
          </w:r>
          <w:r>
            <w:rPr>
              <w:b w:val="0"/>
              <w:sz w:val="20"/>
            </w:rPr>
            <w:t xml:space="preserve">    211217    </w:t>
          </w:r>
          <w:r w:rsidR="00BE2D93">
            <w:rPr>
              <w:b w:val="0"/>
              <w:sz w:val="20"/>
            </w:rPr>
            <w:t>22</w:t>
          </w:r>
          <w:r>
            <w:rPr>
              <w:b w:val="0"/>
              <w:sz w:val="20"/>
            </w:rPr>
            <w:t>0118</w:t>
          </w:r>
        </w:p>
        <w:p w14:paraId="22D8126D" w14:textId="2EAA7C2F" w:rsidR="00213FA2" w:rsidRPr="00795AE6" w:rsidRDefault="00213FA2" w:rsidP="00795AE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560827">
            <w:rPr>
              <w:rFonts w:ascii="Barcode 3 of 9 by request" w:hAnsi="Barcode 3 of 9 by request"/>
              <w:b w:val="0"/>
              <w:spacing w:val="0"/>
              <w:w w:val="100"/>
              <w:sz w:val="24"/>
            </w:rPr>
            <w:t>*1720374*</w:t>
          </w:r>
          <w:r>
            <w:rPr>
              <w:rFonts w:ascii="Barcode 3 of 9 by request" w:hAnsi="Barcode 3 of 9 by request"/>
              <w:b w:val="0"/>
              <w:spacing w:val="0"/>
              <w:w w:val="100"/>
              <w:sz w:val="24"/>
            </w:rPr>
            <w:fldChar w:fldCharType="end"/>
          </w:r>
        </w:p>
      </w:tc>
      <w:tc>
        <w:tcPr>
          <w:tcW w:w="4920" w:type="dxa"/>
        </w:tcPr>
        <w:p w14:paraId="5647A522" w14:textId="77777777" w:rsidR="00213FA2" w:rsidRDefault="00213FA2" w:rsidP="00795AE6">
          <w:pPr>
            <w:pStyle w:val="Footer"/>
            <w:spacing w:line="240" w:lineRule="atLeast"/>
            <w:jc w:val="right"/>
            <w:rPr>
              <w:b w:val="0"/>
              <w:sz w:val="20"/>
            </w:rPr>
          </w:pPr>
          <w:r>
            <w:rPr>
              <w:b w:val="0"/>
              <w:noProof/>
              <w:sz w:val="20"/>
              <w:lang w:val="fr-FR" w:eastAsia="zh-CN"/>
            </w:rPr>
            <w:drawing>
              <wp:inline distT="0" distB="0" distL="0" distR="0" wp14:anchorId="7DE3B49D" wp14:editId="2394EDDD">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598535BD" w14:textId="77777777" w:rsidR="00213FA2" w:rsidRPr="00795AE6" w:rsidRDefault="00213FA2" w:rsidP="00795AE6">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1CAC8" w14:textId="77777777" w:rsidR="004133C7" w:rsidRPr="00807FB7" w:rsidRDefault="004133C7" w:rsidP="00807FB7">
      <w:pPr>
        <w:pStyle w:val="Footer"/>
        <w:spacing w:after="80"/>
        <w:ind w:left="792"/>
        <w:rPr>
          <w:sz w:val="16"/>
        </w:rPr>
      </w:pPr>
      <w:r w:rsidRPr="00807FB7">
        <w:rPr>
          <w:sz w:val="16"/>
        </w:rPr>
        <w:t>__________________</w:t>
      </w:r>
    </w:p>
  </w:footnote>
  <w:footnote w:type="continuationSeparator" w:id="0">
    <w:p w14:paraId="3CD10532" w14:textId="77777777" w:rsidR="004133C7" w:rsidRPr="00807FB7" w:rsidRDefault="004133C7" w:rsidP="00807FB7">
      <w:pPr>
        <w:pStyle w:val="Footer"/>
        <w:spacing w:after="80"/>
        <w:ind w:left="792"/>
        <w:rPr>
          <w:sz w:val="16"/>
        </w:rPr>
      </w:pPr>
      <w:r w:rsidRPr="00807FB7">
        <w:rPr>
          <w:sz w:val="16"/>
        </w:rPr>
        <w:t>__________________</w:t>
      </w:r>
    </w:p>
  </w:footnote>
  <w:footnote w:id="1">
    <w:p w14:paraId="41A6EBB2" w14:textId="68975BA7" w:rsidR="00213FA2" w:rsidRPr="00053068" w:rsidRDefault="00213FA2" w:rsidP="00807FB7">
      <w:pPr>
        <w:pStyle w:val="FootnoteText"/>
        <w:tabs>
          <w:tab w:val="right" w:pos="1195"/>
          <w:tab w:val="left" w:pos="1267"/>
          <w:tab w:val="left" w:pos="1742"/>
          <w:tab w:val="left" w:pos="2218"/>
          <w:tab w:val="left" w:pos="2693"/>
        </w:tabs>
        <w:ind w:left="1267" w:right="1267" w:hanging="432"/>
        <w:rPr>
          <w:lang w:val="fr-FR"/>
        </w:rPr>
      </w:pPr>
      <w:r>
        <w:rPr>
          <w:lang w:val="fr-FR"/>
        </w:rPr>
        <w:tab/>
      </w:r>
      <w:r w:rsidRPr="00184302">
        <w:rPr>
          <w:lang w:val="fr-FR"/>
        </w:rPr>
        <w:t>*</w:t>
      </w:r>
      <w:r>
        <w:rPr>
          <w:lang w:val="fr-FR"/>
        </w:rPr>
        <w:tab/>
      </w:r>
      <w:r w:rsidRPr="00184302">
        <w:rPr>
          <w:lang w:val="fr-FR"/>
        </w:rPr>
        <w:t xml:space="preserve">Adoptées par le </w:t>
      </w:r>
      <w:r>
        <w:rPr>
          <w:lang w:val="fr-FR"/>
        </w:rPr>
        <w:t>C</w:t>
      </w:r>
      <w:r w:rsidRPr="00184302">
        <w:rPr>
          <w:lang w:val="fr-FR"/>
        </w:rPr>
        <w:t>omité à sa soixante-huitième session (23 octobre-17 novembre 2017)</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213FA2" w14:paraId="3A6C7B08" w14:textId="77777777" w:rsidTr="00795AE6">
      <w:trPr>
        <w:trHeight w:hRule="exact" w:val="864"/>
      </w:trPr>
      <w:tc>
        <w:tcPr>
          <w:tcW w:w="4920" w:type="dxa"/>
          <w:shd w:val="clear" w:color="auto" w:fill="auto"/>
          <w:vAlign w:val="bottom"/>
        </w:tcPr>
        <w:p w14:paraId="1A96FDEC" w14:textId="219FCA53" w:rsidR="00213FA2" w:rsidRPr="00795AE6" w:rsidRDefault="00213FA2" w:rsidP="00795AE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60827">
            <w:rPr>
              <w:b/>
              <w:color w:val="000000"/>
            </w:rPr>
            <w:t>CEDAW/C/ISR/CO/6</w:t>
          </w:r>
          <w:r>
            <w:rPr>
              <w:b/>
              <w:color w:val="000000"/>
            </w:rPr>
            <w:fldChar w:fldCharType="end"/>
          </w:r>
        </w:p>
      </w:tc>
      <w:tc>
        <w:tcPr>
          <w:tcW w:w="4920" w:type="dxa"/>
          <w:shd w:val="clear" w:color="auto" w:fill="auto"/>
          <w:vAlign w:val="bottom"/>
        </w:tcPr>
        <w:p w14:paraId="2D97FA5D" w14:textId="77777777" w:rsidR="00213FA2" w:rsidRDefault="00213FA2" w:rsidP="00795AE6">
          <w:pPr>
            <w:pStyle w:val="Header"/>
          </w:pPr>
        </w:p>
      </w:tc>
    </w:tr>
  </w:tbl>
  <w:p w14:paraId="6EB8B30D" w14:textId="77777777" w:rsidR="00213FA2" w:rsidRPr="00795AE6" w:rsidRDefault="00213FA2" w:rsidP="00795AE6">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213FA2" w14:paraId="73BAABC2" w14:textId="77777777" w:rsidTr="00795AE6">
      <w:trPr>
        <w:trHeight w:hRule="exact" w:val="864"/>
      </w:trPr>
      <w:tc>
        <w:tcPr>
          <w:tcW w:w="4920" w:type="dxa"/>
          <w:shd w:val="clear" w:color="auto" w:fill="auto"/>
          <w:vAlign w:val="bottom"/>
        </w:tcPr>
        <w:p w14:paraId="7E14FDAB" w14:textId="77777777" w:rsidR="00213FA2" w:rsidRDefault="00213FA2" w:rsidP="00795AE6">
          <w:pPr>
            <w:pStyle w:val="Header"/>
          </w:pPr>
        </w:p>
      </w:tc>
      <w:tc>
        <w:tcPr>
          <w:tcW w:w="4920" w:type="dxa"/>
          <w:shd w:val="clear" w:color="auto" w:fill="auto"/>
          <w:vAlign w:val="bottom"/>
        </w:tcPr>
        <w:p w14:paraId="0654868E" w14:textId="445234AD" w:rsidR="00213FA2" w:rsidRPr="00795AE6" w:rsidRDefault="00213FA2" w:rsidP="00795AE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60827">
            <w:rPr>
              <w:b/>
              <w:color w:val="000000"/>
            </w:rPr>
            <w:t>CEDAW/C/ISR/CO/6</w:t>
          </w:r>
          <w:r>
            <w:rPr>
              <w:b/>
              <w:color w:val="000000"/>
            </w:rPr>
            <w:fldChar w:fldCharType="end"/>
          </w:r>
        </w:p>
      </w:tc>
    </w:tr>
  </w:tbl>
  <w:p w14:paraId="5B5C17D4" w14:textId="77777777" w:rsidR="00213FA2" w:rsidRPr="00795AE6" w:rsidRDefault="00213FA2" w:rsidP="00795AE6">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213FA2" w14:paraId="592E2C16" w14:textId="77777777" w:rsidTr="00795AE6">
      <w:trPr>
        <w:trHeight w:hRule="exact" w:val="864"/>
      </w:trPr>
      <w:tc>
        <w:tcPr>
          <w:tcW w:w="1267" w:type="dxa"/>
          <w:tcBorders>
            <w:bottom w:val="single" w:sz="4" w:space="0" w:color="auto"/>
          </w:tcBorders>
          <w:shd w:val="clear" w:color="auto" w:fill="auto"/>
          <w:vAlign w:val="bottom"/>
        </w:tcPr>
        <w:p w14:paraId="312396F7" w14:textId="77777777" w:rsidR="00213FA2" w:rsidRDefault="00213FA2" w:rsidP="00795AE6">
          <w:pPr>
            <w:pStyle w:val="Header"/>
            <w:spacing w:after="120"/>
          </w:pPr>
        </w:p>
      </w:tc>
      <w:tc>
        <w:tcPr>
          <w:tcW w:w="2059" w:type="dxa"/>
          <w:tcBorders>
            <w:bottom w:val="single" w:sz="4" w:space="0" w:color="auto"/>
          </w:tcBorders>
          <w:shd w:val="clear" w:color="auto" w:fill="auto"/>
          <w:vAlign w:val="bottom"/>
        </w:tcPr>
        <w:p w14:paraId="3D634C49" w14:textId="77777777" w:rsidR="00213FA2" w:rsidRPr="00795AE6" w:rsidRDefault="00213FA2" w:rsidP="00795AE6">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25725C18" w14:textId="77777777" w:rsidR="00213FA2" w:rsidRDefault="00213FA2" w:rsidP="00795AE6">
          <w:pPr>
            <w:pStyle w:val="Header"/>
            <w:spacing w:after="120"/>
          </w:pPr>
        </w:p>
      </w:tc>
      <w:tc>
        <w:tcPr>
          <w:tcW w:w="6466" w:type="dxa"/>
          <w:gridSpan w:val="3"/>
          <w:tcBorders>
            <w:bottom w:val="single" w:sz="4" w:space="0" w:color="auto"/>
          </w:tcBorders>
          <w:shd w:val="clear" w:color="auto" w:fill="auto"/>
          <w:vAlign w:val="bottom"/>
        </w:tcPr>
        <w:p w14:paraId="2F43DAD0" w14:textId="77777777" w:rsidR="00213FA2" w:rsidRPr="00795AE6" w:rsidRDefault="00213FA2" w:rsidP="00795AE6">
          <w:pPr>
            <w:spacing w:after="80" w:line="240" w:lineRule="auto"/>
            <w:jc w:val="right"/>
            <w:rPr>
              <w:position w:val="-4"/>
            </w:rPr>
          </w:pPr>
          <w:r>
            <w:rPr>
              <w:position w:val="-4"/>
              <w:sz w:val="40"/>
            </w:rPr>
            <w:t>CEDAW</w:t>
          </w:r>
          <w:r>
            <w:rPr>
              <w:position w:val="-4"/>
            </w:rPr>
            <w:t>/C/ISR/CO/6</w:t>
          </w:r>
        </w:p>
      </w:tc>
    </w:tr>
    <w:tr w:rsidR="00213FA2" w:rsidRPr="00795AE6" w14:paraId="5FE3B878" w14:textId="77777777" w:rsidTr="00795AE6">
      <w:trPr>
        <w:trHeight w:hRule="exact" w:val="2880"/>
      </w:trPr>
      <w:tc>
        <w:tcPr>
          <w:tcW w:w="1267" w:type="dxa"/>
          <w:tcBorders>
            <w:top w:val="single" w:sz="4" w:space="0" w:color="auto"/>
            <w:bottom w:val="single" w:sz="12" w:space="0" w:color="auto"/>
          </w:tcBorders>
          <w:shd w:val="clear" w:color="auto" w:fill="auto"/>
        </w:tcPr>
        <w:p w14:paraId="5B5E2F9E" w14:textId="77777777" w:rsidR="00213FA2" w:rsidRPr="00795AE6" w:rsidRDefault="00213FA2" w:rsidP="00795AE6">
          <w:pPr>
            <w:pStyle w:val="Header"/>
            <w:spacing w:before="120" w:line="240" w:lineRule="auto"/>
            <w:ind w:left="-72"/>
            <w:jc w:val="center"/>
          </w:pPr>
          <w:r>
            <w:t xml:space="preserve">  </w:t>
          </w:r>
          <w:r>
            <w:rPr>
              <w:noProof/>
              <w:lang w:val="fr-FR" w:eastAsia="zh-CN"/>
            </w:rPr>
            <w:drawing>
              <wp:inline distT="0" distB="0" distL="0" distR="0" wp14:anchorId="22E249DE" wp14:editId="5E389D6B">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755A241" w14:textId="6753FF4D" w:rsidR="00213FA2" w:rsidRPr="00795AE6" w:rsidRDefault="00213FA2" w:rsidP="00795AE6">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3B3E79FF" w14:textId="77777777" w:rsidR="00213FA2" w:rsidRPr="001C481F" w:rsidRDefault="00213FA2" w:rsidP="00795AE6">
          <w:pPr>
            <w:pStyle w:val="Header"/>
            <w:spacing w:before="109"/>
            <w:rPr>
              <w:lang w:val="fr-FR"/>
            </w:rPr>
          </w:pPr>
        </w:p>
      </w:tc>
      <w:tc>
        <w:tcPr>
          <w:tcW w:w="3110" w:type="dxa"/>
          <w:tcBorders>
            <w:top w:val="single" w:sz="4" w:space="0" w:color="auto"/>
            <w:bottom w:val="single" w:sz="12" w:space="0" w:color="auto"/>
          </w:tcBorders>
          <w:shd w:val="clear" w:color="auto" w:fill="auto"/>
        </w:tcPr>
        <w:p w14:paraId="66DAF211" w14:textId="77777777" w:rsidR="00213FA2" w:rsidRPr="001C481F" w:rsidRDefault="00213FA2" w:rsidP="00795AE6">
          <w:pPr>
            <w:pStyle w:val="Distribution"/>
            <w:rPr>
              <w:color w:val="000000"/>
              <w:lang w:val="fr-FR"/>
            </w:rPr>
          </w:pPr>
          <w:r w:rsidRPr="001C481F">
            <w:rPr>
              <w:color w:val="000000"/>
              <w:lang w:val="fr-FR"/>
            </w:rPr>
            <w:t>Distr. générale</w:t>
          </w:r>
        </w:p>
        <w:p w14:paraId="78856C7C" w14:textId="22085D8E" w:rsidR="00213FA2" w:rsidRPr="001C481F" w:rsidRDefault="00213FA2" w:rsidP="00795AE6">
          <w:pPr>
            <w:pStyle w:val="Publication"/>
            <w:rPr>
              <w:color w:val="000000"/>
              <w:lang w:val="fr-FR"/>
            </w:rPr>
          </w:pPr>
          <w:r>
            <w:rPr>
              <w:color w:val="000000"/>
              <w:lang w:val="fr-FR"/>
            </w:rPr>
            <w:t>17</w:t>
          </w:r>
          <w:r w:rsidRPr="001C481F">
            <w:rPr>
              <w:color w:val="000000"/>
              <w:lang w:val="fr-FR"/>
            </w:rPr>
            <w:t xml:space="preserve"> novembre 2017</w:t>
          </w:r>
        </w:p>
        <w:p w14:paraId="319FC9FB" w14:textId="77777777" w:rsidR="00213FA2" w:rsidRPr="001C481F" w:rsidRDefault="00213FA2" w:rsidP="00795AE6">
          <w:pPr>
            <w:rPr>
              <w:lang w:val="fr-FR"/>
            </w:rPr>
          </w:pPr>
          <w:r w:rsidRPr="001C481F">
            <w:rPr>
              <w:lang w:val="fr-FR"/>
            </w:rPr>
            <w:t>Français</w:t>
          </w:r>
        </w:p>
        <w:p w14:paraId="5A14829D" w14:textId="66CEFB58" w:rsidR="00213FA2" w:rsidRPr="001C481F" w:rsidRDefault="00213FA2" w:rsidP="00795AE6">
          <w:pPr>
            <w:pStyle w:val="Original"/>
            <w:rPr>
              <w:color w:val="000000"/>
              <w:lang w:val="fr-FR"/>
            </w:rPr>
          </w:pPr>
          <w:r w:rsidRPr="001C481F">
            <w:rPr>
              <w:color w:val="000000"/>
              <w:lang w:val="fr-FR"/>
            </w:rPr>
            <w:t>Original</w:t>
          </w:r>
          <w:r>
            <w:rPr>
              <w:color w:val="000000"/>
              <w:lang w:val="fr-FR"/>
            </w:rPr>
            <w:t xml:space="preserve"> : </w:t>
          </w:r>
          <w:r w:rsidRPr="001C481F">
            <w:rPr>
              <w:color w:val="000000"/>
              <w:lang w:val="fr-FR"/>
            </w:rPr>
            <w:t>anglais</w:t>
          </w:r>
        </w:p>
      </w:tc>
    </w:tr>
  </w:tbl>
  <w:p w14:paraId="3E28C1F7" w14:textId="77777777" w:rsidR="00213FA2" w:rsidRPr="001C481F" w:rsidRDefault="00213FA2" w:rsidP="00795AE6">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6FF5"/>
    <w:multiLevelType w:val="singleLevel"/>
    <w:tmpl w:val="6B4E1832"/>
    <w:lvl w:ilvl="0">
      <w:start w:val="38"/>
      <w:numFmt w:val="decimal"/>
      <w:lvlRestart w:val="0"/>
      <w:lvlText w:val="%1."/>
      <w:lvlJc w:val="left"/>
      <w:pPr>
        <w:tabs>
          <w:tab w:val="num" w:pos="1742"/>
        </w:tabs>
        <w:ind w:left="1267" w:firstLine="0"/>
      </w:pPr>
      <w:rPr>
        <w:b w:val="0"/>
        <w:bCs/>
        <w:w w:val="100"/>
      </w:rPr>
    </w:lvl>
  </w:abstractNum>
  <w:abstractNum w:abstractNumId="1" w15:restartNumberingAfterBreak="0">
    <w:nsid w:val="03EF20C5"/>
    <w:multiLevelType w:val="singleLevel"/>
    <w:tmpl w:val="F5AEA002"/>
    <w:lvl w:ilvl="0">
      <w:start w:val="60"/>
      <w:numFmt w:val="decimal"/>
      <w:lvlRestart w:val="0"/>
      <w:lvlText w:val="%1."/>
      <w:lvlJc w:val="left"/>
      <w:pPr>
        <w:tabs>
          <w:tab w:val="num" w:pos="1742"/>
        </w:tabs>
        <w:ind w:left="1267" w:firstLine="0"/>
      </w:pPr>
      <w:rPr>
        <w:b w:val="0"/>
        <w:bCs/>
        <w:w w:val="100"/>
      </w:rPr>
    </w:lvl>
  </w:abstractNum>
  <w:abstractNum w:abstractNumId="2" w15:restartNumberingAfterBreak="0">
    <w:nsid w:val="04015290"/>
    <w:multiLevelType w:val="hybridMultilevel"/>
    <w:tmpl w:val="3586B690"/>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3" w15:restartNumberingAfterBreak="0">
    <w:nsid w:val="0B805F41"/>
    <w:multiLevelType w:val="singleLevel"/>
    <w:tmpl w:val="233C229E"/>
    <w:lvl w:ilvl="0">
      <w:start w:val="1"/>
      <w:numFmt w:val="decimal"/>
      <w:lvlRestart w:val="0"/>
      <w:lvlText w:val="%1."/>
      <w:lvlJc w:val="left"/>
      <w:pPr>
        <w:tabs>
          <w:tab w:val="num" w:pos="475"/>
        </w:tabs>
        <w:ind w:left="0" w:firstLine="0"/>
      </w:pPr>
      <w:rPr>
        <w:b w:val="0"/>
        <w:bCs/>
        <w:w w:val="100"/>
      </w:rPr>
    </w:lvl>
  </w:abstractNum>
  <w:abstractNum w:abstractNumId="4" w15:restartNumberingAfterBreak="0">
    <w:nsid w:val="0E086A1A"/>
    <w:multiLevelType w:val="singleLevel"/>
    <w:tmpl w:val="31B4253C"/>
    <w:lvl w:ilvl="0">
      <w:start w:val="32"/>
      <w:numFmt w:val="decimal"/>
      <w:lvlRestart w:val="0"/>
      <w:lvlText w:val="%1."/>
      <w:lvlJc w:val="left"/>
      <w:pPr>
        <w:tabs>
          <w:tab w:val="num" w:pos="1742"/>
        </w:tabs>
        <w:ind w:left="1267" w:firstLine="0"/>
      </w:pPr>
      <w:rPr>
        <w:b w:val="0"/>
        <w:bCs/>
        <w:w w:val="100"/>
      </w:rPr>
    </w:lvl>
  </w:abstractNum>
  <w:abstractNum w:abstractNumId="5" w15:restartNumberingAfterBreak="0">
    <w:nsid w:val="0F0E3CDB"/>
    <w:multiLevelType w:val="singleLevel"/>
    <w:tmpl w:val="EA30F06C"/>
    <w:lvl w:ilvl="0">
      <w:start w:val="64"/>
      <w:numFmt w:val="decimal"/>
      <w:lvlRestart w:val="0"/>
      <w:lvlText w:val="%1."/>
      <w:lvlJc w:val="left"/>
      <w:pPr>
        <w:tabs>
          <w:tab w:val="num" w:pos="1742"/>
        </w:tabs>
        <w:ind w:left="1267" w:firstLine="0"/>
      </w:pPr>
      <w:rPr>
        <w:b w:val="0"/>
        <w:bCs w:val="0"/>
        <w:w w:val="100"/>
      </w:rPr>
    </w:lvl>
  </w:abstractNum>
  <w:abstractNum w:abstractNumId="6" w15:restartNumberingAfterBreak="0">
    <w:nsid w:val="12D06B23"/>
    <w:multiLevelType w:val="multilevel"/>
    <w:tmpl w:val="85E2CE62"/>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7" w15:restartNumberingAfterBreak="0">
    <w:nsid w:val="172F270D"/>
    <w:multiLevelType w:val="hybridMultilevel"/>
    <w:tmpl w:val="F8E63646"/>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B27EB"/>
    <w:multiLevelType w:val="singleLevel"/>
    <w:tmpl w:val="056A34A6"/>
    <w:lvl w:ilvl="0">
      <w:start w:val="52"/>
      <w:numFmt w:val="decimal"/>
      <w:lvlRestart w:val="0"/>
      <w:lvlText w:val="%1."/>
      <w:lvlJc w:val="left"/>
      <w:pPr>
        <w:tabs>
          <w:tab w:val="num" w:pos="1742"/>
        </w:tabs>
        <w:ind w:left="1267" w:firstLine="0"/>
      </w:pPr>
      <w:rPr>
        <w:b w:val="0"/>
        <w:bCs w:val="0"/>
        <w:w w:val="100"/>
      </w:rPr>
    </w:lvl>
  </w:abstractNum>
  <w:abstractNum w:abstractNumId="9" w15:restartNumberingAfterBreak="0">
    <w:nsid w:val="272E41A4"/>
    <w:multiLevelType w:val="singleLevel"/>
    <w:tmpl w:val="94389922"/>
    <w:lvl w:ilvl="0">
      <w:start w:val="48"/>
      <w:numFmt w:val="decimal"/>
      <w:lvlRestart w:val="0"/>
      <w:lvlText w:val="%1."/>
      <w:lvlJc w:val="left"/>
      <w:pPr>
        <w:tabs>
          <w:tab w:val="num" w:pos="1742"/>
        </w:tabs>
        <w:ind w:left="1267" w:firstLine="0"/>
      </w:pPr>
      <w:rPr>
        <w:b w:val="0"/>
        <w:bCs/>
        <w:w w:val="100"/>
      </w:rPr>
    </w:lvl>
  </w:abstractNum>
  <w:abstractNum w:abstractNumId="10" w15:restartNumberingAfterBreak="0">
    <w:nsid w:val="2FA3414E"/>
    <w:multiLevelType w:val="singleLevel"/>
    <w:tmpl w:val="3548637A"/>
    <w:lvl w:ilvl="0">
      <w:start w:val="63"/>
      <w:numFmt w:val="decimal"/>
      <w:lvlRestart w:val="0"/>
      <w:lvlText w:val="%1."/>
      <w:lvlJc w:val="left"/>
      <w:pPr>
        <w:tabs>
          <w:tab w:val="num" w:pos="1742"/>
        </w:tabs>
        <w:ind w:left="1267" w:firstLine="0"/>
      </w:pPr>
      <w:rPr>
        <w:b w:val="0"/>
        <w:bCs w:val="0"/>
        <w:w w:val="100"/>
      </w:rPr>
    </w:lvl>
  </w:abstractNum>
  <w:abstractNum w:abstractNumId="11" w15:restartNumberingAfterBreak="0">
    <w:nsid w:val="2FF21ACE"/>
    <w:multiLevelType w:val="singleLevel"/>
    <w:tmpl w:val="AABA1A92"/>
    <w:lvl w:ilvl="0">
      <w:start w:val="40"/>
      <w:numFmt w:val="decimal"/>
      <w:lvlRestart w:val="0"/>
      <w:lvlText w:val="%1."/>
      <w:lvlJc w:val="left"/>
      <w:pPr>
        <w:tabs>
          <w:tab w:val="num" w:pos="1742"/>
        </w:tabs>
        <w:ind w:left="1267" w:firstLine="0"/>
      </w:pPr>
      <w:rPr>
        <w:b w:val="0"/>
        <w:bCs/>
        <w:w w:val="100"/>
      </w:rPr>
    </w:lvl>
  </w:abstractNum>
  <w:abstractNum w:abstractNumId="12" w15:restartNumberingAfterBreak="0">
    <w:nsid w:val="375F0166"/>
    <w:multiLevelType w:val="singleLevel"/>
    <w:tmpl w:val="8B62C9BA"/>
    <w:lvl w:ilvl="0">
      <w:start w:val="42"/>
      <w:numFmt w:val="decimal"/>
      <w:lvlRestart w:val="0"/>
      <w:lvlText w:val="%1."/>
      <w:lvlJc w:val="left"/>
      <w:pPr>
        <w:tabs>
          <w:tab w:val="num" w:pos="1742"/>
        </w:tabs>
        <w:ind w:left="1267" w:firstLine="0"/>
      </w:pPr>
      <w:rPr>
        <w:b w:val="0"/>
        <w:bCs/>
        <w:w w:val="100"/>
      </w:rPr>
    </w:lvl>
  </w:abstractNum>
  <w:abstractNum w:abstractNumId="13" w15:restartNumberingAfterBreak="0">
    <w:nsid w:val="3C7D5713"/>
    <w:multiLevelType w:val="singleLevel"/>
    <w:tmpl w:val="ED94EF30"/>
    <w:lvl w:ilvl="0">
      <w:start w:val="26"/>
      <w:numFmt w:val="decimal"/>
      <w:lvlRestart w:val="0"/>
      <w:lvlText w:val="%1."/>
      <w:lvlJc w:val="left"/>
      <w:pPr>
        <w:tabs>
          <w:tab w:val="num" w:pos="1742"/>
        </w:tabs>
        <w:ind w:left="1267" w:firstLine="0"/>
      </w:pPr>
      <w:rPr>
        <w:b w:val="0"/>
        <w:bCs/>
        <w:w w:val="100"/>
      </w:rPr>
    </w:lvl>
  </w:abstractNum>
  <w:abstractNum w:abstractNumId="14" w15:restartNumberingAfterBreak="0">
    <w:nsid w:val="3D441E9C"/>
    <w:multiLevelType w:val="singleLevel"/>
    <w:tmpl w:val="E7DC9414"/>
    <w:lvl w:ilvl="0">
      <w:start w:val="59"/>
      <w:numFmt w:val="decimal"/>
      <w:lvlRestart w:val="0"/>
      <w:lvlText w:val="%1."/>
      <w:lvlJc w:val="left"/>
      <w:pPr>
        <w:tabs>
          <w:tab w:val="num" w:pos="1742"/>
        </w:tabs>
        <w:ind w:left="1267" w:firstLine="0"/>
      </w:pPr>
      <w:rPr>
        <w:b w:val="0"/>
        <w:bCs/>
        <w:w w:val="100"/>
      </w:rPr>
    </w:lvl>
  </w:abstractNum>
  <w:abstractNum w:abstractNumId="15" w15:restartNumberingAfterBreak="0">
    <w:nsid w:val="40EF55B4"/>
    <w:multiLevelType w:val="singleLevel"/>
    <w:tmpl w:val="3828A306"/>
    <w:lvl w:ilvl="0">
      <w:start w:val="62"/>
      <w:numFmt w:val="decimal"/>
      <w:lvlRestart w:val="0"/>
      <w:lvlText w:val="%1."/>
      <w:lvlJc w:val="left"/>
      <w:pPr>
        <w:tabs>
          <w:tab w:val="num" w:pos="1742"/>
        </w:tabs>
        <w:ind w:left="1267" w:firstLine="0"/>
      </w:pPr>
      <w:rPr>
        <w:b w:val="0"/>
        <w:bCs/>
        <w:w w:val="100"/>
      </w:rPr>
    </w:lvl>
  </w:abstractNum>
  <w:abstractNum w:abstractNumId="16" w15:restartNumberingAfterBreak="0">
    <w:nsid w:val="46F16006"/>
    <w:multiLevelType w:val="singleLevel"/>
    <w:tmpl w:val="BB148792"/>
    <w:lvl w:ilvl="0">
      <w:start w:val="36"/>
      <w:numFmt w:val="decimal"/>
      <w:lvlRestart w:val="0"/>
      <w:lvlText w:val="%1."/>
      <w:lvlJc w:val="left"/>
      <w:pPr>
        <w:tabs>
          <w:tab w:val="num" w:pos="1742"/>
        </w:tabs>
        <w:ind w:left="1267" w:firstLine="0"/>
      </w:pPr>
      <w:rPr>
        <w:b w:val="0"/>
        <w:bCs/>
        <w:w w:val="100"/>
      </w:rPr>
    </w:lvl>
  </w:abstractNum>
  <w:abstractNum w:abstractNumId="17" w15:restartNumberingAfterBreak="0">
    <w:nsid w:val="47B40547"/>
    <w:multiLevelType w:val="hybridMultilevel"/>
    <w:tmpl w:val="96526E8A"/>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D277AC"/>
    <w:multiLevelType w:val="singleLevel"/>
    <w:tmpl w:val="0409000F"/>
    <w:lvl w:ilvl="0">
      <w:start w:val="1"/>
      <w:numFmt w:val="decimal"/>
      <w:lvlText w:val="%1."/>
      <w:lvlJc w:val="left"/>
      <w:pPr>
        <w:ind w:left="720" w:hanging="360"/>
      </w:pPr>
    </w:lvl>
  </w:abstractNum>
  <w:abstractNum w:abstractNumId="19" w15:restartNumberingAfterBreak="0">
    <w:nsid w:val="4C9A788C"/>
    <w:multiLevelType w:val="singleLevel"/>
    <w:tmpl w:val="ABFA2190"/>
    <w:lvl w:ilvl="0">
      <w:start w:val="2"/>
      <w:numFmt w:val="decimal"/>
      <w:lvlRestart w:val="0"/>
      <w:lvlText w:val="%1."/>
      <w:lvlJc w:val="left"/>
      <w:pPr>
        <w:tabs>
          <w:tab w:val="num" w:pos="1742"/>
        </w:tabs>
        <w:ind w:left="1267" w:firstLine="0"/>
      </w:pPr>
      <w:rPr>
        <w:w w:val="100"/>
      </w:rPr>
    </w:lvl>
  </w:abstractNum>
  <w:abstractNum w:abstractNumId="20" w15:restartNumberingAfterBreak="0">
    <w:nsid w:val="4D23706D"/>
    <w:multiLevelType w:val="singleLevel"/>
    <w:tmpl w:val="5CBADCB0"/>
    <w:lvl w:ilvl="0">
      <w:start w:val="61"/>
      <w:numFmt w:val="decimal"/>
      <w:lvlRestart w:val="0"/>
      <w:lvlText w:val="%1."/>
      <w:lvlJc w:val="left"/>
      <w:pPr>
        <w:tabs>
          <w:tab w:val="num" w:pos="1742"/>
        </w:tabs>
        <w:ind w:left="1267" w:firstLine="0"/>
      </w:pPr>
      <w:rPr>
        <w:b w:val="0"/>
        <w:bCs/>
        <w:w w:val="100"/>
      </w:rPr>
    </w:lvl>
  </w:abstractNum>
  <w:abstractNum w:abstractNumId="21" w15:restartNumberingAfterBreak="0">
    <w:nsid w:val="4F605300"/>
    <w:multiLevelType w:val="singleLevel"/>
    <w:tmpl w:val="0409000F"/>
    <w:lvl w:ilvl="0">
      <w:start w:val="1"/>
      <w:numFmt w:val="decimal"/>
      <w:lvlText w:val="%1."/>
      <w:lvlJc w:val="left"/>
      <w:pPr>
        <w:ind w:left="720" w:hanging="360"/>
      </w:pPr>
    </w:lvl>
  </w:abstractNum>
  <w:abstractNum w:abstractNumId="22" w15:restartNumberingAfterBreak="0">
    <w:nsid w:val="50C42E8D"/>
    <w:multiLevelType w:val="singleLevel"/>
    <w:tmpl w:val="04EE643E"/>
    <w:lvl w:ilvl="0">
      <w:start w:val="54"/>
      <w:numFmt w:val="decimal"/>
      <w:lvlRestart w:val="0"/>
      <w:lvlText w:val="%1."/>
      <w:lvlJc w:val="left"/>
      <w:pPr>
        <w:tabs>
          <w:tab w:val="num" w:pos="1742"/>
        </w:tabs>
        <w:ind w:left="1267" w:firstLine="0"/>
      </w:pPr>
      <w:rPr>
        <w:b w:val="0"/>
        <w:bCs/>
        <w:w w:val="100"/>
      </w:rPr>
    </w:lvl>
  </w:abstractNum>
  <w:abstractNum w:abstractNumId="23" w15:restartNumberingAfterBreak="0">
    <w:nsid w:val="55AB58D6"/>
    <w:multiLevelType w:val="singleLevel"/>
    <w:tmpl w:val="6D6419CA"/>
    <w:lvl w:ilvl="0">
      <w:start w:val="34"/>
      <w:numFmt w:val="decimal"/>
      <w:lvlRestart w:val="0"/>
      <w:lvlText w:val="%1."/>
      <w:lvlJc w:val="left"/>
      <w:pPr>
        <w:tabs>
          <w:tab w:val="num" w:pos="1742"/>
        </w:tabs>
        <w:ind w:left="1267" w:firstLine="0"/>
      </w:pPr>
      <w:rPr>
        <w:b w:val="0"/>
        <w:bCs/>
        <w:w w:val="100"/>
      </w:rPr>
    </w:lvl>
  </w:abstractNum>
  <w:abstractNum w:abstractNumId="24" w15:restartNumberingAfterBreak="0">
    <w:nsid w:val="55EA2BA9"/>
    <w:multiLevelType w:val="singleLevel"/>
    <w:tmpl w:val="785E3D4E"/>
    <w:lvl w:ilvl="0">
      <w:start w:val="20"/>
      <w:numFmt w:val="decimal"/>
      <w:lvlRestart w:val="0"/>
      <w:lvlText w:val="%1."/>
      <w:lvlJc w:val="left"/>
      <w:pPr>
        <w:tabs>
          <w:tab w:val="num" w:pos="1742"/>
        </w:tabs>
        <w:ind w:left="1267" w:firstLine="0"/>
      </w:pPr>
      <w:rPr>
        <w:b w:val="0"/>
        <w:bCs/>
        <w:w w:val="100"/>
      </w:rPr>
    </w:lvl>
  </w:abstractNum>
  <w:abstractNum w:abstractNumId="25" w15:restartNumberingAfterBreak="0">
    <w:nsid w:val="59CB0B74"/>
    <w:multiLevelType w:val="singleLevel"/>
    <w:tmpl w:val="7D0806BA"/>
    <w:lvl w:ilvl="0">
      <w:start w:val="58"/>
      <w:numFmt w:val="decimal"/>
      <w:lvlRestart w:val="0"/>
      <w:lvlText w:val="%1."/>
      <w:lvlJc w:val="left"/>
      <w:pPr>
        <w:tabs>
          <w:tab w:val="num" w:pos="1742"/>
        </w:tabs>
        <w:ind w:left="1267" w:firstLine="0"/>
      </w:pPr>
      <w:rPr>
        <w:b w:val="0"/>
        <w:bCs/>
        <w:w w:val="100"/>
      </w:rPr>
    </w:lvl>
  </w:abstractNum>
  <w:abstractNum w:abstractNumId="26" w15:restartNumberingAfterBreak="0">
    <w:nsid w:val="5A67683B"/>
    <w:multiLevelType w:val="singleLevel"/>
    <w:tmpl w:val="3A821EBA"/>
    <w:lvl w:ilvl="0">
      <w:start w:val="50"/>
      <w:numFmt w:val="decimal"/>
      <w:lvlRestart w:val="0"/>
      <w:lvlText w:val="%1."/>
      <w:lvlJc w:val="left"/>
      <w:pPr>
        <w:tabs>
          <w:tab w:val="num" w:pos="1742"/>
        </w:tabs>
        <w:ind w:left="1267" w:firstLine="0"/>
      </w:pPr>
      <w:rPr>
        <w:b w:val="0"/>
        <w:bCs/>
        <w:w w:val="100"/>
      </w:rPr>
    </w:lvl>
  </w:abstractNum>
  <w:abstractNum w:abstractNumId="27" w15:restartNumberingAfterBreak="0">
    <w:nsid w:val="5D6F44FC"/>
    <w:multiLevelType w:val="singleLevel"/>
    <w:tmpl w:val="FAF2DC20"/>
    <w:lvl w:ilvl="0">
      <w:start w:val="56"/>
      <w:numFmt w:val="decimal"/>
      <w:lvlRestart w:val="0"/>
      <w:lvlText w:val="%1."/>
      <w:lvlJc w:val="left"/>
      <w:pPr>
        <w:tabs>
          <w:tab w:val="num" w:pos="1742"/>
        </w:tabs>
        <w:ind w:left="1267" w:firstLine="0"/>
      </w:pPr>
      <w:rPr>
        <w:b w:val="0"/>
        <w:bCs/>
        <w:w w:val="100"/>
      </w:rPr>
    </w:lvl>
  </w:abstractNum>
  <w:abstractNum w:abstractNumId="28" w15:restartNumberingAfterBreak="0">
    <w:nsid w:val="655E1213"/>
    <w:multiLevelType w:val="singleLevel"/>
    <w:tmpl w:val="41664E9A"/>
    <w:lvl w:ilvl="0">
      <w:start w:val="30"/>
      <w:numFmt w:val="decimal"/>
      <w:lvlRestart w:val="0"/>
      <w:lvlText w:val="%1."/>
      <w:lvlJc w:val="left"/>
      <w:pPr>
        <w:tabs>
          <w:tab w:val="num" w:pos="1742"/>
        </w:tabs>
        <w:ind w:left="1267" w:firstLine="0"/>
      </w:pPr>
      <w:rPr>
        <w:b w:val="0"/>
        <w:bCs/>
        <w:w w:val="100"/>
      </w:rPr>
    </w:lvl>
  </w:abstractNum>
  <w:abstractNum w:abstractNumId="29" w15:restartNumberingAfterBreak="0">
    <w:nsid w:val="67376D3B"/>
    <w:multiLevelType w:val="singleLevel"/>
    <w:tmpl w:val="0409000F"/>
    <w:lvl w:ilvl="0">
      <w:start w:val="1"/>
      <w:numFmt w:val="decimal"/>
      <w:lvlText w:val="%1."/>
      <w:lvlJc w:val="left"/>
      <w:pPr>
        <w:ind w:left="720" w:hanging="360"/>
      </w:pPr>
    </w:lvl>
  </w:abstractNum>
  <w:abstractNum w:abstractNumId="30" w15:restartNumberingAfterBreak="0">
    <w:nsid w:val="67BC7595"/>
    <w:multiLevelType w:val="singleLevel"/>
    <w:tmpl w:val="737032DA"/>
    <w:lvl w:ilvl="0">
      <w:start w:val="46"/>
      <w:numFmt w:val="decimal"/>
      <w:lvlRestart w:val="0"/>
      <w:lvlText w:val="%1."/>
      <w:lvlJc w:val="left"/>
      <w:pPr>
        <w:tabs>
          <w:tab w:val="num" w:pos="1742"/>
        </w:tabs>
        <w:ind w:left="1267" w:firstLine="0"/>
      </w:pPr>
      <w:rPr>
        <w:b w:val="0"/>
        <w:bCs/>
        <w:w w:val="100"/>
      </w:rPr>
    </w:lvl>
  </w:abstractNum>
  <w:abstractNum w:abstractNumId="31" w15:restartNumberingAfterBreak="0">
    <w:nsid w:val="6B474F31"/>
    <w:multiLevelType w:val="singleLevel"/>
    <w:tmpl w:val="ABFA2190"/>
    <w:lvl w:ilvl="0">
      <w:start w:val="2"/>
      <w:numFmt w:val="decimal"/>
      <w:lvlRestart w:val="0"/>
      <w:lvlText w:val="%1."/>
      <w:lvlJc w:val="left"/>
      <w:pPr>
        <w:tabs>
          <w:tab w:val="num" w:pos="1742"/>
        </w:tabs>
        <w:ind w:left="1267" w:firstLine="0"/>
      </w:pPr>
      <w:rPr>
        <w:w w:val="100"/>
      </w:rPr>
    </w:lvl>
  </w:abstractNum>
  <w:abstractNum w:abstractNumId="32" w15:restartNumberingAfterBreak="0">
    <w:nsid w:val="6E4C325F"/>
    <w:multiLevelType w:val="singleLevel"/>
    <w:tmpl w:val="F95E0D60"/>
    <w:lvl w:ilvl="0">
      <w:start w:val="28"/>
      <w:numFmt w:val="decimal"/>
      <w:lvlRestart w:val="0"/>
      <w:lvlText w:val="%1."/>
      <w:lvlJc w:val="left"/>
      <w:pPr>
        <w:tabs>
          <w:tab w:val="num" w:pos="1742"/>
        </w:tabs>
        <w:ind w:left="1267" w:firstLine="0"/>
      </w:pPr>
      <w:rPr>
        <w:b w:val="0"/>
        <w:bCs/>
        <w:w w:val="100"/>
      </w:rPr>
    </w:lvl>
  </w:abstractNum>
  <w:abstractNum w:abstractNumId="33" w15:restartNumberingAfterBreak="0">
    <w:nsid w:val="6F1255E7"/>
    <w:multiLevelType w:val="singleLevel"/>
    <w:tmpl w:val="43B4CDF0"/>
    <w:lvl w:ilvl="0">
      <w:start w:val="44"/>
      <w:numFmt w:val="decimal"/>
      <w:lvlRestart w:val="0"/>
      <w:lvlText w:val="%1."/>
      <w:lvlJc w:val="left"/>
      <w:pPr>
        <w:tabs>
          <w:tab w:val="num" w:pos="1742"/>
        </w:tabs>
        <w:ind w:left="1267" w:firstLine="0"/>
      </w:pPr>
      <w:rPr>
        <w:b w:val="0"/>
        <w:bCs/>
        <w:w w:val="100"/>
      </w:rPr>
    </w:lvl>
  </w:abstractNum>
  <w:abstractNum w:abstractNumId="34" w15:restartNumberingAfterBreak="0">
    <w:nsid w:val="79451349"/>
    <w:multiLevelType w:val="singleLevel"/>
    <w:tmpl w:val="0DFCD7CE"/>
    <w:lvl w:ilvl="0">
      <w:start w:val="24"/>
      <w:numFmt w:val="decimal"/>
      <w:lvlRestart w:val="0"/>
      <w:lvlText w:val="%1."/>
      <w:lvlJc w:val="left"/>
      <w:pPr>
        <w:tabs>
          <w:tab w:val="num" w:pos="1742"/>
        </w:tabs>
        <w:ind w:left="1267" w:firstLine="0"/>
      </w:pPr>
      <w:rPr>
        <w:b w:val="0"/>
        <w:bCs/>
        <w:w w:val="100"/>
      </w:rPr>
    </w:lvl>
  </w:abstractNum>
  <w:num w:numId="1">
    <w:abstractNumId w:val="7"/>
  </w:num>
  <w:num w:numId="2">
    <w:abstractNumId w:val="17"/>
  </w:num>
  <w:num w:numId="3">
    <w:abstractNumId w:val="2"/>
  </w:num>
  <w:num w:numId="4">
    <w:abstractNumId w:val="6"/>
  </w:num>
  <w:num w:numId="5">
    <w:abstractNumId w:val="3"/>
  </w:num>
  <w:num w:numId="6">
    <w:abstractNumId w:val="24"/>
  </w:num>
  <w:num w:numId="7">
    <w:abstractNumId w:val="34"/>
  </w:num>
  <w:num w:numId="8">
    <w:abstractNumId w:val="13"/>
  </w:num>
  <w:num w:numId="9">
    <w:abstractNumId w:val="32"/>
  </w:num>
  <w:num w:numId="10">
    <w:abstractNumId w:val="28"/>
  </w:num>
  <w:num w:numId="11">
    <w:abstractNumId w:val="4"/>
  </w:num>
  <w:num w:numId="12">
    <w:abstractNumId w:val="23"/>
  </w:num>
  <w:num w:numId="13">
    <w:abstractNumId w:val="16"/>
  </w:num>
  <w:num w:numId="14">
    <w:abstractNumId w:val="0"/>
  </w:num>
  <w:num w:numId="15">
    <w:abstractNumId w:val="11"/>
  </w:num>
  <w:num w:numId="16">
    <w:abstractNumId w:val="12"/>
  </w:num>
  <w:num w:numId="17">
    <w:abstractNumId w:val="33"/>
  </w:num>
  <w:num w:numId="18">
    <w:abstractNumId w:val="30"/>
  </w:num>
  <w:num w:numId="19">
    <w:abstractNumId w:val="9"/>
  </w:num>
  <w:num w:numId="20">
    <w:abstractNumId w:val="26"/>
  </w:num>
  <w:num w:numId="21">
    <w:abstractNumId w:val="8"/>
  </w:num>
  <w:num w:numId="22">
    <w:abstractNumId w:val="22"/>
  </w:num>
  <w:num w:numId="23">
    <w:abstractNumId w:val="27"/>
  </w:num>
  <w:num w:numId="24">
    <w:abstractNumId w:val="25"/>
  </w:num>
  <w:num w:numId="25">
    <w:abstractNumId w:val="14"/>
  </w:num>
  <w:num w:numId="26">
    <w:abstractNumId w:val="1"/>
  </w:num>
  <w:num w:numId="27">
    <w:abstractNumId w:val="20"/>
  </w:num>
  <w:num w:numId="28">
    <w:abstractNumId w:val="15"/>
  </w:num>
  <w:num w:numId="29">
    <w:abstractNumId w:val="10"/>
  </w:num>
  <w:num w:numId="30">
    <w:abstractNumId w:val="5"/>
  </w:num>
  <w:num w:numId="31">
    <w:abstractNumId w:val="3"/>
    <w:lvlOverride w:ilvl="0">
      <w:lvl w:ilvl="0">
        <w:start w:val="1"/>
        <w:numFmt w:val="decimal"/>
        <w:lvlText w:val="%1."/>
        <w:lvlJc w:val="left"/>
        <w:pPr>
          <w:ind w:left="720" w:hanging="360"/>
        </w:pPr>
      </w:lvl>
    </w:lvlOverride>
  </w:num>
  <w:num w:numId="32">
    <w:abstractNumId w:val="3"/>
    <w:lvlOverride w:ilvl="0">
      <w:lvl w:ilvl="0">
        <w:start w:val="1"/>
        <w:numFmt w:val="decimal"/>
        <w:lvlText w:val="%1."/>
        <w:lvlJc w:val="left"/>
        <w:pPr>
          <w:ind w:left="720" w:hanging="360"/>
        </w:pPr>
      </w:lvl>
    </w:lvlOverride>
  </w:num>
  <w:num w:numId="33">
    <w:abstractNumId w:val="3"/>
    <w:lvlOverride w:ilvl="0">
      <w:lvl w:ilvl="0">
        <w:start w:val="1"/>
        <w:numFmt w:val="decimal"/>
        <w:lvlText w:val="%1."/>
        <w:lvlJc w:val="left"/>
        <w:pPr>
          <w:ind w:left="720" w:hanging="360"/>
        </w:pPr>
      </w:lvl>
    </w:lvlOverride>
  </w:num>
  <w:num w:numId="34">
    <w:abstractNumId w:val="18"/>
  </w:num>
  <w:num w:numId="35">
    <w:abstractNumId w:val="18"/>
    <w:lvlOverride w:ilvl="0">
      <w:lvl w:ilvl="0">
        <w:start w:val="1"/>
        <w:numFmt w:val="decimal"/>
        <w:lvlText w:val="%1."/>
        <w:lvlJc w:val="left"/>
        <w:pPr>
          <w:ind w:left="720" w:hanging="360"/>
        </w:pPr>
      </w:lvl>
    </w:lvlOverride>
  </w:num>
  <w:num w:numId="36">
    <w:abstractNumId w:val="21"/>
  </w:num>
  <w:num w:numId="37">
    <w:abstractNumId w:val="31"/>
  </w:num>
  <w:num w:numId="38">
    <w:abstractNumId w:val="21"/>
    <w:lvlOverride w:ilvl="0">
      <w:lvl w:ilvl="0">
        <w:start w:val="2"/>
        <w:numFmt w:val="decimal"/>
        <w:lvlRestart w:val="0"/>
        <w:lvlText w:val="%1."/>
        <w:lvlJc w:val="left"/>
        <w:pPr>
          <w:tabs>
            <w:tab w:val="num" w:pos="1742"/>
          </w:tabs>
          <w:ind w:left="1267" w:firstLine="0"/>
        </w:pPr>
        <w:rPr>
          <w:w w:val="100"/>
        </w:rPr>
      </w:lvl>
    </w:lvlOverride>
  </w:num>
  <w:num w:numId="39">
    <w:abstractNumId w:val="19"/>
  </w:num>
  <w:num w:numId="40">
    <w:abstractNumId w:val="3"/>
    <w:lvlOverride w:ilvl="0">
      <w:lvl w:ilvl="0">
        <w:start w:val="2"/>
        <w:numFmt w:val="decimal"/>
        <w:lvlRestart w:val="0"/>
        <w:lvlText w:val="%1."/>
        <w:lvlJc w:val="left"/>
        <w:pPr>
          <w:tabs>
            <w:tab w:val="num" w:pos="1742"/>
          </w:tabs>
          <w:ind w:left="1267" w:firstLine="0"/>
        </w:pPr>
        <w:rPr>
          <w:w w:val="100"/>
        </w:rPr>
      </w:lvl>
    </w:lvlOverride>
  </w:num>
  <w:num w:numId="41">
    <w:abstractNumId w:val="3"/>
    <w:lvlOverride w:ilvl="0">
      <w:lvl w:ilvl="0">
        <w:start w:val="2"/>
        <w:numFmt w:val="decimal"/>
        <w:lvlRestart w:val="0"/>
        <w:lvlText w:val="%1."/>
        <w:lvlJc w:val="left"/>
        <w:pPr>
          <w:tabs>
            <w:tab w:val="num" w:pos="1742"/>
          </w:tabs>
          <w:ind w:left="1267" w:firstLine="0"/>
        </w:pPr>
        <w:rPr>
          <w:w w:val="100"/>
        </w:rPr>
      </w:lvl>
    </w:lvlOverride>
  </w:num>
  <w:num w:numId="42">
    <w:abstractNumId w:val="3"/>
    <w:lvlOverride w:ilvl="0">
      <w:lvl w:ilvl="0">
        <w:start w:val="2"/>
        <w:numFmt w:val="decimal"/>
        <w:lvlRestart w:val="0"/>
        <w:lvlText w:val="%1."/>
        <w:lvlJc w:val="left"/>
        <w:pPr>
          <w:tabs>
            <w:tab w:val="num" w:pos="1742"/>
          </w:tabs>
          <w:ind w:left="1267" w:firstLine="0"/>
        </w:pPr>
        <w:rPr>
          <w:w w:val="100"/>
        </w:rPr>
      </w:lvl>
    </w:lvlOverride>
  </w:num>
  <w:num w:numId="43">
    <w:abstractNumId w:val="3"/>
    <w:lvlOverride w:ilvl="0">
      <w:lvl w:ilvl="0">
        <w:start w:val="2"/>
        <w:numFmt w:val="decimal"/>
        <w:lvlRestart w:val="0"/>
        <w:lvlText w:val="%1."/>
        <w:lvlJc w:val="left"/>
        <w:pPr>
          <w:tabs>
            <w:tab w:val="num" w:pos="1742"/>
          </w:tabs>
          <w:ind w:left="1267" w:firstLine="0"/>
        </w:pPr>
        <w:rPr>
          <w:w w:val="100"/>
        </w:rPr>
      </w:lvl>
    </w:lvlOverride>
  </w:num>
  <w:num w:numId="44">
    <w:abstractNumId w:val="3"/>
    <w:lvlOverride w:ilvl="0">
      <w:lvl w:ilvl="0">
        <w:start w:val="2"/>
        <w:numFmt w:val="decimal"/>
        <w:lvlRestart w:val="0"/>
        <w:lvlText w:val="%1."/>
        <w:lvlJc w:val="left"/>
        <w:pPr>
          <w:tabs>
            <w:tab w:val="num" w:pos="1742"/>
          </w:tabs>
          <w:ind w:left="1267" w:firstLine="0"/>
        </w:pPr>
        <w:rPr>
          <w:w w:val="100"/>
        </w:rPr>
      </w:lvl>
    </w:lvlOverride>
  </w:num>
  <w:num w:numId="45">
    <w:abstractNumId w:val="3"/>
    <w:lvlOverride w:ilvl="0">
      <w:lvl w:ilvl="0">
        <w:start w:val="2"/>
        <w:numFmt w:val="decimal"/>
        <w:lvlRestart w:val="0"/>
        <w:lvlText w:val="%1."/>
        <w:lvlJc w:val="left"/>
        <w:pPr>
          <w:tabs>
            <w:tab w:val="num" w:pos="1742"/>
          </w:tabs>
          <w:ind w:left="1267" w:firstLine="0"/>
        </w:pPr>
        <w:rPr>
          <w:w w:val="100"/>
        </w:rPr>
      </w:lvl>
    </w:lvlOverride>
  </w:num>
  <w:num w:numId="46">
    <w:abstractNumId w:val="3"/>
    <w:lvlOverride w:ilvl="0">
      <w:lvl w:ilvl="0">
        <w:start w:val="2"/>
        <w:numFmt w:val="decimal"/>
        <w:lvlRestart w:val="0"/>
        <w:lvlText w:val="%1."/>
        <w:lvlJc w:val="left"/>
        <w:pPr>
          <w:tabs>
            <w:tab w:val="num" w:pos="1742"/>
          </w:tabs>
          <w:ind w:left="1267" w:firstLine="0"/>
        </w:pPr>
        <w:rPr>
          <w:w w:val="100"/>
        </w:rPr>
      </w:lvl>
    </w:lvlOverride>
  </w:num>
  <w:num w:numId="47">
    <w:abstractNumId w:val="3"/>
    <w:lvlOverride w:ilvl="0">
      <w:lvl w:ilvl="0">
        <w:start w:val="2"/>
        <w:numFmt w:val="decimal"/>
        <w:lvlRestart w:val="0"/>
        <w:lvlText w:val="%1."/>
        <w:lvlJc w:val="left"/>
        <w:pPr>
          <w:tabs>
            <w:tab w:val="num" w:pos="1742"/>
          </w:tabs>
          <w:ind w:left="1267" w:firstLine="0"/>
        </w:pPr>
        <w:rPr>
          <w:w w:val="100"/>
        </w:rPr>
      </w:lvl>
    </w:lvlOverride>
  </w:num>
  <w:num w:numId="48">
    <w:abstractNumId w:val="3"/>
    <w:lvlOverride w:ilvl="0">
      <w:lvl w:ilvl="0">
        <w:start w:val="2"/>
        <w:numFmt w:val="decimal"/>
        <w:lvlRestart w:val="0"/>
        <w:lvlText w:val="%1."/>
        <w:lvlJc w:val="left"/>
        <w:pPr>
          <w:tabs>
            <w:tab w:val="num" w:pos="1742"/>
          </w:tabs>
          <w:ind w:left="1267" w:firstLine="0"/>
        </w:pPr>
        <w:rPr>
          <w:w w:val="100"/>
        </w:rPr>
      </w:lvl>
    </w:lvlOverride>
  </w:num>
  <w:num w:numId="49">
    <w:abstractNumId w:val="3"/>
    <w:lvlOverride w:ilvl="0">
      <w:lvl w:ilvl="0">
        <w:start w:val="2"/>
        <w:numFmt w:val="decimal"/>
        <w:lvlRestart w:val="0"/>
        <w:lvlText w:val="%1."/>
        <w:lvlJc w:val="left"/>
        <w:pPr>
          <w:tabs>
            <w:tab w:val="num" w:pos="1742"/>
          </w:tabs>
          <w:ind w:left="1267" w:firstLine="0"/>
        </w:pPr>
        <w:rPr>
          <w:w w:val="100"/>
        </w:rPr>
      </w:lvl>
    </w:lvlOverride>
  </w:num>
  <w:num w:numId="50">
    <w:abstractNumId w:val="3"/>
    <w:lvlOverride w:ilvl="0">
      <w:lvl w:ilvl="0">
        <w:start w:val="2"/>
        <w:numFmt w:val="decimal"/>
        <w:lvlRestart w:val="0"/>
        <w:lvlText w:val="%1."/>
        <w:lvlJc w:val="left"/>
        <w:pPr>
          <w:tabs>
            <w:tab w:val="num" w:pos="1742"/>
          </w:tabs>
          <w:ind w:left="1267" w:firstLine="0"/>
        </w:pPr>
        <w:rPr>
          <w:w w:val="100"/>
        </w:rPr>
      </w:lvl>
    </w:lvlOverride>
  </w:num>
  <w:num w:numId="51">
    <w:abstractNumId w:val="3"/>
    <w:lvlOverride w:ilvl="0">
      <w:lvl w:ilvl="0">
        <w:start w:val="2"/>
        <w:numFmt w:val="decimal"/>
        <w:lvlRestart w:val="0"/>
        <w:lvlText w:val="%1."/>
        <w:lvlJc w:val="left"/>
        <w:pPr>
          <w:tabs>
            <w:tab w:val="num" w:pos="1742"/>
          </w:tabs>
          <w:ind w:left="1267" w:firstLine="0"/>
        </w:pPr>
        <w:rPr>
          <w:w w:val="100"/>
        </w:rPr>
      </w:lvl>
    </w:lvlOverride>
  </w:num>
  <w:num w:numId="52">
    <w:abstractNumId w:val="3"/>
    <w:lvlOverride w:ilvl="0">
      <w:lvl w:ilvl="0">
        <w:start w:val="2"/>
        <w:numFmt w:val="decimal"/>
        <w:lvlRestart w:val="0"/>
        <w:lvlText w:val="%1."/>
        <w:lvlJc w:val="left"/>
        <w:pPr>
          <w:tabs>
            <w:tab w:val="num" w:pos="1742"/>
          </w:tabs>
          <w:ind w:left="1267" w:firstLine="0"/>
        </w:pPr>
        <w:rPr>
          <w:w w:val="100"/>
        </w:rPr>
      </w:lvl>
    </w:lvlOverride>
  </w:num>
  <w:num w:numId="53">
    <w:abstractNumId w:val="3"/>
    <w:lvlOverride w:ilvl="0">
      <w:lvl w:ilvl="0">
        <w:start w:val="2"/>
        <w:numFmt w:val="decimal"/>
        <w:lvlRestart w:val="0"/>
        <w:lvlText w:val="%1."/>
        <w:lvlJc w:val="left"/>
        <w:pPr>
          <w:tabs>
            <w:tab w:val="num" w:pos="1742"/>
          </w:tabs>
          <w:ind w:left="1267" w:firstLine="0"/>
        </w:pPr>
        <w:rPr>
          <w:w w:val="100"/>
        </w:rPr>
      </w:lvl>
    </w:lvlOverride>
  </w:num>
  <w:num w:numId="54">
    <w:abstractNumId w:val="3"/>
    <w:lvlOverride w:ilvl="0">
      <w:lvl w:ilvl="0">
        <w:start w:val="2"/>
        <w:numFmt w:val="decimal"/>
        <w:lvlRestart w:val="0"/>
        <w:lvlText w:val="%1."/>
        <w:lvlJc w:val="left"/>
        <w:pPr>
          <w:tabs>
            <w:tab w:val="num" w:pos="1742"/>
          </w:tabs>
          <w:ind w:left="1267" w:firstLine="0"/>
        </w:pPr>
        <w:rPr>
          <w:w w:val="100"/>
        </w:rPr>
      </w:lvl>
    </w:lvlOverride>
  </w:num>
  <w:num w:numId="55">
    <w:abstractNumId w:val="3"/>
    <w:lvlOverride w:ilvl="0">
      <w:lvl w:ilvl="0">
        <w:start w:val="2"/>
        <w:numFmt w:val="decimal"/>
        <w:lvlRestart w:val="0"/>
        <w:lvlText w:val="%1."/>
        <w:lvlJc w:val="left"/>
        <w:pPr>
          <w:tabs>
            <w:tab w:val="num" w:pos="1742"/>
          </w:tabs>
          <w:ind w:left="1267" w:firstLine="0"/>
        </w:pPr>
        <w:rPr>
          <w:w w:val="100"/>
        </w:rPr>
      </w:lvl>
    </w:lvlOverride>
  </w:num>
  <w:num w:numId="56">
    <w:abstractNumId w:val="3"/>
    <w:lvlOverride w:ilvl="0">
      <w:lvl w:ilvl="0">
        <w:start w:val="2"/>
        <w:numFmt w:val="decimal"/>
        <w:lvlRestart w:val="0"/>
        <w:lvlText w:val="%1."/>
        <w:lvlJc w:val="left"/>
        <w:pPr>
          <w:tabs>
            <w:tab w:val="num" w:pos="1742"/>
          </w:tabs>
          <w:ind w:left="1267" w:firstLine="0"/>
        </w:pPr>
        <w:rPr>
          <w:w w:val="100"/>
        </w:rPr>
      </w:lvl>
    </w:lvlOverride>
  </w:num>
  <w:num w:numId="57">
    <w:abstractNumId w:val="3"/>
    <w:lvlOverride w:ilvl="0">
      <w:lvl w:ilvl="0">
        <w:start w:val="2"/>
        <w:numFmt w:val="decimal"/>
        <w:lvlRestart w:val="0"/>
        <w:lvlText w:val="%1."/>
        <w:lvlJc w:val="left"/>
        <w:pPr>
          <w:tabs>
            <w:tab w:val="num" w:pos="1742"/>
          </w:tabs>
          <w:ind w:left="1267" w:firstLine="0"/>
        </w:pPr>
        <w:rPr>
          <w:w w:val="100"/>
        </w:rPr>
      </w:lvl>
    </w:lvlOverride>
  </w:num>
  <w:num w:numId="58">
    <w:abstractNumId w:val="3"/>
    <w:lvlOverride w:ilvl="0">
      <w:lvl w:ilvl="0">
        <w:start w:val="2"/>
        <w:numFmt w:val="decimal"/>
        <w:lvlRestart w:val="0"/>
        <w:lvlText w:val="%1."/>
        <w:lvlJc w:val="left"/>
        <w:pPr>
          <w:tabs>
            <w:tab w:val="num" w:pos="1742"/>
          </w:tabs>
          <w:ind w:left="1267" w:firstLine="0"/>
        </w:pPr>
        <w:rPr>
          <w:w w:val="100"/>
        </w:rPr>
      </w:lvl>
    </w:lvlOverride>
  </w:num>
  <w:num w:numId="59">
    <w:abstractNumId w:val="3"/>
    <w:lvlOverride w:ilvl="0">
      <w:lvl w:ilvl="0">
        <w:start w:val="2"/>
        <w:numFmt w:val="decimal"/>
        <w:lvlRestart w:val="0"/>
        <w:lvlText w:val="%1."/>
        <w:lvlJc w:val="left"/>
        <w:pPr>
          <w:tabs>
            <w:tab w:val="num" w:pos="1742"/>
          </w:tabs>
          <w:ind w:left="1267" w:firstLine="0"/>
        </w:pPr>
        <w:rPr>
          <w:w w:val="100"/>
        </w:rPr>
      </w:lvl>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hideSpellingErrors/>
  <w:defaultTabStop w:val="475"/>
  <w:hyphenationZone w:val="425"/>
  <w:doNotHyphenateCaps/>
  <w:evenAndOddHeaders/>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0374*"/>
    <w:docVar w:name="CreationDt" w:val="17/01/2018 18:51:07"/>
    <w:docVar w:name="DocCategory" w:val="Doc"/>
    <w:docVar w:name="DocType" w:val="Final"/>
    <w:docVar w:name="DutyStation" w:val="New York"/>
    <w:docVar w:name="FooterJN" w:val="17-20374"/>
    <w:docVar w:name="jobn" w:val="17-20374 (F)"/>
    <w:docVar w:name="jobnDT" w:val="17-20374 (F)   170118"/>
    <w:docVar w:name="jobnDTDT" w:val="17-20374 (F)   170118   170118"/>
    <w:docVar w:name="JobNo" w:val="1720374F"/>
    <w:docVar w:name="JobNo2" w:val="1739445F"/>
    <w:docVar w:name="LocalDrive" w:val="0"/>
    <w:docVar w:name="OandT" w:val="SBC"/>
    <w:docVar w:name="sss1" w:val="CEDAW/C/ISR/CO/6"/>
    <w:docVar w:name="sss2" w:val="-"/>
    <w:docVar w:name="Symbol1" w:val="CEDAW/C/ISR/CO/6"/>
    <w:docVar w:name="Symbol2" w:val="-"/>
  </w:docVars>
  <w:rsids>
    <w:rsidRoot w:val="006B039E"/>
    <w:rsid w:val="00002584"/>
    <w:rsid w:val="0001287B"/>
    <w:rsid w:val="00043E79"/>
    <w:rsid w:val="0005691F"/>
    <w:rsid w:val="00065C21"/>
    <w:rsid w:val="00071D43"/>
    <w:rsid w:val="00074B26"/>
    <w:rsid w:val="000816F2"/>
    <w:rsid w:val="00090B95"/>
    <w:rsid w:val="000972AA"/>
    <w:rsid w:val="000A2F6C"/>
    <w:rsid w:val="000B06CB"/>
    <w:rsid w:val="000C3955"/>
    <w:rsid w:val="00101B18"/>
    <w:rsid w:val="00104C7D"/>
    <w:rsid w:val="00122A56"/>
    <w:rsid w:val="00124800"/>
    <w:rsid w:val="001252B2"/>
    <w:rsid w:val="00134D27"/>
    <w:rsid w:val="001431B0"/>
    <w:rsid w:val="00146C6A"/>
    <w:rsid w:val="00152A4B"/>
    <w:rsid w:val="00156C3D"/>
    <w:rsid w:val="00157B8D"/>
    <w:rsid w:val="00166A0D"/>
    <w:rsid w:val="00167414"/>
    <w:rsid w:val="00171ECC"/>
    <w:rsid w:val="001773DE"/>
    <w:rsid w:val="0018055A"/>
    <w:rsid w:val="001A23CD"/>
    <w:rsid w:val="001A3FA0"/>
    <w:rsid w:val="001C481F"/>
    <w:rsid w:val="001D3121"/>
    <w:rsid w:val="001E3BC5"/>
    <w:rsid w:val="001E4B50"/>
    <w:rsid w:val="00200A05"/>
    <w:rsid w:val="002012DE"/>
    <w:rsid w:val="00213FA2"/>
    <w:rsid w:val="002153E7"/>
    <w:rsid w:val="002478A0"/>
    <w:rsid w:val="00262136"/>
    <w:rsid w:val="00276AFA"/>
    <w:rsid w:val="002B6C59"/>
    <w:rsid w:val="002D4AD8"/>
    <w:rsid w:val="002F56E1"/>
    <w:rsid w:val="003067C7"/>
    <w:rsid w:val="003231C1"/>
    <w:rsid w:val="00361B7D"/>
    <w:rsid w:val="00383687"/>
    <w:rsid w:val="003A2CDF"/>
    <w:rsid w:val="003C632A"/>
    <w:rsid w:val="003C7D8B"/>
    <w:rsid w:val="003E67BA"/>
    <w:rsid w:val="003E6DF2"/>
    <w:rsid w:val="00407166"/>
    <w:rsid w:val="004071F8"/>
    <w:rsid w:val="00410A6C"/>
    <w:rsid w:val="004133C7"/>
    <w:rsid w:val="004173F3"/>
    <w:rsid w:val="00423729"/>
    <w:rsid w:val="00437EAF"/>
    <w:rsid w:val="00440C93"/>
    <w:rsid w:val="00443BF0"/>
    <w:rsid w:val="00454610"/>
    <w:rsid w:val="00465BD5"/>
    <w:rsid w:val="0046741B"/>
    <w:rsid w:val="00472138"/>
    <w:rsid w:val="0047269F"/>
    <w:rsid w:val="00480B84"/>
    <w:rsid w:val="00483725"/>
    <w:rsid w:val="00485767"/>
    <w:rsid w:val="004A0AD5"/>
    <w:rsid w:val="004A42D2"/>
    <w:rsid w:val="004C1A25"/>
    <w:rsid w:val="004D6BCD"/>
    <w:rsid w:val="004F3DFC"/>
    <w:rsid w:val="005006BE"/>
    <w:rsid w:val="00515991"/>
    <w:rsid w:val="00520867"/>
    <w:rsid w:val="005225EC"/>
    <w:rsid w:val="00535175"/>
    <w:rsid w:val="00554288"/>
    <w:rsid w:val="00556D88"/>
    <w:rsid w:val="0055794F"/>
    <w:rsid w:val="00560827"/>
    <w:rsid w:val="0056526D"/>
    <w:rsid w:val="00565DF3"/>
    <w:rsid w:val="005665F6"/>
    <w:rsid w:val="00572A84"/>
    <w:rsid w:val="0057438C"/>
    <w:rsid w:val="005A3498"/>
    <w:rsid w:val="005B65D1"/>
    <w:rsid w:val="005B7C43"/>
    <w:rsid w:val="005C1D78"/>
    <w:rsid w:val="005C7054"/>
    <w:rsid w:val="005F1F5F"/>
    <w:rsid w:val="006208C0"/>
    <w:rsid w:val="00626968"/>
    <w:rsid w:val="00627A8A"/>
    <w:rsid w:val="00636AD4"/>
    <w:rsid w:val="0064021F"/>
    <w:rsid w:val="006417CE"/>
    <w:rsid w:val="0066344F"/>
    <w:rsid w:val="00671842"/>
    <w:rsid w:val="0068052F"/>
    <w:rsid w:val="006821CE"/>
    <w:rsid w:val="0068533C"/>
    <w:rsid w:val="00685EFA"/>
    <w:rsid w:val="00686DFB"/>
    <w:rsid w:val="006906A3"/>
    <w:rsid w:val="00692FEB"/>
    <w:rsid w:val="006B039E"/>
    <w:rsid w:val="006B1791"/>
    <w:rsid w:val="006B6E92"/>
    <w:rsid w:val="006E43D9"/>
    <w:rsid w:val="006E64D5"/>
    <w:rsid w:val="00703057"/>
    <w:rsid w:val="007310F5"/>
    <w:rsid w:val="007459AE"/>
    <w:rsid w:val="007531A5"/>
    <w:rsid w:val="00771C9E"/>
    <w:rsid w:val="00795444"/>
    <w:rsid w:val="00795AE6"/>
    <w:rsid w:val="007B249C"/>
    <w:rsid w:val="007C6686"/>
    <w:rsid w:val="007D0B29"/>
    <w:rsid w:val="007D2221"/>
    <w:rsid w:val="007E016C"/>
    <w:rsid w:val="007E297B"/>
    <w:rsid w:val="007E5372"/>
    <w:rsid w:val="007F2734"/>
    <w:rsid w:val="00807FB7"/>
    <w:rsid w:val="008146B3"/>
    <w:rsid w:val="0082045E"/>
    <w:rsid w:val="008222A3"/>
    <w:rsid w:val="00823F91"/>
    <w:rsid w:val="00837CC2"/>
    <w:rsid w:val="008403FE"/>
    <w:rsid w:val="0084114E"/>
    <w:rsid w:val="0085598B"/>
    <w:rsid w:val="00867E60"/>
    <w:rsid w:val="00871D56"/>
    <w:rsid w:val="00876BBF"/>
    <w:rsid w:val="00884F34"/>
    <w:rsid w:val="008914DF"/>
    <w:rsid w:val="00897AC4"/>
    <w:rsid w:val="008B5217"/>
    <w:rsid w:val="008D6184"/>
    <w:rsid w:val="008E6030"/>
    <w:rsid w:val="008E7DBA"/>
    <w:rsid w:val="009162D7"/>
    <w:rsid w:val="00916698"/>
    <w:rsid w:val="00917620"/>
    <w:rsid w:val="00935932"/>
    <w:rsid w:val="00937BDC"/>
    <w:rsid w:val="009414AA"/>
    <w:rsid w:val="009625BC"/>
    <w:rsid w:val="00980358"/>
    <w:rsid w:val="009831E2"/>
    <w:rsid w:val="00984105"/>
    <w:rsid w:val="0098734E"/>
    <w:rsid w:val="00990DE6"/>
    <w:rsid w:val="00993CB7"/>
    <w:rsid w:val="009949C5"/>
    <w:rsid w:val="009E3075"/>
    <w:rsid w:val="009E77AD"/>
    <w:rsid w:val="009F114C"/>
    <w:rsid w:val="009F2AD6"/>
    <w:rsid w:val="00A01FB8"/>
    <w:rsid w:val="00A06645"/>
    <w:rsid w:val="00A2494D"/>
    <w:rsid w:val="00A2785A"/>
    <w:rsid w:val="00A309A4"/>
    <w:rsid w:val="00A33BC1"/>
    <w:rsid w:val="00A35D02"/>
    <w:rsid w:val="00A4307B"/>
    <w:rsid w:val="00A47984"/>
    <w:rsid w:val="00A5205F"/>
    <w:rsid w:val="00A65DBF"/>
    <w:rsid w:val="00A66145"/>
    <w:rsid w:val="00A72C80"/>
    <w:rsid w:val="00A819D0"/>
    <w:rsid w:val="00A855C1"/>
    <w:rsid w:val="00A86036"/>
    <w:rsid w:val="00AB0B7D"/>
    <w:rsid w:val="00AB5FF1"/>
    <w:rsid w:val="00AC3FE9"/>
    <w:rsid w:val="00AD14E6"/>
    <w:rsid w:val="00AD5F2F"/>
    <w:rsid w:val="00AE5F6D"/>
    <w:rsid w:val="00AF64D6"/>
    <w:rsid w:val="00B00C92"/>
    <w:rsid w:val="00B03CCD"/>
    <w:rsid w:val="00B07E27"/>
    <w:rsid w:val="00B12265"/>
    <w:rsid w:val="00B304BE"/>
    <w:rsid w:val="00B461DC"/>
    <w:rsid w:val="00B5563F"/>
    <w:rsid w:val="00B858D5"/>
    <w:rsid w:val="00B90AA3"/>
    <w:rsid w:val="00BA1D31"/>
    <w:rsid w:val="00BD665E"/>
    <w:rsid w:val="00BE2D93"/>
    <w:rsid w:val="00BE59DE"/>
    <w:rsid w:val="00BE7934"/>
    <w:rsid w:val="00BF296D"/>
    <w:rsid w:val="00C01E74"/>
    <w:rsid w:val="00C2295F"/>
    <w:rsid w:val="00C23CF9"/>
    <w:rsid w:val="00C32BCA"/>
    <w:rsid w:val="00C5178B"/>
    <w:rsid w:val="00C75B58"/>
    <w:rsid w:val="00C955A8"/>
    <w:rsid w:val="00CA0E48"/>
    <w:rsid w:val="00CA565B"/>
    <w:rsid w:val="00CB06FB"/>
    <w:rsid w:val="00CB63C5"/>
    <w:rsid w:val="00CC0D08"/>
    <w:rsid w:val="00CC4427"/>
    <w:rsid w:val="00D26443"/>
    <w:rsid w:val="00D44684"/>
    <w:rsid w:val="00D55120"/>
    <w:rsid w:val="00D56A2D"/>
    <w:rsid w:val="00D653F7"/>
    <w:rsid w:val="00D909ED"/>
    <w:rsid w:val="00D91206"/>
    <w:rsid w:val="00D93317"/>
    <w:rsid w:val="00D96ACC"/>
    <w:rsid w:val="00DB3B55"/>
    <w:rsid w:val="00DC1050"/>
    <w:rsid w:val="00DD069E"/>
    <w:rsid w:val="00DD16D2"/>
    <w:rsid w:val="00DF3673"/>
    <w:rsid w:val="00E00165"/>
    <w:rsid w:val="00E02ABD"/>
    <w:rsid w:val="00E343A6"/>
    <w:rsid w:val="00E438AE"/>
    <w:rsid w:val="00E537FC"/>
    <w:rsid w:val="00E60F13"/>
    <w:rsid w:val="00E63FE0"/>
    <w:rsid w:val="00E67564"/>
    <w:rsid w:val="00E7105F"/>
    <w:rsid w:val="00E71F72"/>
    <w:rsid w:val="00E820F4"/>
    <w:rsid w:val="00E906AB"/>
    <w:rsid w:val="00E9400C"/>
    <w:rsid w:val="00EC437D"/>
    <w:rsid w:val="00EC6446"/>
    <w:rsid w:val="00ED49E8"/>
    <w:rsid w:val="00ED6BD6"/>
    <w:rsid w:val="00EE37EC"/>
    <w:rsid w:val="00EF2DFA"/>
    <w:rsid w:val="00EF358A"/>
    <w:rsid w:val="00F2539A"/>
    <w:rsid w:val="00F27069"/>
    <w:rsid w:val="00F3416F"/>
    <w:rsid w:val="00F5012D"/>
    <w:rsid w:val="00F6442E"/>
    <w:rsid w:val="00F64C59"/>
    <w:rsid w:val="00F6704E"/>
    <w:rsid w:val="00F71043"/>
    <w:rsid w:val="00F71255"/>
    <w:rsid w:val="00F71A7A"/>
    <w:rsid w:val="00F73093"/>
    <w:rsid w:val="00F74A8F"/>
    <w:rsid w:val="00F90440"/>
    <w:rsid w:val="00FA1270"/>
    <w:rsid w:val="00FA1AE3"/>
    <w:rsid w:val="00FA3D05"/>
    <w:rsid w:val="00FA5CC9"/>
    <w:rsid w:val="00FB02C0"/>
    <w:rsid w:val="00FB0A2C"/>
    <w:rsid w:val="00FB7E91"/>
    <w:rsid w:val="00FC0C27"/>
    <w:rsid w:val="00FC4232"/>
    <w:rsid w:val="00FC59F1"/>
    <w:rsid w:val="00FE01E9"/>
    <w:rsid w:val="00FF7477"/>
    <w:rsid w:val="00FF7C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375F075"/>
  <w15:chartTrackingRefBased/>
  <w15:docId w15:val="{A86465BE-DF6E-4A9A-BCE7-17650A39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1DC"/>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B461DC"/>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B461DC"/>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B461DC"/>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B461DC"/>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B461DC"/>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B461DC"/>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B461DC"/>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B461DC"/>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B461DC"/>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B461DC"/>
    <w:pPr>
      <w:keepNext/>
      <w:keepLines/>
      <w:suppressAutoHyphens/>
      <w:spacing w:line="270" w:lineRule="exact"/>
      <w:outlineLvl w:val="0"/>
    </w:pPr>
    <w:rPr>
      <w:b/>
      <w:sz w:val="24"/>
    </w:rPr>
  </w:style>
  <w:style w:type="paragraph" w:customStyle="1" w:styleId="HCH">
    <w:name w:val="_ H _CH"/>
    <w:basedOn w:val="H1"/>
    <w:next w:val="Normal"/>
    <w:qFormat/>
    <w:rsid w:val="00B461DC"/>
    <w:pPr>
      <w:spacing w:line="300" w:lineRule="exact"/>
    </w:pPr>
    <w:rPr>
      <w:spacing w:val="-2"/>
      <w:sz w:val="28"/>
    </w:rPr>
  </w:style>
  <w:style w:type="paragraph" w:customStyle="1" w:styleId="HM">
    <w:name w:val="_ H __M"/>
    <w:basedOn w:val="HCH"/>
    <w:next w:val="Normal"/>
    <w:qFormat/>
    <w:rsid w:val="00B461DC"/>
    <w:pPr>
      <w:spacing w:line="360" w:lineRule="exact"/>
    </w:pPr>
    <w:rPr>
      <w:spacing w:val="-3"/>
      <w:w w:val="99"/>
      <w:sz w:val="34"/>
    </w:rPr>
  </w:style>
  <w:style w:type="paragraph" w:customStyle="1" w:styleId="H23">
    <w:name w:val="_ H_2/3"/>
    <w:basedOn w:val="H1"/>
    <w:next w:val="SingleTxt"/>
    <w:qFormat/>
    <w:rsid w:val="00B461DC"/>
    <w:pPr>
      <w:spacing w:line="240" w:lineRule="exact"/>
      <w:outlineLvl w:val="1"/>
    </w:pPr>
    <w:rPr>
      <w:spacing w:val="2"/>
      <w:sz w:val="20"/>
    </w:rPr>
  </w:style>
  <w:style w:type="paragraph" w:customStyle="1" w:styleId="H4">
    <w:name w:val="_ H_4"/>
    <w:basedOn w:val="Normal"/>
    <w:next w:val="SingleTxt"/>
    <w:qFormat/>
    <w:rsid w:val="00B461DC"/>
    <w:pPr>
      <w:keepNext/>
      <w:keepLines/>
      <w:tabs>
        <w:tab w:val="right" w:pos="360"/>
      </w:tabs>
      <w:suppressAutoHyphens/>
      <w:outlineLvl w:val="3"/>
    </w:pPr>
    <w:rPr>
      <w:i/>
      <w:spacing w:val="3"/>
    </w:rPr>
  </w:style>
  <w:style w:type="paragraph" w:customStyle="1" w:styleId="H56">
    <w:name w:val="_ H_5/6"/>
    <w:basedOn w:val="Normal"/>
    <w:next w:val="Normal"/>
    <w:qFormat/>
    <w:rsid w:val="00B461DC"/>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B461DC"/>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B461DC"/>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B461DC"/>
    <w:pPr>
      <w:spacing w:line="540" w:lineRule="exact"/>
    </w:pPr>
    <w:rPr>
      <w:spacing w:val="-8"/>
      <w:w w:val="96"/>
      <w:sz w:val="57"/>
    </w:rPr>
  </w:style>
  <w:style w:type="paragraph" w:customStyle="1" w:styleId="SS">
    <w:name w:val="__S_S"/>
    <w:basedOn w:val="HCH"/>
    <w:next w:val="Normal"/>
    <w:qFormat/>
    <w:rsid w:val="00B461DC"/>
    <w:pPr>
      <w:ind w:left="1267" w:right="1267"/>
    </w:pPr>
  </w:style>
  <w:style w:type="paragraph" w:customStyle="1" w:styleId="SingleTxt">
    <w:name w:val="__Single Txt"/>
    <w:basedOn w:val="Normal"/>
    <w:qFormat/>
    <w:rsid w:val="00B461D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B461DC"/>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B461D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B461DC"/>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B461D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461DC"/>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B461DC"/>
    <w:pPr>
      <w:numPr>
        <w:numId w:val="1"/>
      </w:numPr>
      <w:spacing w:after="120"/>
      <w:ind w:right="1267"/>
      <w:jc w:val="both"/>
    </w:pPr>
  </w:style>
  <w:style w:type="paragraph" w:customStyle="1" w:styleId="Bullet2">
    <w:name w:val="Bullet 2"/>
    <w:basedOn w:val="Normal"/>
    <w:qFormat/>
    <w:rsid w:val="00B461DC"/>
    <w:pPr>
      <w:numPr>
        <w:numId w:val="2"/>
      </w:numPr>
      <w:spacing w:after="120"/>
      <w:ind w:right="1264"/>
      <w:jc w:val="both"/>
    </w:pPr>
  </w:style>
  <w:style w:type="paragraph" w:customStyle="1" w:styleId="Bullet3">
    <w:name w:val="Bullet 3"/>
    <w:basedOn w:val="SingleTxt"/>
    <w:qFormat/>
    <w:rsid w:val="00B461DC"/>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B461DC"/>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B461D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B461DC"/>
    <w:pPr>
      <w:spacing w:line="210" w:lineRule="exact"/>
    </w:pPr>
    <w:rPr>
      <w:sz w:val="17"/>
      <w:szCs w:val="20"/>
    </w:rPr>
  </w:style>
  <w:style w:type="character" w:customStyle="1" w:styleId="EndnoteTextChar">
    <w:name w:val="Endnote Text Char"/>
    <w:link w:val="EndnoteText"/>
    <w:uiPriority w:val="99"/>
    <w:semiHidden/>
    <w:rsid w:val="00B461DC"/>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B461DC"/>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B461DC"/>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B461D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B461DC"/>
    <w:pPr>
      <w:spacing w:line="210" w:lineRule="exact"/>
    </w:pPr>
    <w:rPr>
      <w:sz w:val="17"/>
      <w:szCs w:val="20"/>
    </w:rPr>
  </w:style>
  <w:style w:type="character" w:customStyle="1" w:styleId="FootnoteTextChar">
    <w:name w:val="Footnote Text Char"/>
    <w:link w:val="FootnoteText"/>
    <w:uiPriority w:val="99"/>
    <w:rsid w:val="00B461DC"/>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B461DC"/>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B461DC"/>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B461DC"/>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B461DC"/>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B461DC"/>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B461DC"/>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B461DC"/>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B461DC"/>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B461DC"/>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B461DC"/>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B461DC"/>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B461DC"/>
    <w:rPr>
      <w:sz w:val="14"/>
    </w:rPr>
  </w:style>
  <w:style w:type="paragraph" w:styleId="ListParagraph">
    <w:name w:val="List Paragraph"/>
    <w:basedOn w:val="Normal"/>
    <w:uiPriority w:val="34"/>
    <w:rsid w:val="00B461DC"/>
    <w:pPr>
      <w:ind w:left="720"/>
      <w:contextualSpacing/>
    </w:pPr>
  </w:style>
  <w:style w:type="paragraph" w:styleId="NoSpacing">
    <w:name w:val="No Spacing"/>
    <w:uiPriority w:val="1"/>
    <w:rsid w:val="00B461DC"/>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B461DC"/>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B461DC"/>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B461DC"/>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B461DC"/>
    <w:pPr>
      <w:tabs>
        <w:tab w:val="right" w:pos="9965"/>
      </w:tabs>
      <w:spacing w:line="210" w:lineRule="exact"/>
    </w:pPr>
    <w:rPr>
      <w:spacing w:val="5"/>
      <w:w w:val="104"/>
      <w:sz w:val="17"/>
    </w:rPr>
  </w:style>
  <w:style w:type="paragraph" w:customStyle="1" w:styleId="SmallX">
    <w:name w:val="SmallX"/>
    <w:basedOn w:val="Small"/>
    <w:next w:val="Normal"/>
    <w:qFormat/>
    <w:rsid w:val="00B461DC"/>
    <w:pPr>
      <w:spacing w:line="180" w:lineRule="exact"/>
      <w:jc w:val="right"/>
    </w:pPr>
    <w:rPr>
      <w:spacing w:val="6"/>
      <w:w w:val="106"/>
      <w:sz w:val="14"/>
    </w:rPr>
  </w:style>
  <w:style w:type="character" w:styleId="Strong">
    <w:name w:val="Strong"/>
    <w:uiPriority w:val="22"/>
    <w:rsid w:val="00B461DC"/>
    <w:rPr>
      <w:b/>
      <w:bCs/>
    </w:rPr>
  </w:style>
  <w:style w:type="paragraph" w:customStyle="1" w:styleId="Style1">
    <w:name w:val="Style1"/>
    <w:basedOn w:val="Normal"/>
    <w:qFormat/>
    <w:rsid w:val="00B461DC"/>
  </w:style>
  <w:style w:type="paragraph" w:customStyle="1" w:styleId="Style2">
    <w:name w:val="Style2"/>
    <w:basedOn w:val="Normal"/>
    <w:autoRedefine/>
    <w:qFormat/>
    <w:rsid w:val="00B461DC"/>
  </w:style>
  <w:style w:type="paragraph" w:customStyle="1" w:styleId="TitleHCH">
    <w:name w:val="Title_H_CH"/>
    <w:basedOn w:val="H1"/>
    <w:next w:val="Normal"/>
    <w:qFormat/>
    <w:rsid w:val="00B461D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B461D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B461DC"/>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character" w:styleId="CommentReference">
    <w:name w:val="annotation reference"/>
    <w:basedOn w:val="DefaultParagraphFont"/>
    <w:semiHidden/>
    <w:unhideWhenUsed/>
    <w:rsid w:val="00795AE6"/>
    <w:rPr>
      <w:sz w:val="16"/>
      <w:szCs w:val="16"/>
    </w:rPr>
  </w:style>
  <w:style w:type="paragraph" w:styleId="CommentText">
    <w:name w:val="annotation text"/>
    <w:basedOn w:val="Normal"/>
    <w:link w:val="CommentTextChar"/>
    <w:uiPriority w:val="99"/>
    <w:semiHidden/>
    <w:unhideWhenUsed/>
    <w:rsid w:val="00795AE6"/>
    <w:pPr>
      <w:spacing w:line="240" w:lineRule="auto"/>
    </w:pPr>
    <w:rPr>
      <w:szCs w:val="20"/>
    </w:rPr>
  </w:style>
  <w:style w:type="character" w:customStyle="1" w:styleId="CommentTextChar">
    <w:name w:val="Comment Text Char"/>
    <w:basedOn w:val="DefaultParagraphFont"/>
    <w:link w:val="CommentText"/>
    <w:uiPriority w:val="99"/>
    <w:semiHidden/>
    <w:rsid w:val="00795AE6"/>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795AE6"/>
    <w:rPr>
      <w:b/>
      <w:bCs/>
    </w:rPr>
  </w:style>
  <w:style w:type="character" w:customStyle="1" w:styleId="CommentSubjectChar">
    <w:name w:val="Comment Subject Char"/>
    <w:basedOn w:val="CommentTextChar"/>
    <w:link w:val="CommentSubject"/>
    <w:uiPriority w:val="99"/>
    <w:semiHidden/>
    <w:rsid w:val="00795AE6"/>
    <w:rPr>
      <w:rFonts w:ascii="Times New Roman" w:eastAsiaTheme="minorHAnsi" w:hAnsi="Times New Roman" w:cs="Times New Roman"/>
      <w:b/>
      <w:bCs/>
      <w:spacing w:val="4"/>
      <w:w w:val="103"/>
      <w:kern w:val="14"/>
      <w:sz w:val="20"/>
      <w:szCs w:val="20"/>
      <w:lang w:val="fr-CA" w:eastAsia="en-US"/>
    </w:rPr>
  </w:style>
  <w:style w:type="table" w:styleId="TableGrid">
    <w:name w:val="Table Grid"/>
    <w:basedOn w:val="TableNormal"/>
    <w:rsid w:val="001C481F"/>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1C481F"/>
    <w:rPr>
      <w:color w:val="auto"/>
      <w:u w:val="none"/>
    </w:rPr>
  </w:style>
  <w:style w:type="character" w:styleId="FollowedHyperlink">
    <w:name w:val="FollowedHyperlink"/>
    <w:basedOn w:val="DefaultParagraphFont"/>
    <w:uiPriority w:val="99"/>
    <w:semiHidden/>
    <w:unhideWhenUsed/>
    <w:rsid w:val="00916698"/>
    <w:rPr>
      <w:color w:val="0000FF"/>
      <w:u w:val="none"/>
    </w:rPr>
  </w:style>
  <w:style w:type="character" w:customStyle="1" w:styleId="UnresolvedMention1">
    <w:name w:val="Unresolved Mention1"/>
    <w:basedOn w:val="DefaultParagraphFont"/>
    <w:uiPriority w:val="99"/>
    <w:semiHidden/>
    <w:unhideWhenUsed/>
    <w:rsid w:val="00916698"/>
    <w:rPr>
      <w:color w:val="808080"/>
      <w:shd w:val="clear" w:color="auto" w:fill="E6E6E6"/>
    </w:rPr>
  </w:style>
  <w:style w:type="character" w:styleId="UnresolvedMention">
    <w:name w:val="Unresolved Mention"/>
    <w:basedOn w:val="DefaultParagraphFont"/>
    <w:uiPriority w:val="99"/>
    <w:semiHidden/>
    <w:unhideWhenUsed/>
    <w:rsid w:val="00BE2D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ISR/QPR/6" TargetMode="External"/><Relationship Id="rId26" Type="http://schemas.openxmlformats.org/officeDocument/2006/relationships/hyperlink" Target="https://undocs.org/fr/S/RES/1325(2000)" TargetMode="External"/><Relationship Id="rId39" Type="http://schemas.openxmlformats.org/officeDocument/2006/relationships/hyperlink" Target="https://undocs.org/fr/CEDAW/C/ISR/CO/5" TargetMode="External"/><Relationship Id="rId3" Type="http://schemas.openxmlformats.org/officeDocument/2006/relationships/settings" Target="settings.xml"/><Relationship Id="rId21" Type="http://schemas.openxmlformats.org/officeDocument/2006/relationships/hyperlink" Target="https://undocs.org/fr/S/RES/1325(2000)" TargetMode="External"/><Relationship Id="rId34" Type="http://schemas.openxmlformats.org/officeDocument/2006/relationships/hyperlink" Target="https://undocs.org/fr/A/HRC/25/15" TargetMode="External"/><Relationship Id="rId42"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SR.1543" TargetMode="External"/><Relationship Id="rId25" Type="http://schemas.openxmlformats.org/officeDocument/2006/relationships/hyperlink" Target="https://undocs.org/fr/S/RES/1325(2000)" TargetMode="External"/><Relationship Id="rId33" Type="http://schemas.openxmlformats.org/officeDocument/2006/relationships/hyperlink" Target="https://undocs.org/fr/S/RES/2242(2015)" TargetMode="External"/><Relationship Id="rId38" Type="http://schemas.openxmlformats.org/officeDocument/2006/relationships/hyperlink" Target="https://undocs.org/fr/CEDAW/C/ISR/CO/5" TargetMode="External"/><Relationship Id="rId2" Type="http://schemas.openxmlformats.org/officeDocument/2006/relationships/styles" Target="styles.xml"/><Relationship Id="rId16" Type="http://schemas.openxmlformats.org/officeDocument/2006/relationships/hyperlink" Target="https://undocs.org/fr/CEDAW/C/SR.1542" TargetMode="External"/><Relationship Id="rId20" Type="http://schemas.openxmlformats.org/officeDocument/2006/relationships/hyperlink" Target="https://undocs.org/fr/CEDAW/C/ISR/4-5" TargetMode="External"/><Relationship Id="rId29" Type="http://schemas.openxmlformats.org/officeDocument/2006/relationships/hyperlink" Target="https://undocs.org/fr/S/RES/1889(2009)"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S/RES/1325(2000)" TargetMode="External"/><Relationship Id="rId32" Type="http://schemas.openxmlformats.org/officeDocument/2006/relationships/hyperlink" Target="https://undocs.org/fr/S/RES/2122(2013)" TargetMode="External"/><Relationship Id="rId37" Type="http://schemas.openxmlformats.org/officeDocument/2006/relationships/hyperlink" Target="https://undocs.org/fr/CEDAW/C/ISR/CO/5" TargetMode="External"/><Relationship Id="rId40" Type="http://schemas.openxmlformats.org/officeDocument/2006/relationships/hyperlink" Target="https://undocs.org/fr/CEDAW/C/ISR/CO/5" TargetMode="External"/><Relationship Id="rId5" Type="http://schemas.openxmlformats.org/officeDocument/2006/relationships/footnotes" Target="footnotes.xml"/><Relationship Id="rId15" Type="http://schemas.openxmlformats.org/officeDocument/2006/relationships/hyperlink" Target="https://undocs.org/fr/CEDAW/C/ISR/6" TargetMode="External"/><Relationship Id="rId23" Type="http://schemas.openxmlformats.org/officeDocument/2006/relationships/hyperlink" Target="https://undocs.org/fr/CEDAW/C/ISR/CO/5" TargetMode="External"/><Relationship Id="rId28" Type="http://schemas.openxmlformats.org/officeDocument/2006/relationships/hyperlink" Target="https://undocs.org/fr/S/RES/1888(2009)" TargetMode="External"/><Relationship Id="rId36" Type="http://schemas.openxmlformats.org/officeDocument/2006/relationships/hyperlink" Target="https://undocs.org/fr/A/HRC/35/30/Add.1" TargetMode="External"/><Relationship Id="rId10" Type="http://schemas.openxmlformats.org/officeDocument/2006/relationships/footer" Target="footer2.xml"/><Relationship Id="rId19" Type="http://schemas.openxmlformats.org/officeDocument/2006/relationships/hyperlink" Target="https://undocs.org/fr/CEDAW/C/ISR/CO5/Add.1" TargetMode="External"/><Relationship Id="rId31" Type="http://schemas.openxmlformats.org/officeDocument/2006/relationships/hyperlink" Target="https://undocs.org/fr/S/RES/2106(2013)"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CEDAW/C/ISR/CO/5/Add.1" TargetMode="External"/><Relationship Id="rId27" Type="http://schemas.openxmlformats.org/officeDocument/2006/relationships/hyperlink" Target="https://undocs.org/fr/S/RES/1820(2008)" TargetMode="External"/><Relationship Id="rId30" Type="http://schemas.openxmlformats.org/officeDocument/2006/relationships/hyperlink" Target="https://undocs.org/fr/S/RES/1960(2010)" TargetMode="External"/><Relationship Id="rId35" Type="http://schemas.openxmlformats.org/officeDocument/2006/relationships/hyperlink" Target="https://undocs.org/fr/A/HRC/25/15/Add.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9698</Words>
  <Characters>52762</Characters>
  <Application>Microsoft Office Word</Application>
  <DocSecurity>0</DocSecurity>
  <Lines>995</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Bonnevialle</dc:creator>
  <cp:keywords/>
  <dc:description/>
  <cp:lastModifiedBy>Brigitte Herve</cp:lastModifiedBy>
  <cp:revision>3</cp:revision>
  <cp:lastPrinted>2018-01-22T21:24:00Z</cp:lastPrinted>
  <dcterms:created xsi:type="dcterms:W3CDTF">2018-01-22T21:24:00Z</dcterms:created>
  <dcterms:modified xsi:type="dcterms:W3CDTF">2018-01-22T21:24:00Z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1720374F</vt:lpwstr>
  </property>
  <property fmtid="{D5CDD505-2E9C-101B-9397-08002B2CF9AE}" pid="3" name="ODSRefJobNo">
    <vt:lpwstr>1739445F</vt:lpwstr>
  </property>
  <property fmtid="{D5CDD505-2E9C-101B-9397-08002B2CF9AE}" pid="4" name="Symbol1">
    <vt:lpwstr>CEDAW/C/ISR/CO/6</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Distribution">
    <vt:lpwstr>générale</vt:lpwstr>
  </property>
  <property fmtid="{D5CDD505-2E9C-101B-9397-08002B2CF9AE}" pid="10" name="Publication Date">
    <vt:lpwstr>17 novembre 2017</vt:lpwstr>
  </property>
  <property fmtid="{D5CDD505-2E9C-101B-9397-08002B2CF9AE}" pid="11" name="Release Date">
    <vt:lpwstr/>
  </property>
  <property fmtid="{D5CDD505-2E9C-101B-9397-08002B2CF9AE}" pid="12" name="Title1">
    <vt:lpwstr>		Observations finales concernant le sixième rapport périodique d’Israël*_x000d_</vt:lpwstr>
  </property>
  <property fmtid="{D5CDD505-2E9C-101B-9397-08002B2CF9AE}" pid="13" name="Comment">
    <vt:lpwstr/>
  </property>
  <property fmtid="{D5CDD505-2E9C-101B-9397-08002B2CF9AE}" pid="14" name="DraftPages">
    <vt:lpwstr> </vt:lpwstr>
  </property>
  <property fmtid="{D5CDD505-2E9C-101B-9397-08002B2CF9AE}" pid="15" name="Operator">
    <vt:lpwstr>SBC/BHE</vt:lpwstr>
  </property>
</Properties>
</file>