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6047" w14:textId="77777777" w:rsidR="00233E90" w:rsidRDefault="00233E90" w:rsidP="00233E90">
      <w:pPr>
        <w:spacing w:line="240" w:lineRule="auto"/>
        <w:rPr>
          <w:sz w:val="2"/>
        </w:rPr>
        <w:sectPr w:rsidR="00233E90" w:rsidSect="002C602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6649E691" w14:textId="6605C554" w:rsidR="002C602E" w:rsidRPr="0030064A" w:rsidRDefault="002C602E" w:rsidP="002C602E">
      <w:pPr>
        <w:pStyle w:val="H1"/>
        <w:tabs>
          <w:tab w:val="right" w:pos="1022"/>
          <w:tab w:val="left" w:pos="1267"/>
          <w:tab w:val="left" w:pos="1742"/>
          <w:tab w:val="left" w:pos="2218"/>
          <w:tab w:val="left" w:pos="2693"/>
          <w:tab w:val="left" w:pos="3182"/>
          <w:tab w:val="left" w:pos="3658"/>
          <w:tab w:val="left" w:pos="4133"/>
          <w:tab w:val="left" w:pos="4500"/>
          <w:tab w:val="left" w:pos="5098"/>
          <w:tab w:val="left" w:pos="5573"/>
          <w:tab w:val="left" w:pos="6048"/>
        </w:tabs>
        <w:ind w:right="4630"/>
        <w:rPr>
          <w:lang w:val="fr-FR"/>
        </w:rPr>
      </w:pPr>
      <w:r>
        <w:rPr>
          <w:lang w:val="fr-FR"/>
        </w:rPr>
        <w:t>Comité pour l</w:t>
      </w:r>
      <w:r w:rsidR="00462A51">
        <w:rPr>
          <w:lang w:val="fr-FR"/>
        </w:rPr>
        <w:t>’</w:t>
      </w:r>
      <w:r>
        <w:rPr>
          <w:lang w:val="fr-FR"/>
        </w:rPr>
        <w:t>élimination de</w:t>
      </w:r>
      <w:r>
        <w:rPr>
          <w:lang w:val="fr-FR"/>
        </w:rPr>
        <w:t xml:space="preserve"> </w:t>
      </w:r>
      <w:r>
        <w:rPr>
          <w:lang w:val="fr-FR"/>
        </w:rPr>
        <w:t>la</w:t>
      </w:r>
      <w:r>
        <w:rPr>
          <w:lang w:val="fr-FR"/>
        </w:rPr>
        <w:t xml:space="preserve"> </w:t>
      </w:r>
      <w:r>
        <w:rPr>
          <w:lang w:val="fr-FR"/>
        </w:rPr>
        <w:t>discrimination à</w:t>
      </w:r>
      <w:r>
        <w:rPr>
          <w:lang w:val="fr-FR"/>
        </w:rPr>
        <w:t xml:space="preserve"> </w:t>
      </w:r>
      <w:r>
        <w:rPr>
          <w:lang w:val="fr-FR"/>
        </w:rPr>
        <w:t>l</w:t>
      </w:r>
      <w:r w:rsidR="00462A51">
        <w:rPr>
          <w:lang w:val="fr-FR"/>
        </w:rPr>
        <w:t>’</w:t>
      </w:r>
      <w:r>
        <w:rPr>
          <w:lang w:val="fr-FR"/>
        </w:rPr>
        <w:t>égard des femmes</w:t>
      </w:r>
    </w:p>
    <w:p w14:paraId="3C1F2669" w14:textId="77777777" w:rsidR="002C602E" w:rsidRPr="0030064A" w:rsidRDefault="002C602E" w:rsidP="002C602E">
      <w:pPr>
        <w:pStyle w:val="SingleTxt"/>
        <w:spacing w:after="0" w:line="120" w:lineRule="exact"/>
        <w:rPr>
          <w:sz w:val="10"/>
          <w:lang w:val="fr-FR"/>
        </w:rPr>
      </w:pPr>
    </w:p>
    <w:p w14:paraId="240C52B9" w14:textId="77777777" w:rsidR="002C602E" w:rsidRPr="0030064A" w:rsidRDefault="002C602E" w:rsidP="002C602E">
      <w:pPr>
        <w:pStyle w:val="SingleTxt"/>
        <w:spacing w:after="0" w:line="120" w:lineRule="exact"/>
        <w:rPr>
          <w:sz w:val="10"/>
          <w:lang w:val="fr-FR"/>
        </w:rPr>
      </w:pPr>
    </w:p>
    <w:p w14:paraId="07CE57A8" w14:textId="77777777" w:rsidR="002C602E" w:rsidRPr="0030064A" w:rsidRDefault="002C602E" w:rsidP="002C602E">
      <w:pPr>
        <w:pStyle w:val="SingleTxt"/>
        <w:spacing w:after="0" w:line="120" w:lineRule="exact"/>
        <w:rPr>
          <w:sz w:val="10"/>
          <w:lang w:val="fr-FR"/>
        </w:rPr>
      </w:pPr>
    </w:p>
    <w:p w14:paraId="5C6BBD54" w14:textId="7BA8EC38" w:rsidR="002C602E" w:rsidRPr="002C602E" w:rsidRDefault="002C602E" w:rsidP="002C602E">
      <w:pPr>
        <w:framePr w:w="9792" w:h="432" w:hSpace="180" w:wrap="around" w:vAnchor="page" w:hAnchor="page" w:x="1168" w:y="1368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21ED8CD0" wp14:editId="74BAE305">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EC5A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2C602E">
        <w:rPr>
          <w:spacing w:val="5"/>
          <w:w w:val="104"/>
          <w:sz w:val="17"/>
          <w:szCs w:val="20"/>
          <w:lang w:val="fr-FR"/>
        </w:rPr>
        <w:t>La version originale du présent document n</w:t>
      </w:r>
      <w:r w:rsidR="00462A51">
        <w:rPr>
          <w:spacing w:val="5"/>
          <w:w w:val="104"/>
          <w:sz w:val="17"/>
          <w:szCs w:val="20"/>
          <w:lang w:val="fr-FR"/>
        </w:rPr>
        <w:t>’</w:t>
      </w:r>
      <w:r w:rsidRPr="002C602E">
        <w:rPr>
          <w:spacing w:val="5"/>
          <w:w w:val="104"/>
          <w:sz w:val="17"/>
          <w:szCs w:val="20"/>
          <w:lang w:val="fr-FR"/>
        </w:rPr>
        <w:t>a pas été revue par les services d</w:t>
      </w:r>
      <w:r w:rsidR="00462A51">
        <w:rPr>
          <w:spacing w:val="5"/>
          <w:w w:val="104"/>
          <w:sz w:val="17"/>
          <w:szCs w:val="20"/>
          <w:lang w:val="fr-FR"/>
        </w:rPr>
        <w:t>’</w:t>
      </w:r>
      <w:r w:rsidRPr="002C602E">
        <w:rPr>
          <w:spacing w:val="5"/>
          <w:w w:val="104"/>
          <w:sz w:val="17"/>
          <w:szCs w:val="20"/>
          <w:lang w:val="fr-FR"/>
        </w:rPr>
        <w:t>édition.</w:t>
      </w:r>
    </w:p>
    <w:p w14:paraId="12057059" w14:textId="7E0D0A17" w:rsidR="002C602E" w:rsidRPr="0030064A" w:rsidRDefault="002C602E" w:rsidP="002C602E">
      <w:pPr>
        <w:pStyle w:val="TitleHCH"/>
        <w:ind w:right="1260"/>
        <w:rPr>
          <w:lang w:val="fr-FR"/>
        </w:rPr>
      </w:pPr>
      <w:r>
        <w:rPr>
          <w:lang w:val="fr-FR"/>
        </w:rPr>
        <w:tab/>
      </w:r>
      <w:r>
        <w:rPr>
          <w:lang w:val="fr-FR"/>
        </w:rPr>
        <w:tab/>
      </w:r>
      <w:r>
        <w:rPr>
          <w:bCs/>
          <w:lang w:val="fr-FR"/>
        </w:rPr>
        <w:t>Renseignements reçus de l</w:t>
      </w:r>
      <w:r w:rsidR="00462A51">
        <w:rPr>
          <w:bCs/>
          <w:lang w:val="fr-FR"/>
        </w:rPr>
        <w:t>’</w:t>
      </w:r>
      <w:r>
        <w:rPr>
          <w:bCs/>
          <w:lang w:val="fr-FR"/>
        </w:rPr>
        <w:t>Irlande au sujet de la suite donnée aux observations finales concernant son rapport unique valant sixième et septième rapports périodiques</w:t>
      </w:r>
      <w:r>
        <w:rPr>
          <w:b w:val="0"/>
          <w:sz w:val="20"/>
          <w:szCs w:val="20"/>
          <w:lang w:val="fr-FR"/>
        </w:rPr>
        <w:t>*</w:t>
      </w:r>
    </w:p>
    <w:p w14:paraId="75B3AF2A" w14:textId="77777777" w:rsidR="002C602E" w:rsidRPr="0030064A" w:rsidRDefault="002C602E" w:rsidP="002C602E">
      <w:pPr>
        <w:pStyle w:val="SingleTxt"/>
        <w:spacing w:after="0" w:line="120" w:lineRule="exact"/>
        <w:rPr>
          <w:sz w:val="10"/>
          <w:lang w:val="fr-FR"/>
        </w:rPr>
      </w:pPr>
    </w:p>
    <w:p w14:paraId="6C6A504B" w14:textId="42941FC7" w:rsidR="00233E90" w:rsidRDefault="002C602E" w:rsidP="002C602E">
      <w:pPr>
        <w:pStyle w:val="SingleTxt"/>
        <w:jc w:val="right"/>
        <w:rPr>
          <w:lang w:val="fr-FR"/>
        </w:rPr>
      </w:pPr>
      <w:r>
        <w:rPr>
          <w:lang w:val="fr-FR"/>
        </w:rPr>
        <w:t>[Date de réception</w:t>
      </w:r>
      <w:r w:rsidR="00462A51">
        <w:rPr>
          <w:lang w:val="fr-FR"/>
        </w:rPr>
        <w:t> :</w:t>
      </w:r>
      <w:r>
        <w:rPr>
          <w:lang w:val="fr-FR"/>
        </w:rPr>
        <w:t xml:space="preserve"> 16 juin 2020]</w:t>
      </w:r>
    </w:p>
    <w:p w14:paraId="522BA1F2" w14:textId="6EF0A025" w:rsidR="002C602E" w:rsidRDefault="002C602E">
      <w:pPr>
        <w:spacing w:after="200" w:line="276" w:lineRule="auto"/>
        <w:rPr>
          <w:lang w:val="fr-FR"/>
        </w:rPr>
      </w:pPr>
      <w:r>
        <w:rPr>
          <w:lang w:val="fr-FR"/>
        </w:rPr>
        <w:br w:type="page"/>
      </w:r>
    </w:p>
    <w:p w14:paraId="61948321" w14:textId="77777777" w:rsidR="002C602E" w:rsidRPr="0030064A" w:rsidRDefault="002C602E" w:rsidP="002C602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t>Observations liminaires</w:t>
      </w:r>
    </w:p>
    <w:p w14:paraId="19777650" w14:textId="77777777" w:rsidR="002C602E" w:rsidRPr="0030064A" w:rsidRDefault="002C602E" w:rsidP="002C602E">
      <w:pPr>
        <w:pStyle w:val="SingleTxt"/>
        <w:spacing w:after="0" w:line="120" w:lineRule="exact"/>
        <w:rPr>
          <w:sz w:val="10"/>
          <w:lang w:val="fr-FR"/>
        </w:rPr>
      </w:pPr>
    </w:p>
    <w:p w14:paraId="17028F11" w14:textId="77777777" w:rsidR="002C602E" w:rsidRPr="0030064A" w:rsidRDefault="002C602E" w:rsidP="002C602E">
      <w:pPr>
        <w:pStyle w:val="SingleTxt"/>
        <w:spacing w:after="0" w:line="120" w:lineRule="exact"/>
        <w:rPr>
          <w:sz w:val="10"/>
          <w:lang w:val="fr-FR"/>
        </w:rPr>
      </w:pPr>
    </w:p>
    <w:p w14:paraId="583734E6" w14:textId="2CFC8C4D" w:rsidR="002C602E" w:rsidRPr="002C602E" w:rsidRDefault="002C602E" w:rsidP="002C602E">
      <w:pPr>
        <w:pStyle w:val="SingleTxt"/>
        <w:numPr>
          <w:ilvl w:val="0"/>
          <w:numId w:val="19"/>
        </w:numPr>
        <w:tabs>
          <w:tab w:val="num" w:pos="2804"/>
        </w:tabs>
        <w:spacing w:line="240" w:lineRule="exact"/>
        <w:ind w:left="1267"/>
        <w:rPr>
          <w:lang w:val="fr-FR"/>
        </w:rPr>
      </w:pPr>
      <w:r w:rsidRPr="002C602E">
        <w:rPr>
          <w:lang w:val="fr-FR"/>
        </w:rPr>
        <w:t>Le 15 février 2017, l</w:t>
      </w:r>
      <w:r w:rsidR="00462A51">
        <w:rPr>
          <w:lang w:val="fr-FR"/>
        </w:rPr>
        <w:t>’</w:t>
      </w:r>
      <w:r w:rsidRPr="002C602E">
        <w:rPr>
          <w:lang w:val="fr-FR"/>
        </w:rPr>
        <w:t>Irlande a comparu devant le Comité pour l</w:t>
      </w:r>
      <w:r w:rsidR="00462A51">
        <w:rPr>
          <w:lang w:val="fr-FR"/>
        </w:rPr>
        <w:t>’</w:t>
      </w:r>
      <w:r w:rsidRPr="002C602E">
        <w:rPr>
          <w:lang w:val="fr-FR"/>
        </w:rPr>
        <w:t>élimination de la discrimination à l</w:t>
      </w:r>
      <w:r w:rsidR="00462A51">
        <w:rPr>
          <w:lang w:val="fr-FR"/>
        </w:rPr>
        <w:t>’</w:t>
      </w:r>
      <w:r w:rsidRPr="002C602E">
        <w:rPr>
          <w:lang w:val="fr-FR"/>
        </w:rPr>
        <w:t>égard des femmes de l</w:t>
      </w:r>
      <w:r w:rsidR="00462A51">
        <w:rPr>
          <w:lang w:val="fr-FR"/>
        </w:rPr>
        <w:t>’</w:t>
      </w:r>
      <w:r w:rsidRPr="002C602E">
        <w:rPr>
          <w:lang w:val="fr-FR"/>
        </w:rPr>
        <w:t>Organisation des Nations Unies (ONU) pour l</w:t>
      </w:r>
      <w:r w:rsidR="00462A51">
        <w:rPr>
          <w:lang w:val="fr-FR"/>
        </w:rPr>
        <w:t>’</w:t>
      </w:r>
      <w:r w:rsidRPr="002C602E">
        <w:rPr>
          <w:lang w:val="fr-FR"/>
        </w:rPr>
        <w:t>examen de son rapport unique valant sixième et septième rapports périodiques, présenté au titre de la Convention sur l</w:t>
      </w:r>
      <w:r w:rsidR="00462A51">
        <w:rPr>
          <w:lang w:val="fr-FR"/>
        </w:rPr>
        <w:t>’</w:t>
      </w:r>
      <w:r w:rsidRPr="002C602E">
        <w:rPr>
          <w:lang w:val="fr-FR"/>
        </w:rPr>
        <w:t>élimination de toutes les formes de discrimination à l</w:t>
      </w:r>
      <w:r w:rsidR="00462A51">
        <w:rPr>
          <w:lang w:val="fr-FR"/>
        </w:rPr>
        <w:t>’</w:t>
      </w:r>
      <w:r w:rsidRPr="002C602E">
        <w:rPr>
          <w:lang w:val="fr-FR"/>
        </w:rPr>
        <w:t>égard des femmes.</w:t>
      </w:r>
    </w:p>
    <w:p w14:paraId="58F53E75" w14:textId="7F90CB66" w:rsidR="002C602E" w:rsidRPr="002C602E" w:rsidRDefault="002C602E" w:rsidP="002C602E">
      <w:pPr>
        <w:pStyle w:val="SingleTxt"/>
        <w:numPr>
          <w:ilvl w:val="0"/>
          <w:numId w:val="19"/>
        </w:numPr>
        <w:tabs>
          <w:tab w:val="num" w:pos="2804"/>
        </w:tabs>
        <w:spacing w:line="240" w:lineRule="exact"/>
        <w:ind w:left="1267"/>
        <w:rPr>
          <w:lang w:val="fr-FR"/>
        </w:rPr>
      </w:pPr>
      <w:r w:rsidRPr="002C602E">
        <w:rPr>
          <w:lang w:val="fr-FR"/>
        </w:rPr>
        <w:t>Dans ses observations finales en date du 9 mars 2017, le Comité a invité l</w:t>
      </w:r>
      <w:r w:rsidR="00462A51">
        <w:rPr>
          <w:lang w:val="fr-FR"/>
        </w:rPr>
        <w:t>’</w:t>
      </w:r>
      <w:r w:rsidRPr="002C602E">
        <w:rPr>
          <w:lang w:val="fr-FR"/>
        </w:rPr>
        <w:t>Irlande à communiquer, dans un délai de deux ans, des informations écrites sur les mesures qu</w:t>
      </w:r>
      <w:r w:rsidR="00462A51">
        <w:rPr>
          <w:lang w:val="fr-FR"/>
        </w:rPr>
        <w:t>’</w:t>
      </w:r>
      <w:r w:rsidRPr="002C602E">
        <w:rPr>
          <w:lang w:val="fr-FR"/>
        </w:rPr>
        <w:t>elle aurait prises pour mettre en œuvre les recommandations énoncées aux alinéas a) des paragraphes 15 et 43, ainsi qu</w:t>
      </w:r>
      <w:r w:rsidR="00462A51">
        <w:rPr>
          <w:lang w:val="fr-FR"/>
        </w:rPr>
        <w:t>’</w:t>
      </w:r>
      <w:r w:rsidRPr="002C602E">
        <w:rPr>
          <w:lang w:val="fr-FR"/>
        </w:rPr>
        <w:t>aux paragraphes 17 et 21.</w:t>
      </w:r>
    </w:p>
    <w:p w14:paraId="536A05B7" w14:textId="0A80D235" w:rsidR="002C602E" w:rsidRPr="0030064A" w:rsidRDefault="002C602E" w:rsidP="002C602E">
      <w:pPr>
        <w:pStyle w:val="SingleTxt"/>
        <w:numPr>
          <w:ilvl w:val="0"/>
          <w:numId w:val="19"/>
        </w:numPr>
        <w:tabs>
          <w:tab w:val="num" w:pos="2804"/>
        </w:tabs>
        <w:spacing w:line="240" w:lineRule="exact"/>
        <w:ind w:left="1267"/>
        <w:rPr>
          <w:lang w:val="fr-FR"/>
        </w:rPr>
      </w:pPr>
      <w:r w:rsidRPr="002C602E">
        <w:rPr>
          <w:lang w:val="fr-FR"/>
        </w:rPr>
        <w:t>L</w:t>
      </w:r>
      <w:r w:rsidR="00462A51">
        <w:rPr>
          <w:lang w:val="fr-FR"/>
        </w:rPr>
        <w:t>’</w:t>
      </w:r>
      <w:r w:rsidRPr="002C602E">
        <w:rPr>
          <w:lang w:val="fr-FR"/>
        </w:rPr>
        <w:t>Irlande continue de prendre des mesures de grande envergure pour progresser sur la voie de l</w:t>
      </w:r>
      <w:r w:rsidR="00462A51">
        <w:rPr>
          <w:lang w:val="fr-FR"/>
        </w:rPr>
        <w:t>’</w:t>
      </w:r>
      <w:r w:rsidRPr="002C602E">
        <w:rPr>
          <w:lang w:val="fr-FR"/>
        </w:rPr>
        <w:t>égalité pour les femmes et les filles. La Constitution irlandaise, qui ne peut être modifiée que par voie de référendum, a été amendée pour introduire l</w:t>
      </w:r>
      <w:r w:rsidR="00462A51">
        <w:rPr>
          <w:lang w:val="fr-FR"/>
        </w:rPr>
        <w:t>’</w:t>
      </w:r>
      <w:r w:rsidRPr="002C602E">
        <w:rPr>
          <w:lang w:val="fr-FR"/>
        </w:rPr>
        <w:t>égalité devant le mariage en 2015 et réviser les dispositions relatives à l</w:t>
      </w:r>
      <w:r w:rsidR="00462A51">
        <w:rPr>
          <w:lang w:val="fr-FR"/>
        </w:rPr>
        <w:t>’</w:t>
      </w:r>
      <w:r w:rsidRPr="002C602E">
        <w:rPr>
          <w:lang w:val="fr-FR"/>
        </w:rPr>
        <w:t>accès à l</w:t>
      </w:r>
      <w:r w:rsidR="00462A51">
        <w:rPr>
          <w:lang w:val="fr-FR"/>
        </w:rPr>
        <w:t>’</w:t>
      </w:r>
      <w:r w:rsidRPr="002C602E">
        <w:rPr>
          <w:lang w:val="fr-FR"/>
        </w:rPr>
        <w:t>avortement et au divorce, en 2018 et 2019, respectivement. En 2017, la reconnaissance officielle des gens du voyage comme groupe ethnique, par l</w:t>
      </w:r>
      <w:r w:rsidR="00462A51">
        <w:rPr>
          <w:lang w:val="fr-FR"/>
        </w:rPr>
        <w:t>’</w:t>
      </w:r>
      <w:r w:rsidRPr="002C602E">
        <w:rPr>
          <w:lang w:val="fr-FR"/>
        </w:rPr>
        <w:t>État, a revêtu une importance à la fois symbolique et sociale eu égard aux travaux que celui-ci a entrepris pour surmonter la marginalisation économique et la discrimination dont font l</w:t>
      </w:r>
      <w:r w:rsidR="00462A51">
        <w:rPr>
          <w:lang w:val="fr-FR"/>
        </w:rPr>
        <w:t>’</w:t>
      </w:r>
      <w:r w:rsidRPr="002C602E">
        <w:rPr>
          <w:lang w:val="fr-FR"/>
        </w:rPr>
        <w:t>objet les membres de la communauté des gens du voyage, y compris les femmes. L</w:t>
      </w:r>
      <w:r w:rsidR="00462A51">
        <w:rPr>
          <w:lang w:val="fr-FR"/>
        </w:rPr>
        <w:t>’</w:t>
      </w:r>
      <w:r w:rsidRPr="002C602E">
        <w:rPr>
          <w:lang w:val="fr-FR"/>
        </w:rPr>
        <w:t>Irlande met actuellement en œuvre la Convention du Conseil de l</w:t>
      </w:r>
      <w:r w:rsidR="00462A51">
        <w:rPr>
          <w:lang w:val="fr-FR"/>
        </w:rPr>
        <w:t>’</w:t>
      </w:r>
      <w:r w:rsidRPr="002C602E">
        <w:rPr>
          <w:lang w:val="fr-FR"/>
        </w:rPr>
        <w:t>Europe sur la prévention et la lutte contre la violence à l</w:t>
      </w:r>
      <w:r w:rsidR="00462A51">
        <w:rPr>
          <w:lang w:val="fr-FR"/>
        </w:rPr>
        <w:t>’</w:t>
      </w:r>
      <w:r w:rsidRPr="002C602E">
        <w:rPr>
          <w:lang w:val="fr-FR"/>
        </w:rPr>
        <w:t>égard des femmes et la violence domestique (Convention d</w:t>
      </w:r>
      <w:r w:rsidR="00462A51">
        <w:rPr>
          <w:lang w:val="fr-FR"/>
        </w:rPr>
        <w:t>’</w:t>
      </w:r>
      <w:r w:rsidRPr="002C602E">
        <w:rPr>
          <w:lang w:val="fr-FR"/>
        </w:rPr>
        <w:t>Istanbul), qu</w:t>
      </w:r>
      <w:r w:rsidR="00462A51">
        <w:rPr>
          <w:lang w:val="fr-FR"/>
        </w:rPr>
        <w:t>’</w:t>
      </w:r>
      <w:r w:rsidRPr="002C602E">
        <w:rPr>
          <w:lang w:val="fr-FR"/>
        </w:rPr>
        <w:t>elle a ratifiée le 8 mars 2019. Grâce aux mesures adoptées en vue de renforcer la représentation des femmes aux postes de direction, les femmes occupent désormais 34</w:t>
      </w:r>
      <w:r w:rsidR="00462A51">
        <w:rPr>
          <w:lang w:val="fr-FR"/>
        </w:rPr>
        <w:t> %</w:t>
      </w:r>
      <w:r w:rsidRPr="002C602E">
        <w:rPr>
          <w:lang w:val="fr-FR"/>
        </w:rPr>
        <w:t xml:space="preserve"> des postes les plus élevés de la fonction publique et 41,5</w:t>
      </w:r>
      <w:r w:rsidR="00462A51">
        <w:rPr>
          <w:lang w:val="fr-FR"/>
        </w:rPr>
        <w:t> %</w:t>
      </w:r>
      <w:r w:rsidRPr="002C602E">
        <w:rPr>
          <w:lang w:val="fr-FR"/>
        </w:rPr>
        <w:t xml:space="preserve"> des sièges des conseils d</w:t>
      </w:r>
      <w:r w:rsidR="00462A51">
        <w:rPr>
          <w:lang w:val="fr-FR"/>
        </w:rPr>
        <w:t>’</w:t>
      </w:r>
      <w:r w:rsidRPr="002C602E">
        <w:rPr>
          <w:lang w:val="fr-FR"/>
        </w:rPr>
        <w:t>administration des organismes publics. Des objectifs ont été fixés en ce qui concerne la composition des conseils d</w:t>
      </w:r>
      <w:r w:rsidR="00462A51">
        <w:rPr>
          <w:lang w:val="fr-FR"/>
        </w:rPr>
        <w:t>’</w:t>
      </w:r>
      <w:r w:rsidRPr="002C602E">
        <w:rPr>
          <w:lang w:val="fr-FR"/>
        </w:rPr>
        <w:t>administration des grandes entreprises cotées en bourse, et des quotas relatifs à la parité entre les genres sont en vigueur pour les candidats aux élections parlementaires. Un projet de législation visant à améliorer la transparence des salaires a également été élaboré pour être soumis</w:t>
      </w:r>
      <w:r>
        <w:rPr>
          <w:lang w:val="fr-FR"/>
        </w:rPr>
        <w:t xml:space="preserve"> à l</w:t>
      </w:r>
      <w:r w:rsidR="00462A51">
        <w:rPr>
          <w:lang w:val="fr-FR"/>
        </w:rPr>
        <w:t>’</w:t>
      </w:r>
      <w:r>
        <w:rPr>
          <w:lang w:val="fr-FR"/>
        </w:rPr>
        <w:t>examen du Parlement, en vue de réduire l</w:t>
      </w:r>
      <w:r w:rsidR="00462A51">
        <w:rPr>
          <w:lang w:val="fr-FR"/>
        </w:rPr>
        <w:t>’</w:t>
      </w:r>
      <w:r>
        <w:rPr>
          <w:lang w:val="fr-FR"/>
        </w:rPr>
        <w:t>écart de rémunération entre les femmes et les hommes.</w:t>
      </w:r>
    </w:p>
    <w:p w14:paraId="256A16F2" w14:textId="77777777" w:rsidR="002C602E" w:rsidRPr="0030064A" w:rsidRDefault="002C602E" w:rsidP="002C602E">
      <w:pPr>
        <w:pStyle w:val="SingleTxt"/>
        <w:spacing w:after="0" w:line="120" w:lineRule="exact"/>
        <w:rPr>
          <w:sz w:val="10"/>
          <w:lang w:val="fr-FR"/>
        </w:rPr>
      </w:pPr>
    </w:p>
    <w:p w14:paraId="71FF171B" w14:textId="77777777" w:rsidR="002C602E" w:rsidRPr="0030064A" w:rsidRDefault="002C602E" w:rsidP="002C602E">
      <w:pPr>
        <w:pStyle w:val="SingleTxt"/>
        <w:spacing w:after="0" w:line="120" w:lineRule="exact"/>
        <w:rPr>
          <w:sz w:val="10"/>
          <w:lang w:val="fr-FR"/>
        </w:rPr>
      </w:pPr>
    </w:p>
    <w:p w14:paraId="622654CD" w14:textId="14B28C8F" w:rsidR="002C602E" w:rsidRPr="0030064A" w:rsidRDefault="002C602E" w:rsidP="002C60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Suite </w:t>
      </w:r>
      <w:r w:rsidRPr="002C602E">
        <w:rPr>
          <w:szCs w:val="20"/>
          <w:lang w:val="fr-FR"/>
        </w:rPr>
        <w:t>donnée</w:t>
      </w:r>
      <w:r>
        <w:rPr>
          <w:lang w:val="fr-FR"/>
        </w:rPr>
        <w:t xml:space="preserve"> aux recommandations formulées à l</w:t>
      </w:r>
      <w:r w:rsidR="00462A51">
        <w:rPr>
          <w:lang w:val="fr-FR"/>
        </w:rPr>
        <w:t>’</w:t>
      </w:r>
      <w:r>
        <w:rPr>
          <w:lang w:val="fr-FR"/>
        </w:rPr>
        <w:t xml:space="preserve">alinéa a) </w:t>
      </w:r>
      <w:r>
        <w:rPr>
          <w:lang w:val="fr-FR"/>
        </w:rPr>
        <w:br/>
      </w:r>
      <w:r>
        <w:rPr>
          <w:lang w:val="fr-FR"/>
        </w:rPr>
        <w:t>du paragraphe 15 des observations finales (CEDAW/C/CO/6-7)</w:t>
      </w:r>
    </w:p>
    <w:p w14:paraId="73902F2F" w14:textId="77777777" w:rsidR="002C602E" w:rsidRPr="0030064A" w:rsidRDefault="002C602E" w:rsidP="002C602E">
      <w:pPr>
        <w:pStyle w:val="SingleTxt"/>
        <w:spacing w:after="0" w:line="120" w:lineRule="exact"/>
        <w:rPr>
          <w:sz w:val="10"/>
          <w:lang w:val="fr-FR"/>
        </w:rPr>
      </w:pPr>
    </w:p>
    <w:p w14:paraId="7D6F21CB" w14:textId="77777777" w:rsidR="002C602E" w:rsidRPr="0030064A" w:rsidRDefault="002C602E" w:rsidP="002C602E">
      <w:pPr>
        <w:pStyle w:val="SingleTxt"/>
        <w:spacing w:after="0" w:line="120" w:lineRule="exact"/>
        <w:rPr>
          <w:sz w:val="10"/>
          <w:lang w:val="fr-FR"/>
        </w:rPr>
      </w:pPr>
    </w:p>
    <w:p w14:paraId="2B70758A" w14:textId="52BA3971" w:rsidR="002C602E" w:rsidRPr="0030064A" w:rsidRDefault="002C602E" w:rsidP="002C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w:t>
      </w:r>
      <w:r w:rsidR="00462A51">
        <w:rPr>
          <w:lang w:val="fr-FR"/>
        </w:rPr>
        <w:t> </w:t>
      </w:r>
      <w:r w:rsidRPr="002C602E">
        <w:rPr>
          <w:szCs w:val="20"/>
          <w:lang w:val="fr-FR"/>
        </w:rPr>
        <w:t>Magdalen</w:t>
      </w:r>
      <w:r>
        <w:rPr>
          <w:lang w:val="fr-FR"/>
        </w:rPr>
        <w:t xml:space="preserve"> Laundries</w:t>
      </w:r>
      <w:r w:rsidR="00462A51">
        <w:rPr>
          <w:lang w:val="fr-FR"/>
        </w:rPr>
        <w:t> </w:t>
      </w:r>
      <w:r>
        <w:rPr>
          <w:lang w:val="fr-FR"/>
        </w:rPr>
        <w:t>» (couvent de la Madeleine)</w:t>
      </w:r>
    </w:p>
    <w:p w14:paraId="1459EE4D" w14:textId="77777777" w:rsidR="002C602E" w:rsidRPr="0030064A" w:rsidRDefault="002C602E" w:rsidP="002C602E">
      <w:pPr>
        <w:pStyle w:val="SingleTxt"/>
        <w:spacing w:after="0" w:line="120" w:lineRule="exact"/>
        <w:rPr>
          <w:sz w:val="10"/>
          <w:lang w:val="fr-FR"/>
        </w:rPr>
      </w:pPr>
    </w:p>
    <w:p w14:paraId="5917B82B" w14:textId="77777777" w:rsidR="002C602E" w:rsidRPr="0030064A" w:rsidRDefault="002C602E" w:rsidP="002C60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C602E">
        <w:rPr>
          <w:lang w:val="fr-FR"/>
        </w:rPr>
        <w:t>Excuses</w:t>
      </w:r>
    </w:p>
    <w:p w14:paraId="7E012C4C" w14:textId="77777777" w:rsidR="002C602E" w:rsidRPr="0030064A" w:rsidRDefault="002C602E" w:rsidP="002C602E">
      <w:pPr>
        <w:pStyle w:val="SingleTxt"/>
        <w:spacing w:after="0" w:line="120" w:lineRule="exact"/>
        <w:rPr>
          <w:sz w:val="10"/>
          <w:lang w:val="fr-FR"/>
        </w:rPr>
      </w:pPr>
    </w:p>
    <w:p w14:paraId="0E0D6848" w14:textId="74C81798" w:rsidR="002C602E" w:rsidRPr="0030064A" w:rsidRDefault="002C602E" w:rsidP="002C602E">
      <w:pPr>
        <w:pStyle w:val="SingleTxt"/>
        <w:numPr>
          <w:ilvl w:val="0"/>
          <w:numId w:val="19"/>
        </w:numPr>
        <w:spacing w:line="240" w:lineRule="exact"/>
        <w:ind w:left="1267"/>
        <w:rPr>
          <w:lang w:val="fr-FR"/>
        </w:rPr>
      </w:pPr>
      <w:r>
        <w:rPr>
          <w:lang w:val="fr-FR"/>
        </w:rPr>
        <w:t>L</w:t>
      </w:r>
      <w:r w:rsidR="00462A51">
        <w:rPr>
          <w:lang w:val="fr-FR"/>
        </w:rPr>
        <w:t>’</w:t>
      </w:r>
      <w:r>
        <w:rPr>
          <w:lang w:val="fr-FR"/>
        </w:rPr>
        <w:t>Irlande a présenté deux excuses officielles aux femmes qui avaient résidé dans les «</w:t>
      </w:r>
      <w:r w:rsidR="00462A51">
        <w:rPr>
          <w:lang w:val="fr-FR"/>
        </w:rPr>
        <w:t> </w:t>
      </w:r>
      <w:r>
        <w:rPr>
          <w:lang w:val="fr-FR"/>
        </w:rPr>
        <w:t>Magdalen Laundries</w:t>
      </w:r>
      <w:r w:rsidR="00462A51">
        <w:rPr>
          <w:lang w:val="fr-FR"/>
        </w:rPr>
        <w:t> </w:t>
      </w:r>
      <w:r>
        <w:rPr>
          <w:lang w:val="fr-FR"/>
        </w:rPr>
        <w:t>» (couvent de la Madeleine). En février 2013, le Taoiseach (Premier ministre) alors en exercice s</w:t>
      </w:r>
      <w:r w:rsidR="00462A51">
        <w:rPr>
          <w:lang w:val="fr-FR"/>
        </w:rPr>
        <w:t>’</w:t>
      </w:r>
      <w:r>
        <w:rPr>
          <w:lang w:val="fr-FR"/>
        </w:rPr>
        <w:t>est exprimé devant le Dáil Éireann (chambre basse du Parlement irlandais)</w:t>
      </w:r>
      <w:r w:rsidRPr="002C602E">
        <w:rPr>
          <w:rStyle w:val="FootnoteReference"/>
          <w:lang w:val="fr-FR"/>
        </w:rPr>
        <w:footnoteReference w:id="1"/>
      </w:r>
      <w:r>
        <w:rPr>
          <w:lang w:val="fr-FR"/>
        </w:rPr>
        <w:t xml:space="preserve"> pour présenter des excuses au nom du Gouvernement. En juin 2018, le président de l</w:t>
      </w:r>
      <w:r w:rsidR="00462A51">
        <w:rPr>
          <w:lang w:val="fr-FR"/>
        </w:rPr>
        <w:t>’</w:t>
      </w:r>
      <w:r>
        <w:rPr>
          <w:lang w:val="fr-FR"/>
        </w:rPr>
        <w:t>Irlande a présenté des excuses aux femmes</w:t>
      </w:r>
      <w:r w:rsidRPr="002C602E">
        <w:rPr>
          <w:rStyle w:val="FootnoteReference"/>
          <w:lang w:val="fr-FR"/>
        </w:rPr>
        <w:footnoteReference w:id="2"/>
      </w:r>
      <w:r>
        <w:rPr>
          <w:lang w:val="fr-FR"/>
        </w:rPr>
        <w:t>.</w:t>
      </w:r>
    </w:p>
    <w:p w14:paraId="3366519F" w14:textId="77777777" w:rsidR="002C602E" w:rsidRPr="0030064A" w:rsidRDefault="002C602E" w:rsidP="002C602E">
      <w:pPr>
        <w:pStyle w:val="SingleTxt"/>
        <w:spacing w:after="0" w:line="120" w:lineRule="exact"/>
        <w:rPr>
          <w:sz w:val="10"/>
          <w:lang w:val="fr-FR"/>
        </w:rPr>
      </w:pPr>
    </w:p>
    <w:p w14:paraId="775614D4" w14:textId="77777777" w:rsidR="002C602E" w:rsidRPr="0030064A" w:rsidRDefault="002C602E" w:rsidP="002C60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C602E">
        <w:rPr>
          <w:lang w:val="fr-FR"/>
        </w:rPr>
        <w:t>Enquêtes</w:t>
      </w:r>
    </w:p>
    <w:p w14:paraId="3C6A0193" w14:textId="77777777" w:rsidR="002C602E" w:rsidRPr="0030064A" w:rsidRDefault="002C602E" w:rsidP="002C602E">
      <w:pPr>
        <w:pStyle w:val="SingleTxt"/>
        <w:spacing w:after="0" w:line="120" w:lineRule="exact"/>
        <w:rPr>
          <w:sz w:val="10"/>
          <w:lang w:val="fr-FR"/>
        </w:rPr>
      </w:pPr>
    </w:p>
    <w:p w14:paraId="49CB4848" w14:textId="41DD9665" w:rsidR="002C602E" w:rsidRPr="0030064A" w:rsidRDefault="002C602E" w:rsidP="002C602E">
      <w:pPr>
        <w:pStyle w:val="SingleTxt"/>
        <w:numPr>
          <w:ilvl w:val="0"/>
          <w:numId w:val="19"/>
        </w:numPr>
        <w:spacing w:line="240" w:lineRule="exact"/>
        <w:ind w:left="1267"/>
        <w:rPr>
          <w:lang w:val="fr-FR"/>
        </w:rPr>
      </w:pPr>
      <w:r>
        <w:rPr>
          <w:lang w:val="fr-FR"/>
        </w:rPr>
        <w:t>Comme indiqué précédemment, le Gouvernement irlandais est satisfait de ce que les conclusions du rapport du Comité interdépartemental chargé d</w:t>
      </w:r>
      <w:r w:rsidR="00462A51">
        <w:rPr>
          <w:lang w:val="fr-FR"/>
        </w:rPr>
        <w:t>’</w:t>
      </w:r>
      <w:r>
        <w:rPr>
          <w:lang w:val="fr-FR"/>
        </w:rPr>
        <w:t>établir les faits concernant l</w:t>
      </w:r>
      <w:r w:rsidR="00462A51">
        <w:rPr>
          <w:lang w:val="fr-FR"/>
        </w:rPr>
        <w:t>’</w:t>
      </w:r>
      <w:r>
        <w:rPr>
          <w:lang w:val="fr-FR"/>
        </w:rPr>
        <w:t>implication de l</w:t>
      </w:r>
      <w:r w:rsidR="00462A51">
        <w:rPr>
          <w:lang w:val="fr-FR"/>
        </w:rPr>
        <w:t>’</w:t>
      </w:r>
      <w:r>
        <w:rPr>
          <w:lang w:val="fr-FR"/>
        </w:rPr>
        <w:t xml:space="preserve">État dans les Magdalen Laundries </w:t>
      </w:r>
      <w:r>
        <w:rPr>
          <w:lang w:val="fr-FR"/>
        </w:rPr>
        <w:t>– </w:t>
      </w:r>
      <w:r>
        <w:rPr>
          <w:lang w:val="fr-FR"/>
        </w:rPr>
        <w:t>le rapport McAleese (2013)</w:t>
      </w:r>
      <w:r w:rsidRPr="002C602E">
        <w:rPr>
          <w:rStyle w:val="FootnoteReference"/>
          <w:lang w:val="fr-FR"/>
        </w:rPr>
        <w:footnoteReference w:id="3"/>
      </w:r>
      <w:r>
        <w:rPr>
          <w:lang w:val="fr-FR"/>
        </w:rPr>
        <w:t> –</w:t>
      </w:r>
      <w:r>
        <w:rPr>
          <w:lang w:val="fr-FR"/>
        </w:rPr>
        <w:t xml:space="preserve"> ont permis de rendre public un nombre considérable d</w:t>
      </w:r>
      <w:r w:rsidR="00462A51">
        <w:rPr>
          <w:lang w:val="fr-FR"/>
        </w:rPr>
        <w:t>’</w:t>
      </w:r>
      <w:r>
        <w:rPr>
          <w:lang w:val="fr-FR"/>
        </w:rPr>
        <w:t>informations inconnues jusqu</w:t>
      </w:r>
      <w:r w:rsidR="00462A51">
        <w:rPr>
          <w:lang w:val="fr-FR"/>
        </w:rPr>
        <w:t>’</w:t>
      </w:r>
      <w:r>
        <w:rPr>
          <w:lang w:val="fr-FR"/>
        </w:rPr>
        <w:t>alors sur le sujet et de démontrer que bon nombre des idées préconçues sur ces institutions n</w:t>
      </w:r>
      <w:r w:rsidR="00462A51">
        <w:rPr>
          <w:lang w:val="fr-FR"/>
        </w:rPr>
        <w:t>’</w:t>
      </w:r>
      <w:r>
        <w:rPr>
          <w:lang w:val="fr-FR"/>
        </w:rPr>
        <w:t>étaient pas étayées par les faits. Le contenu du rapport a été pleinement accepté par le Gouvernement irlandais.</w:t>
      </w:r>
    </w:p>
    <w:p w14:paraId="16A0D0DE" w14:textId="34E4EE8E" w:rsidR="002C602E" w:rsidRPr="0030064A" w:rsidRDefault="002C602E" w:rsidP="002C602E">
      <w:pPr>
        <w:pStyle w:val="SingleTxt"/>
        <w:numPr>
          <w:ilvl w:val="0"/>
          <w:numId w:val="19"/>
        </w:numPr>
        <w:spacing w:line="240" w:lineRule="exact"/>
        <w:ind w:left="1267"/>
        <w:rPr>
          <w:lang w:val="fr-FR"/>
        </w:rPr>
      </w:pPr>
      <w:r>
        <w:rPr>
          <w:lang w:val="fr-FR"/>
        </w:rPr>
        <w:t>Le Comité McAleese n</w:t>
      </w:r>
      <w:r w:rsidR="00462A51">
        <w:rPr>
          <w:lang w:val="fr-FR"/>
        </w:rPr>
        <w:t>’</w:t>
      </w:r>
      <w:r>
        <w:rPr>
          <w:lang w:val="fr-FR"/>
        </w:rPr>
        <w:t>avait pas pour mission d</w:t>
      </w:r>
      <w:r w:rsidR="00462A51">
        <w:rPr>
          <w:lang w:val="fr-FR"/>
        </w:rPr>
        <w:t>’</w:t>
      </w:r>
      <w:r>
        <w:rPr>
          <w:lang w:val="fr-FR"/>
        </w:rPr>
        <w:t>enquêter ou de prendre des décisions concernant les allégations de torture ou toute autre infraction pénale. Il a toutefois saisi l</w:t>
      </w:r>
      <w:r w:rsidR="00462A51">
        <w:rPr>
          <w:lang w:val="fr-FR"/>
        </w:rPr>
        <w:t>’</w:t>
      </w:r>
      <w:r>
        <w:rPr>
          <w:lang w:val="fr-FR"/>
        </w:rPr>
        <w:t>occasion pour enregistrer des preuves et des témoignages susceptibles de faire la lumière sur les allégations de mauvais traitements systématiques. Aucune preuve concrète étayant les allégations de torture ou de mauvais traitements systématiques à caractère pénal n</w:t>
      </w:r>
      <w:r w:rsidR="00462A51">
        <w:rPr>
          <w:lang w:val="fr-FR"/>
        </w:rPr>
        <w:t>’</w:t>
      </w:r>
      <w:r>
        <w:rPr>
          <w:lang w:val="fr-FR"/>
        </w:rPr>
        <w:t>a été établie. La majorité des femmes ont effectivement signalé des violences verbales, mais celles-ci n</w:t>
      </w:r>
      <w:r w:rsidR="00462A51">
        <w:rPr>
          <w:lang w:val="fr-FR"/>
        </w:rPr>
        <w:t>’</w:t>
      </w:r>
      <w:r>
        <w:rPr>
          <w:lang w:val="fr-FR"/>
        </w:rPr>
        <w:t>étaient pas de nature à constituer une infraction pénale. Les conditions de travail étaient rudes et le travail était physiquement éprouvant. Un petit nombre de femmes ont décrit des cas de châtiments corporels. Cependant, la majorité d</w:t>
      </w:r>
      <w:r w:rsidR="00462A51">
        <w:rPr>
          <w:lang w:val="fr-FR"/>
        </w:rPr>
        <w:t>’</w:t>
      </w:r>
      <w:r>
        <w:rPr>
          <w:lang w:val="fr-FR"/>
        </w:rPr>
        <w:t>entre elles ont déclaré qu</w:t>
      </w:r>
      <w:r w:rsidR="00462A51">
        <w:rPr>
          <w:lang w:val="fr-FR"/>
        </w:rPr>
        <w:t>’</w:t>
      </w:r>
      <w:r>
        <w:rPr>
          <w:lang w:val="fr-FR"/>
        </w:rPr>
        <w:t>elles n</w:t>
      </w:r>
      <w:r w:rsidR="00462A51">
        <w:rPr>
          <w:lang w:val="fr-FR"/>
        </w:rPr>
        <w:t>’</w:t>
      </w:r>
      <w:r>
        <w:rPr>
          <w:lang w:val="fr-FR"/>
        </w:rPr>
        <w:t>avaient ni subi de violences physiques ni même vu d</w:t>
      </w:r>
      <w:r w:rsidR="00462A51">
        <w:rPr>
          <w:lang w:val="fr-FR"/>
        </w:rPr>
        <w:t>’</w:t>
      </w:r>
      <w:r>
        <w:rPr>
          <w:lang w:val="fr-FR"/>
        </w:rPr>
        <w:t>autres femmes faire l</w:t>
      </w:r>
      <w:r w:rsidR="00462A51">
        <w:rPr>
          <w:lang w:val="fr-FR"/>
        </w:rPr>
        <w:t>’</w:t>
      </w:r>
      <w:r>
        <w:rPr>
          <w:lang w:val="fr-FR"/>
        </w:rPr>
        <w:t>objet de tels sévices.</w:t>
      </w:r>
    </w:p>
    <w:p w14:paraId="32799EE7" w14:textId="01AD963A" w:rsidR="002C602E" w:rsidRPr="0030064A" w:rsidRDefault="002C602E" w:rsidP="002C602E">
      <w:pPr>
        <w:pStyle w:val="SingleTxt"/>
        <w:numPr>
          <w:ilvl w:val="0"/>
          <w:numId w:val="19"/>
        </w:numPr>
        <w:spacing w:line="240" w:lineRule="exact"/>
        <w:ind w:left="1267"/>
        <w:rPr>
          <w:lang w:val="fr-FR"/>
        </w:rPr>
      </w:pPr>
      <w:r>
        <w:rPr>
          <w:lang w:val="fr-FR"/>
        </w:rPr>
        <w:t>Le Gouvernement irlandais reste convaincu qu</w:t>
      </w:r>
      <w:r w:rsidR="00462A51">
        <w:rPr>
          <w:lang w:val="fr-FR"/>
        </w:rPr>
        <w:t>’</w:t>
      </w:r>
      <w:r>
        <w:rPr>
          <w:lang w:val="fr-FR"/>
        </w:rPr>
        <w:t>une enquête ou un examen spécifique des institutions Magdalen n</w:t>
      </w:r>
      <w:r w:rsidR="00462A51">
        <w:rPr>
          <w:lang w:val="fr-FR"/>
        </w:rPr>
        <w:t>’</w:t>
      </w:r>
      <w:r>
        <w:rPr>
          <w:lang w:val="fr-FR"/>
        </w:rPr>
        <w:t>est pas nécessaire.</w:t>
      </w:r>
    </w:p>
    <w:p w14:paraId="7ED1DDFA" w14:textId="77777777" w:rsidR="002C602E" w:rsidRPr="0030064A" w:rsidRDefault="002C602E" w:rsidP="002C602E">
      <w:pPr>
        <w:pStyle w:val="SingleTxt"/>
        <w:spacing w:after="0" w:line="120" w:lineRule="exact"/>
        <w:rPr>
          <w:sz w:val="10"/>
          <w:lang w:val="fr-FR"/>
        </w:rPr>
      </w:pPr>
    </w:p>
    <w:p w14:paraId="543DCCC2" w14:textId="77777777" w:rsidR="002C602E" w:rsidRPr="0030064A" w:rsidRDefault="002C602E" w:rsidP="002C602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Poursuites</w:t>
      </w:r>
    </w:p>
    <w:p w14:paraId="61E521F0" w14:textId="77777777" w:rsidR="002C602E" w:rsidRPr="0030064A" w:rsidRDefault="002C602E" w:rsidP="002C602E">
      <w:pPr>
        <w:pStyle w:val="SingleTxt"/>
        <w:spacing w:after="0" w:line="120" w:lineRule="exact"/>
        <w:rPr>
          <w:sz w:val="10"/>
          <w:lang w:val="fr-FR"/>
        </w:rPr>
      </w:pPr>
    </w:p>
    <w:p w14:paraId="2E53F0DF" w14:textId="31CEA2FD" w:rsidR="002C602E" w:rsidRPr="0030064A" w:rsidRDefault="002C602E" w:rsidP="002C602E">
      <w:pPr>
        <w:pStyle w:val="SingleTxt"/>
        <w:numPr>
          <w:ilvl w:val="0"/>
          <w:numId w:val="19"/>
        </w:numPr>
        <w:spacing w:line="240" w:lineRule="exact"/>
        <w:ind w:left="1267"/>
        <w:rPr>
          <w:lang w:val="fr-FR"/>
        </w:rPr>
      </w:pPr>
      <w:r>
        <w:rPr>
          <w:lang w:val="fr-FR"/>
        </w:rPr>
        <w:t>Une demandeuse souhaitant bénéficier du mécanisme de compensation Magdalen a déposé une plainte auprès de l</w:t>
      </w:r>
      <w:r w:rsidR="00462A51">
        <w:rPr>
          <w:lang w:val="fr-FR"/>
        </w:rPr>
        <w:t>’</w:t>
      </w:r>
      <w:r>
        <w:rPr>
          <w:lang w:val="fr-FR"/>
        </w:rPr>
        <w:t>An Garda Síochána (police nationale irlandaise) en 1997 concernant le traitement qu</w:t>
      </w:r>
      <w:r w:rsidR="00462A51">
        <w:rPr>
          <w:lang w:val="fr-FR"/>
        </w:rPr>
        <w:t>’</w:t>
      </w:r>
      <w:r>
        <w:rPr>
          <w:lang w:val="fr-FR"/>
        </w:rPr>
        <w:t>elle aurait subi dans une institution Magdalen. Une enquête criminelle a été ouverte et un dossier d</w:t>
      </w:r>
      <w:r w:rsidR="00462A51">
        <w:rPr>
          <w:lang w:val="fr-FR"/>
        </w:rPr>
        <w:t>’</w:t>
      </w:r>
      <w:r>
        <w:rPr>
          <w:lang w:val="fr-FR"/>
        </w:rPr>
        <w:t>enquête a été envoyé au Procureur général qui n</w:t>
      </w:r>
      <w:r w:rsidR="00462A51">
        <w:rPr>
          <w:lang w:val="fr-FR"/>
        </w:rPr>
        <w:t>’</w:t>
      </w:r>
      <w:r>
        <w:rPr>
          <w:lang w:val="fr-FR"/>
        </w:rPr>
        <w:t>a ordonné aucune poursuite en rapport avec ces allégations. Selon les informations dont on dispose, aucune autre personne n</w:t>
      </w:r>
      <w:r w:rsidR="00462A51">
        <w:rPr>
          <w:lang w:val="fr-FR"/>
        </w:rPr>
        <w:t>’</w:t>
      </w:r>
      <w:r>
        <w:rPr>
          <w:lang w:val="fr-FR"/>
        </w:rPr>
        <w:t>a signalé de faits de violence à caractère pénal à l</w:t>
      </w:r>
      <w:r w:rsidR="00462A51">
        <w:rPr>
          <w:lang w:val="fr-FR"/>
        </w:rPr>
        <w:t>’</w:t>
      </w:r>
      <w:r>
        <w:rPr>
          <w:lang w:val="fr-FR"/>
        </w:rPr>
        <w:t xml:space="preserve">An Garda Síochána. Toute personne qui pense avoir subi une infraction pénale peut déposer une plainte auprès des autorités compétentes </w:t>
      </w:r>
      <w:r>
        <w:rPr>
          <w:lang w:val="fr-FR"/>
        </w:rPr>
        <w:t>– </w:t>
      </w:r>
      <w:r>
        <w:rPr>
          <w:lang w:val="fr-FR"/>
        </w:rPr>
        <w:t>toutes ces plaintes feront l</w:t>
      </w:r>
      <w:r w:rsidR="00462A51">
        <w:rPr>
          <w:lang w:val="fr-FR"/>
        </w:rPr>
        <w:t>’</w:t>
      </w:r>
      <w:r>
        <w:rPr>
          <w:lang w:val="fr-FR"/>
        </w:rPr>
        <w:t>objet d</w:t>
      </w:r>
      <w:r w:rsidR="00462A51">
        <w:rPr>
          <w:lang w:val="fr-FR"/>
        </w:rPr>
        <w:t>’</w:t>
      </w:r>
      <w:r>
        <w:rPr>
          <w:lang w:val="fr-FR"/>
        </w:rPr>
        <w:t>une enquête approfondie.</w:t>
      </w:r>
    </w:p>
    <w:p w14:paraId="654C5814" w14:textId="77777777" w:rsidR="002C602E" w:rsidRPr="0030064A" w:rsidRDefault="002C602E" w:rsidP="002C602E">
      <w:pPr>
        <w:pStyle w:val="SingleTxt"/>
        <w:rPr>
          <w:lang w:val="fr-FR"/>
        </w:rPr>
      </w:pPr>
      <w:r>
        <w:rPr>
          <w:lang w:val="fr-FR"/>
        </w:rPr>
        <w:tab/>
        <w:t>Recours effectifs pour les victimes, y compris une indemnisation, une restitution et une satisfaction appropriées</w:t>
      </w:r>
    </w:p>
    <w:p w14:paraId="3CDBD287" w14:textId="10C2A31B" w:rsidR="002C602E" w:rsidRPr="0030064A" w:rsidRDefault="002C602E" w:rsidP="002C602E">
      <w:pPr>
        <w:pStyle w:val="SingleTxt"/>
        <w:numPr>
          <w:ilvl w:val="0"/>
          <w:numId w:val="19"/>
        </w:numPr>
        <w:spacing w:line="240" w:lineRule="exact"/>
        <w:ind w:left="1267"/>
        <w:rPr>
          <w:lang w:val="fr-FR"/>
        </w:rPr>
      </w:pPr>
      <w:r>
        <w:rPr>
          <w:lang w:val="fr-FR"/>
        </w:rPr>
        <w:t>Le rapport du Médiateur, intitulé «</w:t>
      </w:r>
      <w:r>
        <w:rPr>
          <w:lang w:val="fr-FR"/>
        </w:rPr>
        <w:t> </w:t>
      </w:r>
      <w:r>
        <w:rPr>
          <w:lang w:val="fr-FR"/>
        </w:rPr>
        <w:t>Opportunity Lost</w:t>
      </w:r>
      <w:r>
        <w:rPr>
          <w:lang w:val="fr-FR"/>
        </w:rPr>
        <w:t> </w:t>
      </w:r>
      <w:r>
        <w:rPr>
          <w:lang w:val="fr-FR"/>
        </w:rPr>
        <w:t>», comprenait les 4</w:t>
      </w:r>
      <w:r>
        <w:rPr>
          <w:lang w:val="fr-FR"/>
        </w:rPr>
        <w:t> </w:t>
      </w:r>
      <w:r>
        <w:rPr>
          <w:lang w:val="fr-FR"/>
        </w:rPr>
        <w:t>recommandations suivantes</w:t>
      </w:r>
      <w:r w:rsidR="00462A51">
        <w:rPr>
          <w:lang w:val="fr-FR"/>
        </w:rPr>
        <w:t> :</w:t>
      </w:r>
    </w:p>
    <w:p w14:paraId="58286806" w14:textId="0DCBD7B6" w:rsidR="002C602E" w:rsidRPr="0030064A" w:rsidRDefault="002C602E" w:rsidP="002C602E">
      <w:pPr>
        <w:pStyle w:val="SingleTxt"/>
        <w:tabs>
          <w:tab w:val="right" w:pos="1685"/>
        </w:tabs>
        <w:ind w:left="1742" w:hanging="475"/>
        <w:rPr>
          <w:lang w:val="fr-FR"/>
        </w:rPr>
      </w:pPr>
      <w:r>
        <w:rPr>
          <w:lang w:val="fr-FR"/>
        </w:rPr>
        <w:tab/>
      </w:r>
      <w:r>
        <w:rPr>
          <w:lang w:val="fr-FR"/>
        </w:rPr>
        <w:t>•</w:t>
      </w:r>
      <w:r>
        <w:rPr>
          <w:lang w:val="fr-FR"/>
        </w:rPr>
        <w:tab/>
        <w:t>L</w:t>
      </w:r>
      <w:r w:rsidR="00462A51">
        <w:rPr>
          <w:lang w:val="fr-FR"/>
        </w:rPr>
        <w:t>’</w:t>
      </w:r>
      <w:r>
        <w:rPr>
          <w:lang w:val="fr-FR"/>
        </w:rPr>
        <w:t>extension du mécanisme de compensation à 14 institutions voisines</w:t>
      </w:r>
      <w:r w:rsidR="00462A51">
        <w:rPr>
          <w:lang w:val="fr-FR"/>
        </w:rPr>
        <w:t> ;</w:t>
      </w:r>
    </w:p>
    <w:p w14:paraId="212B85FF" w14:textId="2543076D" w:rsidR="002C602E" w:rsidRPr="002C602E" w:rsidRDefault="002C602E" w:rsidP="002C602E">
      <w:pPr>
        <w:pStyle w:val="SingleTxt"/>
        <w:tabs>
          <w:tab w:val="right" w:pos="1685"/>
        </w:tabs>
        <w:ind w:left="1742" w:hanging="475"/>
        <w:rPr>
          <w:lang w:val="fr-FR"/>
        </w:rPr>
      </w:pPr>
      <w:r w:rsidRPr="002C602E">
        <w:rPr>
          <w:lang w:val="fr-FR"/>
        </w:rPr>
        <w:tab/>
        <w:t>•</w:t>
      </w:r>
      <w:r w:rsidRPr="002C602E">
        <w:rPr>
          <w:lang w:val="fr-FR"/>
        </w:rPr>
        <w:tab/>
        <w:t>Un examen indépendant de tous les cas où il y a eu un différend sur la durée de l</w:t>
      </w:r>
      <w:r w:rsidR="00462A51">
        <w:rPr>
          <w:lang w:val="fr-FR"/>
        </w:rPr>
        <w:t>’</w:t>
      </w:r>
      <w:r w:rsidRPr="002C602E">
        <w:rPr>
          <w:lang w:val="fr-FR"/>
        </w:rPr>
        <w:t>internement</w:t>
      </w:r>
      <w:r w:rsidR="00462A51">
        <w:rPr>
          <w:lang w:val="fr-FR"/>
        </w:rPr>
        <w:t> ;</w:t>
      </w:r>
    </w:p>
    <w:p w14:paraId="1DC05CFC" w14:textId="3BA3643B" w:rsidR="002C602E" w:rsidRPr="002C602E" w:rsidRDefault="002C602E" w:rsidP="002C602E">
      <w:pPr>
        <w:pStyle w:val="SingleTxt"/>
        <w:tabs>
          <w:tab w:val="right" w:pos="1685"/>
        </w:tabs>
        <w:ind w:left="1742" w:hanging="475"/>
        <w:rPr>
          <w:lang w:val="fr-FR"/>
        </w:rPr>
      </w:pPr>
      <w:r w:rsidRPr="002C602E">
        <w:rPr>
          <w:lang w:val="fr-FR"/>
        </w:rPr>
        <w:tab/>
        <w:t>•</w:t>
      </w:r>
      <w:r w:rsidRPr="002C602E">
        <w:rPr>
          <w:lang w:val="fr-FR"/>
        </w:rPr>
        <w:tab/>
        <w:t>Un examen des possibilités d</w:t>
      </w:r>
      <w:r w:rsidR="00462A51">
        <w:rPr>
          <w:lang w:val="fr-FR"/>
        </w:rPr>
        <w:t>’</w:t>
      </w:r>
      <w:r w:rsidRPr="002C602E">
        <w:rPr>
          <w:lang w:val="fr-FR"/>
        </w:rPr>
        <w:t>assistance aux demandeuses qui ne sont pas en mesure d</w:t>
      </w:r>
      <w:r w:rsidR="00462A51">
        <w:rPr>
          <w:lang w:val="fr-FR"/>
        </w:rPr>
        <w:t>’</w:t>
      </w:r>
      <w:r w:rsidRPr="002C602E">
        <w:rPr>
          <w:lang w:val="fr-FR"/>
        </w:rPr>
        <w:t>accepter des dommages-intérêts</w:t>
      </w:r>
      <w:r w:rsidR="00462A51">
        <w:rPr>
          <w:lang w:val="fr-FR"/>
        </w:rPr>
        <w:t> ;</w:t>
      </w:r>
    </w:p>
    <w:p w14:paraId="77BBDEC0" w14:textId="78487DD4" w:rsidR="002C602E" w:rsidRPr="002C602E" w:rsidRDefault="002C602E" w:rsidP="002C602E">
      <w:pPr>
        <w:pStyle w:val="SingleTxt"/>
        <w:tabs>
          <w:tab w:val="right" w:pos="1685"/>
        </w:tabs>
        <w:ind w:left="1742" w:hanging="475"/>
        <w:rPr>
          <w:lang w:val="fr-FR"/>
        </w:rPr>
      </w:pPr>
      <w:r w:rsidRPr="002C602E">
        <w:rPr>
          <w:lang w:val="fr-FR"/>
        </w:rPr>
        <w:tab/>
        <w:t>•</w:t>
      </w:r>
      <w:r w:rsidRPr="002C602E">
        <w:rPr>
          <w:lang w:val="fr-FR"/>
        </w:rPr>
        <w:tab/>
        <w:t>L</w:t>
      </w:r>
      <w:r w:rsidR="00462A51">
        <w:rPr>
          <w:lang w:val="fr-FR"/>
        </w:rPr>
        <w:t>’</w:t>
      </w:r>
      <w:r w:rsidRPr="002C602E">
        <w:rPr>
          <w:lang w:val="fr-FR"/>
        </w:rPr>
        <w:t>élaboration de directives à l</w:t>
      </w:r>
      <w:r w:rsidR="00462A51">
        <w:rPr>
          <w:lang w:val="fr-FR"/>
        </w:rPr>
        <w:t>’</w:t>
      </w:r>
      <w:r w:rsidRPr="002C602E">
        <w:rPr>
          <w:lang w:val="fr-FR"/>
        </w:rPr>
        <w:t>intention de l</w:t>
      </w:r>
      <w:r w:rsidR="00462A51">
        <w:rPr>
          <w:lang w:val="fr-FR"/>
        </w:rPr>
        <w:t>’</w:t>
      </w:r>
      <w:r w:rsidRPr="002C602E">
        <w:rPr>
          <w:lang w:val="fr-FR"/>
        </w:rPr>
        <w:t>administration centrale pour les futurs mécanismes de réparation.</w:t>
      </w:r>
    </w:p>
    <w:p w14:paraId="7D5D5638" w14:textId="27182401" w:rsidR="002C602E" w:rsidRPr="0030064A" w:rsidRDefault="002C602E" w:rsidP="002C602E">
      <w:pPr>
        <w:pStyle w:val="SingleTxt"/>
        <w:numPr>
          <w:ilvl w:val="0"/>
          <w:numId w:val="19"/>
        </w:numPr>
        <w:spacing w:line="240" w:lineRule="exact"/>
        <w:ind w:left="1267"/>
        <w:rPr>
          <w:lang w:val="fr-FR"/>
        </w:rPr>
      </w:pPr>
      <w:r>
        <w:rPr>
          <w:lang w:val="fr-FR"/>
        </w:rPr>
        <w:t>Pour donner suite à ces recommandations, le Gouvernement a décidé en mai 2018 d</w:t>
      </w:r>
      <w:r w:rsidR="00462A51">
        <w:rPr>
          <w:lang w:val="fr-FR"/>
        </w:rPr>
        <w:t>’</w:t>
      </w:r>
      <w:r>
        <w:rPr>
          <w:lang w:val="fr-FR"/>
        </w:rPr>
        <w:t>appliquer le mécanisme aux femmes qui travaillaient dans les blanchisseries des 12 institutions Magdalen et qui résidaient dans l</w:t>
      </w:r>
      <w:r w:rsidR="00462A51">
        <w:rPr>
          <w:lang w:val="fr-FR"/>
        </w:rPr>
        <w:t>’</w:t>
      </w:r>
      <w:r>
        <w:rPr>
          <w:lang w:val="fr-FR"/>
        </w:rPr>
        <w:t>une des 14 institutions voisines. Le mécanisme établi en 2013 et le mécanisme élargi restent en place. À ce jour, un peu plus de 31,79 millions d</w:t>
      </w:r>
      <w:r w:rsidR="00462A51">
        <w:rPr>
          <w:lang w:val="fr-FR"/>
        </w:rPr>
        <w:t>’</w:t>
      </w:r>
      <w:r>
        <w:rPr>
          <w:lang w:val="fr-FR"/>
        </w:rPr>
        <w:t>euros ont été versés sous forme de paiements forfaitaires à 801 demandeuses ayant obtenu gain de cause, lesquelles perçoivent également des prestations de retraite et de santé. Le mécanisme a fait l</w:t>
      </w:r>
      <w:r w:rsidR="00462A51">
        <w:rPr>
          <w:lang w:val="fr-FR"/>
        </w:rPr>
        <w:t>’</w:t>
      </w:r>
      <w:r>
        <w:rPr>
          <w:lang w:val="fr-FR"/>
        </w:rPr>
        <w:t>objet d</w:t>
      </w:r>
      <w:r w:rsidR="00462A51">
        <w:rPr>
          <w:lang w:val="fr-FR"/>
        </w:rPr>
        <w:t>’</w:t>
      </w:r>
      <w:r>
        <w:rPr>
          <w:lang w:val="fr-FR"/>
        </w:rPr>
        <w:t>une large publicité dans de nombreux pays, ainsi qu</w:t>
      </w:r>
      <w:r w:rsidR="00462A51">
        <w:rPr>
          <w:lang w:val="fr-FR"/>
        </w:rPr>
        <w:t>’</w:t>
      </w:r>
      <w:r>
        <w:rPr>
          <w:lang w:val="fr-FR"/>
        </w:rPr>
        <w:t>en Irlande.</w:t>
      </w:r>
    </w:p>
    <w:p w14:paraId="00C1A6E5" w14:textId="59623EEA" w:rsidR="002C602E" w:rsidRPr="0030064A" w:rsidRDefault="002C602E" w:rsidP="002C602E">
      <w:pPr>
        <w:pStyle w:val="SingleTxt"/>
        <w:numPr>
          <w:ilvl w:val="0"/>
          <w:numId w:val="19"/>
        </w:numPr>
        <w:spacing w:line="240" w:lineRule="exact"/>
        <w:ind w:left="1267"/>
        <w:rPr>
          <w:lang w:val="fr-FR"/>
        </w:rPr>
      </w:pPr>
      <w:r>
        <w:rPr>
          <w:lang w:val="fr-FR"/>
        </w:rPr>
        <w:t>Conformément aux recommandations ii) et iii), une Conseillère principale a été nommée pour examiner tous les cas où il y a eu un différend sur la durée de l</w:t>
      </w:r>
      <w:r w:rsidR="00462A51">
        <w:rPr>
          <w:lang w:val="fr-FR"/>
        </w:rPr>
        <w:t>’</w:t>
      </w:r>
      <w:r>
        <w:rPr>
          <w:lang w:val="fr-FR"/>
        </w:rPr>
        <w:t>internement dans une institution Magdalen. Son examen, qui se trouve déjà à un stade avancé, devrait être achevé dans les semaines à venir. Tous les cas où la capacité d</w:t>
      </w:r>
      <w:r w:rsidR="00462A51">
        <w:rPr>
          <w:lang w:val="fr-FR"/>
        </w:rPr>
        <w:t>’</w:t>
      </w:r>
      <w:r>
        <w:rPr>
          <w:lang w:val="fr-FR"/>
        </w:rPr>
        <w:t>accepter des dommages-intérêts a posé un problème ont été résolus. En ce qui concerne la recommandation finale, à savoir l</w:t>
      </w:r>
      <w:r w:rsidR="00462A51">
        <w:rPr>
          <w:lang w:val="fr-FR"/>
        </w:rPr>
        <w:t>’</w:t>
      </w:r>
      <w:r>
        <w:rPr>
          <w:lang w:val="fr-FR"/>
        </w:rPr>
        <w:t>élaboration de directives à l</w:t>
      </w:r>
      <w:r w:rsidR="00462A51">
        <w:rPr>
          <w:lang w:val="fr-FR"/>
        </w:rPr>
        <w:t>’</w:t>
      </w:r>
      <w:r>
        <w:rPr>
          <w:lang w:val="fr-FR"/>
        </w:rPr>
        <w:t>intention de l</w:t>
      </w:r>
      <w:r w:rsidR="00462A51">
        <w:rPr>
          <w:lang w:val="fr-FR"/>
        </w:rPr>
        <w:t>’</w:t>
      </w:r>
      <w:r>
        <w:rPr>
          <w:lang w:val="fr-FR"/>
        </w:rPr>
        <w:t>administration centrale concernant les futurs mécanismes de réparation, cet examen est coordonné par le Ministère des dépenses publiques et de la réforme, dont les travaux sont à un stade avancé.</w:t>
      </w:r>
    </w:p>
    <w:p w14:paraId="202C5F1C" w14:textId="548B423B" w:rsidR="002C602E" w:rsidRPr="0030064A" w:rsidRDefault="002C602E" w:rsidP="002C602E">
      <w:pPr>
        <w:pStyle w:val="SingleTxt"/>
        <w:numPr>
          <w:ilvl w:val="0"/>
          <w:numId w:val="19"/>
        </w:numPr>
        <w:spacing w:line="240" w:lineRule="exact"/>
        <w:ind w:left="1267"/>
        <w:rPr>
          <w:lang w:val="fr-FR"/>
        </w:rPr>
      </w:pPr>
      <w:r>
        <w:rPr>
          <w:lang w:val="fr-FR"/>
        </w:rPr>
        <w:t>Le Ministère a travaillé en étroite collaboration avec le Médiateur pour mettre pleinement en œuvre ses recommandations.</w:t>
      </w:r>
    </w:p>
    <w:p w14:paraId="61496653" w14:textId="77777777" w:rsidR="002C602E" w:rsidRPr="0030064A" w:rsidRDefault="002C602E" w:rsidP="002C602E">
      <w:pPr>
        <w:pStyle w:val="SingleTxt"/>
        <w:spacing w:after="0" w:line="120" w:lineRule="exact"/>
        <w:rPr>
          <w:sz w:val="10"/>
          <w:lang w:val="fr-FR"/>
        </w:rPr>
      </w:pPr>
    </w:p>
    <w:p w14:paraId="57E7697C" w14:textId="77777777" w:rsidR="002C602E" w:rsidRPr="0030064A" w:rsidRDefault="002C602E" w:rsidP="002C602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Services de soutien et de réadaptation pour les victimes</w:t>
      </w:r>
    </w:p>
    <w:p w14:paraId="63C6AEC9" w14:textId="77777777" w:rsidR="002C602E" w:rsidRPr="0030064A" w:rsidRDefault="002C602E" w:rsidP="002C602E">
      <w:pPr>
        <w:pStyle w:val="SingleTxt"/>
        <w:spacing w:after="0" w:line="120" w:lineRule="exact"/>
        <w:rPr>
          <w:sz w:val="10"/>
          <w:lang w:val="fr-FR"/>
        </w:rPr>
      </w:pPr>
    </w:p>
    <w:p w14:paraId="582C2EB5" w14:textId="38C7D52F" w:rsidR="002C602E" w:rsidRPr="0030064A" w:rsidRDefault="002C602E" w:rsidP="002C602E">
      <w:pPr>
        <w:pStyle w:val="SingleTxt"/>
        <w:numPr>
          <w:ilvl w:val="0"/>
          <w:numId w:val="19"/>
        </w:numPr>
        <w:spacing w:line="240" w:lineRule="exact"/>
        <w:ind w:left="1267"/>
        <w:rPr>
          <w:lang w:val="fr-FR"/>
        </w:rPr>
      </w:pPr>
      <w:r>
        <w:rPr>
          <w:lang w:val="fr-FR"/>
        </w:rPr>
        <w:t xml:space="preserve">Une manifestation intitulée « Dublin Honours Magdalenes » (DHM </w:t>
      </w:r>
      <w:r>
        <w:rPr>
          <w:lang w:val="fr-FR"/>
        </w:rPr>
        <w:t>– </w:t>
      </w:r>
      <w:r>
        <w:rPr>
          <w:lang w:val="fr-FR"/>
        </w:rPr>
        <w:t>Dublin rend hommage aux victimes de la Madeleine) a eu lieu en juin 2018 et a réuni plus de 200 anciennes résidentes et leurs proches</w:t>
      </w:r>
      <w:r w:rsidRPr="002C602E">
        <w:rPr>
          <w:rStyle w:val="FootnoteReference"/>
          <w:lang w:val="fr-FR"/>
        </w:rPr>
        <w:footnoteReference w:id="4"/>
      </w:r>
      <w:r>
        <w:rPr>
          <w:lang w:val="fr-FR"/>
        </w:rPr>
        <w:t>. Cette manifestation, organisée par une organisation bénévole et financée par le Gouvernement irlandais, a permis aux femmes de se rencontrer et d</w:t>
      </w:r>
      <w:r w:rsidR="00462A51">
        <w:rPr>
          <w:lang w:val="fr-FR"/>
        </w:rPr>
        <w:t>’</w:t>
      </w:r>
      <w:r>
        <w:rPr>
          <w:lang w:val="fr-FR"/>
        </w:rPr>
        <w:t>exprimer leur point de vue concernant l</w:t>
      </w:r>
      <w:r w:rsidR="00462A51">
        <w:rPr>
          <w:lang w:val="fr-FR"/>
        </w:rPr>
        <w:t>’</w:t>
      </w:r>
      <w:r>
        <w:rPr>
          <w:lang w:val="fr-FR"/>
        </w:rPr>
        <w:t>édification d</w:t>
      </w:r>
      <w:r w:rsidR="00462A51">
        <w:rPr>
          <w:lang w:val="fr-FR"/>
        </w:rPr>
        <w:t>’</w:t>
      </w:r>
      <w:r>
        <w:rPr>
          <w:lang w:val="fr-FR"/>
        </w:rPr>
        <w:t>un mémorial approprié. Le rapport des organisateurs a été reçu très récemment et est en cours d</w:t>
      </w:r>
      <w:r w:rsidR="00462A51">
        <w:rPr>
          <w:lang w:val="fr-FR"/>
        </w:rPr>
        <w:t>’</w:t>
      </w:r>
      <w:r>
        <w:rPr>
          <w:lang w:val="fr-FR"/>
        </w:rPr>
        <w:t>examen.</w:t>
      </w:r>
    </w:p>
    <w:p w14:paraId="3208BFDB" w14:textId="6AE230C7" w:rsidR="002C602E" w:rsidRPr="0030064A" w:rsidRDefault="002C602E" w:rsidP="002C602E">
      <w:pPr>
        <w:pStyle w:val="SingleTxt"/>
        <w:numPr>
          <w:ilvl w:val="0"/>
          <w:numId w:val="19"/>
        </w:numPr>
        <w:spacing w:line="240" w:lineRule="exact"/>
        <w:ind w:left="1267"/>
        <w:rPr>
          <w:lang w:val="fr-FR"/>
        </w:rPr>
      </w:pPr>
      <w:r>
        <w:rPr>
          <w:lang w:val="fr-FR"/>
        </w:rPr>
        <w:t>Les services proposés aux femmes, tels que les prestations de retraite et de santé, sont fournis sur une base interdépartementale et les fonctionnaires du Ministère de la justice et de l</w:t>
      </w:r>
      <w:r w:rsidR="00462A51">
        <w:rPr>
          <w:lang w:val="fr-FR"/>
        </w:rPr>
        <w:t>’</w:t>
      </w:r>
      <w:r>
        <w:rPr>
          <w:lang w:val="fr-FR"/>
        </w:rPr>
        <w:t>égalité sont en contact avec les femmes et les conseillent sur toutes ces questions.</w:t>
      </w:r>
    </w:p>
    <w:p w14:paraId="14B4EFD4" w14:textId="77777777" w:rsidR="002C602E" w:rsidRPr="0030064A" w:rsidRDefault="002C602E" w:rsidP="002C602E">
      <w:pPr>
        <w:pStyle w:val="SingleTxt"/>
        <w:spacing w:after="0" w:line="120" w:lineRule="exact"/>
        <w:rPr>
          <w:sz w:val="10"/>
          <w:lang w:val="fr-FR"/>
        </w:rPr>
      </w:pPr>
    </w:p>
    <w:p w14:paraId="7C61657D" w14:textId="090AEB8D" w:rsidR="002C602E" w:rsidRPr="0030064A" w:rsidRDefault="002C602E" w:rsidP="002C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Commission d</w:t>
      </w:r>
      <w:r w:rsidR="00462A51">
        <w:rPr>
          <w:lang w:val="fr-FR"/>
        </w:rPr>
        <w:t>’</w:t>
      </w:r>
      <w:r>
        <w:rPr>
          <w:lang w:val="fr-FR"/>
        </w:rPr>
        <w:t>enquête sur les foyers pour mères et bébés</w:t>
      </w:r>
      <w:r w:rsidRPr="002C602E">
        <w:rPr>
          <w:rStyle w:val="FootnoteReference"/>
          <w:b w:val="0"/>
          <w:lang w:val="fr-FR"/>
        </w:rPr>
        <w:footnoteReference w:id="5"/>
      </w:r>
    </w:p>
    <w:p w14:paraId="3F7F6592" w14:textId="77777777" w:rsidR="002C602E" w:rsidRPr="0030064A" w:rsidRDefault="002C602E" w:rsidP="002C602E">
      <w:pPr>
        <w:pStyle w:val="SingleTxt"/>
        <w:spacing w:after="0" w:line="120" w:lineRule="exact"/>
        <w:rPr>
          <w:sz w:val="10"/>
          <w:lang w:val="fr-FR"/>
        </w:rPr>
      </w:pPr>
    </w:p>
    <w:p w14:paraId="156860F1" w14:textId="60D703C1" w:rsidR="002C602E" w:rsidRPr="0030064A" w:rsidRDefault="002C602E" w:rsidP="002C602E">
      <w:pPr>
        <w:pStyle w:val="SingleTxt"/>
        <w:numPr>
          <w:ilvl w:val="0"/>
          <w:numId w:val="19"/>
        </w:numPr>
        <w:spacing w:line="240" w:lineRule="exact"/>
        <w:ind w:left="1267"/>
        <w:rPr>
          <w:lang w:val="fr-FR"/>
        </w:rPr>
      </w:pPr>
      <w:r>
        <w:rPr>
          <w:lang w:val="fr-FR"/>
        </w:rPr>
        <w:t>La Commission d</w:t>
      </w:r>
      <w:r w:rsidR="00462A51">
        <w:rPr>
          <w:lang w:val="fr-FR"/>
        </w:rPr>
        <w:t>’</w:t>
      </w:r>
      <w:r>
        <w:rPr>
          <w:lang w:val="fr-FR"/>
        </w:rPr>
        <w:t>enquête officielle (foyers pour mères et bébés et certaines questions connexes) a été créée en 2015 (Instrument réglementaire n</w:t>
      </w:r>
      <w:r w:rsidRPr="002C602E">
        <w:rPr>
          <w:vertAlign w:val="superscript"/>
          <w:lang w:val="fr-FR"/>
        </w:rPr>
        <w:t>o</w:t>
      </w:r>
      <w:r>
        <w:rPr>
          <w:lang w:val="fr-FR"/>
        </w:rPr>
        <w:t> </w:t>
      </w:r>
      <w:r>
        <w:rPr>
          <w:lang w:val="fr-FR"/>
        </w:rPr>
        <w:t>57 de 2015). Le mandat de la Commission et la portée de l</w:t>
      </w:r>
      <w:r w:rsidR="00462A51">
        <w:rPr>
          <w:lang w:val="fr-FR"/>
        </w:rPr>
        <w:t>’</w:t>
      </w:r>
      <w:r>
        <w:rPr>
          <w:lang w:val="fr-FR"/>
        </w:rPr>
        <w:t>enquête restent inchangés par rapport au dernier rapport. Le Gouvernement irlandais est certain que cette Commission indépendante dispose de pouvoirs et d</w:t>
      </w:r>
      <w:r w:rsidR="00462A51">
        <w:rPr>
          <w:lang w:val="fr-FR"/>
        </w:rPr>
        <w:t>’</w:t>
      </w:r>
      <w:r>
        <w:rPr>
          <w:lang w:val="fr-FR"/>
        </w:rPr>
        <w:t>une portée suffisants pour examiner un large éventail de questions et pour se prononcer sur leur pertinence eu égard aux questions centrales d</w:t>
      </w:r>
      <w:r w:rsidR="00462A51">
        <w:rPr>
          <w:lang w:val="fr-FR"/>
        </w:rPr>
        <w:t>’</w:t>
      </w:r>
      <w:r>
        <w:rPr>
          <w:lang w:val="fr-FR"/>
        </w:rPr>
        <w:t>intérêt public.</w:t>
      </w:r>
    </w:p>
    <w:p w14:paraId="605BBB4A" w14:textId="5A59D545" w:rsidR="002C602E" w:rsidRPr="0030064A" w:rsidRDefault="002C602E" w:rsidP="002C602E">
      <w:pPr>
        <w:pStyle w:val="SingleTxt"/>
        <w:numPr>
          <w:ilvl w:val="0"/>
          <w:numId w:val="19"/>
        </w:numPr>
        <w:spacing w:line="240" w:lineRule="exact"/>
        <w:ind w:left="1267"/>
        <w:rPr>
          <w:lang w:val="fr-FR"/>
        </w:rPr>
      </w:pPr>
      <w:r>
        <w:rPr>
          <w:lang w:val="fr-FR"/>
        </w:rPr>
        <w:t>La Commission a élaboré six rapports périodiques à ce jour (juillet 2016, septembre 2016, septembre 2017, décembre 2018, mars 2019 et janvier 2020), qui ont tous été publiés. Ces rapports étaient axés sur le processus d</w:t>
      </w:r>
      <w:r w:rsidR="00462A51">
        <w:rPr>
          <w:lang w:val="fr-FR"/>
        </w:rPr>
        <w:t>’</w:t>
      </w:r>
      <w:r>
        <w:rPr>
          <w:lang w:val="fr-FR"/>
        </w:rPr>
        <w:t>enquête, la compilation et l</w:t>
      </w:r>
      <w:r w:rsidR="00462A51">
        <w:rPr>
          <w:lang w:val="fr-FR"/>
        </w:rPr>
        <w:t>’</w:t>
      </w:r>
      <w:r>
        <w:rPr>
          <w:lang w:val="fr-FR"/>
        </w:rPr>
        <w:t>analyse de documents et les préoccupations spécifiques concernant l</w:t>
      </w:r>
      <w:r w:rsidR="00462A51">
        <w:rPr>
          <w:lang w:val="fr-FR"/>
        </w:rPr>
        <w:t>’</w:t>
      </w:r>
      <w:r>
        <w:rPr>
          <w:lang w:val="fr-FR"/>
        </w:rPr>
        <w:t>ampleur de la tâche et le dialogue avec les témoins. En février 2020, le Gouvernement a accédé à une demande de la Commission visant à prolonger le délai de remise de son rapport final jusqu</w:t>
      </w:r>
      <w:r w:rsidR="00462A51">
        <w:rPr>
          <w:lang w:val="fr-FR"/>
        </w:rPr>
        <w:t>’</w:t>
      </w:r>
      <w:r>
        <w:rPr>
          <w:lang w:val="fr-FR"/>
        </w:rPr>
        <w:t>en juin 2020.</w:t>
      </w:r>
    </w:p>
    <w:p w14:paraId="3A2CF97F" w14:textId="422543AE" w:rsidR="002C602E" w:rsidRPr="0030064A" w:rsidRDefault="002C602E" w:rsidP="002C602E">
      <w:pPr>
        <w:pStyle w:val="SingleTxt"/>
        <w:numPr>
          <w:ilvl w:val="0"/>
          <w:numId w:val="20"/>
        </w:numPr>
        <w:spacing w:line="240" w:lineRule="exact"/>
        <w:ind w:left="1267"/>
        <w:rPr>
          <w:lang w:val="fr-FR"/>
        </w:rPr>
      </w:pPr>
      <w:r>
        <w:rPr>
          <w:lang w:val="fr-FR"/>
        </w:rPr>
        <w:t>Par ailleurs, en mars 2017, la Commission a publié une déclaration confirmant la présence de restes humains dans des chambres souterraines situées sur le site de l</w:t>
      </w:r>
      <w:r w:rsidR="00462A51">
        <w:rPr>
          <w:lang w:val="fr-FR"/>
        </w:rPr>
        <w:t>’</w:t>
      </w:r>
      <w:r>
        <w:rPr>
          <w:lang w:val="fr-FR"/>
        </w:rPr>
        <w:t>ancien foyer pour mères et bébés, à Tuam (comté de Galway). Le Gouvernement a demandé des conseils techniques, juridiques et en matière de droits de l</w:t>
      </w:r>
      <w:r w:rsidR="00462A51">
        <w:rPr>
          <w:lang w:val="fr-FR"/>
        </w:rPr>
        <w:t>’</w:t>
      </w:r>
      <w:r>
        <w:rPr>
          <w:lang w:val="fr-FR"/>
        </w:rPr>
        <w:t>homme sur la meilleure façon de faire face à cette découverte. En octobre 2018, il a décidé de mener un programme échelonné de fouilles, d</w:t>
      </w:r>
      <w:r w:rsidR="00462A51">
        <w:rPr>
          <w:lang w:val="fr-FR"/>
        </w:rPr>
        <w:t>’</w:t>
      </w:r>
      <w:r>
        <w:rPr>
          <w:lang w:val="fr-FR"/>
        </w:rPr>
        <w:t>exhumation et d</w:t>
      </w:r>
      <w:r w:rsidR="00462A51">
        <w:rPr>
          <w:lang w:val="fr-FR"/>
        </w:rPr>
        <w:t>’</w:t>
      </w:r>
      <w:r>
        <w:rPr>
          <w:lang w:val="fr-FR"/>
        </w:rPr>
        <w:t>identification à Tuam. Une nouvelle législation est actuellement en cours d</w:t>
      </w:r>
      <w:r w:rsidR="00462A51">
        <w:rPr>
          <w:lang w:val="fr-FR"/>
        </w:rPr>
        <w:t>’</w:t>
      </w:r>
      <w:r>
        <w:rPr>
          <w:lang w:val="fr-FR"/>
        </w:rPr>
        <w:t>élaboration pour faciliter cette entreprise.</w:t>
      </w:r>
    </w:p>
    <w:p w14:paraId="6A6C6163" w14:textId="267C2C3F" w:rsidR="002C602E" w:rsidRPr="0030064A" w:rsidRDefault="002C602E" w:rsidP="002C602E">
      <w:pPr>
        <w:pStyle w:val="SingleTxt"/>
        <w:numPr>
          <w:ilvl w:val="0"/>
          <w:numId w:val="20"/>
        </w:numPr>
        <w:spacing w:line="240" w:lineRule="exact"/>
        <w:ind w:left="1267"/>
        <w:rPr>
          <w:lang w:val="fr-FR"/>
        </w:rPr>
      </w:pPr>
      <w:r>
        <w:rPr>
          <w:lang w:val="fr-FR"/>
        </w:rPr>
        <w:t>Cette enquête est d</w:t>
      </w:r>
      <w:r w:rsidR="00462A51">
        <w:rPr>
          <w:lang w:val="fr-FR"/>
        </w:rPr>
        <w:t>’</w:t>
      </w:r>
      <w:r>
        <w:rPr>
          <w:lang w:val="fr-FR"/>
        </w:rPr>
        <w:t>une importance capitale pour l</w:t>
      </w:r>
      <w:r w:rsidR="00462A51">
        <w:rPr>
          <w:lang w:val="fr-FR"/>
        </w:rPr>
        <w:t>’</w:t>
      </w:r>
      <w:r>
        <w:rPr>
          <w:lang w:val="fr-FR"/>
        </w:rPr>
        <w:t>Irlande, en ce qu</w:t>
      </w:r>
      <w:r w:rsidR="00462A51">
        <w:rPr>
          <w:lang w:val="fr-FR"/>
        </w:rPr>
        <w:t>’</w:t>
      </w:r>
      <w:r>
        <w:rPr>
          <w:lang w:val="fr-FR"/>
        </w:rPr>
        <w:t>elle lui permettra de faire face à sa propre histoire. Elle permettra également de déterminer comment la société irlandaise a traité les femmes célibataires et leurs enfants à un moment où elles avaient le plus besoin de soutien et d</w:t>
      </w:r>
      <w:r w:rsidR="00462A51">
        <w:rPr>
          <w:lang w:val="fr-FR"/>
        </w:rPr>
        <w:t>’</w:t>
      </w:r>
      <w:r>
        <w:rPr>
          <w:lang w:val="fr-FR"/>
        </w:rPr>
        <w:t>assistance.</w:t>
      </w:r>
    </w:p>
    <w:p w14:paraId="5AE11484" w14:textId="77777777" w:rsidR="002C602E" w:rsidRPr="0030064A" w:rsidRDefault="002C602E" w:rsidP="002C602E">
      <w:pPr>
        <w:pStyle w:val="SingleTxt"/>
        <w:spacing w:after="0" w:line="120" w:lineRule="exact"/>
        <w:rPr>
          <w:sz w:val="10"/>
          <w:lang w:val="fr-FR"/>
        </w:rPr>
      </w:pPr>
    </w:p>
    <w:p w14:paraId="07DCE7F8" w14:textId="77777777" w:rsidR="002C602E" w:rsidRPr="0030064A" w:rsidRDefault="002C602E" w:rsidP="002C6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Symphysiotomie</w:t>
      </w:r>
    </w:p>
    <w:p w14:paraId="40BBCAAB" w14:textId="77777777" w:rsidR="002C602E" w:rsidRPr="0030064A" w:rsidRDefault="002C602E" w:rsidP="002C602E">
      <w:pPr>
        <w:pStyle w:val="SingleTxt"/>
        <w:spacing w:after="0" w:line="120" w:lineRule="exact"/>
        <w:rPr>
          <w:sz w:val="10"/>
          <w:lang w:val="fr-FR"/>
        </w:rPr>
      </w:pPr>
    </w:p>
    <w:p w14:paraId="7F5AD716" w14:textId="376A0168" w:rsidR="002C602E" w:rsidRPr="0030064A" w:rsidRDefault="002C602E" w:rsidP="002C602E">
      <w:pPr>
        <w:pStyle w:val="SingleTxt"/>
        <w:numPr>
          <w:ilvl w:val="0"/>
          <w:numId w:val="20"/>
        </w:numPr>
        <w:spacing w:line="240" w:lineRule="exact"/>
        <w:ind w:left="1267"/>
        <w:rPr>
          <w:lang w:val="fr-FR"/>
        </w:rPr>
      </w:pPr>
      <w:r>
        <w:rPr>
          <w:lang w:val="fr-FR"/>
        </w:rPr>
        <w:t>L</w:t>
      </w:r>
      <w:r w:rsidR="00462A51">
        <w:rPr>
          <w:lang w:val="fr-FR"/>
        </w:rPr>
        <w:t>’</w:t>
      </w:r>
      <w:r>
        <w:rPr>
          <w:lang w:val="fr-FR"/>
        </w:rPr>
        <w:t>État est très sensible aux observations finales et aux recommandations du Comité relatives à la symphysiotomie, dont les recherches montrent qu</w:t>
      </w:r>
      <w:r w:rsidR="00462A51">
        <w:rPr>
          <w:lang w:val="fr-FR"/>
        </w:rPr>
        <w:t>’</w:t>
      </w:r>
      <w:r>
        <w:rPr>
          <w:lang w:val="fr-FR"/>
        </w:rPr>
        <w:t>elle est encore utilisée dans la pratique obstétrique dans certaines circonstances bien précises. L</w:t>
      </w:r>
      <w:r w:rsidR="00462A51">
        <w:rPr>
          <w:lang w:val="fr-FR"/>
        </w:rPr>
        <w:t>’</w:t>
      </w:r>
      <w:r>
        <w:rPr>
          <w:lang w:val="fr-FR"/>
        </w:rPr>
        <w:t>Irlande a mené trois enquêtes indépendantes et a accordé des dommages-intérêts aux femmes qui ont subi une symphysiotomie.</w:t>
      </w:r>
    </w:p>
    <w:p w14:paraId="5AFA6672" w14:textId="1190C68F" w:rsidR="002C602E" w:rsidRPr="0030064A" w:rsidRDefault="002C602E" w:rsidP="002C602E">
      <w:pPr>
        <w:pStyle w:val="SingleTxt"/>
        <w:numPr>
          <w:ilvl w:val="0"/>
          <w:numId w:val="20"/>
        </w:numPr>
        <w:spacing w:line="240" w:lineRule="exact"/>
        <w:ind w:left="1267"/>
        <w:rPr>
          <w:lang w:val="fr-FR"/>
        </w:rPr>
      </w:pPr>
      <w:r>
        <w:rPr>
          <w:lang w:val="fr-FR"/>
        </w:rPr>
        <w:t>Dans son rapport, établi à l</w:t>
      </w:r>
      <w:r w:rsidR="00462A51">
        <w:rPr>
          <w:lang w:val="fr-FR"/>
        </w:rPr>
        <w:t>’</w:t>
      </w:r>
      <w:r>
        <w:rPr>
          <w:lang w:val="fr-FR"/>
        </w:rPr>
        <w:t>issue de la première enquête indépendante, le professeur Oonagh Walsh</w:t>
      </w:r>
      <w:r w:rsidRPr="002C602E">
        <w:rPr>
          <w:rStyle w:val="FootnoteReference"/>
          <w:lang w:val="fr-FR"/>
        </w:rPr>
        <w:footnoteReference w:id="6"/>
      </w:r>
      <w:r>
        <w:rPr>
          <w:lang w:val="fr-FR"/>
        </w:rPr>
        <w:t>, historienne spécialisée dans le domaine médico-social, a recommandé la mise en place d</w:t>
      </w:r>
      <w:r w:rsidR="00462A51">
        <w:rPr>
          <w:lang w:val="fr-FR"/>
        </w:rPr>
        <w:t>’</w:t>
      </w:r>
      <w:r>
        <w:rPr>
          <w:lang w:val="fr-FR"/>
        </w:rPr>
        <w:t>un mécanisme de compensation des femmes. En 2013, le Gouvernement a chargé la juge Yvonne Murphy d</w:t>
      </w:r>
      <w:r w:rsidR="00462A51">
        <w:rPr>
          <w:lang w:val="fr-FR"/>
        </w:rPr>
        <w:t>’</w:t>
      </w:r>
      <w:r>
        <w:rPr>
          <w:lang w:val="fr-FR"/>
        </w:rPr>
        <w:t>entreprendre un nouvel examen indépendant des aspects juridiques de la symphysiotomie en Irlande. La juge Murphy a conseillé le Gouvernement sur le bien-fondé et les coûts de la mise en place d</w:t>
      </w:r>
      <w:r w:rsidR="00462A51">
        <w:rPr>
          <w:lang w:val="fr-FR"/>
        </w:rPr>
        <w:t>’</w:t>
      </w:r>
      <w:r>
        <w:rPr>
          <w:lang w:val="fr-FR"/>
        </w:rPr>
        <w:t>un mécanisme de compensation à titre gracieux, préférable à l</w:t>
      </w:r>
      <w:r w:rsidR="00462A51">
        <w:rPr>
          <w:lang w:val="fr-FR"/>
        </w:rPr>
        <w:t>’</w:t>
      </w:r>
      <w:r>
        <w:rPr>
          <w:lang w:val="fr-FR"/>
        </w:rPr>
        <w:t>absence d</w:t>
      </w:r>
      <w:r w:rsidR="00462A51">
        <w:rPr>
          <w:lang w:val="fr-FR"/>
        </w:rPr>
        <w:t>’</w:t>
      </w:r>
      <w:r>
        <w:rPr>
          <w:lang w:val="fr-FR"/>
        </w:rPr>
        <w:t>action ou au lancement de procédures judiciaires devant les tribunaux.</w:t>
      </w:r>
    </w:p>
    <w:p w14:paraId="5338FC34" w14:textId="459F3D0E" w:rsidR="002C602E" w:rsidRPr="0030064A" w:rsidRDefault="002C602E" w:rsidP="002C602E">
      <w:pPr>
        <w:pStyle w:val="SingleTxt"/>
        <w:numPr>
          <w:ilvl w:val="0"/>
          <w:numId w:val="20"/>
        </w:numPr>
        <w:spacing w:line="240" w:lineRule="exact"/>
        <w:ind w:left="1267"/>
        <w:rPr>
          <w:lang w:val="fr-FR"/>
        </w:rPr>
      </w:pPr>
      <w:r>
        <w:rPr>
          <w:lang w:val="fr-FR"/>
        </w:rPr>
        <w:t>Le troisième rapport a été rédigé par la juge Maureen Harding Clark, évaluatrice indépendante du mécanisme de compensation des victimes de symphysiotomie</w:t>
      </w:r>
      <w:r w:rsidRPr="002C602E">
        <w:rPr>
          <w:rStyle w:val="FootnoteReference"/>
          <w:lang w:val="fr-FR"/>
        </w:rPr>
        <w:footnoteReference w:id="7"/>
      </w:r>
      <w:r>
        <w:rPr>
          <w:lang w:val="fr-FR"/>
        </w:rPr>
        <w:t>. La juge Clark a fourni son rapport en tant qu</w:t>
      </w:r>
      <w:r w:rsidR="00462A51">
        <w:rPr>
          <w:lang w:val="fr-FR"/>
        </w:rPr>
        <w:t>’</w:t>
      </w:r>
      <w:r>
        <w:rPr>
          <w:lang w:val="fr-FR"/>
        </w:rPr>
        <w:t>évaluatrice du mécanisme de compensation, lequel contient également son rapport indépendant sur la question de la symphysiotomie. Celui-ci est accompagné d</w:t>
      </w:r>
      <w:r w:rsidR="00462A51">
        <w:rPr>
          <w:lang w:val="fr-FR"/>
        </w:rPr>
        <w:t>’</w:t>
      </w:r>
      <w:r>
        <w:rPr>
          <w:lang w:val="fr-FR"/>
        </w:rPr>
        <w:t>annexes contenant des informations historiques tirées de rapports d</w:t>
      </w:r>
      <w:r w:rsidR="00462A51">
        <w:rPr>
          <w:lang w:val="fr-FR"/>
        </w:rPr>
        <w:t>’</w:t>
      </w:r>
      <w:r>
        <w:rPr>
          <w:lang w:val="fr-FR"/>
        </w:rPr>
        <w:t>hôpitaux établis au moment où les symphysiotomies ont été pratiquées, lesquels portaient sur les rares affections médicales justifiant de telles interventions, ainsi que d</w:t>
      </w:r>
      <w:r w:rsidR="00462A51">
        <w:rPr>
          <w:lang w:val="fr-FR"/>
        </w:rPr>
        <w:t>’</w:t>
      </w:r>
      <w:r>
        <w:rPr>
          <w:lang w:val="fr-FR"/>
        </w:rPr>
        <w:t>une annexe contenant des détails sur le diagnostic par imagerie et les preuves cliniques étayant les conclusions de l</w:t>
      </w:r>
      <w:r w:rsidR="00462A51">
        <w:rPr>
          <w:lang w:val="fr-FR"/>
        </w:rPr>
        <w:t>’</w:t>
      </w:r>
      <w:r>
        <w:rPr>
          <w:lang w:val="fr-FR"/>
        </w:rPr>
        <w:t>évaluatrice et de son équipe clinique.</w:t>
      </w:r>
    </w:p>
    <w:p w14:paraId="4C303A18" w14:textId="55EA5BFF" w:rsidR="002C602E" w:rsidRPr="0030064A" w:rsidRDefault="002C602E" w:rsidP="002C602E">
      <w:pPr>
        <w:pStyle w:val="SingleTxt"/>
        <w:numPr>
          <w:ilvl w:val="0"/>
          <w:numId w:val="20"/>
        </w:numPr>
        <w:spacing w:line="240" w:lineRule="exact"/>
        <w:ind w:left="1267"/>
        <w:rPr>
          <w:lang w:val="fr-FR"/>
        </w:rPr>
      </w:pPr>
      <w:r>
        <w:rPr>
          <w:lang w:val="fr-FR"/>
        </w:rPr>
        <w:t>L</w:t>
      </w:r>
      <w:r w:rsidR="00462A51">
        <w:rPr>
          <w:lang w:val="fr-FR"/>
        </w:rPr>
        <w:t>’</w:t>
      </w:r>
      <w:r>
        <w:rPr>
          <w:lang w:val="fr-FR"/>
        </w:rPr>
        <w:t>État demande instamment aux membres du Comité d</w:t>
      </w:r>
      <w:r w:rsidR="00462A51">
        <w:rPr>
          <w:lang w:val="fr-FR"/>
        </w:rPr>
        <w:t>’</w:t>
      </w:r>
      <w:r>
        <w:rPr>
          <w:lang w:val="fr-FR"/>
        </w:rPr>
        <w:t>examiner le rapport de la juge Clarke et les preuves fournies par cette dernière et ses experts cliniques sur l</w:t>
      </w:r>
      <w:r w:rsidR="00462A51">
        <w:rPr>
          <w:lang w:val="fr-FR"/>
        </w:rPr>
        <w:t>’</w:t>
      </w:r>
      <w:r>
        <w:rPr>
          <w:lang w:val="fr-FR"/>
        </w:rPr>
        <w:t>expérience des femmes ayant subi une symphysiotomie.</w:t>
      </w:r>
    </w:p>
    <w:p w14:paraId="71319770" w14:textId="77777777" w:rsidR="002C602E" w:rsidRPr="0030064A" w:rsidRDefault="002C602E" w:rsidP="002C602E">
      <w:pPr>
        <w:pStyle w:val="SingleTxt"/>
        <w:spacing w:after="0" w:line="120" w:lineRule="exact"/>
        <w:rPr>
          <w:sz w:val="10"/>
          <w:lang w:val="fr-FR"/>
        </w:rPr>
      </w:pPr>
    </w:p>
    <w:p w14:paraId="168B9309" w14:textId="72CBBF81" w:rsidR="002C602E" w:rsidRPr="0030064A" w:rsidRDefault="002C602E" w:rsidP="002C602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Sanctions à l</w:t>
      </w:r>
      <w:r w:rsidR="00462A51">
        <w:rPr>
          <w:lang w:val="fr-FR"/>
        </w:rPr>
        <w:t>’</w:t>
      </w:r>
      <w:r>
        <w:rPr>
          <w:lang w:val="fr-FR"/>
        </w:rPr>
        <w:t>encontre des responsables</w:t>
      </w:r>
    </w:p>
    <w:p w14:paraId="039470C1" w14:textId="77777777" w:rsidR="002C602E" w:rsidRPr="0030064A" w:rsidRDefault="002C602E" w:rsidP="002C602E">
      <w:pPr>
        <w:pStyle w:val="SingleTxt"/>
        <w:spacing w:after="0" w:line="120" w:lineRule="exact"/>
        <w:rPr>
          <w:sz w:val="10"/>
          <w:lang w:val="fr-FR"/>
        </w:rPr>
      </w:pPr>
    </w:p>
    <w:p w14:paraId="70B63D3B" w14:textId="64E6BDBB" w:rsidR="002C602E" w:rsidRPr="0030064A" w:rsidRDefault="002C602E" w:rsidP="002C602E">
      <w:pPr>
        <w:pStyle w:val="SingleTxt"/>
        <w:numPr>
          <w:ilvl w:val="0"/>
          <w:numId w:val="20"/>
        </w:numPr>
        <w:spacing w:line="240" w:lineRule="exact"/>
        <w:ind w:left="1267"/>
        <w:rPr>
          <w:lang w:val="fr-FR"/>
        </w:rPr>
      </w:pPr>
      <w:r>
        <w:rPr>
          <w:lang w:val="fr-FR"/>
        </w:rPr>
        <w:t>La juge Clark a analysé tous les éléments de preuves disponibles sur la question, tant en Irlande qu</w:t>
      </w:r>
      <w:r w:rsidR="00462A51">
        <w:rPr>
          <w:lang w:val="fr-FR"/>
        </w:rPr>
        <w:t>’</w:t>
      </w:r>
      <w:r>
        <w:rPr>
          <w:lang w:val="fr-FR"/>
        </w:rPr>
        <w:t>au niveau international. Veuillez vous reporter à la section 18 du rapport où le juge aborde la question spécifique suivante</w:t>
      </w:r>
      <w:r w:rsidR="00462A51">
        <w:rPr>
          <w:lang w:val="fr-FR"/>
        </w:rPr>
        <w:t> :</w:t>
      </w:r>
      <w:r>
        <w:rPr>
          <w:lang w:val="fr-FR"/>
        </w:rPr>
        <w:t xml:space="preserve"> «</w:t>
      </w:r>
      <w:r>
        <w:rPr>
          <w:lang w:val="fr-FR"/>
        </w:rPr>
        <w:t> </w:t>
      </w:r>
      <w:r>
        <w:rPr>
          <w:lang w:val="fr-FR"/>
        </w:rPr>
        <w:t>La symphysiotomie était-elle un acte de torture délibéré ?</w:t>
      </w:r>
      <w:r>
        <w:rPr>
          <w:lang w:val="fr-FR"/>
        </w:rPr>
        <w:t> </w:t>
      </w:r>
      <w:r>
        <w:rPr>
          <w:lang w:val="fr-FR"/>
        </w:rPr>
        <w:t>».</w:t>
      </w:r>
    </w:p>
    <w:p w14:paraId="1A57E537" w14:textId="17024864" w:rsidR="002C602E" w:rsidRPr="0030064A" w:rsidRDefault="002C602E" w:rsidP="002C602E">
      <w:pPr>
        <w:pStyle w:val="SingleTxt"/>
        <w:numPr>
          <w:ilvl w:val="0"/>
          <w:numId w:val="20"/>
        </w:numPr>
        <w:spacing w:line="240" w:lineRule="exact"/>
        <w:ind w:left="1267"/>
        <w:rPr>
          <w:lang w:val="fr-FR"/>
        </w:rPr>
      </w:pPr>
      <w:r>
        <w:rPr>
          <w:lang w:val="fr-FR"/>
        </w:rPr>
        <w:t>La juge a estimé que ni les dossiers des demandeuses souhaitant bénéficier du mécanisme, ni les comptes rendus figurant dans les rapports cliniques émanant des principales maternités et établis à l</w:t>
      </w:r>
      <w:r w:rsidR="00462A51">
        <w:rPr>
          <w:lang w:val="fr-FR"/>
        </w:rPr>
        <w:t>’</w:t>
      </w:r>
      <w:r>
        <w:rPr>
          <w:lang w:val="fr-FR"/>
        </w:rPr>
        <w:t>époque où les symphysiotomies étaient pratiquées n</w:t>
      </w:r>
      <w:r w:rsidR="00462A51">
        <w:rPr>
          <w:lang w:val="fr-FR"/>
        </w:rPr>
        <w:t>’</w:t>
      </w:r>
      <w:r>
        <w:rPr>
          <w:lang w:val="fr-FR"/>
        </w:rPr>
        <w:t>ont permis de corroborer la thèse selon laquelle la symphysiotomie était autre chose qu</w:t>
      </w:r>
      <w:r w:rsidR="00462A51">
        <w:rPr>
          <w:lang w:val="fr-FR"/>
        </w:rPr>
        <w:t>’</w:t>
      </w:r>
      <w:r>
        <w:rPr>
          <w:lang w:val="fr-FR"/>
        </w:rPr>
        <w:t>une tentative d</w:t>
      </w:r>
      <w:r w:rsidR="00462A51">
        <w:rPr>
          <w:lang w:val="fr-FR"/>
        </w:rPr>
        <w:t>’</w:t>
      </w:r>
      <w:r>
        <w:rPr>
          <w:lang w:val="fr-FR"/>
        </w:rPr>
        <w:t>amélioration des pronostics pour la mère et le fœtus. Elle a déclaré que «</w:t>
      </w:r>
      <w:r w:rsidR="00B97AFE">
        <w:rPr>
          <w:lang w:val="fr-FR"/>
        </w:rPr>
        <w:t> </w:t>
      </w:r>
      <w:r>
        <w:rPr>
          <w:lang w:val="fr-FR"/>
        </w:rPr>
        <w:t>le but premier de cette procédure était d</w:t>
      </w:r>
      <w:r w:rsidR="00462A51">
        <w:rPr>
          <w:lang w:val="fr-FR"/>
        </w:rPr>
        <w:t>’</w:t>
      </w:r>
      <w:r>
        <w:rPr>
          <w:lang w:val="fr-FR"/>
        </w:rPr>
        <w:t>éviter une césarienne en agrandissant de façon permanente un bassin particulièrement étroit. Les femmes mariées étaient censées avoir plusieurs enfants puisque les familles de l</w:t>
      </w:r>
      <w:r w:rsidR="00462A51">
        <w:rPr>
          <w:lang w:val="fr-FR"/>
        </w:rPr>
        <w:t>’</w:t>
      </w:r>
      <w:r>
        <w:rPr>
          <w:lang w:val="fr-FR"/>
        </w:rPr>
        <w:t>époque étaient nombreuses au regard des normes actuelles. Il était normal d</w:t>
      </w:r>
      <w:r w:rsidR="00462A51">
        <w:rPr>
          <w:lang w:val="fr-FR"/>
        </w:rPr>
        <w:t>’</w:t>
      </w:r>
      <w:r>
        <w:rPr>
          <w:lang w:val="fr-FR"/>
        </w:rPr>
        <w:t>avoir 5 enfants ou plus et l</w:t>
      </w:r>
      <w:r w:rsidR="00462A51">
        <w:rPr>
          <w:lang w:val="fr-FR"/>
        </w:rPr>
        <w:t>’</w:t>
      </w:r>
      <w:r>
        <w:rPr>
          <w:lang w:val="fr-FR"/>
        </w:rPr>
        <w:t>école de Dublin était célèbre pour ses accouchements fréquents de femmes considérées des multipares. Il n</w:t>
      </w:r>
      <w:r w:rsidR="00462A51">
        <w:rPr>
          <w:lang w:val="fr-FR"/>
        </w:rPr>
        <w:t>’</w:t>
      </w:r>
      <w:r>
        <w:rPr>
          <w:lang w:val="fr-FR"/>
        </w:rPr>
        <w:t>existait aucune preuve d</w:t>
      </w:r>
      <w:r w:rsidR="00462A51">
        <w:rPr>
          <w:lang w:val="fr-FR"/>
        </w:rPr>
        <w:t>’</w:t>
      </w:r>
      <w:r>
        <w:rPr>
          <w:lang w:val="fr-FR"/>
        </w:rPr>
        <w:t>aucune sorte permettant de suspecter une intention d</w:t>
      </w:r>
      <w:r w:rsidR="00462A51">
        <w:rPr>
          <w:lang w:val="fr-FR"/>
        </w:rPr>
        <w:t>’</w:t>
      </w:r>
      <w:r>
        <w:rPr>
          <w:lang w:val="fr-FR"/>
        </w:rPr>
        <w:t>infliger des souffrances. La philosophie qui prévalait dans les maternités de Dublin était clairement conservatrice en ce qui concerne les césariennes et réprouvait la stérilisation</w:t>
      </w:r>
      <w:r w:rsidR="00B97AFE">
        <w:rPr>
          <w:lang w:val="fr-FR"/>
        </w:rPr>
        <w:t> </w:t>
      </w:r>
      <w:r>
        <w:rPr>
          <w:lang w:val="fr-FR"/>
        </w:rPr>
        <w:t>». La plupart des demandeuses ont eu au moins quatre accouchements normaux après la symphysiotomie.</w:t>
      </w:r>
    </w:p>
    <w:p w14:paraId="39012E4C" w14:textId="18280BEC" w:rsidR="002C602E" w:rsidRPr="0030064A" w:rsidRDefault="002C602E" w:rsidP="00B97AFE">
      <w:pPr>
        <w:pStyle w:val="SingleTxt"/>
        <w:numPr>
          <w:ilvl w:val="0"/>
          <w:numId w:val="20"/>
        </w:numPr>
        <w:spacing w:line="240" w:lineRule="exact"/>
        <w:ind w:left="1267"/>
        <w:rPr>
          <w:lang w:val="fr-FR"/>
        </w:rPr>
      </w:pPr>
      <w:r>
        <w:rPr>
          <w:lang w:val="fr-FR"/>
        </w:rPr>
        <w:t>La juge Clark a examiné les pratiques internationales actuelles en matière d</w:t>
      </w:r>
      <w:r w:rsidR="00462A51">
        <w:rPr>
          <w:lang w:val="fr-FR"/>
        </w:rPr>
        <w:t>’</w:t>
      </w:r>
      <w:r>
        <w:rPr>
          <w:lang w:val="fr-FR"/>
        </w:rPr>
        <w:t>enseignement et de formation médicale. Selon des études irlandaises et internationales, la symphysiotomie n</w:t>
      </w:r>
      <w:r w:rsidR="00462A51">
        <w:rPr>
          <w:lang w:val="fr-FR"/>
        </w:rPr>
        <w:t>’</w:t>
      </w:r>
      <w:r>
        <w:rPr>
          <w:lang w:val="fr-FR"/>
        </w:rPr>
        <w:t>est pas une procédure interdite, mais elle est pratiquée en obstétrique dans certaines circonstances particulières. Compte tenu des recherches et des éléments de preuve ayant été rassemblés, y compris les textes universitaires et l</w:t>
      </w:r>
      <w:r w:rsidR="00462A51">
        <w:rPr>
          <w:lang w:val="fr-FR"/>
        </w:rPr>
        <w:t>’</w:t>
      </w:r>
      <w:r>
        <w:rPr>
          <w:lang w:val="fr-FR"/>
        </w:rPr>
        <w:t>affaire de la Haute Cour de 2015 mentionnée ci-après, on ne peut admettre que les obstétriciens étaient à l</w:t>
      </w:r>
      <w:r w:rsidR="00462A51">
        <w:rPr>
          <w:lang w:val="fr-FR"/>
        </w:rPr>
        <w:t>’</w:t>
      </w:r>
      <w:r>
        <w:rPr>
          <w:lang w:val="fr-FR"/>
        </w:rPr>
        <w:t>époque des criminels qui devraient désormais être sanctionnés.</w:t>
      </w:r>
    </w:p>
    <w:p w14:paraId="7D59DFBD" w14:textId="77777777" w:rsidR="002C602E" w:rsidRPr="0030064A" w:rsidRDefault="002C602E" w:rsidP="002C602E">
      <w:pPr>
        <w:pStyle w:val="SingleTxt"/>
        <w:spacing w:after="0" w:line="120" w:lineRule="exact"/>
        <w:rPr>
          <w:sz w:val="10"/>
          <w:lang w:val="fr-FR"/>
        </w:rPr>
      </w:pPr>
    </w:p>
    <w:p w14:paraId="7BE95675" w14:textId="5CC8A075" w:rsidR="002C602E" w:rsidRPr="0030064A" w:rsidRDefault="002C602E" w:rsidP="00B97AF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L</w:t>
      </w:r>
      <w:r w:rsidR="00462A51">
        <w:rPr>
          <w:lang w:val="fr-FR"/>
        </w:rPr>
        <w:t>’</w:t>
      </w:r>
      <w:r>
        <w:rPr>
          <w:lang w:val="fr-FR"/>
        </w:rPr>
        <w:t>État a fourni un recours effectif</w:t>
      </w:r>
    </w:p>
    <w:p w14:paraId="41A6CFFF" w14:textId="77777777" w:rsidR="002C602E" w:rsidRPr="0030064A" w:rsidRDefault="002C602E" w:rsidP="002C602E">
      <w:pPr>
        <w:pStyle w:val="SingleTxt"/>
        <w:spacing w:after="0" w:line="120" w:lineRule="exact"/>
        <w:rPr>
          <w:sz w:val="10"/>
          <w:lang w:val="fr-FR"/>
        </w:rPr>
      </w:pPr>
    </w:p>
    <w:p w14:paraId="37864F77" w14:textId="4469DD12" w:rsidR="002C602E" w:rsidRPr="0030064A" w:rsidRDefault="002C602E" w:rsidP="00B97AFE">
      <w:pPr>
        <w:pStyle w:val="SingleTxt"/>
        <w:numPr>
          <w:ilvl w:val="0"/>
          <w:numId w:val="20"/>
        </w:numPr>
        <w:spacing w:line="240" w:lineRule="exact"/>
        <w:ind w:left="1267"/>
        <w:rPr>
          <w:lang w:val="fr-FR"/>
        </w:rPr>
      </w:pPr>
      <w:r>
        <w:rPr>
          <w:lang w:val="fr-FR"/>
        </w:rPr>
        <w:t>L</w:t>
      </w:r>
      <w:r w:rsidR="00462A51">
        <w:rPr>
          <w:lang w:val="fr-FR"/>
        </w:rPr>
        <w:t>’</w:t>
      </w:r>
      <w:r>
        <w:rPr>
          <w:lang w:val="fr-FR"/>
        </w:rPr>
        <w:t>État a créé un mécanisme de compensation des victimes de symphysiotomie, dont l</w:t>
      </w:r>
      <w:r w:rsidR="00462A51">
        <w:rPr>
          <w:lang w:val="fr-FR"/>
        </w:rPr>
        <w:t>’</w:t>
      </w:r>
      <w:r>
        <w:rPr>
          <w:lang w:val="fr-FR"/>
        </w:rPr>
        <w:t>évacuatrice indépendante est une éminente juge de la Haute Cour à la retraite. La juge Harding Clark a précédemment été juge à la Cour pénale internationale et juge ad litem au Tribunal pénal international pour l</w:t>
      </w:r>
      <w:r w:rsidR="00462A51">
        <w:rPr>
          <w:lang w:val="fr-FR"/>
        </w:rPr>
        <w:t>’</w:t>
      </w:r>
      <w:r>
        <w:rPr>
          <w:lang w:val="fr-FR"/>
        </w:rPr>
        <w:t>ex-Yougoslavie.</w:t>
      </w:r>
    </w:p>
    <w:p w14:paraId="36A35C4D" w14:textId="75060DD7" w:rsidR="002C602E" w:rsidRPr="0030064A" w:rsidRDefault="002C602E" w:rsidP="00B97AFE">
      <w:pPr>
        <w:pStyle w:val="SingleTxt"/>
        <w:numPr>
          <w:ilvl w:val="0"/>
          <w:numId w:val="20"/>
        </w:numPr>
        <w:spacing w:line="240" w:lineRule="exact"/>
        <w:ind w:left="1267"/>
        <w:rPr>
          <w:lang w:val="fr-FR"/>
        </w:rPr>
      </w:pPr>
      <w:r>
        <w:rPr>
          <w:lang w:val="fr-FR"/>
        </w:rPr>
        <w:t>Lors de la mise en place du mécanisme de compensation à titre gracieux, l</w:t>
      </w:r>
      <w:r w:rsidR="00462A51">
        <w:rPr>
          <w:lang w:val="fr-FR"/>
        </w:rPr>
        <w:t>’</w:t>
      </w:r>
      <w:r>
        <w:rPr>
          <w:lang w:val="fr-FR"/>
        </w:rPr>
        <w:t>un des principaux objectifs de l</w:t>
      </w:r>
      <w:r w:rsidR="00462A51">
        <w:rPr>
          <w:lang w:val="fr-FR"/>
        </w:rPr>
        <w:t>’</w:t>
      </w:r>
      <w:r>
        <w:rPr>
          <w:lang w:val="fr-FR"/>
        </w:rPr>
        <w:t>État était de s</w:t>
      </w:r>
      <w:r w:rsidR="00462A51">
        <w:rPr>
          <w:lang w:val="fr-FR"/>
        </w:rPr>
        <w:t>’</w:t>
      </w:r>
      <w:r>
        <w:rPr>
          <w:lang w:val="fr-FR"/>
        </w:rPr>
        <w:t>assurer que l</w:t>
      </w:r>
      <w:r w:rsidR="00462A51">
        <w:rPr>
          <w:lang w:val="fr-FR"/>
        </w:rPr>
        <w:t>’</w:t>
      </w:r>
      <w:r>
        <w:rPr>
          <w:lang w:val="fr-FR"/>
        </w:rPr>
        <w:t>engagement de l</w:t>
      </w:r>
      <w:r w:rsidR="00462A51">
        <w:rPr>
          <w:lang w:val="fr-FR"/>
        </w:rPr>
        <w:t>’</w:t>
      </w:r>
      <w:r>
        <w:rPr>
          <w:lang w:val="fr-FR"/>
        </w:rPr>
        <w:t>État auprès des femmes était empreint de sympathie, de compassion et d</w:t>
      </w:r>
      <w:r w:rsidR="00462A51">
        <w:rPr>
          <w:lang w:val="fr-FR"/>
        </w:rPr>
        <w:t>’</w:t>
      </w:r>
      <w:r>
        <w:rPr>
          <w:lang w:val="fr-FR"/>
        </w:rPr>
        <w:t>équité et, en particulier, compte tenu de leur âge, que le stress occasionné était réduit au minimum. De nombreuses femmes ont bénéficié de conseils juridiques et l</w:t>
      </w:r>
      <w:r w:rsidR="00462A51">
        <w:rPr>
          <w:lang w:val="fr-FR"/>
        </w:rPr>
        <w:t>’</w:t>
      </w:r>
      <w:r>
        <w:rPr>
          <w:lang w:val="fr-FR"/>
        </w:rPr>
        <w:t>État leur a facilité la tâche en prenant en charge leurs frais de justice, qui s</w:t>
      </w:r>
      <w:r w:rsidR="00462A51">
        <w:rPr>
          <w:lang w:val="fr-FR"/>
        </w:rPr>
        <w:t>’</w:t>
      </w:r>
      <w:r>
        <w:rPr>
          <w:lang w:val="fr-FR"/>
        </w:rPr>
        <w:t>élevaient au total à environ 2,1 millions d</w:t>
      </w:r>
      <w:r w:rsidR="00462A51">
        <w:rPr>
          <w:lang w:val="fr-FR"/>
        </w:rPr>
        <w:t>’</w:t>
      </w:r>
      <w:r>
        <w:rPr>
          <w:lang w:val="fr-FR"/>
        </w:rPr>
        <w:t>euros.</w:t>
      </w:r>
    </w:p>
    <w:p w14:paraId="3418C82C" w14:textId="3BEA6423" w:rsidR="002C602E" w:rsidRPr="0030064A" w:rsidRDefault="002C602E" w:rsidP="00B97AFE">
      <w:pPr>
        <w:pStyle w:val="SingleTxt"/>
        <w:numPr>
          <w:ilvl w:val="0"/>
          <w:numId w:val="20"/>
        </w:numPr>
        <w:spacing w:line="240" w:lineRule="exact"/>
        <w:ind w:left="1267"/>
        <w:rPr>
          <w:lang w:val="fr-FR"/>
        </w:rPr>
      </w:pPr>
      <w:r>
        <w:rPr>
          <w:lang w:val="fr-FR"/>
        </w:rPr>
        <w:t>La juge Clark a travaillé avec chaque femme ou son représentant légal pour trouver les dossiers médicaux et a rencontré certaines des femmes dans différentes parties du pays, lorsqu</w:t>
      </w:r>
      <w:r w:rsidR="00462A51">
        <w:rPr>
          <w:lang w:val="fr-FR"/>
        </w:rPr>
        <w:t>’</w:t>
      </w:r>
      <w:r>
        <w:rPr>
          <w:lang w:val="fr-FR"/>
        </w:rPr>
        <w:t>elle a estimé que cela était nécessaire.</w:t>
      </w:r>
    </w:p>
    <w:p w14:paraId="35C3FD6D" w14:textId="1F667E22" w:rsidR="002C602E" w:rsidRPr="0030064A" w:rsidRDefault="002C602E" w:rsidP="00B97AFE">
      <w:pPr>
        <w:pStyle w:val="SingleTxt"/>
        <w:numPr>
          <w:ilvl w:val="0"/>
          <w:numId w:val="20"/>
        </w:numPr>
        <w:spacing w:line="240" w:lineRule="exact"/>
        <w:ind w:left="1267"/>
        <w:rPr>
          <w:lang w:val="fr-FR"/>
        </w:rPr>
      </w:pPr>
      <w:r>
        <w:rPr>
          <w:lang w:val="fr-FR"/>
        </w:rPr>
        <w:t>La juge Clark et son équipe d</w:t>
      </w:r>
      <w:r w:rsidR="00462A51">
        <w:rPr>
          <w:lang w:val="fr-FR"/>
        </w:rPr>
        <w:t>’</w:t>
      </w:r>
      <w:r>
        <w:rPr>
          <w:lang w:val="fr-FR"/>
        </w:rPr>
        <w:t>experts cliniques ont passé plusieurs centaines d</w:t>
      </w:r>
      <w:r w:rsidR="00462A51">
        <w:rPr>
          <w:lang w:val="fr-FR"/>
        </w:rPr>
        <w:t>’</w:t>
      </w:r>
      <w:r>
        <w:rPr>
          <w:lang w:val="fr-FR"/>
        </w:rPr>
        <w:t>heures à examiner les dossiers médicaux des demandeuses. Chaque demande a fait l</w:t>
      </w:r>
      <w:r w:rsidR="00462A51">
        <w:rPr>
          <w:lang w:val="fr-FR"/>
        </w:rPr>
        <w:t>’</w:t>
      </w:r>
      <w:r>
        <w:rPr>
          <w:lang w:val="fr-FR"/>
        </w:rPr>
        <w:t>objet d</w:t>
      </w:r>
      <w:r w:rsidR="00462A51">
        <w:rPr>
          <w:lang w:val="fr-FR"/>
        </w:rPr>
        <w:t>’</w:t>
      </w:r>
      <w:r>
        <w:rPr>
          <w:lang w:val="fr-FR"/>
        </w:rPr>
        <w:t>une évaluation individuelle et minutieuse. Des expertises médicales ont été demandées pour expliquer les comptes rendus d</w:t>
      </w:r>
      <w:r w:rsidR="00462A51">
        <w:rPr>
          <w:lang w:val="fr-FR"/>
        </w:rPr>
        <w:t>’</w:t>
      </w:r>
      <w:r>
        <w:rPr>
          <w:lang w:val="fr-FR"/>
        </w:rPr>
        <w:t>accouchement et lorsque les allégations étaient incompatibles avec les faits établis, la demandeuse était examinée par des experts cliniques compétents. Certaines demandeuses ont été examinées par plusieurs experts. Lorsque tous les efforts déployés ne permettaient pas de retrouver les comptes rendus, il fallait rechercher des preuves secondaires de symphysiotomie dans les limites établies par le mécanisme, notamment en recherchant des cicatrices et des preuves radiologiques.</w:t>
      </w:r>
    </w:p>
    <w:p w14:paraId="3ADE1657" w14:textId="6E5D48F9" w:rsidR="002C602E" w:rsidRPr="0030064A" w:rsidRDefault="002C602E" w:rsidP="00B97AFE">
      <w:pPr>
        <w:pStyle w:val="SingleTxt"/>
        <w:numPr>
          <w:ilvl w:val="0"/>
          <w:numId w:val="20"/>
        </w:numPr>
        <w:spacing w:line="240" w:lineRule="exact"/>
        <w:ind w:left="1267"/>
        <w:rPr>
          <w:lang w:val="fr-FR"/>
        </w:rPr>
      </w:pPr>
      <w:r>
        <w:rPr>
          <w:lang w:val="fr-FR"/>
        </w:rPr>
        <w:t>Dans douze requêtes particulièrement complexes, la juge Clark a organisé une conférence de débat entre son équipe médicale et l</w:t>
      </w:r>
      <w:r w:rsidR="00462A51">
        <w:rPr>
          <w:lang w:val="fr-FR"/>
        </w:rPr>
        <w:t>’</w:t>
      </w:r>
      <w:r>
        <w:rPr>
          <w:lang w:val="fr-FR"/>
        </w:rPr>
        <w:t>expert médical de la demandeuse concernée et un consensus a été atteint sur la base des faits médicaux présentés dans chaque cas.</w:t>
      </w:r>
    </w:p>
    <w:p w14:paraId="750BD5FA" w14:textId="77777777" w:rsidR="002C602E" w:rsidRPr="0030064A" w:rsidRDefault="002C602E" w:rsidP="002C602E">
      <w:pPr>
        <w:pStyle w:val="SingleTxt"/>
        <w:spacing w:after="0" w:line="120" w:lineRule="exact"/>
        <w:rPr>
          <w:sz w:val="10"/>
          <w:lang w:val="fr-FR"/>
        </w:rPr>
      </w:pPr>
    </w:p>
    <w:p w14:paraId="621CD7DF" w14:textId="77777777" w:rsidR="002C602E" w:rsidRPr="0030064A" w:rsidRDefault="002C602E" w:rsidP="00B97AF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Accès aux tribunaux</w:t>
      </w:r>
    </w:p>
    <w:p w14:paraId="07927030" w14:textId="77777777" w:rsidR="002C602E" w:rsidRPr="0030064A" w:rsidRDefault="002C602E" w:rsidP="002C602E">
      <w:pPr>
        <w:pStyle w:val="SingleTxt"/>
        <w:spacing w:after="0" w:line="120" w:lineRule="exact"/>
        <w:rPr>
          <w:sz w:val="10"/>
          <w:lang w:val="fr-FR"/>
        </w:rPr>
      </w:pPr>
    </w:p>
    <w:p w14:paraId="17E6A3AD" w14:textId="3237FA92" w:rsidR="002C602E" w:rsidRPr="0030064A" w:rsidRDefault="002C602E" w:rsidP="00B97AFE">
      <w:pPr>
        <w:pStyle w:val="SingleTxt"/>
        <w:numPr>
          <w:ilvl w:val="0"/>
          <w:numId w:val="20"/>
        </w:numPr>
        <w:spacing w:line="240" w:lineRule="exact"/>
        <w:ind w:left="1267"/>
        <w:rPr>
          <w:lang w:val="fr-FR"/>
        </w:rPr>
      </w:pPr>
      <w:r>
        <w:rPr>
          <w:lang w:val="fr-FR"/>
        </w:rPr>
        <w:t>La mise en place du mécanisme de compensation à titre gracieux n</w:t>
      </w:r>
      <w:r w:rsidR="00462A51">
        <w:rPr>
          <w:lang w:val="fr-FR"/>
        </w:rPr>
        <w:t>’</w:t>
      </w:r>
      <w:r>
        <w:rPr>
          <w:lang w:val="fr-FR"/>
        </w:rPr>
        <w:t>a pas obligé ni contraint les femmes à renoncer à leur droit d</w:t>
      </w:r>
      <w:r w:rsidR="00462A51">
        <w:rPr>
          <w:lang w:val="fr-FR"/>
        </w:rPr>
        <w:t>’</w:t>
      </w:r>
      <w:r>
        <w:rPr>
          <w:lang w:val="fr-FR"/>
        </w:rPr>
        <w:t>engager une action en justice. En 2015, la Haute Cour a entendu le cas d</w:t>
      </w:r>
      <w:r w:rsidR="00462A51">
        <w:rPr>
          <w:lang w:val="fr-FR"/>
        </w:rPr>
        <w:t>’</w:t>
      </w:r>
      <w:r>
        <w:rPr>
          <w:lang w:val="fr-FR"/>
        </w:rPr>
        <w:t>une femme qui avait subi une symphysiotomie 12 jours avant la naissance de son bébé, en 1963. Après avoir examiné l</w:t>
      </w:r>
      <w:r w:rsidR="00462A51">
        <w:rPr>
          <w:lang w:val="fr-FR"/>
        </w:rPr>
        <w:t>’</w:t>
      </w:r>
      <w:r>
        <w:rPr>
          <w:lang w:val="fr-FR"/>
        </w:rPr>
        <w:t>ensemble des preuves, le juge a estimé qu</w:t>
      </w:r>
      <w:r w:rsidR="00462A51">
        <w:rPr>
          <w:lang w:val="fr-FR"/>
        </w:rPr>
        <w:t>’</w:t>
      </w:r>
      <w:r>
        <w:rPr>
          <w:lang w:val="fr-FR"/>
        </w:rPr>
        <w:t>à ce moment-là, la procédure «</w:t>
      </w:r>
      <w:r w:rsidR="00B97AFE">
        <w:rPr>
          <w:lang w:val="fr-FR"/>
        </w:rPr>
        <w:t> </w:t>
      </w:r>
      <w:r>
        <w:rPr>
          <w:lang w:val="fr-FR"/>
        </w:rPr>
        <w:t>n</w:t>
      </w:r>
      <w:r w:rsidR="00462A51">
        <w:rPr>
          <w:lang w:val="fr-FR"/>
        </w:rPr>
        <w:t>’</w:t>
      </w:r>
      <w:r>
        <w:rPr>
          <w:lang w:val="fr-FR"/>
        </w:rPr>
        <w:t>était pas sans fondement ». La décision de la Haute Cour a été confirmée par la Cour d</w:t>
      </w:r>
      <w:r w:rsidR="00462A51">
        <w:rPr>
          <w:lang w:val="fr-FR"/>
        </w:rPr>
        <w:t>’</w:t>
      </w:r>
      <w:r>
        <w:rPr>
          <w:lang w:val="fr-FR"/>
        </w:rPr>
        <w:t>appel et en 2017, trois juges de la Cour suprême ont refusé de se prononcer sur un nouvel appel. Si des dommages-intérêts ont été accordés à trois autres femmes dont les affaires ont été entendues par les tribunaux avant le lancement du mécanisme, l</w:t>
      </w:r>
      <w:r w:rsidR="00462A51">
        <w:rPr>
          <w:lang w:val="fr-FR"/>
        </w:rPr>
        <w:t>’</w:t>
      </w:r>
      <w:r>
        <w:rPr>
          <w:lang w:val="fr-FR"/>
        </w:rPr>
        <w:t>affaire la plus récente montre que chaque affaire portée devant les tribunaux est jugée en fonction de ses propres caractéristiques.</w:t>
      </w:r>
    </w:p>
    <w:p w14:paraId="0621ED35" w14:textId="77777777" w:rsidR="002C602E" w:rsidRPr="0030064A" w:rsidRDefault="002C602E" w:rsidP="002C602E">
      <w:pPr>
        <w:pStyle w:val="SingleTxt"/>
        <w:spacing w:after="0" w:line="120" w:lineRule="exact"/>
        <w:rPr>
          <w:sz w:val="10"/>
          <w:lang w:val="fr-FR"/>
        </w:rPr>
      </w:pPr>
    </w:p>
    <w:p w14:paraId="5E95B70F" w14:textId="77777777" w:rsidR="002C602E" w:rsidRPr="0030064A" w:rsidRDefault="002C602E" w:rsidP="00B97AF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Examen judiciaire et refus des femmes de bénéficier du mécanisme</w:t>
      </w:r>
    </w:p>
    <w:p w14:paraId="309CAC1E" w14:textId="77777777" w:rsidR="002C602E" w:rsidRPr="0030064A" w:rsidRDefault="002C602E" w:rsidP="002C602E">
      <w:pPr>
        <w:pStyle w:val="SingleTxt"/>
        <w:spacing w:after="0" w:line="120" w:lineRule="exact"/>
        <w:rPr>
          <w:sz w:val="10"/>
          <w:lang w:val="fr-FR"/>
        </w:rPr>
      </w:pPr>
    </w:p>
    <w:p w14:paraId="0583C36F" w14:textId="4FD0FC1E" w:rsidR="002C602E" w:rsidRPr="0030064A" w:rsidRDefault="002C602E" w:rsidP="00B97AFE">
      <w:pPr>
        <w:pStyle w:val="SingleTxt"/>
        <w:numPr>
          <w:ilvl w:val="0"/>
          <w:numId w:val="20"/>
        </w:numPr>
        <w:spacing w:line="240" w:lineRule="exact"/>
        <w:ind w:left="1267"/>
        <w:rPr>
          <w:lang w:val="fr-FR"/>
        </w:rPr>
      </w:pPr>
      <w:r>
        <w:rPr>
          <w:lang w:val="fr-FR"/>
        </w:rPr>
        <w:t>La juge Clark a présenté les statistiques concernant toutes les demandeuses souhaitant bénéficier du mécanisme. Comme il s</w:t>
      </w:r>
      <w:r w:rsidR="00462A51">
        <w:rPr>
          <w:lang w:val="fr-FR"/>
        </w:rPr>
        <w:t>’</w:t>
      </w:r>
      <w:r>
        <w:rPr>
          <w:lang w:val="fr-FR"/>
        </w:rPr>
        <w:t>agissait d</w:t>
      </w:r>
      <w:r w:rsidR="00462A51">
        <w:rPr>
          <w:lang w:val="fr-FR"/>
        </w:rPr>
        <w:t>’</w:t>
      </w:r>
      <w:r>
        <w:rPr>
          <w:lang w:val="fr-FR"/>
        </w:rPr>
        <w:t>un mécanisme à titre gracieux et non d</w:t>
      </w:r>
      <w:r w:rsidR="00462A51">
        <w:rPr>
          <w:lang w:val="fr-FR"/>
        </w:rPr>
        <w:t>’</w:t>
      </w:r>
      <w:r>
        <w:rPr>
          <w:lang w:val="fr-FR"/>
        </w:rPr>
        <w:t>une procédure judiciaire, il n</w:t>
      </w:r>
      <w:r w:rsidR="00462A51">
        <w:rPr>
          <w:lang w:val="fr-FR"/>
        </w:rPr>
        <w:t>’</w:t>
      </w:r>
      <w:r>
        <w:rPr>
          <w:lang w:val="fr-FR"/>
        </w:rPr>
        <w:t>y avait aucune possibilité de recours. Toutefois, le mécanisme à titre gracieux offrait aux demandeuses la possibilité d</w:t>
      </w:r>
      <w:r w:rsidR="00462A51">
        <w:rPr>
          <w:lang w:val="fr-FR"/>
        </w:rPr>
        <w:t>’</w:t>
      </w:r>
      <w:r>
        <w:rPr>
          <w:lang w:val="fr-FR"/>
        </w:rPr>
        <w:t>un contrôle judiciaire du mécanisme, mais cette option n</w:t>
      </w:r>
      <w:r w:rsidR="00462A51">
        <w:rPr>
          <w:lang w:val="fr-FR"/>
        </w:rPr>
        <w:t>’</w:t>
      </w:r>
      <w:r>
        <w:rPr>
          <w:lang w:val="fr-FR"/>
        </w:rPr>
        <w:t>a pas été utilisée. Une femme a choisi de ne pas participer au mécanisme après avoir reçu une offre d</w:t>
      </w:r>
      <w:r w:rsidR="00462A51">
        <w:rPr>
          <w:lang w:val="fr-FR"/>
        </w:rPr>
        <w:t>’</w:t>
      </w:r>
      <w:r>
        <w:rPr>
          <w:lang w:val="fr-FR"/>
        </w:rPr>
        <w:t>indemnisation pour faire valoir sa requête devant les tribunaux. À la clôture du mécanisme, on estimait qu</w:t>
      </w:r>
      <w:r w:rsidR="00462A51">
        <w:rPr>
          <w:lang w:val="fr-FR"/>
        </w:rPr>
        <w:t>’</w:t>
      </w:r>
      <w:r>
        <w:rPr>
          <w:lang w:val="fr-FR"/>
        </w:rPr>
        <w:t>environ 33 personnes avaient saisi les tribunaux</w:t>
      </w:r>
    </w:p>
    <w:p w14:paraId="2AED2635" w14:textId="77777777" w:rsidR="002C602E" w:rsidRPr="0030064A" w:rsidRDefault="002C602E" w:rsidP="002C602E">
      <w:pPr>
        <w:pStyle w:val="SingleTxt"/>
        <w:spacing w:after="0" w:line="120" w:lineRule="exact"/>
        <w:rPr>
          <w:sz w:val="10"/>
          <w:lang w:val="fr-FR"/>
        </w:rPr>
      </w:pPr>
    </w:p>
    <w:p w14:paraId="66DF9186" w14:textId="77777777" w:rsidR="002C602E" w:rsidRPr="0030064A" w:rsidRDefault="002C602E" w:rsidP="00B97AF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Synthèse</w:t>
      </w:r>
    </w:p>
    <w:p w14:paraId="29DEAC74" w14:textId="77777777" w:rsidR="002C602E" w:rsidRPr="0030064A" w:rsidRDefault="002C602E" w:rsidP="002C602E">
      <w:pPr>
        <w:pStyle w:val="SingleTxt"/>
        <w:spacing w:after="0" w:line="120" w:lineRule="exact"/>
        <w:rPr>
          <w:sz w:val="10"/>
          <w:lang w:val="fr-FR"/>
        </w:rPr>
      </w:pPr>
    </w:p>
    <w:p w14:paraId="5E8AB1C2" w14:textId="08A53958" w:rsidR="002C602E" w:rsidRPr="0030064A" w:rsidRDefault="002C602E" w:rsidP="00B97AFE">
      <w:pPr>
        <w:pStyle w:val="SingleTxt"/>
        <w:numPr>
          <w:ilvl w:val="0"/>
          <w:numId w:val="20"/>
        </w:numPr>
        <w:spacing w:line="240" w:lineRule="exact"/>
        <w:ind w:left="1267"/>
        <w:rPr>
          <w:lang w:val="fr-FR"/>
        </w:rPr>
      </w:pPr>
      <w:r>
        <w:rPr>
          <w:lang w:val="fr-FR"/>
        </w:rPr>
        <w:t>L</w:t>
      </w:r>
      <w:r w:rsidR="00462A51">
        <w:rPr>
          <w:lang w:val="fr-FR"/>
        </w:rPr>
        <w:t>’</w:t>
      </w:r>
      <w:r>
        <w:rPr>
          <w:lang w:val="fr-FR"/>
        </w:rPr>
        <w:t>examen des preuves disponibles et l</w:t>
      </w:r>
      <w:r w:rsidR="00462A51">
        <w:rPr>
          <w:lang w:val="fr-FR"/>
        </w:rPr>
        <w:t>’</w:t>
      </w:r>
      <w:r>
        <w:rPr>
          <w:lang w:val="fr-FR"/>
        </w:rPr>
        <w:t>établissement du mécanisme de compensation des victimes de symphysiotomie avaient pour objectif principal de veiller à ce que les femmes ayant subi une symphysiotomie soient traitées avec sympathie, compassion et équité et à réduire au minimum le stress occasionné.</w:t>
      </w:r>
    </w:p>
    <w:p w14:paraId="09D25498" w14:textId="07946D5E" w:rsidR="002C602E" w:rsidRPr="0030064A" w:rsidRDefault="002C602E" w:rsidP="00B97AFE">
      <w:pPr>
        <w:pStyle w:val="SingleTxt"/>
        <w:numPr>
          <w:ilvl w:val="0"/>
          <w:numId w:val="20"/>
        </w:numPr>
        <w:spacing w:line="240" w:lineRule="exact"/>
        <w:ind w:left="1267"/>
        <w:rPr>
          <w:lang w:val="fr-FR"/>
        </w:rPr>
      </w:pPr>
      <w:r>
        <w:rPr>
          <w:lang w:val="fr-FR"/>
        </w:rPr>
        <w:t>En bref, l</w:t>
      </w:r>
      <w:r w:rsidR="00462A51">
        <w:rPr>
          <w:lang w:val="fr-FR"/>
        </w:rPr>
        <w:t>’</w:t>
      </w:r>
      <w:r>
        <w:rPr>
          <w:lang w:val="fr-FR"/>
        </w:rPr>
        <w:t>intervention du Gouvernement irlandais repose sur trois piliers principaux. Premièrement, tous les faits accessibles ont été fournis dans trois rapports indépendants et les preuves requises aux fins de la procédure ont été établies, y compris les recherches internationales les plus récentes sur le sujet. Deuxièmement, un mécanisme basé sur le volontariat et centré sur les personnes a été mis en place et a permis d</w:t>
      </w:r>
      <w:r w:rsidR="00462A51">
        <w:rPr>
          <w:lang w:val="fr-FR"/>
        </w:rPr>
        <w:t>’</w:t>
      </w:r>
      <w:r>
        <w:rPr>
          <w:lang w:val="fr-FR"/>
        </w:rPr>
        <w:t>octroyer des dommages-intérêts à 399</w:t>
      </w:r>
      <w:r w:rsidR="00B97AFE">
        <w:rPr>
          <w:lang w:val="fr-FR"/>
        </w:rPr>
        <w:t> </w:t>
      </w:r>
      <w:r>
        <w:rPr>
          <w:lang w:val="fr-FR"/>
        </w:rPr>
        <w:t>femmes qui ont participé à la procédure. Afin de décider de la mise en place d</w:t>
      </w:r>
      <w:r w:rsidR="00462A51">
        <w:rPr>
          <w:lang w:val="fr-FR"/>
        </w:rPr>
        <w:t>’</w:t>
      </w:r>
      <w:r>
        <w:rPr>
          <w:lang w:val="fr-FR"/>
        </w:rPr>
        <w:t>un mécanisme à titre gracieux, le processus et les procédures du système juridique irlandais ont été pris en compte, de même que l</w:t>
      </w:r>
      <w:r w:rsidR="00462A51">
        <w:rPr>
          <w:lang w:val="fr-FR"/>
        </w:rPr>
        <w:t>’</w:t>
      </w:r>
      <w:r>
        <w:rPr>
          <w:lang w:val="fr-FR"/>
        </w:rPr>
        <w:t>âge des femmes. Ce mécanisme visait à aider la majorité des femmes et leurs familles à tourner la page, sans avoir à faire face à une issue incertaine devant les tribunaux. Troisièmement, les services de santé irlandais fournissent des services médicaux continus aux femmes, y compris des cartes médicales. Il importe de noter qu</w:t>
      </w:r>
      <w:r w:rsidR="00462A51">
        <w:rPr>
          <w:lang w:val="fr-FR"/>
        </w:rPr>
        <w:t>’</w:t>
      </w:r>
      <w:r>
        <w:rPr>
          <w:lang w:val="fr-FR"/>
        </w:rPr>
        <w:t>aucune autre plainte ou requête n</w:t>
      </w:r>
      <w:r w:rsidR="00462A51">
        <w:rPr>
          <w:lang w:val="fr-FR"/>
        </w:rPr>
        <w:t>’</w:t>
      </w:r>
      <w:r>
        <w:rPr>
          <w:lang w:val="fr-FR"/>
        </w:rPr>
        <w:t>a été adressée au Ministre depuis la clôture du mécanisme.</w:t>
      </w:r>
    </w:p>
    <w:p w14:paraId="6503FB05" w14:textId="77777777" w:rsidR="002C602E" w:rsidRPr="0030064A" w:rsidRDefault="002C602E" w:rsidP="002C602E">
      <w:pPr>
        <w:pStyle w:val="SingleTxt"/>
        <w:spacing w:after="0" w:line="120" w:lineRule="exact"/>
        <w:rPr>
          <w:sz w:val="10"/>
          <w:lang w:val="fr-FR"/>
        </w:rPr>
      </w:pPr>
    </w:p>
    <w:p w14:paraId="64C1EAAC" w14:textId="46120451" w:rsidR="002C602E" w:rsidRPr="0030064A" w:rsidRDefault="002C602E" w:rsidP="00B97AF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Absence d</w:t>
      </w:r>
      <w:r w:rsidR="00462A51">
        <w:rPr>
          <w:lang w:val="fr-FR"/>
        </w:rPr>
        <w:t>’</w:t>
      </w:r>
      <w:r>
        <w:rPr>
          <w:lang w:val="fr-FR"/>
        </w:rPr>
        <w:t>examen des ressources et paiements à titre gracieux</w:t>
      </w:r>
    </w:p>
    <w:p w14:paraId="7E54ABFC" w14:textId="77777777" w:rsidR="002C602E" w:rsidRPr="0030064A" w:rsidRDefault="002C602E" w:rsidP="002C602E">
      <w:pPr>
        <w:pStyle w:val="SingleTxt"/>
        <w:spacing w:after="0" w:line="120" w:lineRule="exact"/>
        <w:rPr>
          <w:sz w:val="10"/>
          <w:lang w:val="fr-FR"/>
        </w:rPr>
      </w:pPr>
    </w:p>
    <w:p w14:paraId="1156EB25" w14:textId="5913FDC0" w:rsidR="002C602E" w:rsidRPr="0030064A" w:rsidRDefault="002C602E" w:rsidP="00B97AFE">
      <w:pPr>
        <w:pStyle w:val="SingleTxt"/>
        <w:numPr>
          <w:ilvl w:val="0"/>
          <w:numId w:val="20"/>
        </w:numPr>
        <w:spacing w:line="240" w:lineRule="exact"/>
        <w:ind w:left="1267"/>
        <w:rPr>
          <w:lang w:val="fr-FR"/>
        </w:rPr>
      </w:pPr>
      <w:r>
        <w:rPr>
          <w:lang w:val="fr-FR"/>
        </w:rPr>
        <w:t>Le Ministère de l</w:t>
      </w:r>
      <w:r w:rsidR="00462A51">
        <w:rPr>
          <w:lang w:val="fr-FR"/>
        </w:rPr>
        <w:t>’</w:t>
      </w:r>
      <w:r>
        <w:rPr>
          <w:lang w:val="fr-FR"/>
        </w:rPr>
        <w:t>emploi et de la protection sociale gère une série de prestations d</w:t>
      </w:r>
      <w:r w:rsidR="00462A51">
        <w:rPr>
          <w:lang w:val="fr-FR"/>
        </w:rPr>
        <w:t>’</w:t>
      </w:r>
      <w:r>
        <w:rPr>
          <w:lang w:val="fr-FR"/>
        </w:rPr>
        <w:t>assistance sociale soumises à des conditions de ressources, telles que l</w:t>
      </w:r>
      <w:r w:rsidR="00462A51">
        <w:rPr>
          <w:lang w:val="fr-FR"/>
        </w:rPr>
        <w:t>’</w:t>
      </w:r>
      <w:r>
        <w:rPr>
          <w:lang w:val="fr-FR"/>
        </w:rPr>
        <w:t>allocation pour les demandeurs d</w:t>
      </w:r>
      <w:r w:rsidR="00462A51">
        <w:rPr>
          <w:lang w:val="fr-FR"/>
        </w:rPr>
        <w:t>’</w:t>
      </w:r>
      <w:r>
        <w:rPr>
          <w:lang w:val="fr-FR"/>
        </w:rPr>
        <w:t>emploi, l</w:t>
      </w:r>
      <w:r w:rsidR="00462A51">
        <w:rPr>
          <w:lang w:val="fr-FR"/>
        </w:rPr>
        <w:t>’</w:t>
      </w:r>
      <w:r>
        <w:rPr>
          <w:lang w:val="fr-FR"/>
        </w:rPr>
        <w:t>allocation pour les familles monoparentales, l</w:t>
      </w:r>
      <w:r w:rsidR="00462A51">
        <w:rPr>
          <w:lang w:val="fr-FR"/>
        </w:rPr>
        <w:t>’</w:t>
      </w:r>
      <w:r>
        <w:rPr>
          <w:lang w:val="fr-FR"/>
        </w:rPr>
        <w:t>allocation d</w:t>
      </w:r>
      <w:r w:rsidR="00462A51">
        <w:rPr>
          <w:lang w:val="fr-FR"/>
        </w:rPr>
        <w:t>’</w:t>
      </w:r>
      <w:r>
        <w:rPr>
          <w:lang w:val="fr-FR"/>
        </w:rPr>
        <w:t>invalidité et la pension d</w:t>
      </w:r>
      <w:r w:rsidR="00462A51">
        <w:rPr>
          <w:lang w:val="fr-FR"/>
        </w:rPr>
        <w:t>’</w:t>
      </w:r>
      <w:r>
        <w:rPr>
          <w:lang w:val="fr-FR"/>
        </w:rPr>
        <w:t>État non contributive. Les examens des ressources s</w:t>
      </w:r>
      <w:r w:rsidR="00462A51">
        <w:rPr>
          <w:lang w:val="fr-FR"/>
        </w:rPr>
        <w:t>’</w:t>
      </w:r>
      <w:r>
        <w:rPr>
          <w:lang w:val="fr-FR"/>
        </w:rPr>
        <w:t>appliquent également aux régimes d</w:t>
      </w:r>
      <w:r w:rsidR="00462A51">
        <w:rPr>
          <w:lang w:val="fr-FR"/>
        </w:rPr>
        <w:t>’</w:t>
      </w:r>
      <w:r>
        <w:rPr>
          <w:lang w:val="fr-FR"/>
        </w:rPr>
        <w:t>assurance sociale pour déterminer si une personne a droit à une augmentation du montant qu</w:t>
      </w:r>
      <w:r w:rsidR="00462A51">
        <w:rPr>
          <w:lang w:val="fr-FR"/>
        </w:rPr>
        <w:t>’</w:t>
      </w:r>
      <w:r>
        <w:rPr>
          <w:lang w:val="fr-FR"/>
        </w:rPr>
        <w:t>elle reçoit chaque semaine lorsqu</w:t>
      </w:r>
      <w:r w:rsidR="00462A51">
        <w:rPr>
          <w:lang w:val="fr-FR"/>
        </w:rPr>
        <w:t>’</w:t>
      </w:r>
      <w:r>
        <w:rPr>
          <w:lang w:val="fr-FR"/>
        </w:rPr>
        <w:t>elle a un adulte ou un enfant à charge. Le revenu d</w:t>
      </w:r>
      <w:r w:rsidR="00462A51">
        <w:rPr>
          <w:lang w:val="fr-FR"/>
        </w:rPr>
        <w:t>’</w:t>
      </w:r>
      <w:r>
        <w:rPr>
          <w:lang w:val="fr-FR"/>
        </w:rPr>
        <w:t>une personne peut également être évalué pour déterminer si celle-ci est éligible à la prestation liée à l</w:t>
      </w:r>
      <w:r w:rsidR="00462A51">
        <w:rPr>
          <w:lang w:val="fr-FR"/>
        </w:rPr>
        <w:t>’</w:t>
      </w:r>
      <w:r>
        <w:rPr>
          <w:lang w:val="fr-FR"/>
        </w:rPr>
        <w:t>emploi réservée aux familles de travailleurs à faible revenu et appelée «</w:t>
      </w:r>
      <w:r w:rsidR="00B97AFE">
        <w:rPr>
          <w:lang w:val="fr-FR"/>
        </w:rPr>
        <w:t> </w:t>
      </w:r>
      <w:r>
        <w:rPr>
          <w:lang w:val="fr-FR"/>
        </w:rPr>
        <w:t>Working Family Payment</w:t>
      </w:r>
      <w:r w:rsidR="00B97AFE">
        <w:rPr>
          <w:lang w:val="fr-FR"/>
        </w:rPr>
        <w:t> </w:t>
      </w:r>
      <w:r>
        <w:rPr>
          <w:lang w:val="fr-FR"/>
        </w:rPr>
        <w:t>». À cet égard, un certain nombre d</w:t>
      </w:r>
      <w:r w:rsidR="00462A51">
        <w:rPr>
          <w:lang w:val="fr-FR"/>
        </w:rPr>
        <w:t>’</w:t>
      </w:r>
      <w:r>
        <w:rPr>
          <w:lang w:val="fr-FR"/>
        </w:rPr>
        <w:t>indemnités et d</w:t>
      </w:r>
      <w:r w:rsidR="00462A51">
        <w:rPr>
          <w:lang w:val="fr-FR"/>
        </w:rPr>
        <w:t>’</w:t>
      </w:r>
      <w:r>
        <w:rPr>
          <w:lang w:val="fr-FR"/>
        </w:rPr>
        <w:t>autres prestations ne sont actuellement pas prises en compte dans le cadre de l</w:t>
      </w:r>
      <w:r w:rsidR="00462A51">
        <w:rPr>
          <w:lang w:val="fr-FR"/>
        </w:rPr>
        <w:t>’</w:t>
      </w:r>
      <w:r>
        <w:rPr>
          <w:lang w:val="fr-FR"/>
        </w:rPr>
        <w:t>examen des ressources. C</w:t>
      </w:r>
      <w:r w:rsidR="00462A51">
        <w:rPr>
          <w:lang w:val="fr-FR"/>
        </w:rPr>
        <w:t>’</w:t>
      </w:r>
      <w:r>
        <w:rPr>
          <w:lang w:val="fr-FR"/>
        </w:rPr>
        <w:t>est notamment le cas des sommes versées, conformément au rapport de la Commission Magdalen, aux femmes qui ont été admises dans les Magdalen Laundries et y ont travaillé (tel que prévu dans l</w:t>
      </w:r>
      <w:r w:rsidR="00462A51">
        <w:rPr>
          <w:lang w:val="fr-FR"/>
        </w:rPr>
        <w:t>’</w:t>
      </w:r>
      <w:r>
        <w:rPr>
          <w:lang w:val="fr-FR"/>
        </w:rPr>
        <w:t>instrument réglementaire n</w:t>
      </w:r>
      <w:r w:rsidR="00B97AFE" w:rsidRPr="00B97AFE">
        <w:rPr>
          <w:vertAlign w:val="superscript"/>
          <w:lang w:val="fr-FR"/>
        </w:rPr>
        <w:t>o</w:t>
      </w:r>
      <w:r w:rsidR="00B97AFE" w:rsidRPr="00B97AFE">
        <w:rPr>
          <w:lang w:val="fr-FR"/>
        </w:rPr>
        <w:t> </w:t>
      </w:r>
      <w:r>
        <w:rPr>
          <w:lang w:val="fr-FR"/>
        </w:rPr>
        <w:t>155 de 2014). C</w:t>
      </w:r>
      <w:r w:rsidR="00462A51">
        <w:rPr>
          <w:lang w:val="fr-FR"/>
        </w:rPr>
        <w:t>’</w:t>
      </w:r>
      <w:r>
        <w:rPr>
          <w:lang w:val="fr-FR"/>
        </w:rPr>
        <w:t>est également le cas des paiements effectués par la Commission de recours de l</w:t>
      </w:r>
      <w:r w:rsidR="00462A51">
        <w:rPr>
          <w:lang w:val="fr-FR"/>
        </w:rPr>
        <w:t>’</w:t>
      </w:r>
      <w:r>
        <w:rPr>
          <w:lang w:val="fr-FR"/>
        </w:rPr>
        <w:t>hôpital Lourdes, selon les termes du mécanisme de paiement de l</w:t>
      </w:r>
      <w:r w:rsidR="00462A51">
        <w:rPr>
          <w:lang w:val="fr-FR"/>
        </w:rPr>
        <w:t>’</w:t>
      </w:r>
      <w:r>
        <w:rPr>
          <w:lang w:val="fr-FR"/>
        </w:rPr>
        <w:t>hôpital Lourdes et du mécanisme de compensation à titre gracieux des victimes de symphisiotomie chirurgicale (prévu dans l</w:t>
      </w:r>
      <w:r w:rsidR="00462A51">
        <w:rPr>
          <w:lang w:val="fr-FR"/>
        </w:rPr>
        <w:t>’</w:t>
      </w:r>
      <w:r>
        <w:rPr>
          <w:lang w:val="fr-FR"/>
        </w:rPr>
        <w:t>instrument réglementaire n</w:t>
      </w:r>
      <w:r w:rsidR="00B97AFE" w:rsidRPr="00B97AFE">
        <w:rPr>
          <w:vertAlign w:val="superscript"/>
          <w:lang w:val="fr-FR"/>
        </w:rPr>
        <w:t>o</w:t>
      </w:r>
      <w:r w:rsidR="00B97AFE" w:rsidRPr="00B97AFE">
        <w:rPr>
          <w:lang w:val="fr-FR"/>
        </w:rPr>
        <w:t> </w:t>
      </w:r>
      <w:r>
        <w:rPr>
          <w:lang w:val="fr-FR"/>
        </w:rPr>
        <w:t>595 de 2014). Ces paiements ne sont pas pris en compte en tant que revenu pour les prestations d</w:t>
      </w:r>
      <w:r w:rsidR="00462A51">
        <w:rPr>
          <w:lang w:val="fr-FR"/>
        </w:rPr>
        <w:t>’</w:t>
      </w:r>
      <w:r>
        <w:rPr>
          <w:lang w:val="fr-FR"/>
        </w:rPr>
        <w:t>assistance sociale, pour les prestations d</w:t>
      </w:r>
      <w:r w:rsidR="00462A51">
        <w:rPr>
          <w:lang w:val="fr-FR"/>
        </w:rPr>
        <w:t>’</w:t>
      </w:r>
      <w:r>
        <w:rPr>
          <w:lang w:val="fr-FR"/>
        </w:rPr>
        <w:t>assurance sociale et pour le Working Family Payment.</w:t>
      </w:r>
    </w:p>
    <w:p w14:paraId="4E87A303" w14:textId="77777777" w:rsidR="002C602E" w:rsidRPr="0030064A" w:rsidRDefault="002C602E" w:rsidP="002C602E">
      <w:pPr>
        <w:pStyle w:val="SingleTxt"/>
        <w:spacing w:after="0" w:line="120" w:lineRule="exact"/>
        <w:rPr>
          <w:sz w:val="10"/>
          <w:lang w:val="fr-FR"/>
        </w:rPr>
      </w:pPr>
    </w:p>
    <w:p w14:paraId="44858940" w14:textId="77777777" w:rsidR="002C602E" w:rsidRPr="0030064A" w:rsidRDefault="002C602E" w:rsidP="002C602E">
      <w:pPr>
        <w:pStyle w:val="SingleTxt"/>
        <w:spacing w:after="0" w:line="120" w:lineRule="exact"/>
        <w:rPr>
          <w:sz w:val="10"/>
          <w:lang w:val="fr-FR"/>
        </w:rPr>
      </w:pPr>
    </w:p>
    <w:p w14:paraId="51EF29F3" w14:textId="77777777" w:rsidR="002C602E" w:rsidRPr="0030064A" w:rsidRDefault="002C602E" w:rsidP="00B97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97AFE">
        <w:rPr>
          <w:szCs w:val="20"/>
          <w:lang w:val="fr-FR"/>
        </w:rPr>
        <w:t>Suite</w:t>
      </w:r>
      <w:r>
        <w:rPr>
          <w:lang w:val="fr-FR"/>
        </w:rPr>
        <w:t xml:space="preserve"> donnée aux recommandations formulées au paragraphe 17 des observations finales</w:t>
      </w:r>
    </w:p>
    <w:p w14:paraId="5F2936FA" w14:textId="77777777" w:rsidR="002C602E" w:rsidRPr="0030064A" w:rsidRDefault="002C602E" w:rsidP="002C602E">
      <w:pPr>
        <w:pStyle w:val="SingleTxt"/>
        <w:spacing w:after="0" w:line="120" w:lineRule="exact"/>
        <w:rPr>
          <w:sz w:val="10"/>
          <w:lang w:val="fr-FR"/>
        </w:rPr>
      </w:pPr>
    </w:p>
    <w:p w14:paraId="4B2EFDA5" w14:textId="77777777" w:rsidR="002C602E" w:rsidRPr="0030064A" w:rsidRDefault="002C602E" w:rsidP="002C602E">
      <w:pPr>
        <w:pStyle w:val="SingleTxt"/>
        <w:spacing w:after="0" w:line="120" w:lineRule="exact"/>
        <w:rPr>
          <w:sz w:val="10"/>
          <w:lang w:val="fr-FR"/>
        </w:rPr>
      </w:pPr>
    </w:p>
    <w:p w14:paraId="64C58133" w14:textId="1E8A412F" w:rsidR="002C602E" w:rsidRPr="0030064A" w:rsidRDefault="002C602E" w:rsidP="00B97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Allocation de fonds à l</w:t>
      </w:r>
      <w:r w:rsidR="00462A51">
        <w:rPr>
          <w:lang w:val="fr-FR"/>
        </w:rPr>
        <w:t>’</w:t>
      </w:r>
      <w:r>
        <w:rPr>
          <w:lang w:val="fr-FR"/>
        </w:rPr>
        <w:t>IHREC pour 2015-2020</w:t>
      </w:r>
    </w:p>
    <w:p w14:paraId="07FA6EB4" w14:textId="77777777" w:rsidR="002C602E" w:rsidRPr="0030064A" w:rsidRDefault="002C602E" w:rsidP="002C602E">
      <w:pPr>
        <w:pStyle w:val="SingleTxt"/>
        <w:spacing w:after="0" w:line="120" w:lineRule="exact"/>
        <w:rPr>
          <w:sz w:val="10"/>
          <w:lang w:val="fr-FR"/>
        </w:rPr>
      </w:pPr>
    </w:p>
    <w:p w14:paraId="2D759575" w14:textId="17D3C60E" w:rsidR="002C602E" w:rsidRPr="0030064A" w:rsidRDefault="002C602E" w:rsidP="00B97AFE">
      <w:pPr>
        <w:pStyle w:val="SingleTxt"/>
        <w:numPr>
          <w:ilvl w:val="0"/>
          <w:numId w:val="20"/>
        </w:numPr>
        <w:spacing w:line="240" w:lineRule="exact"/>
        <w:ind w:left="1267"/>
        <w:rPr>
          <w:lang w:val="fr-FR"/>
        </w:rPr>
      </w:pPr>
      <w:r>
        <w:rPr>
          <w:lang w:val="fr-FR"/>
        </w:rPr>
        <w:t>Depuis 2015, l</w:t>
      </w:r>
      <w:r w:rsidR="00462A51">
        <w:rPr>
          <w:lang w:val="fr-FR"/>
        </w:rPr>
        <w:t>’</w:t>
      </w:r>
      <w:r>
        <w:rPr>
          <w:lang w:val="fr-FR"/>
        </w:rPr>
        <w:t>IHREC est directement financé par un vote de l</w:t>
      </w:r>
      <w:r w:rsidR="00462A51">
        <w:rPr>
          <w:lang w:val="fr-FR"/>
        </w:rPr>
        <w:t>’</w:t>
      </w:r>
      <w:r>
        <w:rPr>
          <w:lang w:val="fr-FR"/>
        </w:rPr>
        <w:t>Oireachtas (Parlement irlandais). L</w:t>
      </w:r>
      <w:r w:rsidR="00462A51">
        <w:rPr>
          <w:lang w:val="fr-FR"/>
        </w:rPr>
        <w:t>’</w:t>
      </w:r>
      <w:r>
        <w:rPr>
          <w:lang w:val="fr-FR"/>
        </w:rPr>
        <w:t>article 26 de la loi de 2014 sur la Commission irlandaise des droits de l</w:t>
      </w:r>
      <w:r w:rsidR="00462A51">
        <w:rPr>
          <w:lang w:val="fr-FR"/>
        </w:rPr>
        <w:t>’</w:t>
      </w:r>
      <w:r>
        <w:rPr>
          <w:lang w:val="fr-FR"/>
        </w:rPr>
        <w:t>homme et de l</w:t>
      </w:r>
      <w:r w:rsidR="00462A51">
        <w:rPr>
          <w:lang w:val="fr-FR"/>
        </w:rPr>
        <w:t>’</w:t>
      </w:r>
      <w:r>
        <w:rPr>
          <w:lang w:val="fr-FR"/>
        </w:rPr>
        <w:t>égalité (IHREC)</w:t>
      </w:r>
      <w:r w:rsidRPr="002C602E">
        <w:rPr>
          <w:rStyle w:val="FootnoteReference"/>
          <w:lang w:val="fr-FR"/>
        </w:rPr>
        <w:footnoteReference w:id="8"/>
      </w:r>
      <w:r>
        <w:rPr>
          <w:lang w:val="fr-FR"/>
        </w:rPr>
        <w:t xml:space="preserve"> fournit un guide sur le niveau de financement. Entre 2015 et 2019, un financement total de 32,725 millions d</w:t>
      </w:r>
      <w:r w:rsidR="00462A51">
        <w:rPr>
          <w:lang w:val="fr-FR"/>
        </w:rPr>
        <w:t>’</w:t>
      </w:r>
      <w:r>
        <w:rPr>
          <w:lang w:val="fr-FR"/>
        </w:rPr>
        <w:t>euros a été mis à disposition au titre de l</w:t>
      </w:r>
      <w:r w:rsidR="00462A51">
        <w:rPr>
          <w:lang w:val="fr-FR"/>
        </w:rPr>
        <w:t>’</w:t>
      </w:r>
      <w:r>
        <w:rPr>
          <w:lang w:val="fr-FR"/>
        </w:rPr>
        <w:t>IHREC, par le truchement d</w:t>
      </w:r>
      <w:r w:rsidR="00462A51">
        <w:rPr>
          <w:lang w:val="fr-FR"/>
        </w:rPr>
        <w:t>’</w:t>
      </w:r>
      <w:r>
        <w:rPr>
          <w:lang w:val="fr-FR"/>
        </w:rPr>
        <w:t>un vote (voir l</w:t>
      </w:r>
      <w:r w:rsidR="00462A51">
        <w:rPr>
          <w:lang w:val="fr-FR"/>
        </w:rPr>
        <w:t>’</w:t>
      </w:r>
      <w:r>
        <w:rPr>
          <w:lang w:val="fr-FR"/>
        </w:rPr>
        <w:t>annexe). Les dépenses provisoires de l</w:t>
      </w:r>
      <w:r w:rsidR="00462A51">
        <w:rPr>
          <w:lang w:val="fr-FR"/>
        </w:rPr>
        <w:t>’</w:t>
      </w:r>
      <w:r>
        <w:rPr>
          <w:lang w:val="fr-FR"/>
        </w:rPr>
        <w:t>IHREC se sont élevées à 26,228 millions d</w:t>
      </w:r>
      <w:r w:rsidR="00462A51">
        <w:rPr>
          <w:lang w:val="fr-FR"/>
        </w:rPr>
        <w:t>’</w:t>
      </w:r>
      <w:r>
        <w:rPr>
          <w:lang w:val="fr-FR"/>
        </w:rPr>
        <w:t>euros, les crédits ont été sous-utilisés chaque année et les excédents ont été reversés à l</w:t>
      </w:r>
      <w:r w:rsidR="00462A51">
        <w:rPr>
          <w:lang w:val="fr-FR"/>
        </w:rPr>
        <w:t>’</w:t>
      </w:r>
      <w:r>
        <w:rPr>
          <w:lang w:val="fr-FR"/>
        </w:rPr>
        <w:t>exchequer</w:t>
      </w:r>
      <w:r w:rsidRPr="002C602E">
        <w:rPr>
          <w:rStyle w:val="FootnoteReference"/>
          <w:lang w:val="fr-FR"/>
        </w:rPr>
        <w:footnoteReference w:id="9"/>
      </w:r>
      <w:r>
        <w:rPr>
          <w:lang w:val="fr-FR"/>
        </w:rPr>
        <w:t>. L</w:t>
      </w:r>
      <w:r w:rsidR="00462A51">
        <w:rPr>
          <w:lang w:val="fr-FR"/>
        </w:rPr>
        <w:t>’</w:t>
      </w:r>
      <w:r>
        <w:rPr>
          <w:lang w:val="fr-FR"/>
        </w:rPr>
        <w:t>allocation au titre de l</w:t>
      </w:r>
      <w:r w:rsidR="00462A51">
        <w:rPr>
          <w:lang w:val="fr-FR"/>
        </w:rPr>
        <w:t>’</w:t>
      </w:r>
      <w:r>
        <w:rPr>
          <w:lang w:val="fr-FR"/>
        </w:rPr>
        <w:t>IHREC a été augmentée en 2020 pour atteindre 6,751 millions d</w:t>
      </w:r>
      <w:r w:rsidR="00462A51">
        <w:rPr>
          <w:lang w:val="fr-FR"/>
        </w:rPr>
        <w:t>’</w:t>
      </w:r>
      <w:r>
        <w:rPr>
          <w:lang w:val="fr-FR"/>
        </w:rPr>
        <w:t>euros.</w:t>
      </w:r>
    </w:p>
    <w:p w14:paraId="12F36779" w14:textId="661C1932" w:rsidR="002C602E" w:rsidRPr="0030064A" w:rsidRDefault="002C602E" w:rsidP="00B97AFE">
      <w:pPr>
        <w:pStyle w:val="SingleTxt"/>
        <w:numPr>
          <w:ilvl w:val="0"/>
          <w:numId w:val="20"/>
        </w:numPr>
        <w:spacing w:line="240" w:lineRule="exact"/>
        <w:ind w:left="1267"/>
        <w:rPr>
          <w:lang w:val="fr-FR"/>
        </w:rPr>
      </w:pPr>
      <w:r>
        <w:rPr>
          <w:lang w:val="fr-FR"/>
        </w:rPr>
        <w:t>Il est indéniable qu</w:t>
      </w:r>
      <w:r w:rsidR="00462A51">
        <w:rPr>
          <w:lang w:val="fr-FR"/>
        </w:rPr>
        <w:t>’</w:t>
      </w:r>
      <w:r>
        <w:rPr>
          <w:lang w:val="fr-FR"/>
        </w:rPr>
        <w:t>il a fallu plus de temps que prévu pour augmenter les effectifs, principalement parce que le recrutement peut prendre du temps lorsqu</w:t>
      </w:r>
      <w:r w:rsidR="00462A51">
        <w:rPr>
          <w:lang w:val="fr-FR"/>
        </w:rPr>
        <w:t>’</w:t>
      </w:r>
      <w:r>
        <w:rPr>
          <w:lang w:val="fr-FR"/>
        </w:rPr>
        <w:t>une organisation est dans sa phase de démarrage. En 2017, l</w:t>
      </w:r>
      <w:r w:rsidR="00462A51">
        <w:rPr>
          <w:lang w:val="fr-FR"/>
        </w:rPr>
        <w:t>’</w:t>
      </w:r>
      <w:r>
        <w:rPr>
          <w:lang w:val="fr-FR"/>
        </w:rPr>
        <w:t>IHREC n</w:t>
      </w:r>
      <w:r w:rsidR="00462A51">
        <w:rPr>
          <w:lang w:val="fr-FR"/>
        </w:rPr>
        <w:t>’</w:t>
      </w:r>
      <w:r>
        <w:rPr>
          <w:lang w:val="fr-FR"/>
        </w:rPr>
        <w:t>a pas atteint son objectif de plein emploi, qui s</w:t>
      </w:r>
      <w:r w:rsidR="00462A51">
        <w:rPr>
          <w:lang w:val="fr-FR"/>
        </w:rPr>
        <w:t>’</w:t>
      </w:r>
      <w:r>
        <w:rPr>
          <w:lang w:val="fr-FR"/>
        </w:rPr>
        <w:t>établissait à 56 personnes. Au début de cette année-là, l</w:t>
      </w:r>
      <w:r w:rsidR="00462A51">
        <w:rPr>
          <w:lang w:val="fr-FR"/>
        </w:rPr>
        <w:t>’</w:t>
      </w:r>
      <w:r>
        <w:rPr>
          <w:lang w:val="fr-FR"/>
        </w:rPr>
        <w:t>IHREC comptait 41 membres du personnel (équivalent plein temps). Au 31</w:t>
      </w:r>
      <w:r w:rsidR="00B97AFE">
        <w:rPr>
          <w:lang w:val="fr-FR"/>
        </w:rPr>
        <w:t> </w:t>
      </w:r>
      <w:r>
        <w:rPr>
          <w:lang w:val="fr-FR"/>
        </w:rPr>
        <w:t>décembre 2017, l</w:t>
      </w:r>
      <w:r w:rsidR="00462A51">
        <w:rPr>
          <w:lang w:val="fr-FR"/>
        </w:rPr>
        <w:t>’</w:t>
      </w:r>
      <w:r>
        <w:rPr>
          <w:lang w:val="fr-FR"/>
        </w:rPr>
        <w:t>IHREC comptait 45 membres du personnel (équivalent plein temps) et un programme de recrutement a été mis en place tout au long de l</w:t>
      </w:r>
      <w:r w:rsidR="00462A51">
        <w:rPr>
          <w:lang w:val="fr-FR"/>
        </w:rPr>
        <w:t>’</w:t>
      </w:r>
      <w:r>
        <w:rPr>
          <w:lang w:val="fr-FR"/>
        </w:rPr>
        <w:t>année 2018. En 2018, un certain nombre de membres du personnel ont quitté leurs fonctions à la suite de promotions, tandis que du personnel supplémentaire a été recruté. Au début du premier trimestre de 2019, l</w:t>
      </w:r>
      <w:r w:rsidR="00462A51">
        <w:rPr>
          <w:lang w:val="fr-FR"/>
        </w:rPr>
        <w:t>’</w:t>
      </w:r>
      <w:r>
        <w:rPr>
          <w:lang w:val="fr-FR"/>
        </w:rPr>
        <w:t>IHREC comptait 50</w:t>
      </w:r>
      <w:r w:rsidR="00B97AFE">
        <w:rPr>
          <w:lang w:val="fr-FR"/>
        </w:rPr>
        <w:t> </w:t>
      </w:r>
      <w:r>
        <w:rPr>
          <w:lang w:val="fr-FR"/>
        </w:rPr>
        <w:t>personnes et d</w:t>
      </w:r>
      <w:r w:rsidR="00462A51">
        <w:rPr>
          <w:lang w:val="fr-FR"/>
        </w:rPr>
        <w:t>’</w:t>
      </w:r>
      <w:r>
        <w:rPr>
          <w:lang w:val="fr-FR"/>
        </w:rPr>
        <w:t>autres recrutements auront lieu tout au long de l</w:t>
      </w:r>
      <w:r w:rsidR="00462A51">
        <w:rPr>
          <w:lang w:val="fr-FR"/>
        </w:rPr>
        <w:t>’</w:t>
      </w:r>
      <w:r>
        <w:rPr>
          <w:lang w:val="fr-FR"/>
        </w:rPr>
        <w:t>année 2019.</w:t>
      </w:r>
    </w:p>
    <w:p w14:paraId="1ED548C1" w14:textId="77777777" w:rsidR="002C602E" w:rsidRPr="0030064A" w:rsidRDefault="002C602E" w:rsidP="002C602E">
      <w:pPr>
        <w:pStyle w:val="SingleTxt"/>
        <w:spacing w:after="0" w:line="120" w:lineRule="exact"/>
        <w:rPr>
          <w:sz w:val="10"/>
          <w:lang w:val="fr-FR"/>
        </w:rPr>
      </w:pPr>
    </w:p>
    <w:p w14:paraId="7754C5A3" w14:textId="77777777" w:rsidR="002C602E" w:rsidRPr="0030064A" w:rsidRDefault="002C602E" w:rsidP="002C602E">
      <w:pPr>
        <w:pStyle w:val="SingleTxt"/>
        <w:spacing w:after="0" w:line="120" w:lineRule="exact"/>
        <w:rPr>
          <w:sz w:val="10"/>
          <w:lang w:val="fr-FR"/>
        </w:rPr>
      </w:pPr>
    </w:p>
    <w:p w14:paraId="0A2F00E5" w14:textId="77777777" w:rsidR="002C602E" w:rsidRPr="0030064A" w:rsidRDefault="002C602E" w:rsidP="00B97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Suite donnée aux </w:t>
      </w:r>
      <w:r w:rsidRPr="00B97AFE">
        <w:rPr>
          <w:szCs w:val="20"/>
          <w:lang w:val="fr-FR"/>
        </w:rPr>
        <w:t>recommandations</w:t>
      </w:r>
      <w:r>
        <w:rPr>
          <w:lang w:val="fr-FR"/>
        </w:rPr>
        <w:t xml:space="preserve"> formulées au paragraphe 21 des observations finales</w:t>
      </w:r>
    </w:p>
    <w:p w14:paraId="4841FC46" w14:textId="77777777" w:rsidR="002C602E" w:rsidRPr="0030064A" w:rsidRDefault="002C602E" w:rsidP="002C602E">
      <w:pPr>
        <w:pStyle w:val="SingleTxt"/>
        <w:spacing w:after="0" w:line="120" w:lineRule="exact"/>
        <w:rPr>
          <w:sz w:val="10"/>
          <w:lang w:val="fr-FR"/>
        </w:rPr>
      </w:pPr>
    </w:p>
    <w:p w14:paraId="2677F448" w14:textId="77777777" w:rsidR="002C602E" w:rsidRPr="0030064A" w:rsidRDefault="002C602E" w:rsidP="002C602E">
      <w:pPr>
        <w:pStyle w:val="SingleTxt"/>
        <w:spacing w:after="0" w:line="120" w:lineRule="exact"/>
        <w:rPr>
          <w:sz w:val="10"/>
          <w:lang w:val="fr-FR"/>
        </w:rPr>
      </w:pPr>
    </w:p>
    <w:p w14:paraId="62E32261" w14:textId="7BBB4072" w:rsidR="002C602E" w:rsidRPr="0030064A" w:rsidRDefault="002C602E" w:rsidP="00B97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97AFE">
        <w:rPr>
          <w:szCs w:val="20"/>
          <w:lang w:val="fr-FR"/>
        </w:rPr>
        <w:t>Financement</w:t>
      </w:r>
      <w:r>
        <w:rPr>
          <w:lang w:val="fr-FR"/>
        </w:rPr>
        <w:t xml:space="preserve"> des organisations non gouvernementales travaillant </w:t>
      </w:r>
      <w:r w:rsidR="00B97AFE">
        <w:rPr>
          <w:lang w:val="fr-FR"/>
        </w:rPr>
        <w:br/>
      </w:r>
      <w:r>
        <w:rPr>
          <w:lang w:val="fr-FR"/>
        </w:rPr>
        <w:t>dans le domaine des droits des femmes</w:t>
      </w:r>
    </w:p>
    <w:p w14:paraId="3EAAD43B" w14:textId="77777777" w:rsidR="002C602E" w:rsidRPr="0030064A" w:rsidRDefault="002C602E" w:rsidP="002C602E">
      <w:pPr>
        <w:pStyle w:val="SingleTxt"/>
        <w:spacing w:after="0" w:line="120" w:lineRule="exact"/>
        <w:rPr>
          <w:sz w:val="10"/>
          <w:lang w:val="fr-FR"/>
        </w:rPr>
      </w:pPr>
    </w:p>
    <w:p w14:paraId="3A9CB1FA" w14:textId="0B1DE2E0" w:rsidR="002C602E" w:rsidRPr="0030064A" w:rsidRDefault="002C602E" w:rsidP="00B97AFE">
      <w:pPr>
        <w:pStyle w:val="SingleTxt"/>
        <w:numPr>
          <w:ilvl w:val="0"/>
          <w:numId w:val="20"/>
        </w:numPr>
        <w:spacing w:line="240" w:lineRule="exact"/>
        <w:ind w:left="1267"/>
        <w:rPr>
          <w:lang w:val="fr-FR"/>
        </w:rPr>
      </w:pPr>
      <w:r>
        <w:rPr>
          <w:lang w:val="fr-FR"/>
        </w:rPr>
        <w:t xml:space="preserve">La </w:t>
      </w:r>
      <w:r w:rsidRPr="00B97AFE">
        <w:rPr>
          <w:szCs w:val="20"/>
          <w:lang w:val="fr-FR"/>
        </w:rPr>
        <w:t>stratégie</w:t>
      </w:r>
      <w:r>
        <w:rPr>
          <w:lang w:val="fr-FR"/>
        </w:rPr>
        <w:t xml:space="preserve"> nationale pour les femmes et les filles pour la période 2017-2020 repose notamment sur l</w:t>
      </w:r>
      <w:r w:rsidR="00462A51">
        <w:rPr>
          <w:lang w:val="fr-FR"/>
        </w:rPr>
        <w:t>’</w:t>
      </w:r>
      <w:r>
        <w:rPr>
          <w:lang w:val="fr-FR"/>
        </w:rPr>
        <w:t>engagement de permettre à la société civile de défendre les femmes et de veiller à ce que les intérêts des femmes soient intégrés dans les travaux du Gouvernement. Le financement des activités de base du National Women</w:t>
      </w:r>
      <w:r w:rsidR="00462A51">
        <w:rPr>
          <w:lang w:val="fr-FR"/>
        </w:rPr>
        <w:t>’</w:t>
      </w:r>
      <w:r>
        <w:rPr>
          <w:lang w:val="fr-FR"/>
        </w:rPr>
        <w:t xml:space="preserve">s Council of Ireland (NWCI </w:t>
      </w:r>
      <w:r w:rsidR="00B97AFE">
        <w:rPr>
          <w:lang w:val="fr-FR"/>
        </w:rPr>
        <w:t>– </w:t>
      </w:r>
      <w:r>
        <w:rPr>
          <w:lang w:val="fr-FR"/>
        </w:rPr>
        <w:t>Conseil national des femmes d</w:t>
      </w:r>
      <w:r w:rsidR="00462A51">
        <w:rPr>
          <w:lang w:val="fr-FR"/>
        </w:rPr>
        <w:t>’</w:t>
      </w:r>
      <w:r>
        <w:rPr>
          <w:lang w:val="fr-FR"/>
        </w:rPr>
        <w:t>Irlande) a augmenté de 75</w:t>
      </w:r>
      <w:r w:rsidR="00462A51">
        <w:rPr>
          <w:lang w:val="fr-FR"/>
        </w:rPr>
        <w:t> %</w:t>
      </w:r>
      <w:r>
        <w:rPr>
          <w:lang w:val="fr-FR"/>
        </w:rPr>
        <w:t xml:space="preserve"> depuis 2015. Le soutien financier accordé au National Collective of Community Based Women</w:t>
      </w:r>
      <w:r w:rsidR="00462A51">
        <w:rPr>
          <w:lang w:val="fr-FR"/>
        </w:rPr>
        <w:t>’</w:t>
      </w:r>
      <w:r>
        <w:rPr>
          <w:lang w:val="fr-FR"/>
        </w:rPr>
        <w:t xml:space="preserve">s Networks (NCWN </w:t>
      </w:r>
      <w:r w:rsidR="00B97AFE">
        <w:rPr>
          <w:lang w:val="fr-FR"/>
        </w:rPr>
        <w:t>– </w:t>
      </w:r>
      <w:r>
        <w:rPr>
          <w:lang w:val="fr-FR"/>
        </w:rPr>
        <w:t>Collectif national des réseaux locaux de femmes), destiné à nouer un dialogue avec les femmes défavorisées, a également augmenté (voir l</w:t>
      </w:r>
      <w:r w:rsidR="00462A51">
        <w:rPr>
          <w:lang w:val="fr-FR"/>
        </w:rPr>
        <w:t>’</w:t>
      </w:r>
      <w:r>
        <w:rPr>
          <w:lang w:val="fr-FR"/>
        </w:rPr>
        <w:t>annexe). Les ONG reçoivent également un financement important de la part d</w:t>
      </w:r>
      <w:r w:rsidR="00462A51">
        <w:rPr>
          <w:lang w:val="fr-FR"/>
        </w:rPr>
        <w:t>’</w:t>
      </w:r>
      <w:r>
        <w:rPr>
          <w:lang w:val="fr-FR"/>
        </w:rPr>
        <w:t>organismes publics au titre d</w:t>
      </w:r>
      <w:r w:rsidR="00462A51">
        <w:rPr>
          <w:lang w:val="fr-FR"/>
        </w:rPr>
        <w:t>’</w:t>
      </w:r>
      <w:r>
        <w:rPr>
          <w:lang w:val="fr-FR"/>
        </w:rPr>
        <w:t>initiatives dans des domaines tels que la santé des femmes, la violence domestique et sexuelle, et l</w:t>
      </w:r>
      <w:r w:rsidR="00462A51">
        <w:rPr>
          <w:lang w:val="fr-FR"/>
        </w:rPr>
        <w:t>’</w:t>
      </w:r>
      <w:r>
        <w:rPr>
          <w:lang w:val="fr-FR"/>
        </w:rPr>
        <w:t>engagement politique des femmes.</w:t>
      </w:r>
    </w:p>
    <w:p w14:paraId="286495CB" w14:textId="77777777" w:rsidR="002C602E" w:rsidRPr="0030064A" w:rsidRDefault="002C602E" w:rsidP="002C602E">
      <w:pPr>
        <w:pStyle w:val="SingleTxt"/>
        <w:spacing w:after="0" w:line="120" w:lineRule="exact"/>
        <w:rPr>
          <w:sz w:val="10"/>
          <w:lang w:val="fr-FR"/>
        </w:rPr>
      </w:pPr>
    </w:p>
    <w:p w14:paraId="35D35BA6" w14:textId="77777777" w:rsidR="002C602E" w:rsidRPr="0030064A" w:rsidRDefault="002C602E" w:rsidP="002C602E">
      <w:pPr>
        <w:pStyle w:val="SingleTxt"/>
        <w:spacing w:after="0" w:line="120" w:lineRule="exact"/>
        <w:rPr>
          <w:sz w:val="10"/>
          <w:lang w:val="fr-FR"/>
        </w:rPr>
      </w:pPr>
    </w:p>
    <w:p w14:paraId="086FAD0D" w14:textId="77777777" w:rsidR="002C602E" w:rsidRPr="0030064A" w:rsidRDefault="002C602E" w:rsidP="00B97A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97AFE">
        <w:rPr>
          <w:szCs w:val="20"/>
          <w:lang w:val="fr-FR"/>
        </w:rPr>
        <w:t>Suite</w:t>
      </w:r>
      <w:r>
        <w:rPr>
          <w:lang w:val="fr-FR"/>
        </w:rPr>
        <w:t xml:space="preserve"> donnée aux recommandations formulées au paragraphe 43 des observations finales</w:t>
      </w:r>
    </w:p>
    <w:p w14:paraId="3F4E729C" w14:textId="77777777" w:rsidR="002C602E" w:rsidRPr="0030064A" w:rsidRDefault="002C602E" w:rsidP="002C602E">
      <w:pPr>
        <w:pStyle w:val="SingleTxt"/>
        <w:spacing w:after="0" w:line="120" w:lineRule="exact"/>
        <w:rPr>
          <w:sz w:val="10"/>
          <w:lang w:val="fr-FR"/>
        </w:rPr>
      </w:pPr>
    </w:p>
    <w:p w14:paraId="3F8FAEED" w14:textId="77777777" w:rsidR="002C602E" w:rsidRPr="0030064A" w:rsidRDefault="002C602E" w:rsidP="002C602E">
      <w:pPr>
        <w:pStyle w:val="SingleTxt"/>
        <w:spacing w:after="0" w:line="120" w:lineRule="exact"/>
        <w:rPr>
          <w:sz w:val="10"/>
          <w:lang w:val="fr-FR"/>
        </w:rPr>
      </w:pPr>
    </w:p>
    <w:p w14:paraId="0636954A" w14:textId="77777777" w:rsidR="002C602E" w:rsidRPr="0030064A" w:rsidRDefault="002C602E" w:rsidP="00B97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97AFE">
        <w:rPr>
          <w:lang w:val="fr-FR"/>
        </w:rPr>
        <w:t>Référendum</w:t>
      </w:r>
    </w:p>
    <w:p w14:paraId="7709ED87" w14:textId="77777777" w:rsidR="002C602E" w:rsidRPr="0030064A" w:rsidRDefault="002C602E" w:rsidP="002C602E">
      <w:pPr>
        <w:pStyle w:val="SingleTxt"/>
        <w:spacing w:after="0" w:line="120" w:lineRule="exact"/>
        <w:rPr>
          <w:sz w:val="10"/>
          <w:lang w:val="fr-FR"/>
        </w:rPr>
      </w:pPr>
    </w:p>
    <w:p w14:paraId="52EA5658" w14:textId="4EE7FD5C" w:rsidR="002C602E" w:rsidRPr="0030064A" w:rsidRDefault="002C602E" w:rsidP="00B97AFE">
      <w:pPr>
        <w:pStyle w:val="SingleTxt"/>
        <w:numPr>
          <w:ilvl w:val="0"/>
          <w:numId w:val="20"/>
        </w:numPr>
        <w:spacing w:line="240" w:lineRule="exact"/>
        <w:ind w:left="1267"/>
        <w:rPr>
          <w:lang w:val="fr-FR"/>
        </w:rPr>
      </w:pPr>
      <w:r>
        <w:rPr>
          <w:lang w:val="fr-FR"/>
        </w:rPr>
        <w:t>Le projet de loi 2018 visant à porter modification de la Constitution (trente-sixième amendement) avait pour but de supprimer l</w:t>
      </w:r>
      <w:r w:rsidR="00462A51">
        <w:rPr>
          <w:lang w:val="fr-FR"/>
        </w:rPr>
        <w:t>’</w:t>
      </w:r>
      <w:r>
        <w:rPr>
          <w:lang w:val="fr-FR"/>
        </w:rPr>
        <w:t>article 40.3.3 de la Constitution et de le remplacer par une formulation confirmant que l</w:t>
      </w:r>
      <w:r w:rsidR="00462A51">
        <w:rPr>
          <w:lang w:val="fr-FR"/>
        </w:rPr>
        <w:t>’</w:t>
      </w:r>
      <w:r>
        <w:rPr>
          <w:lang w:val="fr-FR"/>
        </w:rPr>
        <w:t>Oireachtas était habilité à adopter des lois visant à réglementer l</w:t>
      </w:r>
      <w:r w:rsidR="00462A51">
        <w:rPr>
          <w:lang w:val="fr-FR"/>
        </w:rPr>
        <w:t>’</w:t>
      </w:r>
      <w:r>
        <w:rPr>
          <w:lang w:val="fr-FR"/>
        </w:rPr>
        <w:t>interruption de grossesse. Le projet de loi a été approuvé par toutes les chambres de l</w:t>
      </w:r>
      <w:r w:rsidR="00462A51">
        <w:rPr>
          <w:lang w:val="fr-FR"/>
        </w:rPr>
        <w:t>’</w:t>
      </w:r>
      <w:r>
        <w:rPr>
          <w:lang w:val="fr-FR"/>
        </w:rPr>
        <w:t>Oireachtas (Parlement), le 28 mars 2018. Un décret fixant la date du scrutin a ensuite été pris et un référendum sur le trente-sixième amendement de la Constitution a été organisé le 25 mai 2018. Le référendum a été approuvé, avec un vote de 66,4</w:t>
      </w:r>
      <w:r w:rsidR="00462A51">
        <w:rPr>
          <w:lang w:val="fr-FR"/>
        </w:rPr>
        <w:t> %</w:t>
      </w:r>
      <w:r>
        <w:rPr>
          <w:lang w:val="fr-FR"/>
        </w:rPr>
        <w:t xml:space="preserve"> de « oui » contre 33,6</w:t>
      </w:r>
      <w:r w:rsidR="00462A51">
        <w:rPr>
          <w:lang w:val="fr-FR"/>
        </w:rPr>
        <w:t> %</w:t>
      </w:r>
      <w:r>
        <w:rPr>
          <w:lang w:val="fr-FR"/>
        </w:rPr>
        <w:t xml:space="preserve"> de « non ». Le trente-sixième amendement de la loi constitutionnelle a été promulgué par le Président le 18</w:t>
      </w:r>
      <w:r w:rsidR="00B97AFE">
        <w:rPr>
          <w:lang w:val="fr-FR"/>
        </w:rPr>
        <w:t> </w:t>
      </w:r>
      <w:r>
        <w:rPr>
          <w:lang w:val="fr-FR"/>
        </w:rPr>
        <w:t>septembre 2018</w:t>
      </w:r>
      <w:r w:rsidRPr="002C602E">
        <w:rPr>
          <w:rStyle w:val="FootnoteReference"/>
          <w:lang w:val="fr-FR"/>
        </w:rPr>
        <w:footnoteReference w:id="10"/>
      </w:r>
      <w:r>
        <w:rPr>
          <w:lang w:val="fr-FR"/>
        </w:rPr>
        <w:t>.</w:t>
      </w:r>
    </w:p>
    <w:p w14:paraId="02FF4304" w14:textId="77777777" w:rsidR="002C602E" w:rsidRPr="0030064A" w:rsidRDefault="002C602E" w:rsidP="002C602E">
      <w:pPr>
        <w:pStyle w:val="SingleTxt"/>
        <w:spacing w:after="0" w:line="120" w:lineRule="exact"/>
        <w:rPr>
          <w:sz w:val="10"/>
          <w:lang w:val="fr-FR"/>
        </w:rPr>
      </w:pPr>
    </w:p>
    <w:p w14:paraId="15BAAA27" w14:textId="77777777" w:rsidR="002C602E" w:rsidRPr="0030064A" w:rsidRDefault="002C602E" w:rsidP="00B97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97AFE">
        <w:rPr>
          <w:lang w:val="fr-FR"/>
        </w:rPr>
        <w:t>Législation</w:t>
      </w:r>
    </w:p>
    <w:p w14:paraId="351E4867" w14:textId="77777777" w:rsidR="002C602E" w:rsidRPr="0030064A" w:rsidRDefault="002C602E" w:rsidP="002C602E">
      <w:pPr>
        <w:pStyle w:val="SingleTxt"/>
        <w:spacing w:after="0" w:line="120" w:lineRule="exact"/>
        <w:rPr>
          <w:sz w:val="10"/>
          <w:lang w:val="fr-FR"/>
        </w:rPr>
      </w:pPr>
    </w:p>
    <w:p w14:paraId="65CC64AB" w14:textId="1F9D0C78" w:rsidR="002C602E" w:rsidRPr="0030064A" w:rsidRDefault="002C602E" w:rsidP="00B97AFE">
      <w:pPr>
        <w:pStyle w:val="SingleTxt"/>
        <w:numPr>
          <w:ilvl w:val="0"/>
          <w:numId w:val="20"/>
        </w:numPr>
        <w:spacing w:line="240" w:lineRule="exact"/>
        <w:ind w:left="1267"/>
        <w:rPr>
          <w:lang w:val="fr-FR"/>
        </w:rPr>
      </w:pPr>
      <w:r>
        <w:rPr>
          <w:lang w:val="fr-FR"/>
        </w:rPr>
        <w:t>Un projet de plan général d</w:t>
      </w:r>
      <w:r w:rsidR="00462A51">
        <w:rPr>
          <w:lang w:val="fr-FR"/>
        </w:rPr>
        <w:t>’</w:t>
      </w:r>
      <w:r>
        <w:rPr>
          <w:lang w:val="fr-FR"/>
        </w:rPr>
        <w:t>un projet de loi vi</w:t>
      </w:r>
      <w:bookmarkStart w:id="1" w:name="_GoBack"/>
      <w:bookmarkEnd w:id="1"/>
      <w:r>
        <w:rPr>
          <w:lang w:val="fr-FR"/>
        </w:rPr>
        <w:t>sant à réglementer l</w:t>
      </w:r>
      <w:r w:rsidR="00462A51">
        <w:rPr>
          <w:lang w:val="fr-FR"/>
        </w:rPr>
        <w:t>’</w:t>
      </w:r>
      <w:r>
        <w:rPr>
          <w:lang w:val="fr-FR"/>
        </w:rPr>
        <w:t>interruption de grossesse a été publié sur le site web du Ministère de la santé avant le référendum, afin que les électeurs soient informés des intentions politiques et législatives du Gouvernement, si le référendum devait être approuvé.</w:t>
      </w:r>
    </w:p>
    <w:p w14:paraId="6D3ED85F" w14:textId="759F1B0D" w:rsidR="002C602E" w:rsidRPr="0030064A" w:rsidRDefault="002C602E" w:rsidP="00B97AFE">
      <w:pPr>
        <w:pStyle w:val="SingleTxt"/>
        <w:numPr>
          <w:ilvl w:val="0"/>
          <w:numId w:val="20"/>
        </w:numPr>
        <w:spacing w:line="240" w:lineRule="exact"/>
        <w:ind w:left="1267"/>
        <w:rPr>
          <w:lang w:val="fr-FR"/>
        </w:rPr>
      </w:pPr>
      <w:r>
        <w:rPr>
          <w:lang w:val="fr-FR"/>
        </w:rPr>
        <w:t>La loi sur la santé (réglementation de l</w:t>
      </w:r>
      <w:r w:rsidR="00462A51">
        <w:rPr>
          <w:lang w:val="fr-FR"/>
        </w:rPr>
        <w:t>’</w:t>
      </w:r>
      <w:r>
        <w:rPr>
          <w:lang w:val="fr-FR"/>
        </w:rPr>
        <w:t>interruption de grossesse)</w:t>
      </w:r>
      <w:r w:rsidRPr="002C602E">
        <w:rPr>
          <w:rStyle w:val="FootnoteReference"/>
          <w:lang w:val="fr-FR"/>
        </w:rPr>
        <w:footnoteReference w:id="11"/>
      </w:r>
      <w:r>
        <w:rPr>
          <w:lang w:val="fr-FR"/>
        </w:rPr>
        <w:t xml:space="preserve"> a été adoptée par les chambres de l</w:t>
      </w:r>
      <w:r w:rsidR="00462A51">
        <w:rPr>
          <w:lang w:val="fr-FR"/>
        </w:rPr>
        <w:t>’</w:t>
      </w:r>
      <w:r>
        <w:rPr>
          <w:lang w:val="fr-FR"/>
        </w:rPr>
        <w:t>Oireachtas le 13 décembre 2018 et promulguée par le Président le 20 décembre 2018. Les éléments clés de la législation, en particulier les motifs pour lesquels l</w:t>
      </w:r>
      <w:r w:rsidR="00462A51">
        <w:rPr>
          <w:lang w:val="fr-FR"/>
        </w:rPr>
        <w:t>’</w:t>
      </w:r>
      <w:r>
        <w:rPr>
          <w:lang w:val="fr-FR"/>
        </w:rPr>
        <w:t>interruption de grossesse peut être pratiquée, restent les mêmes que ceux énoncés dans le projet de plan général.</w:t>
      </w:r>
    </w:p>
    <w:p w14:paraId="1EFFB611" w14:textId="7E99F98D" w:rsidR="002C602E" w:rsidRPr="0030064A" w:rsidRDefault="002C602E" w:rsidP="00B97AFE">
      <w:pPr>
        <w:pStyle w:val="SingleTxt"/>
        <w:numPr>
          <w:ilvl w:val="0"/>
          <w:numId w:val="20"/>
        </w:numPr>
        <w:spacing w:line="240" w:lineRule="exact"/>
        <w:ind w:left="1267"/>
        <w:rPr>
          <w:lang w:val="fr-FR"/>
        </w:rPr>
      </w:pPr>
      <w:r>
        <w:rPr>
          <w:lang w:val="fr-FR"/>
        </w:rPr>
        <w:t>La loi autorise l</w:t>
      </w:r>
      <w:r w:rsidR="00462A51">
        <w:rPr>
          <w:lang w:val="fr-FR"/>
        </w:rPr>
        <w:t>’</w:t>
      </w:r>
      <w:r>
        <w:rPr>
          <w:lang w:val="fr-FR"/>
        </w:rPr>
        <w:t>interruption de grossesse lorsqu</w:t>
      </w:r>
      <w:r w:rsidR="00462A51">
        <w:rPr>
          <w:lang w:val="fr-FR"/>
        </w:rPr>
        <w:t>’</w:t>
      </w:r>
      <w:r>
        <w:rPr>
          <w:lang w:val="fr-FR"/>
        </w:rPr>
        <w:t>il y a un risque pour la vie ou une atteinte grave à la santé de la femme enceinte</w:t>
      </w:r>
      <w:r w:rsidR="00462A51">
        <w:rPr>
          <w:lang w:val="fr-FR"/>
        </w:rPr>
        <w:t> ;</w:t>
      </w:r>
      <w:r>
        <w:rPr>
          <w:lang w:val="fr-FR"/>
        </w:rPr>
        <w:t xml:space="preserve"> lorsqu</w:t>
      </w:r>
      <w:r w:rsidR="00462A51">
        <w:rPr>
          <w:lang w:val="fr-FR"/>
        </w:rPr>
        <w:t>’</w:t>
      </w:r>
      <w:r>
        <w:rPr>
          <w:lang w:val="fr-FR"/>
        </w:rPr>
        <w:t>il existe un risque pour la vie ou la santé de la femme enceinte en cas d</w:t>
      </w:r>
      <w:r w:rsidR="00462A51">
        <w:rPr>
          <w:lang w:val="fr-FR"/>
        </w:rPr>
        <w:t>’</w:t>
      </w:r>
      <w:r>
        <w:rPr>
          <w:lang w:val="fr-FR"/>
        </w:rPr>
        <w:t>urgence</w:t>
      </w:r>
      <w:r w:rsidR="00462A51">
        <w:rPr>
          <w:lang w:val="fr-FR"/>
        </w:rPr>
        <w:t> ;</w:t>
      </w:r>
      <w:r>
        <w:rPr>
          <w:lang w:val="fr-FR"/>
        </w:rPr>
        <w:t xml:space="preserve"> lorsqu</w:t>
      </w:r>
      <w:r w:rsidR="00462A51">
        <w:rPr>
          <w:lang w:val="fr-FR"/>
        </w:rPr>
        <w:t>’</w:t>
      </w:r>
      <w:r>
        <w:rPr>
          <w:lang w:val="fr-FR"/>
        </w:rPr>
        <w:t>il existe une affection susceptible d</w:t>
      </w:r>
      <w:r w:rsidR="00462A51">
        <w:rPr>
          <w:lang w:val="fr-FR"/>
        </w:rPr>
        <w:t>’</w:t>
      </w:r>
      <w:r>
        <w:rPr>
          <w:lang w:val="fr-FR"/>
        </w:rPr>
        <w:t>entraîner la mort du fœtus avant la naissance ou dans les 28 jours suivant cette dernière</w:t>
      </w:r>
      <w:r w:rsidR="00462A51">
        <w:rPr>
          <w:lang w:val="fr-FR"/>
        </w:rPr>
        <w:t> ;</w:t>
      </w:r>
      <w:r>
        <w:rPr>
          <w:lang w:val="fr-FR"/>
        </w:rPr>
        <w:t xml:space="preserve"> et sans restriction jusqu</w:t>
      </w:r>
      <w:r w:rsidR="00462A51">
        <w:rPr>
          <w:lang w:val="fr-FR"/>
        </w:rPr>
        <w:t>’</w:t>
      </w:r>
      <w:r>
        <w:rPr>
          <w:lang w:val="fr-FR"/>
        </w:rPr>
        <w:t>à 12 semaines de grossesse. La loi prévoit un accès universel aux services d</w:t>
      </w:r>
      <w:r w:rsidR="00462A51">
        <w:rPr>
          <w:lang w:val="fr-FR"/>
        </w:rPr>
        <w:t>’</w:t>
      </w:r>
      <w:r>
        <w:rPr>
          <w:lang w:val="fr-FR"/>
        </w:rPr>
        <w:t>interruption de grossesse pour les personnes qui résident habituellement dans l</w:t>
      </w:r>
      <w:r w:rsidR="00462A51">
        <w:rPr>
          <w:lang w:val="fr-FR"/>
        </w:rPr>
        <w:t>’</w:t>
      </w:r>
      <w:r>
        <w:rPr>
          <w:lang w:val="fr-FR"/>
        </w:rPr>
        <w:t>État (c</w:t>
      </w:r>
      <w:r w:rsidR="00462A51">
        <w:rPr>
          <w:lang w:val="fr-FR"/>
        </w:rPr>
        <w:t>’</w:t>
      </w:r>
      <w:r>
        <w:rPr>
          <w:lang w:val="fr-FR"/>
        </w:rPr>
        <w:t xml:space="preserve">est-à-dire que les services sont fournis gratuitement). Les femmes </w:t>
      </w:r>
      <w:r w:rsidR="00B97AFE">
        <w:rPr>
          <w:lang w:val="fr-FR"/>
        </w:rPr>
        <w:t>– </w:t>
      </w:r>
      <w:r>
        <w:rPr>
          <w:lang w:val="fr-FR"/>
        </w:rPr>
        <w:t>tant celle qui résident dans l</w:t>
      </w:r>
      <w:r w:rsidR="00462A51">
        <w:rPr>
          <w:lang w:val="fr-FR"/>
        </w:rPr>
        <w:t>’</w:t>
      </w:r>
      <w:r>
        <w:rPr>
          <w:lang w:val="fr-FR"/>
        </w:rPr>
        <w:t>État que celles provenant de l</w:t>
      </w:r>
      <w:r w:rsidR="00462A51">
        <w:rPr>
          <w:lang w:val="fr-FR"/>
        </w:rPr>
        <w:t>’</w:t>
      </w:r>
      <w:r>
        <w:rPr>
          <w:lang w:val="fr-FR"/>
        </w:rPr>
        <w:t>étranger</w:t>
      </w:r>
      <w:r w:rsidR="00B97AFE">
        <w:rPr>
          <w:lang w:val="fr-FR"/>
        </w:rPr>
        <w:t> –</w:t>
      </w:r>
      <w:r>
        <w:rPr>
          <w:lang w:val="fr-FR"/>
        </w:rPr>
        <w:t xml:space="preserve"> peuvent également accéder au service à titre privé, si elles le souhaitent. Toutefois, elles devront payer des honoraires pour en bénéficier. Bien que le fait de mettre intentionnellement fin à la vie d</w:t>
      </w:r>
      <w:r w:rsidR="00462A51">
        <w:rPr>
          <w:lang w:val="fr-FR"/>
        </w:rPr>
        <w:t>’</w:t>
      </w:r>
      <w:r>
        <w:rPr>
          <w:lang w:val="fr-FR"/>
        </w:rPr>
        <w:t>un fœtus autrement qu</w:t>
      </w:r>
      <w:r w:rsidR="00462A51">
        <w:rPr>
          <w:lang w:val="fr-FR"/>
        </w:rPr>
        <w:t>’</w:t>
      </w:r>
      <w:r>
        <w:rPr>
          <w:lang w:val="fr-FR"/>
        </w:rPr>
        <w:t>en conformité avec les dispositions de la loi constitue une infraction, ces dispositions ne s</w:t>
      </w:r>
      <w:r w:rsidR="00462A51">
        <w:rPr>
          <w:lang w:val="fr-FR"/>
        </w:rPr>
        <w:t>’</w:t>
      </w:r>
      <w:r>
        <w:rPr>
          <w:lang w:val="fr-FR"/>
        </w:rPr>
        <w:t>appliquent pas à une femme enceinte qui a mis fin ou tenté de mettre fin à sa propre grossesse. Cette loi abroge la loi de 2013 sur la protection de la vie pendant la grossesse et la loi de 1995 sur la réglementation de l</w:t>
      </w:r>
      <w:r w:rsidR="00462A51">
        <w:rPr>
          <w:lang w:val="fr-FR"/>
        </w:rPr>
        <w:t>’</w:t>
      </w:r>
      <w:r>
        <w:rPr>
          <w:lang w:val="fr-FR"/>
        </w:rPr>
        <w:t>information (services en dehors de l</w:t>
      </w:r>
      <w:r w:rsidR="00462A51">
        <w:rPr>
          <w:lang w:val="fr-FR"/>
        </w:rPr>
        <w:t>’</w:t>
      </w:r>
      <w:r>
        <w:rPr>
          <w:lang w:val="fr-FR"/>
        </w:rPr>
        <w:t>État pour l</w:t>
      </w:r>
      <w:r w:rsidR="00462A51">
        <w:rPr>
          <w:lang w:val="fr-FR"/>
        </w:rPr>
        <w:t>’</w:t>
      </w:r>
      <w:r>
        <w:rPr>
          <w:lang w:val="fr-FR"/>
        </w:rPr>
        <w:t>interruption de grossesse).</w:t>
      </w:r>
    </w:p>
    <w:p w14:paraId="203CA67A" w14:textId="39EB1986" w:rsidR="002C602E" w:rsidRPr="000C262A" w:rsidRDefault="002C602E" w:rsidP="00B97AFE">
      <w:pPr>
        <w:pStyle w:val="SingleTxt"/>
        <w:numPr>
          <w:ilvl w:val="0"/>
          <w:numId w:val="20"/>
        </w:numPr>
        <w:tabs>
          <w:tab w:val="num" w:pos="2804"/>
        </w:tabs>
        <w:spacing w:line="240" w:lineRule="exact"/>
        <w:ind w:left="1267"/>
      </w:pPr>
      <w:r>
        <w:rPr>
          <w:lang w:val="fr-FR"/>
        </w:rPr>
        <w:t>Les services d</w:t>
      </w:r>
      <w:r w:rsidR="00462A51">
        <w:rPr>
          <w:lang w:val="fr-FR"/>
        </w:rPr>
        <w:t>’</w:t>
      </w:r>
      <w:r>
        <w:rPr>
          <w:lang w:val="fr-FR"/>
        </w:rPr>
        <w:t>interruption de grossesse ont débuté le 1</w:t>
      </w:r>
      <w:r w:rsidRPr="006A2596">
        <w:rPr>
          <w:vertAlign w:val="superscript"/>
          <w:lang w:val="fr-FR"/>
        </w:rPr>
        <w:t>er</w:t>
      </w:r>
      <w:r>
        <w:rPr>
          <w:lang w:val="fr-FR"/>
        </w:rPr>
        <w:t xml:space="preserve"> janvier 2019.</w:t>
      </w:r>
    </w:p>
    <w:p w14:paraId="2D2973BF" w14:textId="2A4A2E2B" w:rsidR="000C262A" w:rsidRDefault="000C262A">
      <w:pPr>
        <w:spacing w:after="200" w:line="276" w:lineRule="auto"/>
        <w:rPr>
          <w:lang w:val="fr-FR"/>
        </w:rPr>
      </w:pPr>
      <w:r>
        <w:rPr>
          <w:lang w:val="fr-FR"/>
        </w:rPr>
        <w:br w:type="page"/>
      </w:r>
    </w:p>
    <w:p w14:paraId="31CF0AFE" w14:textId="77777777" w:rsidR="000C262A" w:rsidRPr="0030064A" w:rsidRDefault="000C262A" w:rsidP="000C26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262A">
        <w:rPr>
          <w:lang w:val="fr-FR"/>
        </w:rPr>
        <w:t>Annexe</w:t>
      </w:r>
      <w:r>
        <w:rPr>
          <w:lang w:val="fr-FR"/>
        </w:rPr>
        <w:t xml:space="preserve"> 1</w:t>
      </w:r>
    </w:p>
    <w:p w14:paraId="6EE58837" w14:textId="77777777" w:rsidR="000C262A" w:rsidRPr="0030064A" w:rsidRDefault="000C262A" w:rsidP="000C262A">
      <w:pPr>
        <w:pStyle w:val="SingleTxt"/>
        <w:spacing w:after="0" w:line="120" w:lineRule="exact"/>
        <w:rPr>
          <w:sz w:val="10"/>
          <w:lang w:val="fr-FR"/>
        </w:rPr>
      </w:pPr>
    </w:p>
    <w:p w14:paraId="76A78CEE" w14:textId="77777777" w:rsidR="000C262A" w:rsidRPr="0030064A" w:rsidRDefault="000C262A" w:rsidP="000C262A">
      <w:pPr>
        <w:pStyle w:val="SingleTxt"/>
        <w:spacing w:after="0" w:line="120" w:lineRule="exact"/>
        <w:rPr>
          <w:sz w:val="10"/>
          <w:lang w:val="fr-FR"/>
        </w:rPr>
      </w:pPr>
    </w:p>
    <w:p w14:paraId="14D6767B" w14:textId="77777777" w:rsidR="000C262A" w:rsidRPr="0030064A" w:rsidRDefault="000C262A" w:rsidP="000C26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C262A">
        <w:rPr>
          <w:szCs w:val="20"/>
          <w:lang w:val="fr-FR"/>
        </w:rPr>
        <w:t>Annexe</w:t>
      </w:r>
      <w:r>
        <w:rPr>
          <w:lang w:val="fr-FR"/>
        </w:rPr>
        <w:t xml:space="preserve"> au paragraphe 33</w:t>
      </w:r>
    </w:p>
    <w:p w14:paraId="028C1571" w14:textId="77777777" w:rsidR="000C262A" w:rsidRPr="0030064A" w:rsidRDefault="000C262A" w:rsidP="000C262A">
      <w:pPr>
        <w:pStyle w:val="SingleTxt"/>
        <w:spacing w:after="0" w:line="120" w:lineRule="exact"/>
        <w:rPr>
          <w:sz w:val="10"/>
          <w:lang w:val="fr-FR"/>
        </w:rPr>
      </w:pPr>
    </w:p>
    <w:p w14:paraId="531F51D6" w14:textId="254306E1" w:rsidR="000C262A" w:rsidRPr="0030064A" w:rsidRDefault="000C262A" w:rsidP="000C262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Tableau</w:t>
      </w:r>
      <w:r w:rsidR="00462A51">
        <w:rPr>
          <w:lang w:val="fr-FR"/>
        </w:rPr>
        <w:t> :</w:t>
      </w:r>
      <w:r>
        <w:rPr>
          <w:lang w:val="fr-FR"/>
        </w:rPr>
        <w:t xml:space="preserve"> </w:t>
      </w:r>
      <w:r w:rsidRPr="000C262A">
        <w:rPr>
          <w:szCs w:val="20"/>
          <w:lang w:val="fr-FR"/>
        </w:rPr>
        <w:t>Allocation</w:t>
      </w:r>
      <w:r>
        <w:rPr>
          <w:lang w:val="fr-FR"/>
        </w:rPr>
        <w:t xml:space="preserve"> de fonds à l</w:t>
      </w:r>
      <w:r w:rsidR="00462A51">
        <w:rPr>
          <w:lang w:val="fr-FR"/>
        </w:rPr>
        <w:t>’</w:t>
      </w:r>
      <w:r>
        <w:rPr>
          <w:lang w:val="fr-FR"/>
        </w:rPr>
        <w:t>IHREC pour 2015-2020</w:t>
      </w:r>
    </w:p>
    <w:p w14:paraId="73936B03" w14:textId="4F0F8D5B" w:rsidR="000C262A" w:rsidRPr="000C262A" w:rsidRDefault="000C262A" w:rsidP="000C262A">
      <w:pPr>
        <w:pStyle w:val="SingleTxt"/>
        <w:spacing w:after="0" w:line="120" w:lineRule="exact"/>
        <w:rPr>
          <w:sz w:val="10"/>
          <w:lang w:val="fr-FR"/>
        </w:rPr>
      </w:pPr>
    </w:p>
    <w:p w14:paraId="22AEBEBE" w14:textId="77777777" w:rsidR="000C262A" w:rsidRPr="0030064A" w:rsidRDefault="000C262A" w:rsidP="000C262A">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75"/>
        <w:gridCol w:w="1151"/>
        <w:gridCol w:w="1151"/>
        <w:gridCol w:w="1152"/>
        <w:gridCol w:w="56"/>
        <w:gridCol w:w="1095"/>
        <w:gridCol w:w="48"/>
        <w:gridCol w:w="1104"/>
      </w:tblGrid>
      <w:tr w:rsidR="000C262A" w:rsidRPr="000C262A" w14:paraId="12D1AE4F" w14:textId="77777777" w:rsidTr="000C262A">
        <w:trPr>
          <w:tblHeader/>
        </w:trPr>
        <w:tc>
          <w:tcPr>
            <w:tcW w:w="1575" w:type="dxa"/>
            <w:vMerge w:val="restart"/>
            <w:tcBorders>
              <w:top w:val="single" w:sz="4" w:space="0" w:color="auto"/>
            </w:tcBorders>
            <w:shd w:val="clear" w:color="auto" w:fill="auto"/>
            <w:noWrap/>
            <w:vAlign w:val="bottom"/>
          </w:tcPr>
          <w:p w14:paraId="797D54FD" w14:textId="77777777" w:rsidR="000C262A" w:rsidRPr="000C262A" w:rsidRDefault="000C262A" w:rsidP="000C262A">
            <w:pPr>
              <w:spacing w:before="81" w:after="81" w:line="160" w:lineRule="exact"/>
              <w:ind w:right="40"/>
              <w:rPr>
                <w:i/>
                <w:sz w:val="14"/>
              </w:rPr>
            </w:pPr>
            <w:r w:rsidRPr="000C262A">
              <w:rPr>
                <w:i/>
                <w:sz w:val="14"/>
              </w:rPr>
              <w:t>Année</w:t>
            </w:r>
          </w:p>
        </w:tc>
        <w:tc>
          <w:tcPr>
            <w:tcW w:w="3454" w:type="dxa"/>
            <w:gridSpan w:val="3"/>
            <w:tcBorders>
              <w:top w:val="single" w:sz="4" w:space="0" w:color="auto"/>
              <w:bottom w:val="single" w:sz="4" w:space="0" w:color="auto"/>
            </w:tcBorders>
            <w:shd w:val="clear" w:color="auto" w:fill="auto"/>
            <w:noWrap/>
            <w:vAlign w:val="bottom"/>
          </w:tcPr>
          <w:p w14:paraId="58325456" w14:textId="5D534F36" w:rsidR="000C262A" w:rsidRPr="000C262A" w:rsidRDefault="000C262A" w:rsidP="000C262A">
            <w:pPr>
              <w:spacing w:before="81" w:after="81" w:line="160" w:lineRule="exact"/>
              <w:ind w:right="43"/>
              <w:jc w:val="center"/>
              <w:rPr>
                <w:i/>
                <w:sz w:val="14"/>
              </w:rPr>
            </w:pPr>
            <w:r w:rsidRPr="000C262A">
              <w:rPr>
                <w:i/>
                <w:sz w:val="14"/>
              </w:rPr>
              <w:t>Allocation (en milliers d</w:t>
            </w:r>
            <w:r w:rsidR="00462A51">
              <w:rPr>
                <w:i/>
                <w:sz w:val="14"/>
              </w:rPr>
              <w:t>’</w:t>
            </w:r>
            <w:r w:rsidRPr="000C262A">
              <w:rPr>
                <w:i/>
                <w:sz w:val="14"/>
              </w:rPr>
              <w:t>euros)</w:t>
            </w:r>
          </w:p>
        </w:tc>
        <w:tc>
          <w:tcPr>
            <w:tcW w:w="56" w:type="dxa"/>
            <w:tcBorders>
              <w:top w:val="single" w:sz="4" w:space="0" w:color="auto"/>
            </w:tcBorders>
            <w:shd w:val="clear" w:color="auto" w:fill="auto"/>
            <w:noWrap/>
            <w:vAlign w:val="bottom"/>
          </w:tcPr>
          <w:p w14:paraId="40A95002" w14:textId="5EE8D6F7" w:rsidR="000C262A" w:rsidRPr="000C262A" w:rsidRDefault="000C262A" w:rsidP="000C262A">
            <w:pPr>
              <w:spacing w:before="81" w:after="81" w:line="160" w:lineRule="exact"/>
              <w:ind w:right="43"/>
              <w:jc w:val="right"/>
              <w:rPr>
                <w:i/>
                <w:sz w:val="14"/>
              </w:rPr>
            </w:pPr>
          </w:p>
        </w:tc>
        <w:tc>
          <w:tcPr>
            <w:tcW w:w="1095" w:type="dxa"/>
            <w:tcBorders>
              <w:top w:val="single" w:sz="4" w:space="0" w:color="auto"/>
              <w:bottom w:val="single" w:sz="4" w:space="0" w:color="auto"/>
            </w:tcBorders>
            <w:shd w:val="clear" w:color="auto" w:fill="auto"/>
            <w:vAlign w:val="bottom"/>
          </w:tcPr>
          <w:p w14:paraId="1DDA4CC6" w14:textId="46083081" w:rsidR="000C262A" w:rsidRPr="000C262A" w:rsidRDefault="000C262A" w:rsidP="000C262A">
            <w:pPr>
              <w:spacing w:before="81" w:after="81" w:line="160" w:lineRule="exact"/>
              <w:ind w:right="43"/>
              <w:jc w:val="right"/>
              <w:rPr>
                <w:i/>
                <w:sz w:val="14"/>
              </w:rPr>
            </w:pPr>
            <w:r w:rsidRPr="000C262A">
              <w:rPr>
                <w:i/>
                <w:sz w:val="14"/>
              </w:rPr>
              <w:t>(en milliers d</w:t>
            </w:r>
            <w:r w:rsidR="00462A51">
              <w:rPr>
                <w:i/>
                <w:sz w:val="14"/>
              </w:rPr>
              <w:t>’</w:t>
            </w:r>
            <w:r w:rsidRPr="000C262A">
              <w:rPr>
                <w:i/>
                <w:sz w:val="14"/>
              </w:rPr>
              <w:t>euros)</w:t>
            </w:r>
          </w:p>
        </w:tc>
        <w:tc>
          <w:tcPr>
            <w:tcW w:w="48" w:type="dxa"/>
            <w:tcBorders>
              <w:top w:val="single" w:sz="4" w:space="0" w:color="auto"/>
            </w:tcBorders>
            <w:shd w:val="clear" w:color="auto" w:fill="auto"/>
            <w:noWrap/>
            <w:vAlign w:val="bottom"/>
          </w:tcPr>
          <w:p w14:paraId="334167CB" w14:textId="29D2E4E3" w:rsidR="000C262A" w:rsidRPr="000C262A" w:rsidRDefault="000C262A" w:rsidP="000C262A">
            <w:pPr>
              <w:spacing w:before="81" w:after="81" w:line="160" w:lineRule="exact"/>
              <w:ind w:right="43"/>
              <w:jc w:val="right"/>
              <w:rPr>
                <w:i/>
                <w:sz w:val="14"/>
              </w:rPr>
            </w:pPr>
          </w:p>
        </w:tc>
        <w:tc>
          <w:tcPr>
            <w:tcW w:w="1104" w:type="dxa"/>
            <w:tcBorders>
              <w:top w:val="single" w:sz="4" w:space="0" w:color="auto"/>
              <w:bottom w:val="single" w:sz="4" w:space="0" w:color="auto"/>
            </w:tcBorders>
            <w:shd w:val="clear" w:color="auto" w:fill="auto"/>
            <w:vAlign w:val="bottom"/>
          </w:tcPr>
          <w:p w14:paraId="5AC00020" w14:textId="1417363D" w:rsidR="000C262A" w:rsidRPr="000C262A" w:rsidRDefault="000C262A" w:rsidP="000C262A">
            <w:pPr>
              <w:spacing w:before="81" w:after="81" w:line="160" w:lineRule="exact"/>
              <w:ind w:right="43"/>
              <w:jc w:val="right"/>
              <w:rPr>
                <w:i/>
                <w:sz w:val="14"/>
              </w:rPr>
            </w:pPr>
            <w:r w:rsidRPr="000C262A">
              <w:rPr>
                <w:i/>
                <w:sz w:val="14"/>
              </w:rPr>
              <w:t>(en milliers d</w:t>
            </w:r>
            <w:r w:rsidR="00462A51">
              <w:rPr>
                <w:i/>
                <w:sz w:val="14"/>
              </w:rPr>
              <w:t>’</w:t>
            </w:r>
            <w:r w:rsidRPr="000C262A">
              <w:rPr>
                <w:i/>
                <w:sz w:val="14"/>
              </w:rPr>
              <w:t>euros)</w:t>
            </w:r>
          </w:p>
        </w:tc>
      </w:tr>
      <w:tr w:rsidR="000C262A" w:rsidRPr="000C262A" w14:paraId="6FCE1842" w14:textId="77777777" w:rsidTr="000C262A">
        <w:trPr>
          <w:tblHeader/>
        </w:trPr>
        <w:tc>
          <w:tcPr>
            <w:tcW w:w="1575" w:type="dxa"/>
            <w:vMerge/>
            <w:tcBorders>
              <w:bottom w:val="single" w:sz="12" w:space="0" w:color="auto"/>
            </w:tcBorders>
            <w:shd w:val="clear" w:color="auto" w:fill="auto"/>
            <w:noWrap/>
            <w:vAlign w:val="bottom"/>
          </w:tcPr>
          <w:p w14:paraId="1118C8A5" w14:textId="77777777" w:rsidR="000C262A" w:rsidRPr="000C262A" w:rsidRDefault="000C262A" w:rsidP="000C262A">
            <w:pPr>
              <w:spacing w:before="81" w:after="81" w:line="160" w:lineRule="exact"/>
              <w:ind w:right="40"/>
              <w:rPr>
                <w:i/>
                <w:sz w:val="14"/>
              </w:rPr>
            </w:pPr>
          </w:p>
        </w:tc>
        <w:tc>
          <w:tcPr>
            <w:tcW w:w="1151" w:type="dxa"/>
            <w:tcBorders>
              <w:top w:val="single" w:sz="4" w:space="0" w:color="auto"/>
              <w:bottom w:val="single" w:sz="12" w:space="0" w:color="auto"/>
            </w:tcBorders>
            <w:shd w:val="clear" w:color="auto" w:fill="auto"/>
            <w:noWrap/>
            <w:vAlign w:val="bottom"/>
          </w:tcPr>
          <w:p w14:paraId="7ED62167" w14:textId="77777777" w:rsidR="000C262A" w:rsidRPr="000C262A" w:rsidRDefault="000C262A" w:rsidP="000C262A">
            <w:pPr>
              <w:spacing w:before="81" w:after="81" w:line="160" w:lineRule="exact"/>
              <w:ind w:right="43"/>
              <w:jc w:val="right"/>
              <w:rPr>
                <w:i/>
                <w:sz w:val="14"/>
              </w:rPr>
            </w:pPr>
            <w:r w:rsidRPr="000C262A">
              <w:rPr>
                <w:i/>
                <w:sz w:val="14"/>
              </w:rPr>
              <w:t>Salaires</w:t>
            </w:r>
          </w:p>
        </w:tc>
        <w:tc>
          <w:tcPr>
            <w:tcW w:w="1151" w:type="dxa"/>
            <w:tcBorders>
              <w:top w:val="single" w:sz="4" w:space="0" w:color="auto"/>
              <w:bottom w:val="single" w:sz="12" w:space="0" w:color="auto"/>
            </w:tcBorders>
            <w:shd w:val="clear" w:color="auto" w:fill="auto"/>
            <w:noWrap/>
            <w:vAlign w:val="bottom"/>
          </w:tcPr>
          <w:p w14:paraId="77CC66D9" w14:textId="77777777" w:rsidR="000C262A" w:rsidRPr="000C262A" w:rsidRDefault="000C262A" w:rsidP="000C262A">
            <w:pPr>
              <w:spacing w:before="81" w:after="81" w:line="160" w:lineRule="exact"/>
              <w:ind w:right="43"/>
              <w:jc w:val="right"/>
              <w:rPr>
                <w:i/>
                <w:sz w:val="14"/>
              </w:rPr>
            </w:pPr>
            <w:r w:rsidRPr="000C262A">
              <w:rPr>
                <w:i/>
                <w:sz w:val="14"/>
              </w:rPr>
              <w:t>Autres</w:t>
            </w:r>
          </w:p>
        </w:tc>
        <w:tc>
          <w:tcPr>
            <w:tcW w:w="1152" w:type="dxa"/>
            <w:tcBorders>
              <w:top w:val="single" w:sz="4" w:space="0" w:color="auto"/>
              <w:bottom w:val="single" w:sz="12" w:space="0" w:color="auto"/>
            </w:tcBorders>
            <w:shd w:val="clear" w:color="auto" w:fill="auto"/>
            <w:noWrap/>
            <w:vAlign w:val="bottom"/>
          </w:tcPr>
          <w:p w14:paraId="77928B8A" w14:textId="77777777" w:rsidR="000C262A" w:rsidRPr="000C262A" w:rsidRDefault="000C262A" w:rsidP="000C262A">
            <w:pPr>
              <w:spacing w:before="81" w:after="81" w:line="160" w:lineRule="exact"/>
              <w:ind w:right="43"/>
              <w:jc w:val="right"/>
              <w:rPr>
                <w:i/>
                <w:sz w:val="14"/>
              </w:rPr>
            </w:pPr>
            <w:r w:rsidRPr="000C262A">
              <w:rPr>
                <w:i/>
                <w:sz w:val="14"/>
              </w:rPr>
              <w:t>Total</w:t>
            </w:r>
          </w:p>
        </w:tc>
        <w:tc>
          <w:tcPr>
            <w:tcW w:w="1151" w:type="dxa"/>
            <w:gridSpan w:val="2"/>
            <w:tcBorders>
              <w:bottom w:val="single" w:sz="12" w:space="0" w:color="auto"/>
            </w:tcBorders>
            <w:shd w:val="clear" w:color="auto" w:fill="auto"/>
            <w:noWrap/>
            <w:vAlign w:val="bottom"/>
          </w:tcPr>
          <w:p w14:paraId="4C001EF3" w14:textId="77777777" w:rsidR="000C262A" w:rsidRPr="000C262A" w:rsidRDefault="000C262A" w:rsidP="000C262A">
            <w:pPr>
              <w:spacing w:before="81" w:after="81" w:line="160" w:lineRule="exact"/>
              <w:ind w:right="43"/>
              <w:jc w:val="right"/>
              <w:rPr>
                <w:i/>
                <w:sz w:val="14"/>
              </w:rPr>
            </w:pPr>
            <w:r w:rsidRPr="000C262A">
              <w:rPr>
                <w:i/>
                <w:sz w:val="14"/>
              </w:rPr>
              <w:t>Dépenses provisoires*</w:t>
            </w:r>
          </w:p>
        </w:tc>
        <w:tc>
          <w:tcPr>
            <w:tcW w:w="1152" w:type="dxa"/>
            <w:gridSpan w:val="2"/>
            <w:tcBorders>
              <w:bottom w:val="single" w:sz="12" w:space="0" w:color="auto"/>
            </w:tcBorders>
            <w:shd w:val="clear" w:color="auto" w:fill="auto"/>
            <w:noWrap/>
            <w:vAlign w:val="bottom"/>
          </w:tcPr>
          <w:p w14:paraId="3BB026D2" w14:textId="77777777" w:rsidR="000C262A" w:rsidRPr="000C262A" w:rsidRDefault="000C262A" w:rsidP="000C262A">
            <w:pPr>
              <w:spacing w:before="81" w:after="81" w:line="160" w:lineRule="exact"/>
              <w:ind w:right="43"/>
              <w:jc w:val="right"/>
              <w:rPr>
                <w:i/>
                <w:sz w:val="14"/>
              </w:rPr>
            </w:pPr>
            <w:r w:rsidRPr="000C262A">
              <w:rPr>
                <w:i/>
                <w:sz w:val="14"/>
              </w:rPr>
              <w:t>Excédent</w:t>
            </w:r>
          </w:p>
        </w:tc>
      </w:tr>
      <w:tr w:rsidR="000C262A" w:rsidRPr="000C262A" w14:paraId="1F5A23CA" w14:textId="77777777" w:rsidTr="000C262A">
        <w:trPr>
          <w:trHeight w:hRule="exact" w:val="115"/>
          <w:tblHeader/>
        </w:trPr>
        <w:tc>
          <w:tcPr>
            <w:tcW w:w="1575" w:type="dxa"/>
            <w:tcBorders>
              <w:top w:val="single" w:sz="12" w:space="0" w:color="auto"/>
            </w:tcBorders>
            <w:shd w:val="clear" w:color="auto" w:fill="auto"/>
            <w:noWrap/>
            <w:vAlign w:val="bottom"/>
          </w:tcPr>
          <w:p w14:paraId="7EA0C832" w14:textId="77777777" w:rsidR="000C262A" w:rsidRPr="000C262A" w:rsidRDefault="000C262A" w:rsidP="000C262A">
            <w:pPr>
              <w:spacing w:before="40" w:after="40" w:line="210" w:lineRule="exact"/>
              <w:ind w:right="40"/>
              <w:rPr>
                <w:sz w:val="17"/>
              </w:rPr>
            </w:pPr>
          </w:p>
        </w:tc>
        <w:tc>
          <w:tcPr>
            <w:tcW w:w="1151" w:type="dxa"/>
            <w:tcBorders>
              <w:top w:val="single" w:sz="12" w:space="0" w:color="auto"/>
            </w:tcBorders>
            <w:shd w:val="clear" w:color="auto" w:fill="auto"/>
            <w:noWrap/>
            <w:vAlign w:val="bottom"/>
          </w:tcPr>
          <w:p w14:paraId="792D2637" w14:textId="77777777" w:rsidR="000C262A" w:rsidRPr="000C262A" w:rsidRDefault="000C262A" w:rsidP="000C262A">
            <w:pPr>
              <w:spacing w:before="40" w:after="40" w:line="210" w:lineRule="exact"/>
              <w:ind w:right="43"/>
              <w:jc w:val="right"/>
              <w:rPr>
                <w:sz w:val="17"/>
              </w:rPr>
            </w:pPr>
          </w:p>
        </w:tc>
        <w:tc>
          <w:tcPr>
            <w:tcW w:w="1151" w:type="dxa"/>
            <w:tcBorders>
              <w:top w:val="single" w:sz="12" w:space="0" w:color="auto"/>
            </w:tcBorders>
            <w:shd w:val="clear" w:color="auto" w:fill="auto"/>
            <w:noWrap/>
            <w:vAlign w:val="bottom"/>
          </w:tcPr>
          <w:p w14:paraId="541FF627" w14:textId="77777777" w:rsidR="000C262A" w:rsidRPr="000C262A" w:rsidRDefault="000C262A" w:rsidP="000C262A">
            <w:pPr>
              <w:spacing w:before="40" w:after="40" w:line="210" w:lineRule="exact"/>
              <w:ind w:right="43"/>
              <w:jc w:val="right"/>
              <w:rPr>
                <w:sz w:val="17"/>
              </w:rPr>
            </w:pPr>
          </w:p>
        </w:tc>
        <w:tc>
          <w:tcPr>
            <w:tcW w:w="1152" w:type="dxa"/>
            <w:tcBorders>
              <w:top w:val="single" w:sz="12" w:space="0" w:color="auto"/>
            </w:tcBorders>
            <w:shd w:val="clear" w:color="auto" w:fill="auto"/>
            <w:noWrap/>
            <w:vAlign w:val="bottom"/>
          </w:tcPr>
          <w:p w14:paraId="69331ED7" w14:textId="77777777" w:rsidR="000C262A" w:rsidRPr="000C262A" w:rsidRDefault="000C262A" w:rsidP="000C262A">
            <w:pPr>
              <w:spacing w:before="40" w:after="40" w:line="210" w:lineRule="exact"/>
              <w:ind w:right="43"/>
              <w:jc w:val="right"/>
              <w:rPr>
                <w:sz w:val="17"/>
              </w:rPr>
            </w:pPr>
          </w:p>
        </w:tc>
        <w:tc>
          <w:tcPr>
            <w:tcW w:w="1151" w:type="dxa"/>
            <w:gridSpan w:val="2"/>
            <w:tcBorders>
              <w:top w:val="single" w:sz="12" w:space="0" w:color="auto"/>
            </w:tcBorders>
            <w:shd w:val="clear" w:color="auto" w:fill="auto"/>
            <w:noWrap/>
            <w:vAlign w:val="bottom"/>
          </w:tcPr>
          <w:p w14:paraId="693314CA" w14:textId="77777777" w:rsidR="000C262A" w:rsidRPr="000C262A" w:rsidRDefault="000C262A" w:rsidP="000C262A">
            <w:pPr>
              <w:spacing w:before="40" w:after="40" w:line="210" w:lineRule="exact"/>
              <w:ind w:right="43"/>
              <w:jc w:val="right"/>
              <w:rPr>
                <w:sz w:val="17"/>
              </w:rPr>
            </w:pPr>
          </w:p>
        </w:tc>
        <w:tc>
          <w:tcPr>
            <w:tcW w:w="1152" w:type="dxa"/>
            <w:gridSpan w:val="2"/>
            <w:tcBorders>
              <w:top w:val="single" w:sz="12" w:space="0" w:color="auto"/>
            </w:tcBorders>
            <w:shd w:val="clear" w:color="auto" w:fill="auto"/>
            <w:noWrap/>
            <w:vAlign w:val="bottom"/>
          </w:tcPr>
          <w:p w14:paraId="67B17ECB" w14:textId="77777777" w:rsidR="000C262A" w:rsidRPr="000C262A" w:rsidRDefault="000C262A" w:rsidP="000C262A">
            <w:pPr>
              <w:spacing w:before="40" w:after="40" w:line="210" w:lineRule="exact"/>
              <w:ind w:right="43"/>
              <w:jc w:val="right"/>
              <w:rPr>
                <w:sz w:val="17"/>
              </w:rPr>
            </w:pPr>
          </w:p>
        </w:tc>
      </w:tr>
      <w:tr w:rsidR="000C262A" w:rsidRPr="000C262A" w14:paraId="090E9DF1" w14:textId="77777777" w:rsidTr="000C262A">
        <w:tc>
          <w:tcPr>
            <w:tcW w:w="1575" w:type="dxa"/>
            <w:shd w:val="clear" w:color="auto" w:fill="auto"/>
            <w:noWrap/>
            <w:vAlign w:val="bottom"/>
          </w:tcPr>
          <w:p w14:paraId="513C508F" w14:textId="77777777" w:rsidR="000C262A" w:rsidRPr="000C262A" w:rsidRDefault="000C262A" w:rsidP="000C262A">
            <w:pPr>
              <w:tabs>
                <w:tab w:val="left" w:pos="288"/>
                <w:tab w:val="left" w:pos="576"/>
                <w:tab w:val="left" w:pos="864"/>
                <w:tab w:val="left" w:pos="1152"/>
              </w:tabs>
              <w:spacing w:before="40" w:after="40" w:line="210" w:lineRule="exact"/>
              <w:ind w:right="40"/>
              <w:rPr>
                <w:sz w:val="17"/>
              </w:rPr>
            </w:pPr>
            <w:r w:rsidRPr="000C262A">
              <w:rPr>
                <w:sz w:val="17"/>
              </w:rPr>
              <w:t>2015</w:t>
            </w:r>
          </w:p>
        </w:tc>
        <w:tc>
          <w:tcPr>
            <w:tcW w:w="1151" w:type="dxa"/>
            <w:shd w:val="clear" w:color="auto" w:fill="auto"/>
            <w:noWrap/>
            <w:vAlign w:val="bottom"/>
          </w:tcPr>
          <w:p w14:paraId="11EB6BDF"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3,240</w:t>
            </w:r>
          </w:p>
        </w:tc>
        <w:tc>
          <w:tcPr>
            <w:tcW w:w="1151" w:type="dxa"/>
            <w:shd w:val="clear" w:color="auto" w:fill="auto"/>
            <w:noWrap/>
            <w:vAlign w:val="bottom"/>
          </w:tcPr>
          <w:p w14:paraId="0F960F66"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3,090</w:t>
            </w:r>
          </w:p>
        </w:tc>
        <w:tc>
          <w:tcPr>
            <w:tcW w:w="1152" w:type="dxa"/>
            <w:shd w:val="clear" w:color="auto" w:fill="auto"/>
            <w:noWrap/>
            <w:vAlign w:val="bottom"/>
          </w:tcPr>
          <w:p w14:paraId="0AD9772D"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6,330</w:t>
            </w:r>
          </w:p>
        </w:tc>
        <w:tc>
          <w:tcPr>
            <w:tcW w:w="1151" w:type="dxa"/>
            <w:gridSpan w:val="2"/>
            <w:shd w:val="clear" w:color="auto" w:fill="auto"/>
            <w:noWrap/>
            <w:vAlign w:val="bottom"/>
          </w:tcPr>
          <w:p w14:paraId="53BDB8E3"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3,880</w:t>
            </w:r>
          </w:p>
        </w:tc>
        <w:tc>
          <w:tcPr>
            <w:tcW w:w="1152" w:type="dxa"/>
            <w:gridSpan w:val="2"/>
            <w:shd w:val="clear" w:color="auto" w:fill="auto"/>
            <w:noWrap/>
            <w:vAlign w:val="bottom"/>
          </w:tcPr>
          <w:p w14:paraId="306AB781"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2,450</w:t>
            </w:r>
          </w:p>
        </w:tc>
      </w:tr>
      <w:tr w:rsidR="000C262A" w:rsidRPr="000C262A" w14:paraId="43E5983F" w14:textId="77777777" w:rsidTr="000C262A">
        <w:tc>
          <w:tcPr>
            <w:tcW w:w="1575" w:type="dxa"/>
            <w:shd w:val="clear" w:color="auto" w:fill="auto"/>
            <w:noWrap/>
            <w:vAlign w:val="bottom"/>
          </w:tcPr>
          <w:p w14:paraId="10CDE45F" w14:textId="77777777" w:rsidR="000C262A" w:rsidRPr="000C262A" w:rsidRDefault="000C262A" w:rsidP="000C262A">
            <w:pPr>
              <w:tabs>
                <w:tab w:val="left" w:pos="288"/>
                <w:tab w:val="left" w:pos="576"/>
                <w:tab w:val="left" w:pos="864"/>
                <w:tab w:val="left" w:pos="1152"/>
              </w:tabs>
              <w:spacing w:before="40" w:after="40" w:line="210" w:lineRule="exact"/>
              <w:ind w:right="40"/>
              <w:rPr>
                <w:sz w:val="17"/>
              </w:rPr>
            </w:pPr>
            <w:r w:rsidRPr="000C262A">
              <w:rPr>
                <w:sz w:val="17"/>
              </w:rPr>
              <w:t>2016</w:t>
            </w:r>
          </w:p>
        </w:tc>
        <w:tc>
          <w:tcPr>
            <w:tcW w:w="1151" w:type="dxa"/>
            <w:shd w:val="clear" w:color="auto" w:fill="auto"/>
            <w:noWrap/>
            <w:vAlign w:val="bottom"/>
          </w:tcPr>
          <w:p w14:paraId="45BEBE5E"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3,210</w:t>
            </w:r>
          </w:p>
        </w:tc>
        <w:tc>
          <w:tcPr>
            <w:tcW w:w="1151" w:type="dxa"/>
            <w:shd w:val="clear" w:color="auto" w:fill="auto"/>
            <w:noWrap/>
            <w:vAlign w:val="bottom"/>
          </w:tcPr>
          <w:p w14:paraId="4199FC48"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3,100</w:t>
            </w:r>
          </w:p>
        </w:tc>
        <w:tc>
          <w:tcPr>
            <w:tcW w:w="1152" w:type="dxa"/>
            <w:shd w:val="clear" w:color="auto" w:fill="auto"/>
            <w:noWrap/>
            <w:vAlign w:val="bottom"/>
          </w:tcPr>
          <w:p w14:paraId="4B7031B8"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6,310</w:t>
            </w:r>
          </w:p>
        </w:tc>
        <w:tc>
          <w:tcPr>
            <w:tcW w:w="1151" w:type="dxa"/>
            <w:gridSpan w:val="2"/>
            <w:shd w:val="clear" w:color="auto" w:fill="auto"/>
            <w:noWrap/>
            <w:vAlign w:val="bottom"/>
          </w:tcPr>
          <w:p w14:paraId="2A303856"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6,170</w:t>
            </w:r>
          </w:p>
        </w:tc>
        <w:tc>
          <w:tcPr>
            <w:tcW w:w="1152" w:type="dxa"/>
            <w:gridSpan w:val="2"/>
            <w:shd w:val="clear" w:color="auto" w:fill="auto"/>
            <w:noWrap/>
            <w:vAlign w:val="bottom"/>
          </w:tcPr>
          <w:p w14:paraId="16EE0294"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 xml:space="preserve">0,140 </w:t>
            </w:r>
          </w:p>
        </w:tc>
      </w:tr>
      <w:tr w:rsidR="000C262A" w:rsidRPr="000C262A" w14:paraId="193B0692" w14:textId="77777777" w:rsidTr="000C262A">
        <w:tc>
          <w:tcPr>
            <w:tcW w:w="1575" w:type="dxa"/>
            <w:shd w:val="clear" w:color="auto" w:fill="auto"/>
            <w:noWrap/>
            <w:vAlign w:val="bottom"/>
          </w:tcPr>
          <w:p w14:paraId="5A0E705E" w14:textId="77777777" w:rsidR="000C262A" w:rsidRPr="000C262A" w:rsidRDefault="000C262A" w:rsidP="000C262A">
            <w:pPr>
              <w:tabs>
                <w:tab w:val="left" w:pos="288"/>
                <w:tab w:val="left" w:pos="576"/>
                <w:tab w:val="left" w:pos="864"/>
                <w:tab w:val="left" w:pos="1152"/>
              </w:tabs>
              <w:spacing w:before="40" w:after="40" w:line="210" w:lineRule="exact"/>
              <w:ind w:right="40"/>
              <w:rPr>
                <w:sz w:val="17"/>
              </w:rPr>
            </w:pPr>
            <w:r w:rsidRPr="000C262A">
              <w:rPr>
                <w:sz w:val="17"/>
              </w:rPr>
              <w:t>2017</w:t>
            </w:r>
          </w:p>
        </w:tc>
        <w:tc>
          <w:tcPr>
            <w:tcW w:w="1151" w:type="dxa"/>
            <w:shd w:val="clear" w:color="auto" w:fill="auto"/>
            <w:noWrap/>
            <w:vAlign w:val="bottom"/>
          </w:tcPr>
          <w:p w14:paraId="76F9AAED"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3,538</w:t>
            </w:r>
          </w:p>
        </w:tc>
        <w:tc>
          <w:tcPr>
            <w:tcW w:w="1151" w:type="dxa"/>
            <w:shd w:val="clear" w:color="auto" w:fill="auto"/>
            <w:noWrap/>
            <w:vAlign w:val="bottom"/>
          </w:tcPr>
          <w:p w14:paraId="631F2BB3"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3,093</w:t>
            </w:r>
          </w:p>
        </w:tc>
        <w:tc>
          <w:tcPr>
            <w:tcW w:w="1152" w:type="dxa"/>
            <w:shd w:val="clear" w:color="auto" w:fill="auto"/>
            <w:noWrap/>
            <w:vAlign w:val="bottom"/>
          </w:tcPr>
          <w:p w14:paraId="3DDC578E"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6,631</w:t>
            </w:r>
          </w:p>
        </w:tc>
        <w:tc>
          <w:tcPr>
            <w:tcW w:w="1151" w:type="dxa"/>
            <w:gridSpan w:val="2"/>
            <w:shd w:val="clear" w:color="auto" w:fill="auto"/>
            <w:noWrap/>
            <w:vAlign w:val="bottom"/>
          </w:tcPr>
          <w:p w14:paraId="4917C125"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5,340</w:t>
            </w:r>
          </w:p>
        </w:tc>
        <w:tc>
          <w:tcPr>
            <w:tcW w:w="1152" w:type="dxa"/>
            <w:gridSpan w:val="2"/>
            <w:shd w:val="clear" w:color="auto" w:fill="auto"/>
            <w:noWrap/>
            <w:vAlign w:val="bottom"/>
          </w:tcPr>
          <w:p w14:paraId="2F598B20"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1,291</w:t>
            </w:r>
          </w:p>
        </w:tc>
      </w:tr>
      <w:tr w:rsidR="000C262A" w:rsidRPr="000C262A" w14:paraId="7C68B00C" w14:textId="77777777" w:rsidTr="000C262A">
        <w:tc>
          <w:tcPr>
            <w:tcW w:w="1575" w:type="dxa"/>
            <w:shd w:val="clear" w:color="auto" w:fill="auto"/>
            <w:noWrap/>
            <w:vAlign w:val="bottom"/>
          </w:tcPr>
          <w:p w14:paraId="0877CE82" w14:textId="77777777" w:rsidR="000C262A" w:rsidRPr="000C262A" w:rsidRDefault="000C262A" w:rsidP="000C262A">
            <w:pPr>
              <w:tabs>
                <w:tab w:val="left" w:pos="288"/>
                <w:tab w:val="left" w:pos="576"/>
                <w:tab w:val="left" w:pos="864"/>
                <w:tab w:val="left" w:pos="1152"/>
              </w:tabs>
              <w:spacing w:before="40" w:after="40" w:line="210" w:lineRule="exact"/>
              <w:ind w:right="40"/>
              <w:rPr>
                <w:sz w:val="17"/>
              </w:rPr>
            </w:pPr>
            <w:r w:rsidRPr="000C262A">
              <w:rPr>
                <w:sz w:val="17"/>
              </w:rPr>
              <w:t>2018</w:t>
            </w:r>
          </w:p>
        </w:tc>
        <w:tc>
          <w:tcPr>
            <w:tcW w:w="1151" w:type="dxa"/>
            <w:shd w:val="clear" w:color="auto" w:fill="auto"/>
            <w:noWrap/>
            <w:vAlign w:val="bottom"/>
          </w:tcPr>
          <w:p w14:paraId="7739FEEE"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3,610</w:t>
            </w:r>
          </w:p>
        </w:tc>
        <w:tc>
          <w:tcPr>
            <w:tcW w:w="1151" w:type="dxa"/>
            <w:shd w:val="clear" w:color="auto" w:fill="auto"/>
            <w:noWrap/>
            <w:vAlign w:val="bottom"/>
          </w:tcPr>
          <w:p w14:paraId="06F5E906"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3,093</w:t>
            </w:r>
          </w:p>
        </w:tc>
        <w:tc>
          <w:tcPr>
            <w:tcW w:w="1152" w:type="dxa"/>
            <w:shd w:val="clear" w:color="auto" w:fill="auto"/>
            <w:noWrap/>
            <w:vAlign w:val="bottom"/>
          </w:tcPr>
          <w:p w14:paraId="22F948B3"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6,703</w:t>
            </w:r>
          </w:p>
        </w:tc>
        <w:tc>
          <w:tcPr>
            <w:tcW w:w="1151" w:type="dxa"/>
            <w:gridSpan w:val="2"/>
            <w:shd w:val="clear" w:color="auto" w:fill="auto"/>
            <w:noWrap/>
            <w:vAlign w:val="bottom"/>
          </w:tcPr>
          <w:p w14:paraId="5066B35F"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4,687</w:t>
            </w:r>
          </w:p>
        </w:tc>
        <w:tc>
          <w:tcPr>
            <w:tcW w:w="1152" w:type="dxa"/>
            <w:gridSpan w:val="2"/>
            <w:shd w:val="clear" w:color="auto" w:fill="auto"/>
            <w:noWrap/>
            <w:vAlign w:val="bottom"/>
          </w:tcPr>
          <w:p w14:paraId="0EFC3422" w14:textId="77777777" w:rsidR="000C262A" w:rsidRPr="000C262A" w:rsidRDefault="000C262A" w:rsidP="000C262A">
            <w:pPr>
              <w:tabs>
                <w:tab w:val="left" w:pos="288"/>
                <w:tab w:val="left" w:pos="576"/>
                <w:tab w:val="left" w:pos="864"/>
                <w:tab w:val="left" w:pos="1152"/>
              </w:tabs>
              <w:spacing w:before="40" w:after="40" w:line="210" w:lineRule="exact"/>
              <w:ind w:right="43"/>
              <w:jc w:val="right"/>
              <w:rPr>
                <w:sz w:val="17"/>
              </w:rPr>
            </w:pPr>
            <w:r w:rsidRPr="000C262A">
              <w:rPr>
                <w:sz w:val="17"/>
              </w:rPr>
              <w:t>2,016</w:t>
            </w:r>
          </w:p>
        </w:tc>
      </w:tr>
      <w:tr w:rsidR="000C262A" w:rsidRPr="000C262A" w14:paraId="52A4B95D" w14:textId="77777777" w:rsidTr="000C262A">
        <w:tc>
          <w:tcPr>
            <w:tcW w:w="1575" w:type="dxa"/>
            <w:tcBorders>
              <w:bottom w:val="single" w:sz="4" w:space="0" w:color="auto"/>
            </w:tcBorders>
            <w:shd w:val="clear" w:color="auto" w:fill="auto"/>
            <w:noWrap/>
            <w:vAlign w:val="bottom"/>
          </w:tcPr>
          <w:p w14:paraId="5736C94C" w14:textId="77777777" w:rsidR="000C262A" w:rsidRPr="000C262A" w:rsidRDefault="000C262A" w:rsidP="000C262A">
            <w:pPr>
              <w:tabs>
                <w:tab w:val="left" w:pos="288"/>
                <w:tab w:val="left" w:pos="576"/>
                <w:tab w:val="left" w:pos="864"/>
                <w:tab w:val="left" w:pos="1152"/>
              </w:tabs>
              <w:spacing w:before="40" w:after="81" w:line="210" w:lineRule="exact"/>
              <w:ind w:right="40"/>
              <w:rPr>
                <w:sz w:val="17"/>
              </w:rPr>
            </w:pPr>
            <w:r w:rsidRPr="000C262A">
              <w:rPr>
                <w:sz w:val="17"/>
              </w:rPr>
              <w:t>2019</w:t>
            </w:r>
          </w:p>
        </w:tc>
        <w:tc>
          <w:tcPr>
            <w:tcW w:w="1151" w:type="dxa"/>
            <w:tcBorders>
              <w:bottom w:val="single" w:sz="4" w:space="0" w:color="auto"/>
            </w:tcBorders>
            <w:shd w:val="clear" w:color="auto" w:fill="auto"/>
            <w:noWrap/>
            <w:vAlign w:val="bottom"/>
          </w:tcPr>
          <w:p w14:paraId="6BD55C12" w14:textId="77777777" w:rsidR="000C262A" w:rsidRPr="000C262A" w:rsidRDefault="000C262A" w:rsidP="000C262A">
            <w:pPr>
              <w:tabs>
                <w:tab w:val="left" w:pos="288"/>
                <w:tab w:val="left" w:pos="576"/>
                <w:tab w:val="left" w:pos="864"/>
                <w:tab w:val="left" w:pos="1152"/>
              </w:tabs>
              <w:spacing w:before="40" w:after="81" w:line="210" w:lineRule="exact"/>
              <w:ind w:right="43"/>
              <w:jc w:val="right"/>
              <w:rPr>
                <w:sz w:val="17"/>
              </w:rPr>
            </w:pPr>
            <w:r w:rsidRPr="000C262A">
              <w:rPr>
                <w:sz w:val="17"/>
              </w:rPr>
              <w:t>3,658</w:t>
            </w:r>
          </w:p>
        </w:tc>
        <w:tc>
          <w:tcPr>
            <w:tcW w:w="1151" w:type="dxa"/>
            <w:tcBorders>
              <w:bottom w:val="single" w:sz="4" w:space="0" w:color="auto"/>
            </w:tcBorders>
            <w:shd w:val="clear" w:color="auto" w:fill="auto"/>
            <w:noWrap/>
            <w:vAlign w:val="bottom"/>
          </w:tcPr>
          <w:p w14:paraId="733A1B38" w14:textId="77777777" w:rsidR="000C262A" w:rsidRPr="000C262A" w:rsidRDefault="000C262A" w:rsidP="000C262A">
            <w:pPr>
              <w:tabs>
                <w:tab w:val="left" w:pos="288"/>
                <w:tab w:val="left" w:pos="576"/>
                <w:tab w:val="left" w:pos="864"/>
                <w:tab w:val="left" w:pos="1152"/>
              </w:tabs>
              <w:spacing w:before="40" w:after="81" w:line="210" w:lineRule="exact"/>
              <w:ind w:right="43"/>
              <w:jc w:val="right"/>
              <w:rPr>
                <w:sz w:val="17"/>
              </w:rPr>
            </w:pPr>
            <w:r w:rsidRPr="000C262A">
              <w:rPr>
                <w:sz w:val="17"/>
              </w:rPr>
              <w:t>3,093</w:t>
            </w:r>
          </w:p>
        </w:tc>
        <w:tc>
          <w:tcPr>
            <w:tcW w:w="1152" w:type="dxa"/>
            <w:tcBorders>
              <w:bottom w:val="single" w:sz="4" w:space="0" w:color="auto"/>
            </w:tcBorders>
            <w:shd w:val="clear" w:color="auto" w:fill="auto"/>
            <w:noWrap/>
            <w:vAlign w:val="bottom"/>
          </w:tcPr>
          <w:p w14:paraId="173316C7" w14:textId="77777777" w:rsidR="000C262A" w:rsidRPr="000C262A" w:rsidRDefault="000C262A" w:rsidP="000C262A">
            <w:pPr>
              <w:tabs>
                <w:tab w:val="left" w:pos="288"/>
                <w:tab w:val="left" w:pos="576"/>
                <w:tab w:val="left" w:pos="864"/>
                <w:tab w:val="left" w:pos="1152"/>
              </w:tabs>
              <w:spacing w:before="40" w:after="81" w:line="210" w:lineRule="exact"/>
              <w:ind w:right="43"/>
              <w:jc w:val="right"/>
              <w:rPr>
                <w:sz w:val="17"/>
              </w:rPr>
            </w:pPr>
            <w:r w:rsidRPr="000C262A">
              <w:rPr>
                <w:sz w:val="17"/>
              </w:rPr>
              <w:t>6,751</w:t>
            </w:r>
          </w:p>
        </w:tc>
        <w:tc>
          <w:tcPr>
            <w:tcW w:w="1151" w:type="dxa"/>
            <w:gridSpan w:val="2"/>
            <w:tcBorders>
              <w:bottom w:val="single" w:sz="4" w:space="0" w:color="auto"/>
            </w:tcBorders>
            <w:shd w:val="clear" w:color="auto" w:fill="auto"/>
            <w:noWrap/>
            <w:vAlign w:val="bottom"/>
          </w:tcPr>
          <w:p w14:paraId="1DFD8545" w14:textId="77777777" w:rsidR="000C262A" w:rsidRPr="000C262A" w:rsidRDefault="000C262A" w:rsidP="000C262A">
            <w:pPr>
              <w:tabs>
                <w:tab w:val="left" w:pos="288"/>
                <w:tab w:val="left" w:pos="576"/>
                <w:tab w:val="left" w:pos="864"/>
                <w:tab w:val="left" w:pos="1152"/>
              </w:tabs>
              <w:spacing w:before="40" w:after="81" w:line="210" w:lineRule="exact"/>
              <w:ind w:right="43"/>
              <w:jc w:val="right"/>
              <w:rPr>
                <w:sz w:val="17"/>
              </w:rPr>
            </w:pPr>
            <w:r w:rsidRPr="000C262A">
              <w:rPr>
                <w:sz w:val="17"/>
              </w:rPr>
              <w:t>6,151</w:t>
            </w:r>
          </w:p>
        </w:tc>
        <w:tc>
          <w:tcPr>
            <w:tcW w:w="1152" w:type="dxa"/>
            <w:gridSpan w:val="2"/>
            <w:tcBorders>
              <w:bottom w:val="single" w:sz="4" w:space="0" w:color="auto"/>
            </w:tcBorders>
            <w:shd w:val="clear" w:color="auto" w:fill="auto"/>
            <w:noWrap/>
            <w:vAlign w:val="bottom"/>
          </w:tcPr>
          <w:p w14:paraId="21EE6BA7" w14:textId="77777777" w:rsidR="000C262A" w:rsidRPr="000C262A" w:rsidRDefault="000C262A" w:rsidP="000C262A">
            <w:pPr>
              <w:tabs>
                <w:tab w:val="left" w:pos="288"/>
                <w:tab w:val="left" w:pos="576"/>
                <w:tab w:val="left" w:pos="864"/>
                <w:tab w:val="left" w:pos="1152"/>
              </w:tabs>
              <w:spacing w:before="40" w:after="81" w:line="210" w:lineRule="exact"/>
              <w:ind w:right="43"/>
              <w:jc w:val="right"/>
              <w:rPr>
                <w:sz w:val="17"/>
              </w:rPr>
            </w:pPr>
            <w:r w:rsidRPr="000C262A">
              <w:rPr>
                <w:sz w:val="17"/>
              </w:rPr>
              <w:t xml:space="preserve">0,600 </w:t>
            </w:r>
          </w:p>
        </w:tc>
      </w:tr>
      <w:tr w:rsidR="000C262A" w:rsidRPr="000C262A" w14:paraId="07203DC9" w14:textId="77777777" w:rsidTr="000C262A">
        <w:tc>
          <w:tcPr>
            <w:tcW w:w="1575" w:type="dxa"/>
            <w:tcBorders>
              <w:top w:val="single" w:sz="4" w:space="0" w:color="auto"/>
              <w:bottom w:val="single" w:sz="4" w:space="0" w:color="auto"/>
            </w:tcBorders>
            <w:shd w:val="clear" w:color="auto" w:fill="auto"/>
            <w:noWrap/>
            <w:vAlign w:val="bottom"/>
          </w:tcPr>
          <w:p w14:paraId="1467FA82" w14:textId="383BD656" w:rsidR="000C262A" w:rsidRPr="000C262A" w:rsidRDefault="000C262A" w:rsidP="000C262A">
            <w:pPr>
              <w:tabs>
                <w:tab w:val="left" w:pos="288"/>
                <w:tab w:val="left" w:pos="576"/>
                <w:tab w:val="left" w:pos="864"/>
                <w:tab w:val="left" w:pos="1152"/>
              </w:tabs>
              <w:spacing w:before="81" w:after="81" w:line="210" w:lineRule="exact"/>
              <w:ind w:right="40"/>
              <w:rPr>
                <w:b/>
                <w:sz w:val="17"/>
              </w:rPr>
            </w:pPr>
            <w:r w:rsidRPr="000C262A">
              <w:rPr>
                <w:b/>
                <w:sz w:val="17"/>
              </w:rPr>
              <w:tab/>
              <w:t>Total 2015-2019</w:t>
            </w:r>
          </w:p>
        </w:tc>
        <w:tc>
          <w:tcPr>
            <w:tcW w:w="1151" w:type="dxa"/>
            <w:tcBorders>
              <w:top w:val="single" w:sz="4" w:space="0" w:color="auto"/>
              <w:bottom w:val="single" w:sz="4" w:space="0" w:color="auto"/>
            </w:tcBorders>
            <w:shd w:val="clear" w:color="auto" w:fill="auto"/>
            <w:noWrap/>
            <w:vAlign w:val="bottom"/>
          </w:tcPr>
          <w:p w14:paraId="7401F8E8" w14:textId="77777777" w:rsidR="000C262A" w:rsidRPr="000C262A" w:rsidRDefault="000C262A" w:rsidP="000C262A">
            <w:pPr>
              <w:tabs>
                <w:tab w:val="left" w:pos="288"/>
                <w:tab w:val="left" w:pos="576"/>
                <w:tab w:val="left" w:pos="864"/>
                <w:tab w:val="left" w:pos="1152"/>
              </w:tabs>
              <w:spacing w:before="81" w:after="81" w:line="210" w:lineRule="exact"/>
              <w:ind w:right="43"/>
              <w:jc w:val="right"/>
              <w:rPr>
                <w:b/>
                <w:sz w:val="17"/>
              </w:rPr>
            </w:pPr>
          </w:p>
        </w:tc>
        <w:tc>
          <w:tcPr>
            <w:tcW w:w="1151" w:type="dxa"/>
            <w:tcBorders>
              <w:top w:val="single" w:sz="4" w:space="0" w:color="auto"/>
              <w:bottom w:val="single" w:sz="4" w:space="0" w:color="auto"/>
            </w:tcBorders>
            <w:shd w:val="clear" w:color="auto" w:fill="auto"/>
            <w:noWrap/>
            <w:vAlign w:val="bottom"/>
          </w:tcPr>
          <w:p w14:paraId="0AB6D884" w14:textId="77777777" w:rsidR="000C262A" w:rsidRPr="000C262A" w:rsidRDefault="000C262A" w:rsidP="000C262A">
            <w:pPr>
              <w:tabs>
                <w:tab w:val="left" w:pos="288"/>
                <w:tab w:val="left" w:pos="576"/>
                <w:tab w:val="left" w:pos="864"/>
                <w:tab w:val="left" w:pos="1152"/>
              </w:tabs>
              <w:spacing w:before="81" w:after="81" w:line="210" w:lineRule="exact"/>
              <w:ind w:right="43"/>
              <w:jc w:val="right"/>
              <w:rPr>
                <w:b/>
                <w:sz w:val="17"/>
              </w:rPr>
            </w:pPr>
          </w:p>
        </w:tc>
        <w:tc>
          <w:tcPr>
            <w:tcW w:w="1152" w:type="dxa"/>
            <w:tcBorders>
              <w:top w:val="single" w:sz="4" w:space="0" w:color="auto"/>
              <w:bottom w:val="single" w:sz="4" w:space="0" w:color="auto"/>
            </w:tcBorders>
            <w:shd w:val="clear" w:color="auto" w:fill="auto"/>
            <w:noWrap/>
            <w:vAlign w:val="bottom"/>
          </w:tcPr>
          <w:p w14:paraId="239CF9BA" w14:textId="77777777" w:rsidR="000C262A" w:rsidRPr="000C262A" w:rsidRDefault="000C262A" w:rsidP="000C262A">
            <w:pPr>
              <w:tabs>
                <w:tab w:val="left" w:pos="288"/>
                <w:tab w:val="left" w:pos="576"/>
                <w:tab w:val="left" w:pos="864"/>
                <w:tab w:val="left" w:pos="1152"/>
              </w:tabs>
              <w:spacing w:before="81" w:after="81" w:line="210" w:lineRule="exact"/>
              <w:ind w:right="43"/>
              <w:jc w:val="right"/>
              <w:rPr>
                <w:b/>
                <w:sz w:val="17"/>
              </w:rPr>
            </w:pPr>
            <w:r w:rsidRPr="000C262A">
              <w:rPr>
                <w:b/>
                <w:sz w:val="17"/>
              </w:rPr>
              <w:t>32,725</w:t>
            </w:r>
          </w:p>
        </w:tc>
        <w:tc>
          <w:tcPr>
            <w:tcW w:w="1151" w:type="dxa"/>
            <w:gridSpan w:val="2"/>
            <w:tcBorders>
              <w:top w:val="single" w:sz="4" w:space="0" w:color="auto"/>
              <w:bottom w:val="single" w:sz="4" w:space="0" w:color="auto"/>
            </w:tcBorders>
            <w:shd w:val="clear" w:color="auto" w:fill="auto"/>
            <w:noWrap/>
            <w:vAlign w:val="bottom"/>
          </w:tcPr>
          <w:p w14:paraId="582509C5" w14:textId="77777777" w:rsidR="000C262A" w:rsidRPr="000C262A" w:rsidRDefault="000C262A" w:rsidP="000C262A">
            <w:pPr>
              <w:tabs>
                <w:tab w:val="left" w:pos="288"/>
                <w:tab w:val="left" w:pos="576"/>
                <w:tab w:val="left" w:pos="864"/>
                <w:tab w:val="left" w:pos="1152"/>
              </w:tabs>
              <w:spacing w:before="81" w:after="81" w:line="210" w:lineRule="exact"/>
              <w:ind w:right="43"/>
              <w:jc w:val="right"/>
              <w:rPr>
                <w:b/>
                <w:sz w:val="17"/>
              </w:rPr>
            </w:pPr>
            <w:r w:rsidRPr="000C262A">
              <w:rPr>
                <w:b/>
                <w:sz w:val="17"/>
              </w:rPr>
              <w:t>26,228</w:t>
            </w:r>
          </w:p>
        </w:tc>
        <w:tc>
          <w:tcPr>
            <w:tcW w:w="1152" w:type="dxa"/>
            <w:gridSpan w:val="2"/>
            <w:tcBorders>
              <w:top w:val="single" w:sz="4" w:space="0" w:color="auto"/>
              <w:bottom w:val="single" w:sz="4" w:space="0" w:color="auto"/>
            </w:tcBorders>
            <w:shd w:val="clear" w:color="auto" w:fill="auto"/>
            <w:noWrap/>
            <w:vAlign w:val="bottom"/>
          </w:tcPr>
          <w:p w14:paraId="1FF4A30F" w14:textId="77777777" w:rsidR="000C262A" w:rsidRPr="000C262A" w:rsidRDefault="000C262A" w:rsidP="000C262A">
            <w:pPr>
              <w:tabs>
                <w:tab w:val="left" w:pos="288"/>
                <w:tab w:val="left" w:pos="576"/>
                <w:tab w:val="left" w:pos="864"/>
                <w:tab w:val="left" w:pos="1152"/>
              </w:tabs>
              <w:spacing w:before="81" w:after="81" w:line="210" w:lineRule="exact"/>
              <w:ind w:right="43"/>
              <w:jc w:val="right"/>
              <w:rPr>
                <w:b/>
                <w:sz w:val="17"/>
              </w:rPr>
            </w:pPr>
          </w:p>
        </w:tc>
      </w:tr>
      <w:tr w:rsidR="000C262A" w:rsidRPr="000C262A" w14:paraId="087F7036" w14:textId="77777777" w:rsidTr="000C262A">
        <w:tc>
          <w:tcPr>
            <w:tcW w:w="1575" w:type="dxa"/>
            <w:tcBorders>
              <w:top w:val="single" w:sz="4" w:space="0" w:color="auto"/>
              <w:bottom w:val="single" w:sz="12" w:space="0" w:color="auto"/>
            </w:tcBorders>
            <w:shd w:val="clear" w:color="auto" w:fill="auto"/>
            <w:noWrap/>
            <w:vAlign w:val="bottom"/>
          </w:tcPr>
          <w:p w14:paraId="7AEEF87F" w14:textId="77777777" w:rsidR="000C262A" w:rsidRPr="000C262A" w:rsidRDefault="000C262A" w:rsidP="000C262A">
            <w:pPr>
              <w:tabs>
                <w:tab w:val="left" w:pos="288"/>
                <w:tab w:val="left" w:pos="576"/>
                <w:tab w:val="left" w:pos="864"/>
                <w:tab w:val="left" w:pos="1152"/>
              </w:tabs>
              <w:spacing w:before="81" w:after="40" w:line="210" w:lineRule="exact"/>
              <w:ind w:right="40"/>
              <w:rPr>
                <w:sz w:val="17"/>
              </w:rPr>
            </w:pPr>
            <w:r w:rsidRPr="000C262A">
              <w:rPr>
                <w:sz w:val="17"/>
              </w:rPr>
              <w:t>2020</w:t>
            </w:r>
          </w:p>
        </w:tc>
        <w:tc>
          <w:tcPr>
            <w:tcW w:w="1151" w:type="dxa"/>
            <w:tcBorders>
              <w:top w:val="single" w:sz="4" w:space="0" w:color="auto"/>
              <w:bottom w:val="single" w:sz="12" w:space="0" w:color="auto"/>
            </w:tcBorders>
            <w:shd w:val="clear" w:color="auto" w:fill="auto"/>
            <w:noWrap/>
            <w:vAlign w:val="bottom"/>
          </w:tcPr>
          <w:p w14:paraId="3CC00DFB" w14:textId="77777777" w:rsidR="000C262A" w:rsidRPr="000C262A" w:rsidRDefault="000C262A" w:rsidP="000C262A">
            <w:pPr>
              <w:tabs>
                <w:tab w:val="left" w:pos="288"/>
                <w:tab w:val="left" w:pos="576"/>
                <w:tab w:val="left" w:pos="864"/>
                <w:tab w:val="left" w:pos="1152"/>
              </w:tabs>
              <w:spacing w:before="81" w:after="40" w:line="210" w:lineRule="exact"/>
              <w:ind w:right="43"/>
              <w:jc w:val="right"/>
              <w:rPr>
                <w:sz w:val="17"/>
              </w:rPr>
            </w:pPr>
            <w:r w:rsidRPr="000C262A">
              <w:rPr>
                <w:sz w:val="17"/>
              </w:rPr>
              <w:t>3,721</w:t>
            </w:r>
          </w:p>
        </w:tc>
        <w:tc>
          <w:tcPr>
            <w:tcW w:w="1151" w:type="dxa"/>
            <w:tcBorders>
              <w:top w:val="single" w:sz="4" w:space="0" w:color="auto"/>
              <w:bottom w:val="single" w:sz="12" w:space="0" w:color="auto"/>
            </w:tcBorders>
            <w:shd w:val="clear" w:color="auto" w:fill="auto"/>
            <w:noWrap/>
            <w:vAlign w:val="bottom"/>
          </w:tcPr>
          <w:p w14:paraId="2EE53B1D" w14:textId="77777777" w:rsidR="000C262A" w:rsidRPr="000C262A" w:rsidRDefault="000C262A" w:rsidP="000C262A">
            <w:pPr>
              <w:tabs>
                <w:tab w:val="left" w:pos="288"/>
                <w:tab w:val="left" w:pos="576"/>
                <w:tab w:val="left" w:pos="864"/>
                <w:tab w:val="left" w:pos="1152"/>
              </w:tabs>
              <w:spacing w:before="81" w:after="40" w:line="210" w:lineRule="exact"/>
              <w:ind w:right="43"/>
              <w:jc w:val="right"/>
              <w:rPr>
                <w:sz w:val="17"/>
              </w:rPr>
            </w:pPr>
            <w:r w:rsidRPr="000C262A">
              <w:rPr>
                <w:sz w:val="17"/>
              </w:rPr>
              <w:t>3,093</w:t>
            </w:r>
          </w:p>
        </w:tc>
        <w:tc>
          <w:tcPr>
            <w:tcW w:w="1152" w:type="dxa"/>
            <w:tcBorders>
              <w:top w:val="single" w:sz="4" w:space="0" w:color="auto"/>
              <w:bottom w:val="single" w:sz="12" w:space="0" w:color="auto"/>
            </w:tcBorders>
            <w:shd w:val="clear" w:color="auto" w:fill="auto"/>
            <w:noWrap/>
            <w:vAlign w:val="bottom"/>
          </w:tcPr>
          <w:p w14:paraId="2B1994B7" w14:textId="77777777" w:rsidR="000C262A" w:rsidRPr="000C262A" w:rsidRDefault="000C262A" w:rsidP="000C262A">
            <w:pPr>
              <w:tabs>
                <w:tab w:val="left" w:pos="288"/>
                <w:tab w:val="left" w:pos="576"/>
                <w:tab w:val="left" w:pos="864"/>
                <w:tab w:val="left" w:pos="1152"/>
              </w:tabs>
              <w:spacing w:before="81" w:after="40" w:line="210" w:lineRule="exact"/>
              <w:ind w:right="43"/>
              <w:jc w:val="right"/>
              <w:rPr>
                <w:sz w:val="17"/>
              </w:rPr>
            </w:pPr>
            <w:r w:rsidRPr="000C262A">
              <w:rPr>
                <w:sz w:val="17"/>
              </w:rPr>
              <w:t>6,814</w:t>
            </w:r>
          </w:p>
        </w:tc>
        <w:tc>
          <w:tcPr>
            <w:tcW w:w="1151" w:type="dxa"/>
            <w:gridSpan w:val="2"/>
            <w:tcBorders>
              <w:top w:val="single" w:sz="4" w:space="0" w:color="auto"/>
              <w:bottom w:val="single" w:sz="12" w:space="0" w:color="auto"/>
            </w:tcBorders>
            <w:shd w:val="clear" w:color="auto" w:fill="auto"/>
            <w:noWrap/>
            <w:vAlign w:val="bottom"/>
          </w:tcPr>
          <w:p w14:paraId="0F6AE768" w14:textId="77777777" w:rsidR="000C262A" w:rsidRPr="000C262A" w:rsidRDefault="000C262A" w:rsidP="000C262A">
            <w:pPr>
              <w:tabs>
                <w:tab w:val="left" w:pos="288"/>
                <w:tab w:val="left" w:pos="576"/>
                <w:tab w:val="left" w:pos="864"/>
                <w:tab w:val="left" w:pos="1152"/>
              </w:tabs>
              <w:spacing w:before="81" w:after="40" w:line="210" w:lineRule="exact"/>
              <w:ind w:right="43"/>
              <w:jc w:val="right"/>
              <w:rPr>
                <w:sz w:val="17"/>
              </w:rPr>
            </w:pPr>
            <w:r w:rsidRPr="000C262A">
              <w:rPr>
                <w:sz w:val="17"/>
              </w:rPr>
              <w:t xml:space="preserve"> </w:t>
            </w:r>
          </w:p>
        </w:tc>
        <w:tc>
          <w:tcPr>
            <w:tcW w:w="1152" w:type="dxa"/>
            <w:gridSpan w:val="2"/>
            <w:tcBorders>
              <w:top w:val="single" w:sz="4" w:space="0" w:color="auto"/>
              <w:bottom w:val="single" w:sz="12" w:space="0" w:color="auto"/>
            </w:tcBorders>
            <w:shd w:val="clear" w:color="auto" w:fill="auto"/>
            <w:noWrap/>
            <w:vAlign w:val="bottom"/>
          </w:tcPr>
          <w:p w14:paraId="133C39BB" w14:textId="77777777" w:rsidR="000C262A" w:rsidRPr="000C262A" w:rsidRDefault="000C262A" w:rsidP="000C262A">
            <w:pPr>
              <w:tabs>
                <w:tab w:val="left" w:pos="288"/>
                <w:tab w:val="left" w:pos="576"/>
                <w:tab w:val="left" w:pos="864"/>
                <w:tab w:val="left" w:pos="1152"/>
              </w:tabs>
              <w:spacing w:before="81" w:after="40" w:line="210" w:lineRule="exact"/>
              <w:ind w:right="43"/>
              <w:jc w:val="right"/>
              <w:rPr>
                <w:sz w:val="17"/>
              </w:rPr>
            </w:pPr>
          </w:p>
        </w:tc>
      </w:tr>
    </w:tbl>
    <w:p w14:paraId="37BB7506" w14:textId="77777777" w:rsidR="000C262A" w:rsidRDefault="000C262A">
      <w:pPr>
        <w:spacing w:after="200" w:line="276" w:lineRule="auto"/>
      </w:pPr>
      <w:r>
        <w:br w:type="page"/>
      </w:r>
    </w:p>
    <w:p w14:paraId="770B632F" w14:textId="77777777" w:rsidR="000C262A" w:rsidRPr="00D64B9F" w:rsidRDefault="000C262A" w:rsidP="000C26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Pr="000C262A">
        <w:rPr>
          <w:lang w:val="fr-FR"/>
        </w:rPr>
        <w:t>Annexe</w:t>
      </w:r>
      <w:r>
        <w:rPr>
          <w:lang w:val="fr-FR"/>
        </w:rPr>
        <w:t xml:space="preserve"> 2</w:t>
      </w:r>
    </w:p>
    <w:p w14:paraId="0AE90354" w14:textId="77777777" w:rsidR="000C262A" w:rsidRPr="00D64B9F" w:rsidRDefault="000C262A" w:rsidP="000C262A">
      <w:pPr>
        <w:pStyle w:val="SingleTxt"/>
        <w:spacing w:after="0" w:line="120" w:lineRule="exact"/>
        <w:rPr>
          <w:sz w:val="10"/>
        </w:rPr>
      </w:pPr>
    </w:p>
    <w:p w14:paraId="28316DBB" w14:textId="77777777" w:rsidR="000C262A" w:rsidRPr="00D64B9F" w:rsidRDefault="000C262A" w:rsidP="000C262A">
      <w:pPr>
        <w:pStyle w:val="SingleTxt"/>
        <w:spacing w:after="0" w:line="120" w:lineRule="exact"/>
        <w:rPr>
          <w:sz w:val="10"/>
        </w:rPr>
      </w:pPr>
    </w:p>
    <w:p w14:paraId="0B4B6BF7" w14:textId="77777777" w:rsidR="000C262A" w:rsidRPr="00D64B9F" w:rsidRDefault="000C262A" w:rsidP="000C26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Pr="000C262A">
        <w:rPr>
          <w:szCs w:val="20"/>
          <w:lang w:val="fr-FR"/>
        </w:rPr>
        <w:t>Annexe</w:t>
      </w:r>
      <w:r>
        <w:rPr>
          <w:lang w:val="fr-FR"/>
        </w:rPr>
        <w:t xml:space="preserve"> au paragraphe 35</w:t>
      </w:r>
    </w:p>
    <w:p w14:paraId="67798BB7" w14:textId="77777777" w:rsidR="000C262A" w:rsidRPr="00D64B9F" w:rsidRDefault="000C262A" w:rsidP="000C262A">
      <w:pPr>
        <w:pStyle w:val="SingleTxt"/>
        <w:spacing w:after="0" w:line="120" w:lineRule="exact"/>
        <w:rPr>
          <w:sz w:val="10"/>
        </w:rPr>
      </w:pPr>
    </w:p>
    <w:p w14:paraId="3CF1D308" w14:textId="1AFDA0D1" w:rsidR="000C262A" w:rsidRPr="0030064A" w:rsidRDefault="000C262A" w:rsidP="000C262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Tableau</w:t>
      </w:r>
      <w:r w:rsidR="00462A51">
        <w:rPr>
          <w:lang w:val="fr-FR"/>
        </w:rPr>
        <w:t> :</w:t>
      </w:r>
      <w:r>
        <w:rPr>
          <w:lang w:val="fr-FR"/>
        </w:rPr>
        <w:t xml:space="preserve"> </w:t>
      </w:r>
      <w:r w:rsidRPr="000C262A">
        <w:rPr>
          <w:szCs w:val="20"/>
          <w:lang w:val="fr-FR"/>
        </w:rPr>
        <w:t>Exemples</w:t>
      </w:r>
      <w:r>
        <w:rPr>
          <w:lang w:val="fr-FR"/>
        </w:rPr>
        <w:t xml:space="preserve"> de financement des ONG, 2015-2020</w:t>
      </w:r>
    </w:p>
    <w:p w14:paraId="2439B4CC" w14:textId="24DC4851" w:rsidR="000C262A" w:rsidRPr="000C262A" w:rsidRDefault="000C262A" w:rsidP="000C262A">
      <w:pPr>
        <w:pStyle w:val="SingleTxt"/>
        <w:spacing w:after="0" w:line="120" w:lineRule="exact"/>
        <w:rPr>
          <w:sz w:val="10"/>
          <w:lang w:val="fr-FR"/>
        </w:rPr>
      </w:pPr>
    </w:p>
    <w:p w14:paraId="31CF13CF" w14:textId="77777777" w:rsidR="000C262A" w:rsidRPr="0030064A" w:rsidRDefault="000C262A" w:rsidP="000C262A">
      <w:pPr>
        <w:pStyle w:val="SingleTxt"/>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3"/>
        <w:gridCol w:w="951"/>
        <w:gridCol w:w="951"/>
        <w:gridCol w:w="951"/>
        <w:gridCol w:w="951"/>
        <w:gridCol w:w="951"/>
        <w:gridCol w:w="951"/>
      </w:tblGrid>
      <w:tr w:rsidR="00462A51" w:rsidRPr="00462A51" w14:paraId="597988B7" w14:textId="77777777" w:rsidTr="00462A51">
        <w:trPr>
          <w:tblHeader/>
        </w:trPr>
        <w:tc>
          <w:tcPr>
            <w:tcW w:w="2873" w:type="dxa"/>
            <w:tcBorders>
              <w:top w:val="single" w:sz="4" w:space="0" w:color="auto"/>
              <w:bottom w:val="single" w:sz="12" w:space="0" w:color="auto"/>
            </w:tcBorders>
            <w:shd w:val="clear" w:color="auto" w:fill="auto"/>
            <w:noWrap/>
            <w:vAlign w:val="bottom"/>
          </w:tcPr>
          <w:p w14:paraId="54D9B63F" w14:textId="64B96D01" w:rsidR="000C262A" w:rsidRPr="00462A51" w:rsidRDefault="000C262A" w:rsidP="00462A51">
            <w:pPr>
              <w:spacing w:before="81" w:after="81" w:line="160" w:lineRule="exact"/>
              <w:ind w:right="40"/>
              <w:rPr>
                <w:i/>
                <w:sz w:val="14"/>
              </w:rPr>
            </w:pPr>
            <w:bookmarkStart w:id="2" w:name="BeginPage"/>
            <w:bookmarkEnd w:id="2"/>
            <w:r w:rsidRPr="00462A51">
              <w:rPr>
                <w:i/>
                <w:sz w:val="14"/>
              </w:rPr>
              <w:t>Exemples de financement d</w:t>
            </w:r>
            <w:r w:rsidR="00462A51">
              <w:rPr>
                <w:i/>
                <w:sz w:val="14"/>
              </w:rPr>
              <w:t>’</w:t>
            </w:r>
            <w:r w:rsidRPr="00462A51">
              <w:rPr>
                <w:i/>
                <w:sz w:val="14"/>
              </w:rPr>
              <w:t>ONG</w:t>
            </w:r>
          </w:p>
        </w:tc>
        <w:tc>
          <w:tcPr>
            <w:tcW w:w="951" w:type="dxa"/>
            <w:tcBorders>
              <w:top w:val="single" w:sz="4" w:space="0" w:color="auto"/>
              <w:bottom w:val="single" w:sz="12" w:space="0" w:color="auto"/>
            </w:tcBorders>
            <w:shd w:val="clear" w:color="auto" w:fill="auto"/>
            <w:noWrap/>
            <w:vAlign w:val="bottom"/>
          </w:tcPr>
          <w:p w14:paraId="3F317B4F" w14:textId="77777777" w:rsidR="000C262A" w:rsidRPr="00462A51" w:rsidRDefault="000C262A" w:rsidP="00462A51">
            <w:pPr>
              <w:spacing w:before="81" w:after="81" w:line="160" w:lineRule="exact"/>
              <w:ind w:right="43"/>
              <w:jc w:val="right"/>
              <w:rPr>
                <w:i/>
                <w:sz w:val="14"/>
              </w:rPr>
            </w:pPr>
            <w:r w:rsidRPr="00462A51">
              <w:rPr>
                <w:i/>
                <w:sz w:val="14"/>
              </w:rPr>
              <w:t>2015</w:t>
            </w:r>
          </w:p>
        </w:tc>
        <w:tc>
          <w:tcPr>
            <w:tcW w:w="951" w:type="dxa"/>
            <w:tcBorders>
              <w:top w:val="single" w:sz="4" w:space="0" w:color="auto"/>
              <w:bottom w:val="single" w:sz="12" w:space="0" w:color="auto"/>
            </w:tcBorders>
            <w:shd w:val="clear" w:color="auto" w:fill="auto"/>
            <w:noWrap/>
            <w:vAlign w:val="bottom"/>
          </w:tcPr>
          <w:p w14:paraId="6854592B" w14:textId="77777777" w:rsidR="000C262A" w:rsidRPr="00462A51" w:rsidRDefault="000C262A" w:rsidP="00462A51">
            <w:pPr>
              <w:spacing w:before="81" w:after="81" w:line="160" w:lineRule="exact"/>
              <w:ind w:right="43"/>
              <w:jc w:val="right"/>
              <w:rPr>
                <w:i/>
                <w:sz w:val="14"/>
              </w:rPr>
            </w:pPr>
            <w:r w:rsidRPr="00462A51">
              <w:rPr>
                <w:i/>
                <w:sz w:val="14"/>
              </w:rPr>
              <w:t>2016</w:t>
            </w:r>
          </w:p>
        </w:tc>
        <w:tc>
          <w:tcPr>
            <w:tcW w:w="951" w:type="dxa"/>
            <w:tcBorders>
              <w:top w:val="single" w:sz="4" w:space="0" w:color="auto"/>
              <w:bottom w:val="single" w:sz="12" w:space="0" w:color="auto"/>
            </w:tcBorders>
            <w:shd w:val="clear" w:color="auto" w:fill="auto"/>
            <w:noWrap/>
            <w:vAlign w:val="bottom"/>
          </w:tcPr>
          <w:p w14:paraId="06EDADCD" w14:textId="77777777" w:rsidR="000C262A" w:rsidRPr="00462A51" w:rsidRDefault="000C262A" w:rsidP="00462A51">
            <w:pPr>
              <w:spacing w:before="81" w:after="81" w:line="160" w:lineRule="exact"/>
              <w:ind w:right="43"/>
              <w:jc w:val="right"/>
              <w:rPr>
                <w:i/>
                <w:sz w:val="14"/>
              </w:rPr>
            </w:pPr>
            <w:r w:rsidRPr="00462A51">
              <w:rPr>
                <w:i/>
                <w:sz w:val="14"/>
              </w:rPr>
              <w:t>2017</w:t>
            </w:r>
          </w:p>
        </w:tc>
        <w:tc>
          <w:tcPr>
            <w:tcW w:w="951" w:type="dxa"/>
            <w:tcBorders>
              <w:top w:val="single" w:sz="4" w:space="0" w:color="auto"/>
              <w:bottom w:val="single" w:sz="12" w:space="0" w:color="auto"/>
            </w:tcBorders>
            <w:shd w:val="clear" w:color="auto" w:fill="auto"/>
            <w:noWrap/>
            <w:vAlign w:val="bottom"/>
          </w:tcPr>
          <w:p w14:paraId="67314984" w14:textId="77777777" w:rsidR="000C262A" w:rsidRPr="00462A51" w:rsidRDefault="000C262A" w:rsidP="00462A51">
            <w:pPr>
              <w:spacing w:before="81" w:after="81" w:line="160" w:lineRule="exact"/>
              <w:ind w:right="43"/>
              <w:jc w:val="right"/>
              <w:rPr>
                <w:i/>
                <w:sz w:val="14"/>
              </w:rPr>
            </w:pPr>
            <w:r w:rsidRPr="00462A51">
              <w:rPr>
                <w:i/>
                <w:sz w:val="14"/>
              </w:rPr>
              <w:t>2018</w:t>
            </w:r>
          </w:p>
        </w:tc>
        <w:tc>
          <w:tcPr>
            <w:tcW w:w="951" w:type="dxa"/>
            <w:tcBorders>
              <w:top w:val="single" w:sz="4" w:space="0" w:color="auto"/>
              <w:bottom w:val="single" w:sz="12" w:space="0" w:color="auto"/>
            </w:tcBorders>
            <w:shd w:val="clear" w:color="auto" w:fill="auto"/>
            <w:noWrap/>
            <w:vAlign w:val="bottom"/>
          </w:tcPr>
          <w:p w14:paraId="68DE480F" w14:textId="77777777" w:rsidR="000C262A" w:rsidRPr="00462A51" w:rsidRDefault="000C262A" w:rsidP="00462A51">
            <w:pPr>
              <w:spacing w:before="81" w:after="81" w:line="160" w:lineRule="exact"/>
              <w:ind w:right="43"/>
              <w:jc w:val="right"/>
              <w:rPr>
                <w:i/>
                <w:sz w:val="14"/>
              </w:rPr>
            </w:pPr>
            <w:r w:rsidRPr="00462A51">
              <w:rPr>
                <w:i/>
                <w:sz w:val="14"/>
              </w:rPr>
              <w:t>2019</w:t>
            </w:r>
          </w:p>
        </w:tc>
        <w:tc>
          <w:tcPr>
            <w:tcW w:w="951" w:type="dxa"/>
            <w:tcBorders>
              <w:top w:val="single" w:sz="4" w:space="0" w:color="auto"/>
              <w:bottom w:val="single" w:sz="12" w:space="0" w:color="auto"/>
            </w:tcBorders>
            <w:shd w:val="clear" w:color="auto" w:fill="auto"/>
            <w:noWrap/>
            <w:vAlign w:val="bottom"/>
          </w:tcPr>
          <w:p w14:paraId="327F5200" w14:textId="77777777" w:rsidR="000C262A" w:rsidRPr="00462A51" w:rsidRDefault="000C262A" w:rsidP="00462A51">
            <w:pPr>
              <w:spacing w:before="81" w:after="81" w:line="160" w:lineRule="exact"/>
              <w:ind w:right="43"/>
              <w:jc w:val="right"/>
              <w:rPr>
                <w:i/>
                <w:sz w:val="14"/>
              </w:rPr>
            </w:pPr>
            <w:r w:rsidRPr="00462A51">
              <w:rPr>
                <w:i/>
                <w:sz w:val="14"/>
              </w:rPr>
              <w:t>2020</w:t>
            </w:r>
          </w:p>
        </w:tc>
      </w:tr>
      <w:tr w:rsidR="00462A51" w:rsidRPr="00462A51" w14:paraId="62AB0FEB" w14:textId="77777777" w:rsidTr="00462A51">
        <w:trPr>
          <w:trHeight w:hRule="exact" w:val="115"/>
          <w:tblHeader/>
        </w:trPr>
        <w:tc>
          <w:tcPr>
            <w:tcW w:w="2873" w:type="dxa"/>
            <w:tcBorders>
              <w:top w:val="single" w:sz="12" w:space="0" w:color="auto"/>
            </w:tcBorders>
            <w:shd w:val="clear" w:color="auto" w:fill="auto"/>
            <w:noWrap/>
            <w:vAlign w:val="bottom"/>
          </w:tcPr>
          <w:p w14:paraId="0A44466D" w14:textId="77777777" w:rsidR="00462A51" w:rsidRPr="00462A51" w:rsidRDefault="00462A51" w:rsidP="00462A51">
            <w:pPr>
              <w:spacing w:before="40" w:after="40" w:line="210" w:lineRule="exact"/>
              <w:ind w:right="40"/>
              <w:rPr>
                <w:sz w:val="17"/>
              </w:rPr>
            </w:pPr>
          </w:p>
        </w:tc>
        <w:tc>
          <w:tcPr>
            <w:tcW w:w="951" w:type="dxa"/>
            <w:tcBorders>
              <w:top w:val="single" w:sz="12" w:space="0" w:color="auto"/>
            </w:tcBorders>
            <w:shd w:val="clear" w:color="auto" w:fill="auto"/>
            <w:noWrap/>
            <w:vAlign w:val="bottom"/>
          </w:tcPr>
          <w:p w14:paraId="784E89CD" w14:textId="77777777" w:rsidR="00462A51" w:rsidRPr="00462A51" w:rsidRDefault="00462A51" w:rsidP="00462A51">
            <w:pPr>
              <w:spacing w:before="40" w:after="40" w:line="210" w:lineRule="exact"/>
              <w:ind w:right="43"/>
              <w:jc w:val="right"/>
              <w:rPr>
                <w:sz w:val="17"/>
              </w:rPr>
            </w:pPr>
          </w:p>
        </w:tc>
        <w:tc>
          <w:tcPr>
            <w:tcW w:w="951" w:type="dxa"/>
            <w:tcBorders>
              <w:top w:val="single" w:sz="12" w:space="0" w:color="auto"/>
            </w:tcBorders>
            <w:shd w:val="clear" w:color="auto" w:fill="auto"/>
            <w:noWrap/>
            <w:vAlign w:val="bottom"/>
          </w:tcPr>
          <w:p w14:paraId="7809853D" w14:textId="77777777" w:rsidR="00462A51" w:rsidRPr="00462A51" w:rsidRDefault="00462A51" w:rsidP="00462A51">
            <w:pPr>
              <w:spacing w:before="40" w:after="40" w:line="210" w:lineRule="exact"/>
              <w:ind w:right="43"/>
              <w:jc w:val="right"/>
              <w:rPr>
                <w:sz w:val="17"/>
              </w:rPr>
            </w:pPr>
          </w:p>
        </w:tc>
        <w:tc>
          <w:tcPr>
            <w:tcW w:w="951" w:type="dxa"/>
            <w:tcBorders>
              <w:top w:val="single" w:sz="12" w:space="0" w:color="auto"/>
            </w:tcBorders>
            <w:shd w:val="clear" w:color="auto" w:fill="auto"/>
            <w:noWrap/>
            <w:vAlign w:val="bottom"/>
          </w:tcPr>
          <w:p w14:paraId="20497A76" w14:textId="77777777" w:rsidR="00462A51" w:rsidRPr="00462A51" w:rsidRDefault="00462A51" w:rsidP="00462A51">
            <w:pPr>
              <w:spacing w:before="40" w:after="40" w:line="210" w:lineRule="exact"/>
              <w:ind w:right="43"/>
              <w:jc w:val="right"/>
              <w:rPr>
                <w:sz w:val="17"/>
              </w:rPr>
            </w:pPr>
          </w:p>
        </w:tc>
        <w:tc>
          <w:tcPr>
            <w:tcW w:w="951" w:type="dxa"/>
            <w:tcBorders>
              <w:top w:val="single" w:sz="12" w:space="0" w:color="auto"/>
            </w:tcBorders>
            <w:shd w:val="clear" w:color="auto" w:fill="auto"/>
            <w:noWrap/>
            <w:vAlign w:val="bottom"/>
          </w:tcPr>
          <w:p w14:paraId="3DEBB9BD" w14:textId="77777777" w:rsidR="00462A51" w:rsidRPr="00462A51" w:rsidRDefault="00462A51" w:rsidP="00462A51">
            <w:pPr>
              <w:spacing w:before="40" w:after="40" w:line="210" w:lineRule="exact"/>
              <w:ind w:right="43"/>
              <w:jc w:val="right"/>
              <w:rPr>
                <w:sz w:val="17"/>
              </w:rPr>
            </w:pPr>
          </w:p>
        </w:tc>
        <w:tc>
          <w:tcPr>
            <w:tcW w:w="951" w:type="dxa"/>
            <w:tcBorders>
              <w:top w:val="single" w:sz="12" w:space="0" w:color="auto"/>
            </w:tcBorders>
            <w:shd w:val="clear" w:color="auto" w:fill="auto"/>
            <w:noWrap/>
            <w:vAlign w:val="bottom"/>
          </w:tcPr>
          <w:p w14:paraId="17415C55" w14:textId="77777777" w:rsidR="00462A51" w:rsidRPr="00462A51" w:rsidRDefault="00462A51" w:rsidP="00462A51">
            <w:pPr>
              <w:spacing w:before="40" w:after="40" w:line="210" w:lineRule="exact"/>
              <w:ind w:right="43"/>
              <w:jc w:val="right"/>
              <w:rPr>
                <w:sz w:val="17"/>
              </w:rPr>
            </w:pPr>
          </w:p>
        </w:tc>
        <w:tc>
          <w:tcPr>
            <w:tcW w:w="951" w:type="dxa"/>
            <w:tcBorders>
              <w:top w:val="single" w:sz="12" w:space="0" w:color="auto"/>
            </w:tcBorders>
            <w:shd w:val="clear" w:color="auto" w:fill="auto"/>
            <w:noWrap/>
            <w:vAlign w:val="bottom"/>
          </w:tcPr>
          <w:p w14:paraId="417FE618" w14:textId="77777777" w:rsidR="00462A51" w:rsidRPr="00462A51" w:rsidRDefault="00462A51" w:rsidP="00462A51">
            <w:pPr>
              <w:spacing w:before="40" w:after="40" w:line="210" w:lineRule="exact"/>
              <w:ind w:right="43"/>
              <w:jc w:val="right"/>
              <w:rPr>
                <w:sz w:val="17"/>
              </w:rPr>
            </w:pPr>
          </w:p>
        </w:tc>
      </w:tr>
      <w:tr w:rsidR="00462A51" w:rsidRPr="00462A51" w14:paraId="0F59945E" w14:textId="77777777" w:rsidTr="00462A51">
        <w:tc>
          <w:tcPr>
            <w:tcW w:w="2873" w:type="dxa"/>
            <w:shd w:val="clear" w:color="auto" w:fill="auto"/>
            <w:noWrap/>
            <w:vAlign w:val="bottom"/>
          </w:tcPr>
          <w:p w14:paraId="2D78D8A2" w14:textId="5EF3E9E4" w:rsidR="000C262A" w:rsidRPr="00462A51" w:rsidRDefault="000C262A" w:rsidP="00462A51">
            <w:pPr>
              <w:tabs>
                <w:tab w:val="left" w:pos="288"/>
                <w:tab w:val="left" w:pos="576"/>
                <w:tab w:val="left" w:pos="864"/>
                <w:tab w:val="left" w:pos="1152"/>
              </w:tabs>
              <w:spacing w:before="40" w:after="40" w:line="210" w:lineRule="exact"/>
              <w:ind w:right="40"/>
              <w:rPr>
                <w:sz w:val="17"/>
              </w:rPr>
            </w:pPr>
            <w:r w:rsidRPr="00462A51">
              <w:rPr>
                <w:sz w:val="17"/>
              </w:rPr>
              <w:t>Financement des activités de base du</w:t>
            </w:r>
            <w:r w:rsidR="00462A51">
              <w:rPr>
                <w:sz w:val="17"/>
              </w:rPr>
              <w:t> </w:t>
            </w:r>
            <w:r w:rsidRPr="00462A51">
              <w:rPr>
                <w:sz w:val="17"/>
              </w:rPr>
              <w:t>NWCI</w:t>
            </w:r>
          </w:p>
        </w:tc>
        <w:tc>
          <w:tcPr>
            <w:tcW w:w="951" w:type="dxa"/>
            <w:shd w:val="clear" w:color="auto" w:fill="auto"/>
            <w:noWrap/>
            <w:vAlign w:val="bottom"/>
          </w:tcPr>
          <w:p w14:paraId="101B96AC"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300 000 €</w:t>
            </w:r>
          </w:p>
        </w:tc>
        <w:tc>
          <w:tcPr>
            <w:tcW w:w="951" w:type="dxa"/>
            <w:shd w:val="clear" w:color="auto" w:fill="auto"/>
            <w:noWrap/>
            <w:vAlign w:val="bottom"/>
          </w:tcPr>
          <w:p w14:paraId="0D6FF378"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400 000 €</w:t>
            </w:r>
          </w:p>
        </w:tc>
        <w:tc>
          <w:tcPr>
            <w:tcW w:w="951" w:type="dxa"/>
            <w:shd w:val="clear" w:color="auto" w:fill="auto"/>
            <w:noWrap/>
            <w:vAlign w:val="bottom"/>
          </w:tcPr>
          <w:p w14:paraId="1ADBF1CD"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480 000 €</w:t>
            </w:r>
          </w:p>
        </w:tc>
        <w:tc>
          <w:tcPr>
            <w:tcW w:w="951" w:type="dxa"/>
            <w:shd w:val="clear" w:color="auto" w:fill="auto"/>
            <w:noWrap/>
            <w:vAlign w:val="bottom"/>
          </w:tcPr>
          <w:p w14:paraId="02D80996"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500 000 €</w:t>
            </w:r>
          </w:p>
        </w:tc>
        <w:tc>
          <w:tcPr>
            <w:tcW w:w="951" w:type="dxa"/>
            <w:shd w:val="clear" w:color="auto" w:fill="auto"/>
            <w:noWrap/>
            <w:vAlign w:val="bottom"/>
          </w:tcPr>
          <w:p w14:paraId="34F4773D"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525 000 €</w:t>
            </w:r>
          </w:p>
        </w:tc>
        <w:tc>
          <w:tcPr>
            <w:tcW w:w="951" w:type="dxa"/>
            <w:shd w:val="clear" w:color="auto" w:fill="auto"/>
            <w:noWrap/>
            <w:vAlign w:val="bottom"/>
          </w:tcPr>
          <w:p w14:paraId="218F3E66"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525 000 €</w:t>
            </w:r>
          </w:p>
        </w:tc>
      </w:tr>
      <w:tr w:rsidR="00462A51" w:rsidRPr="00462A51" w14:paraId="638482BE" w14:textId="77777777" w:rsidTr="00462A51">
        <w:tc>
          <w:tcPr>
            <w:tcW w:w="2873" w:type="dxa"/>
            <w:tcBorders>
              <w:bottom w:val="single" w:sz="12" w:space="0" w:color="auto"/>
            </w:tcBorders>
            <w:shd w:val="clear" w:color="auto" w:fill="auto"/>
            <w:noWrap/>
            <w:vAlign w:val="bottom"/>
          </w:tcPr>
          <w:p w14:paraId="7A9D8E4C" w14:textId="2C9D9D64" w:rsidR="000C262A" w:rsidRPr="00462A51" w:rsidRDefault="000C262A" w:rsidP="00462A51">
            <w:pPr>
              <w:tabs>
                <w:tab w:val="left" w:pos="288"/>
                <w:tab w:val="left" w:pos="576"/>
                <w:tab w:val="left" w:pos="864"/>
                <w:tab w:val="left" w:pos="1152"/>
              </w:tabs>
              <w:spacing w:before="40" w:after="40" w:line="210" w:lineRule="exact"/>
              <w:ind w:right="40"/>
              <w:rPr>
                <w:sz w:val="17"/>
              </w:rPr>
            </w:pPr>
            <w:r w:rsidRPr="00462A51">
              <w:rPr>
                <w:sz w:val="17"/>
              </w:rPr>
              <w:t>Programme pour l</w:t>
            </w:r>
            <w:r w:rsidR="00462A51">
              <w:rPr>
                <w:sz w:val="17"/>
              </w:rPr>
              <w:t>’</w:t>
            </w:r>
            <w:r w:rsidRPr="00462A51">
              <w:rPr>
                <w:sz w:val="17"/>
              </w:rPr>
              <w:t>égalité et</w:t>
            </w:r>
            <w:r w:rsidR="00462A51">
              <w:rPr>
                <w:sz w:val="17"/>
              </w:rPr>
              <w:t> </w:t>
            </w:r>
            <w:r w:rsidRPr="00462A51">
              <w:rPr>
                <w:sz w:val="17"/>
              </w:rPr>
              <w:t>le</w:t>
            </w:r>
            <w:r w:rsidR="00462A51">
              <w:rPr>
                <w:sz w:val="17"/>
              </w:rPr>
              <w:t> </w:t>
            </w:r>
            <w:r w:rsidRPr="00462A51">
              <w:rPr>
                <w:sz w:val="17"/>
              </w:rPr>
              <w:t>développement des femmes du</w:t>
            </w:r>
            <w:r w:rsidR="00462A51">
              <w:rPr>
                <w:sz w:val="17"/>
              </w:rPr>
              <w:t> </w:t>
            </w:r>
            <w:r w:rsidRPr="00462A51">
              <w:rPr>
                <w:sz w:val="17"/>
              </w:rPr>
              <w:t>réseau NCCWN</w:t>
            </w:r>
          </w:p>
        </w:tc>
        <w:tc>
          <w:tcPr>
            <w:tcW w:w="951" w:type="dxa"/>
            <w:tcBorders>
              <w:bottom w:val="single" w:sz="12" w:space="0" w:color="auto"/>
            </w:tcBorders>
            <w:shd w:val="clear" w:color="auto" w:fill="auto"/>
            <w:noWrap/>
            <w:vAlign w:val="bottom"/>
          </w:tcPr>
          <w:p w14:paraId="0968E3A3" w14:textId="7D1EA596"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1 385</w:t>
            </w:r>
            <w:r w:rsidR="00462A51">
              <w:rPr>
                <w:sz w:val="17"/>
              </w:rPr>
              <w:t> </w:t>
            </w:r>
            <w:r w:rsidRPr="00462A51">
              <w:rPr>
                <w:sz w:val="17"/>
              </w:rPr>
              <w:t>000</w:t>
            </w:r>
            <w:r w:rsidR="00462A51">
              <w:rPr>
                <w:sz w:val="17"/>
              </w:rPr>
              <w:t xml:space="preserve"> </w:t>
            </w:r>
            <w:r w:rsidRPr="00462A51">
              <w:rPr>
                <w:sz w:val="17"/>
              </w:rPr>
              <w:t>€</w:t>
            </w:r>
          </w:p>
        </w:tc>
        <w:tc>
          <w:tcPr>
            <w:tcW w:w="951" w:type="dxa"/>
            <w:tcBorders>
              <w:bottom w:val="single" w:sz="12" w:space="0" w:color="auto"/>
            </w:tcBorders>
            <w:shd w:val="clear" w:color="auto" w:fill="auto"/>
            <w:noWrap/>
            <w:vAlign w:val="bottom"/>
          </w:tcPr>
          <w:p w14:paraId="17F19898"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1 385 000 €</w:t>
            </w:r>
          </w:p>
        </w:tc>
        <w:tc>
          <w:tcPr>
            <w:tcW w:w="951" w:type="dxa"/>
            <w:tcBorders>
              <w:bottom w:val="single" w:sz="12" w:space="0" w:color="auto"/>
            </w:tcBorders>
            <w:shd w:val="clear" w:color="auto" w:fill="auto"/>
            <w:noWrap/>
            <w:vAlign w:val="bottom"/>
          </w:tcPr>
          <w:p w14:paraId="2A77B16C"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1 385 000 €</w:t>
            </w:r>
          </w:p>
        </w:tc>
        <w:tc>
          <w:tcPr>
            <w:tcW w:w="951" w:type="dxa"/>
            <w:tcBorders>
              <w:bottom w:val="single" w:sz="12" w:space="0" w:color="auto"/>
            </w:tcBorders>
            <w:shd w:val="clear" w:color="auto" w:fill="auto"/>
            <w:noWrap/>
            <w:vAlign w:val="bottom"/>
          </w:tcPr>
          <w:p w14:paraId="4CDE4A89"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1 405 000 €</w:t>
            </w:r>
          </w:p>
        </w:tc>
        <w:tc>
          <w:tcPr>
            <w:tcW w:w="951" w:type="dxa"/>
            <w:tcBorders>
              <w:bottom w:val="single" w:sz="12" w:space="0" w:color="auto"/>
            </w:tcBorders>
            <w:shd w:val="clear" w:color="auto" w:fill="auto"/>
            <w:noWrap/>
            <w:vAlign w:val="bottom"/>
          </w:tcPr>
          <w:p w14:paraId="06DE3C7F"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1 439 000 €</w:t>
            </w:r>
          </w:p>
        </w:tc>
        <w:tc>
          <w:tcPr>
            <w:tcW w:w="951" w:type="dxa"/>
            <w:tcBorders>
              <w:bottom w:val="single" w:sz="12" w:space="0" w:color="auto"/>
            </w:tcBorders>
            <w:shd w:val="clear" w:color="auto" w:fill="auto"/>
            <w:noWrap/>
            <w:vAlign w:val="bottom"/>
          </w:tcPr>
          <w:p w14:paraId="16C375A2" w14:textId="77777777" w:rsidR="000C262A" w:rsidRPr="00462A51" w:rsidRDefault="000C262A" w:rsidP="00462A51">
            <w:pPr>
              <w:tabs>
                <w:tab w:val="left" w:pos="288"/>
                <w:tab w:val="left" w:pos="576"/>
                <w:tab w:val="left" w:pos="864"/>
                <w:tab w:val="left" w:pos="1152"/>
              </w:tabs>
              <w:spacing w:before="40" w:after="40" w:line="210" w:lineRule="exact"/>
              <w:ind w:right="43"/>
              <w:jc w:val="right"/>
              <w:rPr>
                <w:sz w:val="17"/>
              </w:rPr>
            </w:pPr>
            <w:r w:rsidRPr="00462A51">
              <w:rPr>
                <w:sz w:val="17"/>
              </w:rPr>
              <w:t>1 490 000 €</w:t>
            </w:r>
          </w:p>
        </w:tc>
      </w:tr>
    </w:tbl>
    <w:p w14:paraId="7B830513" w14:textId="5ADA2AC9" w:rsidR="000C262A" w:rsidRPr="00462A51" w:rsidRDefault="00462A51" w:rsidP="00462A51">
      <w:pPr>
        <w:pStyle w:val="SingleTxt"/>
        <w:spacing w:after="0" w:line="240" w:lineRule="auto"/>
      </w:pPr>
      <w:r>
        <w:rPr>
          <w:noProof/>
          <w:w w:val="100"/>
        </w:rPr>
        <mc:AlternateContent>
          <mc:Choice Requires="wps">
            <w:drawing>
              <wp:anchor distT="0" distB="0" distL="114300" distR="114300" simplePos="0" relativeHeight="251662336" behindDoc="0" locked="0" layoutInCell="1" allowOverlap="1" wp14:anchorId="7EA84D83" wp14:editId="5E6CE74A">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ABB69"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C262A" w:rsidRPr="00462A51" w:rsidSect="002C602E">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17T18:28:00Z" w:initials="Start">
    <w:p w14:paraId="43154580" w14:textId="77777777" w:rsidR="00233E90" w:rsidRDefault="00233E90">
      <w:pPr>
        <w:pStyle w:val="CommentText"/>
      </w:pPr>
      <w:r>
        <w:rPr>
          <w:rStyle w:val="CommentReference"/>
        </w:rPr>
        <w:annotationRef/>
      </w:r>
      <w:r>
        <w:t>&lt;&lt;ODS JOB NO&gt;&gt;N2021785F&lt;&lt;ODS JOB NO&gt;&gt;</w:t>
      </w:r>
    </w:p>
    <w:p w14:paraId="0E9172D0" w14:textId="77777777" w:rsidR="00233E90" w:rsidRDefault="00233E90">
      <w:pPr>
        <w:pStyle w:val="CommentText"/>
      </w:pPr>
      <w:r>
        <w:t>&lt;&lt;ODS DOC SYMBOL1&gt;&gt;CEDAW/C/IRL/FCO/6-7&lt;&lt;ODS DOC SYMBOL1&gt;&gt;</w:t>
      </w:r>
    </w:p>
    <w:p w14:paraId="27BC6FD0" w14:textId="7CEE3C5F" w:rsidR="00233E90" w:rsidRDefault="00233E9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BC6F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C6FD0" w16cid:durableId="230E29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4CF3" w14:textId="77777777" w:rsidR="00305109" w:rsidRDefault="00305109" w:rsidP="00101B18">
      <w:pPr>
        <w:spacing w:line="240" w:lineRule="auto"/>
      </w:pPr>
      <w:r>
        <w:separator/>
      </w:r>
    </w:p>
  </w:endnote>
  <w:endnote w:type="continuationSeparator" w:id="0">
    <w:p w14:paraId="5A5E4C0B" w14:textId="77777777" w:rsidR="00305109" w:rsidRDefault="0030510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33E90" w14:paraId="3EB5CFC8" w14:textId="77777777" w:rsidTr="00233E90">
      <w:tblPrEx>
        <w:tblCellMar>
          <w:top w:w="0" w:type="dxa"/>
          <w:bottom w:w="0" w:type="dxa"/>
        </w:tblCellMar>
      </w:tblPrEx>
      <w:tc>
        <w:tcPr>
          <w:tcW w:w="4920" w:type="dxa"/>
          <w:shd w:val="clear" w:color="auto" w:fill="auto"/>
        </w:tcPr>
        <w:p w14:paraId="23FD263F" w14:textId="5D502C7F" w:rsidR="00233E90" w:rsidRPr="00233E90" w:rsidRDefault="00233E90" w:rsidP="00233E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750B">
            <w:rPr>
              <w:b w:val="0"/>
              <w:w w:val="103"/>
              <w:sz w:val="14"/>
            </w:rPr>
            <w:t>20-11022</w:t>
          </w:r>
          <w:r>
            <w:rPr>
              <w:b w:val="0"/>
              <w:w w:val="103"/>
              <w:sz w:val="14"/>
            </w:rPr>
            <w:fldChar w:fldCharType="end"/>
          </w:r>
        </w:p>
      </w:tc>
      <w:tc>
        <w:tcPr>
          <w:tcW w:w="4920" w:type="dxa"/>
          <w:shd w:val="clear" w:color="auto" w:fill="auto"/>
        </w:tcPr>
        <w:p w14:paraId="41B10266" w14:textId="422FEA08" w:rsidR="00233E90" w:rsidRPr="00233E90" w:rsidRDefault="00233E90" w:rsidP="00233E9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C731FE6" w14:textId="77777777" w:rsidR="00233E90" w:rsidRPr="00233E90" w:rsidRDefault="00233E90" w:rsidP="00233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33E90" w14:paraId="408D3056" w14:textId="77777777" w:rsidTr="00233E90">
      <w:tblPrEx>
        <w:tblCellMar>
          <w:top w:w="0" w:type="dxa"/>
          <w:bottom w:w="0" w:type="dxa"/>
        </w:tblCellMar>
      </w:tblPrEx>
      <w:tc>
        <w:tcPr>
          <w:tcW w:w="4920" w:type="dxa"/>
          <w:shd w:val="clear" w:color="auto" w:fill="auto"/>
        </w:tcPr>
        <w:p w14:paraId="2580AE1D" w14:textId="5A615410" w:rsidR="00233E90" w:rsidRPr="00233E90" w:rsidRDefault="00233E90" w:rsidP="00233E9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4A45CE9" w14:textId="791D172E" w:rsidR="00233E90" w:rsidRPr="00233E90" w:rsidRDefault="00233E90" w:rsidP="00233E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750B">
            <w:rPr>
              <w:b w:val="0"/>
              <w:w w:val="103"/>
              <w:sz w:val="14"/>
            </w:rPr>
            <w:t>20-11022</w:t>
          </w:r>
          <w:r>
            <w:rPr>
              <w:b w:val="0"/>
              <w:w w:val="103"/>
              <w:sz w:val="14"/>
            </w:rPr>
            <w:fldChar w:fldCharType="end"/>
          </w:r>
        </w:p>
      </w:tc>
    </w:tr>
  </w:tbl>
  <w:p w14:paraId="68D236A8" w14:textId="77777777" w:rsidR="00233E90" w:rsidRPr="00233E90" w:rsidRDefault="00233E90" w:rsidP="00233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1C52" w14:textId="1C83F026" w:rsidR="00233E90" w:rsidRDefault="00233E90">
    <w:pPr>
      <w:pStyle w:val="Footer"/>
    </w:pPr>
    <w:r>
      <w:rPr>
        <w:noProof/>
      </w:rPr>
      <w:drawing>
        <wp:anchor distT="0" distB="0" distL="114300" distR="114300" simplePos="0" relativeHeight="251658240" behindDoc="0" locked="0" layoutInCell="1" allowOverlap="1" wp14:anchorId="4C7BFFFD" wp14:editId="793F2980">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33E90" w14:paraId="2382D660" w14:textId="77777777" w:rsidTr="00233E90">
      <w:tblPrEx>
        <w:tblCellMar>
          <w:top w:w="0" w:type="dxa"/>
          <w:bottom w:w="0" w:type="dxa"/>
        </w:tblCellMar>
      </w:tblPrEx>
      <w:tc>
        <w:tcPr>
          <w:tcW w:w="3758" w:type="dxa"/>
        </w:tcPr>
        <w:p w14:paraId="27C4469B" w14:textId="5F2224EB" w:rsidR="00233E90" w:rsidRDefault="00233E90" w:rsidP="00233E90">
          <w:pPr>
            <w:pStyle w:val="Footer"/>
            <w:rPr>
              <w:b w:val="0"/>
              <w:sz w:val="20"/>
            </w:rPr>
          </w:pPr>
          <w:r>
            <w:rPr>
              <w:b w:val="0"/>
              <w:sz w:val="20"/>
            </w:rPr>
            <w:t>20-11022</w:t>
          </w:r>
          <w:r w:rsidR="002C602E">
            <w:rPr>
              <w:b w:val="0"/>
              <w:sz w:val="20"/>
            </w:rPr>
            <w:t>X</w:t>
          </w:r>
          <w:r>
            <w:rPr>
              <w:b w:val="0"/>
              <w:sz w:val="20"/>
            </w:rPr>
            <w:t xml:space="preserve"> (F)    1</w:t>
          </w:r>
          <w:r w:rsidR="002C602E">
            <w:rPr>
              <w:b w:val="0"/>
              <w:sz w:val="20"/>
            </w:rPr>
            <w:t>4</w:t>
          </w:r>
          <w:r>
            <w:rPr>
              <w:b w:val="0"/>
              <w:sz w:val="20"/>
            </w:rPr>
            <w:t>0920    1</w:t>
          </w:r>
          <w:r w:rsidR="002C602E">
            <w:rPr>
              <w:b w:val="0"/>
              <w:sz w:val="20"/>
            </w:rPr>
            <w:t>8</w:t>
          </w:r>
          <w:r>
            <w:rPr>
              <w:b w:val="0"/>
              <w:sz w:val="20"/>
            </w:rPr>
            <w:t>0920</w:t>
          </w:r>
        </w:p>
        <w:p w14:paraId="5394B0B6" w14:textId="1E7018A3" w:rsidR="00233E90" w:rsidRPr="00233E90" w:rsidRDefault="00233E90" w:rsidP="00233E9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7750B">
            <w:rPr>
              <w:rFonts w:ascii="Barcode 3 of 9 by request" w:hAnsi="Barcode 3 of 9 by request"/>
              <w:spacing w:val="0"/>
              <w:w w:val="100"/>
              <w:sz w:val="24"/>
            </w:rPr>
            <w:t>*2011022*</w:t>
          </w:r>
          <w:r>
            <w:rPr>
              <w:rFonts w:ascii="Barcode 3 of 9 by request" w:hAnsi="Barcode 3 of 9 by request"/>
              <w:spacing w:val="0"/>
              <w:w w:val="100"/>
              <w:sz w:val="24"/>
            </w:rPr>
            <w:fldChar w:fldCharType="end"/>
          </w:r>
        </w:p>
      </w:tc>
      <w:tc>
        <w:tcPr>
          <w:tcW w:w="4920" w:type="dxa"/>
        </w:tcPr>
        <w:p w14:paraId="0A4C1308" w14:textId="3CBBF20D" w:rsidR="00233E90" w:rsidRDefault="00233E90" w:rsidP="00233E90">
          <w:pPr>
            <w:pStyle w:val="Footer"/>
            <w:spacing w:line="240" w:lineRule="atLeast"/>
            <w:jc w:val="right"/>
            <w:rPr>
              <w:b w:val="0"/>
              <w:sz w:val="20"/>
            </w:rPr>
          </w:pPr>
          <w:r>
            <w:rPr>
              <w:b w:val="0"/>
              <w:noProof/>
              <w:sz w:val="20"/>
            </w:rPr>
            <w:drawing>
              <wp:inline distT="0" distB="0" distL="0" distR="0" wp14:anchorId="1141A0FC" wp14:editId="5C6E136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3A1A1F2" w14:textId="77777777" w:rsidR="00233E90" w:rsidRPr="00233E90" w:rsidRDefault="00233E90" w:rsidP="00233E9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6A8CA" w14:textId="229B35CC" w:rsidR="00305109" w:rsidRPr="002C602E" w:rsidRDefault="002C602E" w:rsidP="002C602E">
      <w:pPr>
        <w:pStyle w:val="Footer"/>
        <w:spacing w:after="80"/>
        <w:ind w:left="792"/>
        <w:rPr>
          <w:sz w:val="16"/>
        </w:rPr>
      </w:pPr>
      <w:r w:rsidRPr="002C602E">
        <w:rPr>
          <w:sz w:val="16"/>
        </w:rPr>
        <w:t>__________________</w:t>
      </w:r>
    </w:p>
  </w:footnote>
  <w:footnote w:type="continuationSeparator" w:id="0">
    <w:p w14:paraId="718959CC" w14:textId="35643FA7" w:rsidR="00305109" w:rsidRPr="002C602E" w:rsidRDefault="002C602E" w:rsidP="002C602E">
      <w:pPr>
        <w:pStyle w:val="Footer"/>
        <w:spacing w:after="80"/>
        <w:ind w:left="792"/>
        <w:rPr>
          <w:sz w:val="16"/>
        </w:rPr>
      </w:pPr>
      <w:r w:rsidRPr="002C602E">
        <w:rPr>
          <w:sz w:val="16"/>
        </w:rPr>
        <w:t>__________________</w:t>
      </w:r>
    </w:p>
  </w:footnote>
  <w:footnote w:id="1">
    <w:p w14:paraId="1D83DD76" w14:textId="4D6DF982" w:rsidR="002C602E" w:rsidRPr="00462A51" w:rsidRDefault="002C602E" w:rsidP="002C602E">
      <w:pPr>
        <w:pStyle w:val="FootnoteText"/>
        <w:tabs>
          <w:tab w:val="right" w:pos="1195"/>
          <w:tab w:val="left" w:pos="1267"/>
          <w:tab w:val="left" w:pos="1742"/>
          <w:tab w:val="left" w:pos="2218"/>
          <w:tab w:val="left" w:pos="2693"/>
        </w:tabs>
        <w:ind w:left="1267" w:right="1260" w:hanging="576"/>
        <w:rPr>
          <w:lang w:val="fr-FR"/>
        </w:rPr>
      </w:pPr>
      <w:r>
        <w:rPr>
          <w:lang w:val="fr-FR"/>
        </w:rPr>
        <w:tab/>
      </w:r>
      <w:r w:rsidRPr="002C602E">
        <w:rPr>
          <w:rStyle w:val="FootnoteReference"/>
          <w:spacing w:val="4"/>
          <w:lang w:val="fr-FR"/>
        </w:rPr>
        <w:footnoteRef/>
      </w:r>
      <w:r w:rsidRPr="002C602E">
        <w:rPr>
          <w:lang w:val="fr-FR"/>
        </w:rPr>
        <w:tab/>
      </w:r>
      <w:hyperlink r:id="rId1" w:history="1">
        <w:r w:rsidRPr="00462A51">
          <w:rPr>
            <w:rStyle w:val="Hyperlink"/>
            <w:u w:val="none"/>
            <w:lang w:val="fr-FR"/>
          </w:rPr>
          <w:t>https://www.oireachtas.ie/en/debates/debate/dail/2013-02-19/29/</w:t>
        </w:r>
      </w:hyperlink>
      <w:r w:rsidRPr="00462A51">
        <w:rPr>
          <w:lang w:val="fr-FR"/>
        </w:rPr>
        <w:t>.</w:t>
      </w:r>
    </w:p>
  </w:footnote>
  <w:footnote w:id="2">
    <w:p w14:paraId="66D3C8B6" w14:textId="0F09D755" w:rsidR="002C602E" w:rsidRPr="002C602E" w:rsidRDefault="002C602E" w:rsidP="002C602E">
      <w:pPr>
        <w:pStyle w:val="FootnoteText"/>
        <w:tabs>
          <w:tab w:val="right" w:pos="1195"/>
          <w:tab w:val="left" w:pos="1267"/>
          <w:tab w:val="left" w:pos="1742"/>
          <w:tab w:val="left" w:pos="2218"/>
          <w:tab w:val="left" w:pos="2693"/>
        </w:tabs>
        <w:ind w:left="1267" w:right="1260" w:hanging="576"/>
        <w:rPr>
          <w:lang w:val="fr-FR"/>
        </w:rPr>
      </w:pPr>
      <w:r w:rsidRPr="00462A51">
        <w:rPr>
          <w:lang w:val="fr-FR"/>
        </w:rPr>
        <w:tab/>
      </w:r>
      <w:r w:rsidRPr="00462A51">
        <w:rPr>
          <w:rStyle w:val="FootnoteReference"/>
          <w:spacing w:val="4"/>
          <w:lang w:val="fr-FR"/>
        </w:rPr>
        <w:footnoteRef/>
      </w:r>
      <w:r w:rsidRPr="00462A51">
        <w:rPr>
          <w:lang w:val="fr-FR"/>
        </w:rPr>
        <w:tab/>
      </w:r>
      <w:hyperlink r:id="rId2" w:history="1">
        <w:r w:rsidRPr="00462A51">
          <w:rPr>
            <w:rStyle w:val="Hyperlink"/>
            <w:u w:val="none"/>
            <w:lang w:val="fr-FR"/>
          </w:rPr>
          <w:t>https://president.ie/en/media-library/speeches/speech-to-women-who-worked-at-the-magdalene-laundries</w:t>
        </w:r>
      </w:hyperlink>
      <w:r w:rsidRPr="002C602E">
        <w:rPr>
          <w:lang w:val="fr-FR"/>
        </w:rPr>
        <w:t>.</w:t>
      </w:r>
    </w:p>
  </w:footnote>
  <w:footnote w:id="3">
    <w:p w14:paraId="65C7EDF1" w14:textId="079688F6" w:rsidR="002C602E" w:rsidRPr="002C602E" w:rsidRDefault="002C602E" w:rsidP="002C602E">
      <w:pPr>
        <w:pStyle w:val="FootnoteText"/>
        <w:tabs>
          <w:tab w:val="right" w:pos="1195"/>
          <w:tab w:val="left" w:pos="1267"/>
          <w:tab w:val="left" w:pos="1742"/>
          <w:tab w:val="left" w:pos="2218"/>
          <w:tab w:val="left" w:pos="2693"/>
        </w:tabs>
        <w:ind w:left="1267" w:right="1260" w:hanging="576"/>
        <w:rPr>
          <w:lang w:val="fr-FR"/>
        </w:rPr>
      </w:pPr>
      <w:r>
        <w:rPr>
          <w:lang w:val="fr-FR"/>
        </w:rPr>
        <w:tab/>
      </w:r>
      <w:r w:rsidRPr="002C602E">
        <w:rPr>
          <w:rStyle w:val="FootnoteReference"/>
          <w:spacing w:val="4"/>
          <w:lang w:val="fr-FR"/>
        </w:rPr>
        <w:footnoteRef/>
      </w:r>
      <w:r w:rsidRPr="002C602E">
        <w:rPr>
          <w:lang w:val="fr-FR"/>
        </w:rPr>
        <w:tab/>
      </w:r>
      <w:hyperlink r:id="rId3" w:history="1">
        <w:r w:rsidRPr="00462A51">
          <w:rPr>
            <w:rStyle w:val="Hyperlink"/>
            <w:u w:val="none"/>
            <w:lang w:val="fr-FR"/>
          </w:rPr>
          <w:t>http://www.justice.ie/en/JELR/Pages/MagdalenRpt2013</w:t>
        </w:r>
      </w:hyperlink>
      <w:r w:rsidRPr="00462A51">
        <w:rPr>
          <w:lang w:val="fr-FR"/>
        </w:rPr>
        <w:t>.</w:t>
      </w:r>
    </w:p>
  </w:footnote>
  <w:footnote w:id="4">
    <w:p w14:paraId="4200321C" w14:textId="3510F7DF" w:rsidR="002C602E" w:rsidRPr="00462A51" w:rsidRDefault="002C602E" w:rsidP="002C602E">
      <w:pPr>
        <w:pStyle w:val="FootnoteText"/>
        <w:tabs>
          <w:tab w:val="right" w:pos="1195"/>
          <w:tab w:val="left" w:pos="1267"/>
          <w:tab w:val="left" w:pos="1742"/>
          <w:tab w:val="left" w:pos="2218"/>
          <w:tab w:val="left" w:pos="2693"/>
        </w:tabs>
        <w:ind w:left="1267" w:right="1260" w:hanging="576"/>
        <w:rPr>
          <w:lang w:val="fr-FR"/>
        </w:rPr>
      </w:pPr>
      <w:r>
        <w:rPr>
          <w:lang w:val="fr-FR"/>
        </w:rPr>
        <w:tab/>
      </w:r>
      <w:r w:rsidRPr="002C602E">
        <w:rPr>
          <w:rStyle w:val="FootnoteReference"/>
          <w:spacing w:val="4"/>
          <w:lang w:val="fr-FR"/>
        </w:rPr>
        <w:footnoteRef/>
      </w:r>
      <w:r w:rsidRPr="002C602E">
        <w:rPr>
          <w:lang w:val="fr-FR"/>
        </w:rPr>
        <w:tab/>
      </w:r>
      <w:hyperlink r:id="rId4" w:history="1">
        <w:r w:rsidRPr="00462A51">
          <w:rPr>
            <w:rStyle w:val="Hyperlink"/>
            <w:u w:val="none"/>
            <w:lang w:val="fr-FR"/>
          </w:rPr>
          <w:t>http://www.justice.ie/en/JELR/Pages/PR18000178</w:t>
        </w:r>
      </w:hyperlink>
      <w:r w:rsidRPr="00462A51">
        <w:rPr>
          <w:lang w:val="fr-FR"/>
        </w:rPr>
        <w:t>.</w:t>
      </w:r>
    </w:p>
  </w:footnote>
  <w:footnote w:id="5">
    <w:p w14:paraId="1C8F23CE" w14:textId="6701E9D2" w:rsidR="002C602E" w:rsidRPr="002C602E" w:rsidRDefault="002C602E" w:rsidP="002C602E">
      <w:pPr>
        <w:pStyle w:val="FootnoteText"/>
        <w:tabs>
          <w:tab w:val="right" w:pos="1195"/>
          <w:tab w:val="left" w:pos="1267"/>
          <w:tab w:val="left" w:pos="1742"/>
          <w:tab w:val="left" w:pos="2218"/>
          <w:tab w:val="left" w:pos="2693"/>
        </w:tabs>
        <w:ind w:left="1267" w:right="1260" w:hanging="576"/>
        <w:rPr>
          <w:lang w:val="fr-FR"/>
        </w:rPr>
      </w:pPr>
      <w:r w:rsidRPr="00462A51">
        <w:rPr>
          <w:lang w:val="fr-FR"/>
        </w:rPr>
        <w:tab/>
      </w:r>
      <w:r w:rsidRPr="00462A51">
        <w:rPr>
          <w:rStyle w:val="FootnoteReference"/>
          <w:spacing w:val="4"/>
          <w:lang w:val="fr-FR"/>
        </w:rPr>
        <w:footnoteRef/>
      </w:r>
      <w:r w:rsidRPr="00462A51">
        <w:rPr>
          <w:lang w:val="fr-FR"/>
        </w:rPr>
        <w:tab/>
      </w:r>
      <w:hyperlink r:id="rId5" w:history="1">
        <w:r w:rsidRPr="00462A51">
          <w:rPr>
            <w:rStyle w:val="Hyperlink"/>
            <w:u w:val="none"/>
            <w:lang w:val="fr-FR"/>
          </w:rPr>
          <w:t>http://www.mbhcoi.ie</w:t>
        </w:r>
      </w:hyperlink>
      <w:r w:rsidRPr="00462A51">
        <w:rPr>
          <w:lang w:val="fr-FR"/>
        </w:rPr>
        <w:t>.</w:t>
      </w:r>
    </w:p>
  </w:footnote>
  <w:footnote w:id="6">
    <w:p w14:paraId="3A5D6230" w14:textId="4F7405E3" w:rsidR="002C602E" w:rsidRPr="00462A51" w:rsidRDefault="002C602E" w:rsidP="002C602E">
      <w:pPr>
        <w:pStyle w:val="FootnoteText"/>
        <w:tabs>
          <w:tab w:val="right" w:pos="1195"/>
          <w:tab w:val="left" w:pos="1267"/>
          <w:tab w:val="left" w:pos="1742"/>
          <w:tab w:val="left" w:pos="2218"/>
          <w:tab w:val="left" w:pos="2693"/>
        </w:tabs>
        <w:ind w:left="1267" w:right="1260" w:hanging="576"/>
        <w:rPr>
          <w:lang w:val="fr-FR"/>
        </w:rPr>
      </w:pPr>
      <w:r>
        <w:rPr>
          <w:lang w:val="fr-FR"/>
        </w:rPr>
        <w:tab/>
      </w:r>
      <w:r w:rsidRPr="002C602E">
        <w:rPr>
          <w:rStyle w:val="FootnoteReference"/>
          <w:spacing w:val="4"/>
          <w:lang w:val="fr-FR"/>
        </w:rPr>
        <w:footnoteRef/>
      </w:r>
      <w:r w:rsidRPr="002C602E">
        <w:rPr>
          <w:lang w:val="fr-FR"/>
        </w:rPr>
        <w:tab/>
      </w:r>
      <w:hyperlink r:id="rId6" w:history="1">
        <w:r w:rsidRPr="00462A51">
          <w:rPr>
            <w:rStyle w:val="Hyperlink"/>
            <w:u w:val="none"/>
            <w:lang w:val="fr-FR"/>
          </w:rPr>
          <w:t>https://www.gov.ie/en/publication/8535fb-report-on-symphysiotomy-in-ireland-1944-1984-professor-oonagh-walsh/</w:t>
        </w:r>
      </w:hyperlink>
      <w:r w:rsidRPr="00462A51">
        <w:rPr>
          <w:lang w:val="fr-FR"/>
        </w:rPr>
        <w:t>.</w:t>
      </w:r>
    </w:p>
  </w:footnote>
  <w:footnote w:id="7">
    <w:p w14:paraId="2B8CA8CD" w14:textId="3112C52F" w:rsidR="002C602E" w:rsidRPr="00462A51" w:rsidRDefault="002C602E" w:rsidP="002C602E">
      <w:pPr>
        <w:pStyle w:val="FootnoteText"/>
        <w:tabs>
          <w:tab w:val="right" w:pos="1195"/>
          <w:tab w:val="left" w:pos="1267"/>
          <w:tab w:val="left" w:pos="1742"/>
          <w:tab w:val="left" w:pos="2218"/>
          <w:tab w:val="left" w:pos="2693"/>
        </w:tabs>
        <w:ind w:left="1267" w:right="1260" w:hanging="576"/>
        <w:rPr>
          <w:lang w:val="fr-FR"/>
        </w:rPr>
      </w:pPr>
      <w:r w:rsidRPr="00462A51">
        <w:rPr>
          <w:lang w:val="fr-FR"/>
        </w:rPr>
        <w:tab/>
      </w:r>
      <w:r w:rsidRPr="00462A51">
        <w:rPr>
          <w:rStyle w:val="FootnoteReference"/>
          <w:spacing w:val="4"/>
          <w:lang w:val="fr-FR"/>
        </w:rPr>
        <w:footnoteRef/>
      </w:r>
      <w:r w:rsidRPr="00462A51">
        <w:rPr>
          <w:lang w:val="fr-FR"/>
        </w:rPr>
        <w:tab/>
      </w:r>
      <w:hyperlink r:id="rId7" w:history="1">
        <w:r w:rsidRPr="00462A51">
          <w:rPr>
            <w:rStyle w:val="Hyperlink"/>
            <w:u w:val="none"/>
            <w:lang w:val="fr-FR"/>
          </w:rPr>
          <w:t>https://www.gov.ie/en/publication/544fc6-the-surgical-symphysiotomy-ex-gratia-payment-scheme-report/</w:t>
        </w:r>
      </w:hyperlink>
      <w:r w:rsidRPr="00462A51">
        <w:rPr>
          <w:lang w:val="fr-FR"/>
        </w:rPr>
        <w:t>.</w:t>
      </w:r>
    </w:p>
  </w:footnote>
  <w:footnote w:id="8">
    <w:p w14:paraId="4E348063" w14:textId="38236F3F" w:rsidR="002C602E" w:rsidRPr="00462A51" w:rsidRDefault="002C602E" w:rsidP="002C602E">
      <w:pPr>
        <w:pStyle w:val="FootnoteText"/>
        <w:tabs>
          <w:tab w:val="right" w:pos="1195"/>
          <w:tab w:val="left" w:pos="1267"/>
          <w:tab w:val="left" w:pos="1742"/>
          <w:tab w:val="left" w:pos="2218"/>
          <w:tab w:val="left" w:pos="2693"/>
        </w:tabs>
        <w:ind w:left="1267" w:right="1260" w:hanging="576"/>
        <w:rPr>
          <w:lang w:val="fr-FR"/>
        </w:rPr>
      </w:pPr>
      <w:r>
        <w:rPr>
          <w:lang w:val="fr-FR"/>
        </w:rPr>
        <w:tab/>
      </w:r>
      <w:r w:rsidRPr="002C602E">
        <w:rPr>
          <w:rStyle w:val="FootnoteReference"/>
          <w:spacing w:val="4"/>
          <w:lang w:val="fr-FR"/>
        </w:rPr>
        <w:footnoteRef/>
      </w:r>
      <w:r w:rsidRPr="002C602E">
        <w:rPr>
          <w:lang w:val="fr-FR"/>
        </w:rPr>
        <w:tab/>
        <w:t>«</w:t>
      </w:r>
      <w:r w:rsidR="00B97AFE">
        <w:rPr>
          <w:lang w:val="fr-FR"/>
        </w:rPr>
        <w:t> </w:t>
      </w:r>
      <w:r w:rsidRPr="002C602E">
        <w:rPr>
          <w:lang w:val="fr-FR"/>
        </w:rPr>
        <w:t>Au cours de chaque exercice financier, le Ministre peut, après avoir consulté la Commission, accorder à la cette dernière une avance sur les fonds alloués par l</w:t>
      </w:r>
      <w:r w:rsidR="00462A51">
        <w:rPr>
          <w:lang w:val="fr-FR"/>
        </w:rPr>
        <w:t>’</w:t>
      </w:r>
      <w:r w:rsidRPr="002C602E">
        <w:rPr>
          <w:lang w:val="fr-FR"/>
        </w:rPr>
        <w:t>Oireachtas dont le montant lui paraît, en accord avec le Ministre des dépenses publiques et de la réforme, raisonnablement suffisant pour les dépenses de la Commission dans l</w:t>
      </w:r>
      <w:r w:rsidR="00462A51">
        <w:rPr>
          <w:lang w:val="fr-FR"/>
        </w:rPr>
        <w:t>’</w:t>
      </w:r>
      <w:r w:rsidRPr="002C602E">
        <w:rPr>
          <w:lang w:val="fr-FR"/>
        </w:rPr>
        <w:t>exercice de ses fonctions</w:t>
      </w:r>
      <w:r w:rsidR="00462A51">
        <w:rPr>
          <w:lang w:val="fr-FR"/>
        </w:rPr>
        <w:t>.</w:t>
      </w:r>
      <w:r w:rsidR="00B97AFE">
        <w:rPr>
          <w:lang w:val="fr-FR"/>
        </w:rPr>
        <w:t> </w:t>
      </w:r>
      <w:r w:rsidRPr="002C602E">
        <w:rPr>
          <w:lang w:val="fr-FR"/>
        </w:rPr>
        <w:t xml:space="preserve">», </w:t>
      </w:r>
      <w:hyperlink r:id="rId8" w:history="1">
        <w:r w:rsidR="00B97AFE" w:rsidRPr="00462A51">
          <w:rPr>
            <w:rStyle w:val="Hyperlink"/>
            <w:u w:val="none"/>
            <w:lang w:val="fr-FR"/>
          </w:rPr>
          <w:t>http://www.irishstatutebook.ie/eli/2014/act/25/enacted/en/html</w:t>
        </w:r>
      </w:hyperlink>
      <w:r w:rsidRPr="00462A51">
        <w:rPr>
          <w:lang w:val="fr-FR"/>
        </w:rPr>
        <w:t>.</w:t>
      </w:r>
    </w:p>
  </w:footnote>
  <w:footnote w:id="9">
    <w:p w14:paraId="4F2E2D7B" w14:textId="426F8F31" w:rsidR="002C602E" w:rsidRPr="002C602E" w:rsidRDefault="002C602E" w:rsidP="002C602E">
      <w:pPr>
        <w:pStyle w:val="FootnoteText"/>
        <w:tabs>
          <w:tab w:val="right" w:pos="1195"/>
          <w:tab w:val="left" w:pos="1267"/>
          <w:tab w:val="left" w:pos="1742"/>
          <w:tab w:val="left" w:pos="2218"/>
          <w:tab w:val="left" w:pos="2693"/>
        </w:tabs>
        <w:ind w:left="1267" w:right="1260" w:hanging="576"/>
        <w:rPr>
          <w:lang w:val="fr-FR"/>
        </w:rPr>
      </w:pPr>
      <w:r w:rsidRPr="00462A51">
        <w:rPr>
          <w:lang w:val="fr-FR"/>
        </w:rPr>
        <w:tab/>
      </w:r>
      <w:r w:rsidRPr="00462A51">
        <w:rPr>
          <w:rStyle w:val="FootnoteReference"/>
          <w:spacing w:val="4"/>
          <w:lang w:val="fr-FR"/>
        </w:rPr>
        <w:footnoteRef/>
      </w:r>
      <w:r w:rsidRPr="00462A51">
        <w:rPr>
          <w:lang w:val="fr-FR"/>
        </w:rPr>
        <w:tab/>
        <w:t>Rapports annuels de l</w:t>
      </w:r>
      <w:r w:rsidR="00462A51">
        <w:rPr>
          <w:lang w:val="fr-FR"/>
        </w:rPr>
        <w:t>’</w:t>
      </w:r>
      <w:r w:rsidRPr="00462A51">
        <w:rPr>
          <w:lang w:val="fr-FR"/>
        </w:rPr>
        <w:t xml:space="preserve">IHREC, </w:t>
      </w:r>
      <w:hyperlink r:id="rId9" w:history="1">
        <w:r w:rsidR="00B97AFE" w:rsidRPr="00462A51">
          <w:rPr>
            <w:rStyle w:val="Hyperlink"/>
            <w:u w:val="none"/>
            <w:lang w:val="fr-FR"/>
          </w:rPr>
          <w:t>https://www.ihrec.ie/publications/</w:t>
        </w:r>
      </w:hyperlink>
      <w:r w:rsidRPr="002C602E">
        <w:rPr>
          <w:lang w:val="fr-FR"/>
        </w:rPr>
        <w:t>.</w:t>
      </w:r>
    </w:p>
  </w:footnote>
  <w:footnote w:id="10">
    <w:p w14:paraId="3993A785" w14:textId="4CD51355" w:rsidR="002C602E" w:rsidRPr="00462A51" w:rsidRDefault="002C602E" w:rsidP="002C602E">
      <w:pPr>
        <w:pStyle w:val="FootnoteText"/>
        <w:tabs>
          <w:tab w:val="right" w:pos="1195"/>
          <w:tab w:val="left" w:pos="1267"/>
          <w:tab w:val="left" w:pos="1742"/>
          <w:tab w:val="left" w:pos="2218"/>
          <w:tab w:val="left" w:pos="2693"/>
        </w:tabs>
        <w:ind w:left="1267" w:right="1260" w:hanging="576"/>
        <w:rPr>
          <w:lang w:val="fr-FR"/>
        </w:rPr>
      </w:pPr>
      <w:r>
        <w:rPr>
          <w:lang w:val="fr-FR"/>
        </w:rPr>
        <w:tab/>
      </w:r>
      <w:r w:rsidRPr="002C602E">
        <w:rPr>
          <w:rStyle w:val="FootnoteReference"/>
          <w:spacing w:val="4"/>
          <w:lang w:val="fr-FR"/>
        </w:rPr>
        <w:footnoteRef/>
      </w:r>
      <w:r w:rsidRPr="002C602E">
        <w:rPr>
          <w:lang w:val="fr-FR"/>
        </w:rPr>
        <w:tab/>
      </w:r>
      <w:hyperlink r:id="rId10" w:history="1">
        <w:r w:rsidR="00B97AFE" w:rsidRPr="00462A51">
          <w:rPr>
            <w:rStyle w:val="Hyperlink"/>
            <w:u w:val="none"/>
            <w:lang w:val="fr-FR"/>
          </w:rPr>
          <w:t>http://www.irishstatutebook.ie/eli/2018/ca/36/enacted/en/html</w:t>
        </w:r>
      </w:hyperlink>
      <w:r w:rsidRPr="00462A51">
        <w:rPr>
          <w:lang w:val="fr-FR"/>
        </w:rPr>
        <w:t>.</w:t>
      </w:r>
    </w:p>
  </w:footnote>
  <w:footnote w:id="11">
    <w:p w14:paraId="708E5901" w14:textId="25537720" w:rsidR="002C602E" w:rsidRPr="002C602E" w:rsidRDefault="002C602E" w:rsidP="002C602E">
      <w:pPr>
        <w:pStyle w:val="FootnoteText"/>
        <w:tabs>
          <w:tab w:val="right" w:pos="1195"/>
          <w:tab w:val="left" w:pos="1267"/>
          <w:tab w:val="left" w:pos="1742"/>
          <w:tab w:val="left" w:pos="2218"/>
          <w:tab w:val="left" w:pos="2693"/>
        </w:tabs>
        <w:ind w:left="1267" w:right="1260" w:hanging="576"/>
        <w:rPr>
          <w:lang w:val="fr-FR"/>
        </w:rPr>
      </w:pPr>
      <w:r w:rsidRPr="00462A51">
        <w:rPr>
          <w:lang w:val="fr-FR"/>
        </w:rPr>
        <w:tab/>
      </w:r>
      <w:r w:rsidRPr="00462A51">
        <w:rPr>
          <w:rStyle w:val="FootnoteReference"/>
          <w:spacing w:val="4"/>
          <w:lang w:val="fr-FR"/>
        </w:rPr>
        <w:footnoteRef/>
      </w:r>
      <w:r w:rsidRPr="00462A51">
        <w:rPr>
          <w:lang w:val="fr-FR"/>
        </w:rPr>
        <w:tab/>
      </w:r>
      <w:hyperlink r:id="rId11" w:history="1">
        <w:r w:rsidR="00B97AFE" w:rsidRPr="00462A51">
          <w:rPr>
            <w:rStyle w:val="Hyperlink"/>
            <w:u w:val="none"/>
            <w:lang w:val="fr-FR"/>
          </w:rPr>
          <w:t>http://www.irishstatutebook.ie/eli/2018/act/31/enacted/en/html</w:t>
        </w:r>
      </w:hyperlink>
      <w:r w:rsidRPr="002C602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33E90" w14:paraId="7BD4674B" w14:textId="77777777" w:rsidTr="00233E90">
      <w:tblPrEx>
        <w:tblCellMar>
          <w:top w:w="0" w:type="dxa"/>
          <w:bottom w:w="0" w:type="dxa"/>
        </w:tblCellMar>
      </w:tblPrEx>
      <w:trPr>
        <w:trHeight w:hRule="exact" w:val="864"/>
      </w:trPr>
      <w:tc>
        <w:tcPr>
          <w:tcW w:w="4920" w:type="dxa"/>
          <w:shd w:val="clear" w:color="auto" w:fill="auto"/>
          <w:vAlign w:val="bottom"/>
        </w:tcPr>
        <w:p w14:paraId="3A333E3D" w14:textId="190DE840" w:rsidR="00233E90" w:rsidRPr="00233E90" w:rsidRDefault="00233E90" w:rsidP="00233E9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750B">
            <w:rPr>
              <w:b/>
              <w:color w:val="000000"/>
            </w:rPr>
            <w:t>CEDAW/C/IRL/FCO/6-7</w:t>
          </w:r>
          <w:r>
            <w:rPr>
              <w:b/>
              <w:color w:val="000000"/>
            </w:rPr>
            <w:fldChar w:fldCharType="end"/>
          </w:r>
        </w:p>
      </w:tc>
      <w:tc>
        <w:tcPr>
          <w:tcW w:w="4920" w:type="dxa"/>
          <w:shd w:val="clear" w:color="auto" w:fill="auto"/>
          <w:vAlign w:val="bottom"/>
        </w:tcPr>
        <w:p w14:paraId="5AE77084" w14:textId="77777777" w:rsidR="00233E90" w:rsidRDefault="00233E90" w:rsidP="00233E90">
          <w:pPr>
            <w:pStyle w:val="Header"/>
          </w:pPr>
        </w:p>
      </w:tc>
    </w:tr>
  </w:tbl>
  <w:p w14:paraId="05675037" w14:textId="77777777" w:rsidR="00233E90" w:rsidRPr="00233E90" w:rsidRDefault="00233E90" w:rsidP="00233E9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33E90" w14:paraId="58BA094C" w14:textId="77777777" w:rsidTr="00233E90">
      <w:tblPrEx>
        <w:tblCellMar>
          <w:top w:w="0" w:type="dxa"/>
          <w:bottom w:w="0" w:type="dxa"/>
        </w:tblCellMar>
      </w:tblPrEx>
      <w:trPr>
        <w:trHeight w:hRule="exact" w:val="864"/>
      </w:trPr>
      <w:tc>
        <w:tcPr>
          <w:tcW w:w="4920" w:type="dxa"/>
          <w:shd w:val="clear" w:color="auto" w:fill="auto"/>
          <w:vAlign w:val="bottom"/>
        </w:tcPr>
        <w:p w14:paraId="764D9F77" w14:textId="77777777" w:rsidR="00233E90" w:rsidRDefault="00233E90" w:rsidP="00233E90">
          <w:pPr>
            <w:pStyle w:val="Header"/>
          </w:pPr>
        </w:p>
      </w:tc>
      <w:tc>
        <w:tcPr>
          <w:tcW w:w="4920" w:type="dxa"/>
          <w:shd w:val="clear" w:color="auto" w:fill="auto"/>
          <w:vAlign w:val="bottom"/>
        </w:tcPr>
        <w:p w14:paraId="1AEB8780" w14:textId="4A81CEF5" w:rsidR="00233E90" w:rsidRPr="00233E90" w:rsidRDefault="00233E90" w:rsidP="00233E9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750B">
            <w:rPr>
              <w:b/>
              <w:color w:val="000000"/>
            </w:rPr>
            <w:t>CEDAW/C/IRL/FCO/6-7</w:t>
          </w:r>
          <w:r>
            <w:rPr>
              <w:b/>
              <w:color w:val="000000"/>
            </w:rPr>
            <w:fldChar w:fldCharType="end"/>
          </w:r>
        </w:p>
      </w:tc>
    </w:tr>
  </w:tbl>
  <w:p w14:paraId="3B269981" w14:textId="77777777" w:rsidR="00233E90" w:rsidRPr="00233E90" w:rsidRDefault="00233E90" w:rsidP="00233E9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33E90" w:rsidRPr="005356B0" w14:paraId="14831C87" w14:textId="77777777" w:rsidTr="00233E9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1A7D139E" w14:textId="77777777" w:rsidR="00233E90" w:rsidRPr="005356B0" w:rsidRDefault="00233E90" w:rsidP="00233E90">
          <w:pPr>
            <w:pStyle w:val="Header"/>
            <w:spacing w:after="120"/>
            <w:rPr>
              <w:lang w:val="fr-FR"/>
            </w:rPr>
          </w:pPr>
        </w:p>
      </w:tc>
      <w:tc>
        <w:tcPr>
          <w:tcW w:w="2059" w:type="dxa"/>
          <w:tcBorders>
            <w:bottom w:val="single" w:sz="4" w:space="0" w:color="auto"/>
          </w:tcBorders>
          <w:shd w:val="clear" w:color="auto" w:fill="auto"/>
          <w:vAlign w:val="bottom"/>
        </w:tcPr>
        <w:p w14:paraId="4B665151" w14:textId="3E8B10F4" w:rsidR="00233E90" w:rsidRPr="005356B0" w:rsidRDefault="00233E90" w:rsidP="00233E90">
          <w:pPr>
            <w:pStyle w:val="HCH"/>
            <w:spacing w:after="80"/>
            <w:rPr>
              <w:b w:val="0"/>
              <w:color w:val="010000"/>
              <w:spacing w:val="2"/>
              <w:w w:val="96"/>
              <w:lang w:val="fr-FR"/>
            </w:rPr>
          </w:pPr>
          <w:r w:rsidRPr="005356B0">
            <w:rPr>
              <w:b w:val="0"/>
              <w:color w:val="010000"/>
              <w:spacing w:val="2"/>
              <w:w w:val="96"/>
              <w:lang w:val="fr-FR"/>
            </w:rPr>
            <w:t>Nations Unies</w:t>
          </w:r>
        </w:p>
      </w:tc>
      <w:tc>
        <w:tcPr>
          <w:tcW w:w="58" w:type="dxa"/>
          <w:tcBorders>
            <w:bottom w:val="single" w:sz="4" w:space="0" w:color="auto"/>
          </w:tcBorders>
          <w:shd w:val="clear" w:color="auto" w:fill="auto"/>
          <w:vAlign w:val="bottom"/>
        </w:tcPr>
        <w:p w14:paraId="2F4A5DC1" w14:textId="77777777" w:rsidR="00233E90" w:rsidRPr="005356B0" w:rsidRDefault="00233E90" w:rsidP="00233E90">
          <w:pPr>
            <w:pStyle w:val="Header"/>
            <w:spacing w:after="120"/>
            <w:rPr>
              <w:lang w:val="fr-FR"/>
            </w:rPr>
          </w:pPr>
        </w:p>
      </w:tc>
      <w:tc>
        <w:tcPr>
          <w:tcW w:w="6466" w:type="dxa"/>
          <w:gridSpan w:val="3"/>
          <w:tcBorders>
            <w:bottom w:val="single" w:sz="4" w:space="0" w:color="auto"/>
          </w:tcBorders>
          <w:shd w:val="clear" w:color="auto" w:fill="auto"/>
          <w:vAlign w:val="bottom"/>
        </w:tcPr>
        <w:p w14:paraId="52FB79F9" w14:textId="06E85CB5" w:rsidR="00233E90" w:rsidRPr="005356B0" w:rsidRDefault="00233E90" w:rsidP="00233E90">
          <w:pPr>
            <w:spacing w:after="80" w:line="240" w:lineRule="auto"/>
            <w:jc w:val="right"/>
            <w:rPr>
              <w:position w:val="-4"/>
              <w:lang w:val="fr-FR"/>
            </w:rPr>
          </w:pPr>
          <w:r w:rsidRPr="005356B0">
            <w:rPr>
              <w:position w:val="-4"/>
              <w:sz w:val="40"/>
              <w:lang w:val="fr-FR"/>
            </w:rPr>
            <w:t>CEDAW</w:t>
          </w:r>
          <w:r w:rsidRPr="005356B0">
            <w:rPr>
              <w:position w:val="-4"/>
              <w:lang w:val="fr-FR"/>
            </w:rPr>
            <w:t>/C/IRL/FCO/6-7</w:t>
          </w:r>
        </w:p>
      </w:tc>
    </w:tr>
    <w:tr w:rsidR="00233E90" w:rsidRPr="005356B0" w14:paraId="409C12D3" w14:textId="77777777" w:rsidTr="00233E9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04EA1D12" w14:textId="3E2024D7" w:rsidR="00233E90" w:rsidRPr="005356B0" w:rsidRDefault="00233E90" w:rsidP="00233E90">
          <w:pPr>
            <w:pStyle w:val="Header"/>
            <w:spacing w:before="120" w:line="240" w:lineRule="auto"/>
            <w:ind w:left="-72"/>
            <w:jc w:val="center"/>
            <w:rPr>
              <w:lang w:val="fr-FR"/>
            </w:rPr>
          </w:pPr>
          <w:r w:rsidRPr="005356B0">
            <w:rPr>
              <w:lang w:val="fr-FR"/>
            </w:rPr>
            <w:t xml:space="preserve">  </w:t>
          </w:r>
          <w:r w:rsidRPr="005356B0">
            <w:rPr>
              <w:noProof/>
              <w:lang w:val="fr-FR"/>
            </w:rPr>
            <w:drawing>
              <wp:inline distT="0" distB="0" distL="0" distR="0" wp14:anchorId="72323095" wp14:editId="13F3F75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469ED98" w14:textId="1164EFF8" w:rsidR="00233E90" w:rsidRPr="005356B0" w:rsidRDefault="00233E90" w:rsidP="00233E90">
          <w:pPr>
            <w:pStyle w:val="XLarge"/>
            <w:spacing w:before="120" w:line="360" w:lineRule="exact"/>
            <w:rPr>
              <w:sz w:val="36"/>
              <w:lang w:val="fr-FR"/>
            </w:rPr>
          </w:pPr>
          <w:r w:rsidRPr="005356B0">
            <w:rPr>
              <w:sz w:val="36"/>
              <w:lang w:val="fr-FR"/>
            </w:rPr>
            <w:t>Convention sur l’élimination</w:t>
          </w:r>
          <w:r w:rsidRPr="005356B0">
            <w:rPr>
              <w:sz w:val="36"/>
              <w:lang w:val="fr-FR"/>
            </w:rPr>
            <w:br/>
            <w:t>de toutes les formes</w:t>
          </w:r>
          <w:r w:rsidRPr="005356B0">
            <w:rPr>
              <w:sz w:val="36"/>
              <w:lang w:val="fr-FR"/>
            </w:rPr>
            <w:br/>
            <w:t>de discrimination à l’égard</w:t>
          </w:r>
          <w:r w:rsidRPr="005356B0">
            <w:rPr>
              <w:sz w:val="36"/>
              <w:lang w:val="fr-FR"/>
            </w:rPr>
            <w:br/>
            <w:t xml:space="preserve">des femmes </w:t>
          </w:r>
        </w:p>
      </w:tc>
      <w:tc>
        <w:tcPr>
          <w:tcW w:w="245" w:type="dxa"/>
          <w:tcBorders>
            <w:top w:val="single" w:sz="4" w:space="0" w:color="auto"/>
            <w:bottom w:val="single" w:sz="12" w:space="0" w:color="auto"/>
          </w:tcBorders>
          <w:shd w:val="clear" w:color="auto" w:fill="auto"/>
        </w:tcPr>
        <w:p w14:paraId="0ECCA096" w14:textId="77777777" w:rsidR="00233E90" w:rsidRPr="005356B0" w:rsidRDefault="00233E90" w:rsidP="00233E90">
          <w:pPr>
            <w:pStyle w:val="Header"/>
            <w:spacing w:before="109"/>
            <w:rPr>
              <w:lang w:val="fr-FR"/>
            </w:rPr>
          </w:pPr>
        </w:p>
      </w:tc>
      <w:tc>
        <w:tcPr>
          <w:tcW w:w="3110" w:type="dxa"/>
          <w:tcBorders>
            <w:top w:val="single" w:sz="4" w:space="0" w:color="auto"/>
            <w:bottom w:val="single" w:sz="12" w:space="0" w:color="auto"/>
          </w:tcBorders>
          <w:shd w:val="clear" w:color="auto" w:fill="auto"/>
        </w:tcPr>
        <w:p w14:paraId="320CD93D" w14:textId="77777777" w:rsidR="00233E90" w:rsidRPr="005356B0" w:rsidRDefault="00233E90" w:rsidP="00233E90">
          <w:pPr>
            <w:pStyle w:val="Distribution"/>
            <w:rPr>
              <w:color w:val="000000"/>
              <w:lang w:val="fr-FR"/>
            </w:rPr>
          </w:pPr>
          <w:r w:rsidRPr="005356B0">
            <w:rPr>
              <w:color w:val="000000"/>
              <w:lang w:val="fr-FR"/>
            </w:rPr>
            <w:t>Distr. générale</w:t>
          </w:r>
        </w:p>
        <w:p w14:paraId="51B54718" w14:textId="77777777" w:rsidR="00233E90" w:rsidRPr="005356B0" w:rsidRDefault="00233E90" w:rsidP="00233E90">
          <w:pPr>
            <w:pStyle w:val="Publication"/>
            <w:rPr>
              <w:color w:val="000000"/>
              <w:lang w:val="fr-FR"/>
            </w:rPr>
          </w:pPr>
          <w:r w:rsidRPr="005356B0">
            <w:rPr>
              <w:color w:val="000000"/>
              <w:lang w:val="fr-FR"/>
            </w:rPr>
            <w:t>24 août 2020</w:t>
          </w:r>
        </w:p>
        <w:p w14:paraId="2D38C447" w14:textId="77777777" w:rsidR="00233E90" w:rsidRPr="005356B0" w:rsidRDefault="00233E90" w:rsidP="00233E90">
          <w:pPr>
            <w:rPr>
              <w:lang w:val="fr-FR"/>
            </w:rPr>
          </w:pPr>
          <w:r w:rsidRPr="005356B0">
            <w:rPr>
              <w:lang w:val="fr-FR"/>
            </w:rPr>
            <w:t>Français</w:t>
          </w:r>
        </w:p>
        <w:p w14:paraId="58218042" w14:textId="2D953B73" w:rsidR="00233E90" w:rsidRPr="005356B0" w:rsidRDefault="00233E90" w:rsidP="00233E90">
          <w:pPr>
            <w:pStyle w:val="Original"/>
            <w:rPr>
              <w:color w:val="000000"/>
              <w:lang w:val="fr-FR"/>
            </w:rPr>
          </w:pPr>
          <w:r w:rsidRPr="005356B0">
            <w:rPr>
              <w:color w:val="000000"/>
              <w:lang w:val="fr-FR"/>
            </w:rPr>
            <w:t>Original</w:t>
          </w:r>
          <w:r w:rsidR="002C602E" w:rsidRPr="005356B0">
            <w:rPr>
              <w:color w:val="000000"/>
              <w:lang w:val="fr-FR"/>
            </w:rPr>
            <w:t> </w:t>
          </w:r>
          <w:r w:rsidRPr="005356B0">
            <w:rPr>
              <w:color w:val="000000"/>
              <w:lang w:val="fr-FR"/>
            </w:rPr>
            <w:t>: anglais</w:t>
          </w:r>
        </w:p>
        <w:p w14:paraId="5B394F17" w14:textId="1842478F" w:rsidR="002C602E" w:rsidRPr="005356B0" w:rsidRDefault="002C602E" w:rsidP="002C602E">
          <w:pPr>
            <w:rPr>
              <w:lang w:val="fr-FR"/>
            </w:rPr>
          </w:pPr>
          <w:r w:rsidRPr="005356B0">
            <w:rPr>
              <w:lang w:val="fr-FR"/>
            </w:rPr>
            <w:t>Anglais, espagnol et français seulement</w:t>
          </w:r>
        </w:p>
      </w:tc>
    </w:tr>
  </w:tbl>
  <w:p w14:paraId="74A88D52" w14:textId="77777777" w:rsidR="00233E90" w:rsidRPr="005356B0" w:rsidRDefault="00233E90" w:rsidP="00233E9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35A6CA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438F4"/>
    <w:multiLevelType w:val="singleLevel"/>
    <w:tmpl w:val="32541952"/>
    <w:lvl w:ilvl="0">
      <w:start w:val="1"/>
      <w:numFmt w:val="decimal"/>
      <w:lvlRestart w:val="0"/>
      <w:lvlText w:val="%1."/>
      <w:lvlJc w:val="left"/>
      <w:pPr>
        <w:tabs>
          <w:tab w:val="num" w:pos="475"/>
        </w:tabs>
        <w:ind w:left="0" w:firstLine="0"/>
      </w:pPr>
      <w:rPr>
        <w:w w:val="100"/>
      </w:rPr>
    </w:lvl>
  </w:abstractNum>
  <w:abstractNum w:abstractNumId="4" w15:restartNumberingAfterBreak="0">
    <w:nsid w:val="2C947638"/>
    <w:multiLevelType w:val="hybridMultilevel"/>
    <w:tmpl w:val="FEB04690"/>
    <w:lvl w:ilvl="0" w:tplc="D6FC3BE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9062A"/>
    <w:multiLevelType w:val="singleLevel"/>
    <w:tmpl w:val="32541952"/>
    <w:lvl w:ilvl="0">
      <w:start w:val="1"/>
      <w:numFmt w:val="decimal"/>
      <w:lvlRestart w:val="0"/>
      <w:lvlText w:val="%1."/>
      <w:lvlJc w:val="left"/>
      <w:pPr>
        <w:tabs>
          <w:tab w:val="num" w:pos="475"/>
        </w:tabs>
        <w:ind w:left="0" w:firstLine="0"/>
      </w:pPr>
      <w:rPr>
        <w:w w:val="100"/>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num>
  <w:num w:numId="18">
    <w:abstractNumId w:val="4"/>
  </w:num>
  <w:num w:numId="19">
    <w:abstractNumId w:val="3"/>
  </w:num>
  <w:num w:numId="20">
    <w:abstractNumId w:val="3"/>
    <w:lvlOverride w:ilvl="0">
      <w:lvl w:ilvl="0">
        <w:start w:val="1"/>
        <w:numFmt w:val="decimal"/>
        <w:lvlRestart w:val="0"/>
        <w:lvlText w:val="%1."/>
        <w:lvlJc w:val="left"/>
        <w:pPr>
          <w:tabs>
            <w:tab w:val="num" w:pos="475"/>
          </w:tabs>
          <w:ind w:left="0" w:firstLine="0"/>
        </w:pPr>
        <w:rPr>
          <w:w w:val="100"/>
        </w:rPr>
      </w:lvl>
    </w:lvlOverride>
  </w:num>
  <w:num w:numId="21">
    <w:abstractNumId w:val="3"/>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022*"/>
    <w:docVar w:name="CreationDt" w:val="17/09/2020 18:28:24"/>
    <w:docVar w:name="DocCategory" w:val="Doc"/>
    <w:docVar w:name="DocType" w:val="Final"/>
    <w:docVar w:name="DutyStation" w:val="New York"/>
    <w:docVar w:name="FooterJN" w:val="20-11022"/>
    <w:docVar w:name="jobn" w:val="20-11022 (F)"/>
    <w:docVar w:name="jobnDT" w:val="20-11022 (F)   170920"/>
    <w:docVar w:name="jobnDTDT" w:val="20-11022 (F)   170920   170920"/>
    <w:docVar w:name="JobNo" w:val="2011022F"/>
    <w:docVar w:name="JobNo2" w:val="2021785F"/>
    <w:docVar w:name="LocalDrive" w:val="-1"/>
    <w:docVar w:name="OandT" w:val="Moïse"/>
    <w:docVar w:name="sss1" w:val="CEDAW/C/IRL/FCO/6-7"/>
    <w:docVar w:name="sss2" w:val="-"/>
    <w:docVar w:name="Symbol1" w:val="CEDAW/C/IRL/FCO/6-7"/>
    <w:docVar w:name="Symbol2" w:val="-"/>
  </w:docVars>
  <w:rsids>
    <w:rsidRoot w:val="00305109"/>
    <w:rsid w:val="00002584"/>
    <w:rsid w:val="0006491F"/>
    <w:rsid w:val="00071D43"/>
    <w:rsid w:val="00082144"/>
    <w:rsid w:val="000C262A"/>
    <w:rsid w:val="00101B18"/>
    <w:rsid w:val="00122A56"/>
    <w:rsid w:val="00134FEE"/>
    <w:rsid w:val="00146C6A"/>
    <w:rsid w:val="00166A0D"/>
    <w:rsid w:val="001E2379"/>
    <w:rsid w:val="001E4B50"/>
    <w:rsid w:val="001F3132"/>
    <w:rsid w:val="00233E90"/>
    <w:rsid w:val="00245107"/>
    <w:rsid w:val="00245FDC"/>
    <w:rsid w:val="002478A0"/>
    <w:rsid w:val="002A5E20"/>
    <w:rsid w:val="002C602E"/>
    <w:rsid w:val="00305109"/>
    <w:rsid w:val="0030765E"/>
    <w:rsid w:val="00366D21"/>
    <w:rsid w:val="003A675A"/>
    <w:rsid w:val="003A6D9C"/>
    <w:rsid w:val="003F61E1"/>
    <w:rsid w:val="00410BE8"/>
    <w:rsid w:val="00440C93"/>
    <w:rsid w:val="00462A51"/>
    <w:rsid w:val="00472B7F"/>
    <w:rsid w:val="00480B84"/>
    <w:rsid w:val="004B64F9"/>
    <w:rsid w:val="004C1A25"/>
    <w:rsid w:val="004D2BB7"/>
    <w:rsid w:val="00515991"/>
    <w:rsid w:val="005225EC"/>
    <w:rsid w:val="00525097"/>
    <w:rsid w:val="005356B0"/>
    <w:rsid w:val="005509B6"/>
    <w:rsid w:val="00571235"/>
    <w:rsid w:val="00577A36"/>
    <w:rsid w:val="00580CF2"/>
    <w:rsid w:val="005B398E"/>
    <w:rsid w:val="005C03A7"/>
    <w:rsid w:val="005C5330"/>
    <w:rsid w:val="005F1F5F"/>
    <w:rsid w:val="00632C10"/>
    <w:rsid w:val="00690698"/>
    <w:rsid w:val="006E4A4B"/>
    <w:rsid w:val="006E5107"/>
    <w:rsid w:val="00703106"/>
    <w:rsid w:val="007459AE"/>
    <w:rsid w:val="007531A5"/>
    <w:rsid w:val="00771C9E"/>
    <w:rsid w:val="0082045E"/>
    <w:rsid w:val="008222A3"/>
    <w:rsid w:val="00883D3C"/>
    <w:rsid w:val="00886CF2"/>
    <w:rsid w:val="008F3462"/>
    <w:rsid w:val="009237A6"/>
    <w:rsid w:val="00935932"/>
    <w:rsid w:val="009547DC"/>
    <w:rsid w:val="00993CB7"/>
    <w:rsid w:val="00994877"/>
    <w:rsid w:val="009C28DE"/>
    <w:rsid w:val="009C3BFE"/>
    <w:rsid w:val="009D0EE3"/>
    <w:rsid w:val="009E3220"/>
    <w:rsid w:val="009F40B9"/>
    <w:rsid w:val="00A2494D"/>
    <w:rsid w:val="00A536A1"/>
    <w:rsid w:val="00AB0B7D"/>
    <w:rsid w:val="00AD5F2F"/>
    <w:rsid w:val="00B858D5"/>
    <w:rsid w:val="00B97AFE"/>
    <w:rsid w:val="00C138C6"/>
    <w:rsid w:val="00C753D7"/>
    <w:rsid w:val="00CB06FB"/>
    <w:rsid w:val="00CB1A5D"/>
    <w:rsid w:val="00CB63C5"/>
    <w:rsid w:val="00D30EED"/>
    <w:rsid w:val="00D7750B"/>
    <w:rsid w:val="00DC7881"/>
    <w:rsid w:val="00E126C3"/>
    <w:rsid w:val="00E343A6"/>
    <w:rsid w:val="00E443AC"/>
    <w:rsid w:val="00E47A1E"/>
    <w:rsid w:val="00E7105F"/>
    <w:rsid w:val="00E7792F"/>
    <w:rsid w:val="00EE37EC"/>
    <w:rsid w:val="00EF2DFA"/>
    <w:rsid w:val="00F313F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A7E60"/>
  <w15:chartTrackingRefBased/>
  <w15:docId w15:val="{2A4861AA-B62D-4A85-9D31-3ED4F89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D7"/>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753D7"/>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753D7"/>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753D7"/>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753D7"/>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753D7"/>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753D7"/>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753D7"/>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753D7"/>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753D7"/>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753D7"/>
    <w:pPr>
      <w:keepNext/>
      <w:keepLines/>
      <w:suppressAutoHyphens/>
      <w:spacing w:line="270" w:lineRule="exact"/>
      <w:outlineLvl w:val="0"/>
    </w:pPr>
    <w:rPr>
      <w:b/>
      <w:sz w:val="24"/>
    </w:rPr>
  </w:style>
  <w:style w:type="paragraph" w:customStyle="1" w:styleId="HCH">
    <w:name w:val="_ H _CH"/>
    <w:basedOn w:val="H1"/>
    <w:next w:val="Normal"/>
    <w:qFormat/>
    <w:rsid w:val="00C753D7"/>
    <w:pPr>
      <w:spacing w:line="300" w:lineRule="exact"/>
    </w:pPr>
    <w:rPr>
      <w:spacing w:val="-2"/>
      <w:sz w:val="28"/>
    </w:rPr>
  </w:style>
  <w:style w:type="paragraph" w:customStyle="1" w:styleId="HM">
    <w:name w:val="_ H __M"/>
    <w:basedOn w:val="HCH"/>
    <w:next w:val="Normal"/>
    <w:qFormat/>
    <w:rsid w:val="00C753D7"/>
    <w:pPr>
      <w:spacing w:line="360" w:lineRule="exact"/>
    </w:pPr>
    <w:rPr>
      <w:spacing w:val="-3"/>
      <w:w w:val="99"/>
      <w:sz w:val="34"/>
    </w:rPr>
  </w:style>
  <w:style w:type="paragraph" w:customStyle="1" w:styleId="H23">
    <w:name w:val="_ H_2/3"/>
    <w:basedOn w:val="H1"/>
    <w:next w:val="SingleTxt"/>
    <w:qFormat/>
    <w:rsid w:val="00C753D7"/>
    <w:pPr>
      <w:spacing w:line="240" w:lineRule="exact"/>
      <w:outlineLvl w:val="1"/>
    </w:pPr>
    <w:rPr>
      <w:spacing w:val="2"/>
      <w:sz w:val="20"/>
    </w:rPr>
  </w:style>
  <w:style w:type="paragraph" w:customStyle="1" w:styleId="H4">
    <w:name w:val="_ H_4"/>
    <w:basedOn w:val="Normal"/>
    <w:next w:val="SingleTxt"/>
    <w:qFormat/>
    <w:rsid w:val="00C753D7"/>
    <w:pPr>
      <w:keepNext/>
      <w:keepLines/>
      <w:tabs>
        <w:tab w:val="right" w:pos="360"/>
      </w:tabs>
      <w:suppressAutoHyphens/>
      <w:outlineLvl w:val="3"/>
    </w:pPr>
    <w:rPr>
      <w:i/>
      <w:spacing w:val="3"/>
    </w:rPr>
  </w:style>
  <w:style w:type="paragraph" w:customStyle="1" w:styleId="H56">
    <w:name w:val="_ H_5/6"/>
    <w:basedOn w:val="Normal"/>
    <w:next w:val="Normal"/>
    <w:qFormat/>
    <w:rsid w:val="00C753D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753D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753D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753D7"/>
    <w:pPr>
      <w:spacing w:line="540" w:lineRule="exact"/>
    </w:pPr>
    <w:rPr>
      <w:spacing w:val="-8"/>
      <w:w w:val="96"/>
      <w:sz w:val="57"/>
    </w:rPr>
  </w:style>
  <w:style w:type="paragraph" w:customStyle="1" w:styleId="SS">
    <w:name w:val="__S_S"/>
    <w:basedOn w:val="HCH"/>
    <w:next w:val="Normal"/>
    <w:qFormat/>
    <w:rsid w:val="00C753D7"/>
    <w:pPr>
      <w:ind w:left="1267" w:right="1267"/>
    </w:pPr>
  </w:style>
  <w:style w:type="paragraph" w:customStyle="1" w:styleId="SingleTxt">
    <w:name w:val="__Single Txt"/>
    <w:basedOn w:val="Normal"/>
    <w:qFormat/>
    <w:rsid w:val="00C753D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753D7"/>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C753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753D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753D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753D7"/>
    <w:rPr>
      <w:rFonts w:ascii="Tahoma" w:hAnsi="Tahoma" w:cs="Tahoma"/>
      <w:spacing w:val="4"/>
      <w:w w:val="103"/>
      <w:kern w:val="14"/>
      <w:sz w:val="16"/>
      <w:szCs w:val="16"/>
      <w:lang w:val="fr-CA" w:eastAsia="en-US"/>
    </w:rPr>
  </w:style>
  <w:style w:type="paragraph" w:customStyle="1" w:styleId="Bullet1">
    <w:name w:val="Bullet 1"/>
    <w:basedOn w:val="Normal"/>
    <w:qFormat/>
    <w:rsid w:val="00C753D7"/>
    <w:pPr>
      <w:numPr>
        <w:numId w:val="5"/>
      </w:numPr>
      <w:spacing w:after="120"/>
      <w:ind w:right="1267"/>
      <w:jc w:val="both"/>
    </w:pPr>
  </w:style>
  <w:style w:type="paragraph" w:customStyle="1" w:styleId="Bullet2">
    <w:name w:val="Bullet 2"/>
    <w:basedOn w:val="Normal"/>
    <w:qFormat/>
    <w:rsid w:val="00C753D7"/>
    <w:pPr>
      <w:numPr>
        <w:numId w:val="6"/>
      </w:numPr>
      <w:spacing w:after="120"/>
      <w:ind w:right="1264"/>
      <w:jc w:val="both"/>
    </w:pPr>
  </w:style>
  <w:style w:type="paragraph" w:customStyle="1" w:styleId="Bullet3">
    <w:name w:val="Bullet 3"/>
    <w:basedOn w:val="SingleTxt"/>
    <w:qFormat/>
    <w:rsid w:val="00C753D7"/>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753D7"/>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753D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753D7"/>
    <w:pPr>
      <w:spacing w:line="210" w:lineRule="exact"/>
    </w:pPr>
    <w:rPr>
      <w:sz w:val="17"/>
      <w:szCs w:val="20"/>
    </w:rPr>
  </w:style>
  <w:style w:type="character" w:customStyle="1" w:styleId="EndnoteTextChar">
    <w:name w:val="Endnote Text Char"/>
    <w:link w:val="EndnoteText"/>
    <w:uiPriority w:val="99"/>
    <w:semiHidden/>
    <w:rsid w:val="00C753D7"/>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C753D7"/>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C753D7"/>
    <w:rPr>
      <w:rFonts w:ascii="Times New Roman" w:hAnsi="Times New Roman" w:cs="Times New Roman"/>
      <w:b/>
      <w:spacing w:val="3"/>
      <w:w w:val="105"/>
      <w:sz w:val="17"/>
      <w:lang w:val="en-US" w:eastAsia="en-US"/>
    </w:rPr>
  </w:style>
  <w:style w:type="character" w:styleId="FootnoteReference">
    <w:name w:val="footnote reference"/>
    <w:rsid w:val="00C753D7"/>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753D7"/>
    <w:pPr>
      <w:spacing w:line="210" w:lineRule="exact"/>
    </w:pPr>
    <w:rPr>
      <w:sz w:val="17"/>
      <w:szCs w:val="20"/>
    </w:rPr>
  </w:style>
  <w:style w:type="character" w:customStyle="1" w:styleId="FootnoteTextChar">
    <w:name w:val="Footnote Text Char"/>
    <w:link w:val="FootnoteText"/>
    <w:rsid w:val="00C753D7"/>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C753D7"/>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C753D7"/>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C753D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753D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753D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753D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753D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753D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753D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753D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753D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753D7"/>
    <w:rPr>
      <w:sz w:val="14"/>
    </w:rPr>
  </w:style>
  <w:style w:type="paragraph" w:styleId="ListParagraph">
    <w:name w:val="List Paragraph"/>
    <w:basedOn w:val="Normal"/>
    <w:uiPriority w:val="34"/>
    <w:rsid w:val="00C753D7"/>
    <w:pPr>
      <w:ind w:left="720"/>
      <w:contextualSpacing/>
    </w:pPr>
  </w:style>
  <w:style w:type="paragraph" w:styleId="NoSpacing">
    <w:name w:val="No Spacing"/>
    <w:uiPriority w:val="1"/>
    <w:rsid w:val="00C753D7"/>
    <w:pPr>
      <w:spacing w:after="0" w:line="240" w:lineRule="auto"/>
    </w:pPr>
    <w:rPr>
      <w:rFonts w:ascii="Calibri" w:hAnsi="Calibri" w:cs="Times New Roman"/>
      <w:lang w:val="en-US" w:eastAsia="en-US"/>
    </w:rPr>
  </w:style>
  <w:style w:type="paragraph" w:customStyle="1" w:styleId="Original">
    <w:name w:val="Original"/>
    <w:next w:val="Normal"/>
    <w:autoRedefine/>
    <w:qFormat/>
    <w:rsid w:val="00C753D7"/>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C753D7"/>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C753D7"/>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C753D7"/>
    <w:pPr>
      <w:tabs>
        <w:tab w:val="right" w:pos="9965"/>
      </w:tabs>
      <w:spacing w:line="210" w:lineRule="exact"/>
    </w:pPr>
    <w:rPr>
      <w:spacing w:val="5"/>
      <w:w w:val="104"/>
      <w:sz w:val="17"/>
    </w:rPr>
  </w:style>
  <w:style w:type="paragraph" w:customStyle="1" w:styleId="SmallX">
    <w:name w:val="SmallX"/>
    <w:basedOn w:val="Small"/>
    <w:next w:val="Normal"/>
    <w:qFormat/>
    <w:rsid w:val="00C753D7"/>
    <w:pPr>
      <w:spacing w:line="180" w:lineRule="exact"/>
      <w:jc w:val="right"/>
    </w:pPr>
    <w:rPr>
      <w:spacing w:val="6"/>
      <w:w w:val="106"/>
      <w:sz w:val="14"/>
    </w:rPr>
  </w:style>
  <w:style w:type="character" w:styleId="Strong">
    <w:name w:val="Strong"/>
    <w:uiPriority w:val="22"/>
    <w:rsid w:val="00C753D7"/>
    <w:rPr>
      <w:b/>
      <w:bCs/>
    </w:rPr>
  </w:style>
  <w:style w:type="paragraph" w:customStyle="1" w:styleId="Style1">
    <w:name w:val="Style1"/>
    <w:basedOn w:val="Normal"/>
    <w:qFormat/>
    <w:rsid w:val="00C753D7"/>
  </w:style>
  <w:style w:type="paragraph" w:customStyle="1" w:styleId="Style2">
    <w:name w:val="Style2"/>
    <w:basedOn w:val="Normal"/>
    <w:autoRedefine/>
    <w:qFormat/>
    <w:rsid w:val="00C753D7"/>
  </w:style>
  <w:style w:type="paragraph" w:customStyle="1" w:styleId="TitleHCH">
    <w:name w:val="Title_H_CH"/>
    <w:basedOn w:val="H1"/>
    <w:next w:val="Normal"/>
    <w:qFormat/>
    <w:rsid w:val="00C753D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753D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753D7"/>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33E90"/>
    <w:rPr>
      <w:sz w:val="16"/>
      <w:szCs w:val="16"/>
    </w:rPr>
  </w:style>
  <w:style w:type="paragraph" w:styleId="CommentText">
    <w:name w:val="annotation text"/>
    <w:basedOn w:val="Normal"/>
    <w:link w:val="CommentTextChar"/>
    <w:uiPriority w:val="99"/>
    <w:semiHidden/>
    <w:unhideWhenUsed/>
    <w:rsid w:val="00233E90"/>
    <w:pPr>
      <w:spacing w:line="240" w:lineRule="auto"/>
    </w:pPr>
    <w:rPr>
      <w:szCs w:val="20"/>
    </w:rPr>
  </w:style>
  <w:style w:type="character" w:customStyle="1" w:styleId="CommentTextChar">
    <w:name w:val="Comment Text Char"/>
    <w:basedOn w:val="DefaultParagraphFont"/>
    <w:link w:val="CommentText"/>
    <w:uiPriority w:val="99"/>
    <w:semiHidden/>
    <w:rsid w:val="00233E90"/>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33E90"/>
    <w:rPr>
      <w:b/>
      <w:bCs/>
    </w:rPr>
  </w:style>
  <w:style w:type="character" w:customStyle="1" w:styleId="CommentSubjectChar">
    <w:name w:val="Comment Subject Char"/>
    <w:basedOn w:val="CommentTextChar"/>
    <w:link w:val="CommentSubject"/>
    <w:uiPriority w:val="99"/>
    <w:semiHidden/>
    <w:rsid w:val="00233E90"/>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C602E"/>
    <w:rPr>
      <w:color w:val="0000FF" w:themeColor="hyperlink"/>
      <w:u w:val="single"/>
    </w:rPr>
  </w:style>
  <w:style w:type="character" w:styleId="UnresolvedMention">
    <w:name w:val="Unresolved Mention"/>
    <w:basedOn w:val="DefaultParagraphFont"/>
    <w:uiPriority w:val="99"/>
    <w:semiHidden/>
    <w:unhideWhenUsed/>
    <w:rsid w:val="002C602E"/>
    <w:rPr>
      <w:color w:val="605E5C"/>
      <w:shd w:val="clear" w:color="auto" w:fill="E1DFDD"/>
    </w:rPr>
  </w:style>
  <w:style w:type="table" w:styleId="TableGrid">
    <w:name w:val="Table Grid"/>
    <w:basedOn w:val="TableNormal"/>
    <w:rsid w:val="000C262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irishstatutebook.ie/eli/2014/act/25/enacted/en/html" TargetMode="External"/><Relationship Id="rId3" Type="http://schemas.openxmlformats.org/officeDocument/2006/relationships/hyperlink" Target="http://www.justice.ie/en/JELR/Pages/MagdalenRpt2013" TargetMode="External"/><Relationship Id="rId7" Type="http://schemas.openxmlformats.org/officeDocument/2006/relationships/hyperlink" Target="https://www.gov.ie/en/publication/544fc6-the-surgical-symphysiotomy-ex-gratia-payment-scheme-report/" TargetMode="External"/><Relationship Id="rId2" Type="http://schemas.openxmlformats.org/officeDocument/2006/relationships/hyperlink" Target="https://president.ie/en/media-library/speeches/speech-to-women-who-worked-at-the-magdalene-laundries" TargetMode="External"/><Relationship Id="rId1" Type="http://schemas.openxmlformats.org/officeDocument/2006/relationships/hyperlink" Target="https://www.oireachtas.ie/en/debates/debate/dail/2013-02-19/29/" TargetMode="External"/><Relationship Id="rId6" Type="http://schemas.openxmlformats.org/officeDocument/2006/relationships/hyperlink" Target="https://www.gov.ie/en/publication/8535fb-report-on-symphysiotomy-in-ireland-1944-1984-professor-oonagh-walsh/" TargetMode="External"/><Relationship Id="rId11" Type="http://schemas.openxmlformats.org/officeDocument/2006/relationships/hyperlink" Target="http://www.irishstatutebook.ie/eli/2018/act/31/enacted/en/html" TargetMode="External"/><Relationship Id="rId5" Type="http://schemas.openxmlformats.org/officeDocument/2006/relationships/hyperlink" Target="http://www.mbhcoi.ie" TargetMode="External"/><Relationship Id="rId10" Type="http://schemas.openxmlformats.org/officeDocument/2006/relationships/hyperlink" Target="http://www.irishstatutebook.ie/eli/2018/ca/36/enacted/en/html" TargetMode="External"/><Relationship Id="rId4" Type="http://schemas.openxmlformats.org/officeDocument/2006/relationships/hyperlink" Target="http://www.justice.ie/en/JELR/Pages/PR18000178" TargetMode="External"/><Relationship Id="rId9" Type="http://schemas.openxmlformats.org/officeDocument/2006/relationships/hyperlink" Target="https://www.ihrec.ie/publ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ok</dc:creator>
  <cp:keywords/>
  <dc:description/>
  <cp:lastModifiedBy>mao ok</cp:lastModifiedBy>
  <cp:revision>3</cp:revision>
  <cp:lastPrinted>2020-09-17T23:00:00Z</cp:lastPrinted>
  <dcterms:created xsi:type="dcterms:W3CDTF">2020-09-17T23:00:00Z</dcterms:created>
  <dcterms:modified xsi:type="dcterms:W3CDTF">2020-09-17T23:00:00Z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2011022F</vt:lpwstr>
  </property>
  <property fmtid="{D5CDD505-2E9C-101B-9397-08002B2CF9AE}" pid="3" name="ODSRefJobNo">
    <vt:lpwstr>2021785F</vt:lpwstr>
  </property>
  <property fmtid="{D5CDD505-2E9C-101B-9397-08002B2CF9AE}" pid="4" name="Symbol1">
    <vt:lpwstr>CEDAW/C/IRL/FCO/6-7</vt:lpwstr>
  </property>
  <property fmtid="{D5CDD505-2E9C-101B-9397-08002B2CF9AE}" pid="5" name="Symbol2">
    <vt:lpwstr/>
  </property>
  <property fmtid="{D5CDD505-2E9C-101B-9397-08002B2CF9AE}" pid="6" name="Translator">
    <vt:lpwstr/>
  </property>
  <property fmtid="{D5CDD505-2E9C-101B-9397-08002B2CF9AE}" pid="7" name="Operator">
    <vt:lpwstr>Moïse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170920</vt:lpwstr>
  </property>
  <property fmtid="{D5CDD505-2E9C-101B-9397-08002B2CF9AE}" pid="13" name="Title1">
    <vt:lpwstr>		Renseignements reçus de l’Irlande au sujet de la suite donnée aux observations finales concernant son rapport unique valant sixième et septième rapports périodiques*_x000d_</vt:lpwstr>
  </property>
</Properties>
</file>