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6CAADAD" w14:textId="77777777" w:rsidTr="00BD4745">
        <w:trPr>
          <w:trHeight w:hRule="exact" w:val="851"/>
        </w:trPr>
        <w:tc>
          <w:tcPr>
            <w:tcW w:w="1280" w:type="dxa"/>
            <w:tcBorders>
              <w:bottom w:val="single" w:sz="4" w:space="0" w:color="auto"/>
            </w:tcBorders>
          </w:tcPr>
          <w:p w14:paraId="31E1488E" w14:textId="77777777" w:rsidR="002D5AAC" w:rsidRPr="007A0D9C" w:rsidRDefault="002D5AAC" w:rsidP="00846AD6">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14:paraId="2AA936C5"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8A6EC79" w14:textId="14124CFE" w:rsidR="002D5AAC" w:rsidRPr="00D84BBA" w:rsidRDefault="00D84BBA" w:rsidP="00D84BBA">
            <w:pPr>
              <w:jc w:val="right"/>
            </w:pPr>
            <w:proofErr w:type="spellStart"/>
            <w:r w:rsidRPr="00D84BBA">
              <w:rPr>
                <w:sz w:val="40"/>
              </w:rPr>
              <w:t>CCPR</w:t>
            </w:r>
            <w:proofErr w:type="spellEnd"/>
            <w:r>
              <w:t>/C/BOL/</w:t>
            </w:r>
            <w:proofErr w:type="spellStart"/>
            <w:r>
              <w:t>RQ</w:t>
            </w:r>
            <w:proofErr w:type="spellEnd"/>
            <w:r>
              <w:t>/4</w:t>
            </w:r>
          </w:p>
        </w:tc>
      </w:tr>
      <w:tr w:rsidR="002D5AAC" w14:paraId="1ABC4753" w14:textId="77777777" w:rsidTr="00BD4745">
        <w:trPr>
          <w:trHeight w:hRule="exact" w:val="2835"/>
        </w:trPr>
        <w:tc>
          <w:tcPr>
            <w:tcW w:w="1280" w:type="dxa"/>
            <w:tcBorders>
              <w:top w:val="single" w:sz="4" w:space="0" w:color="auto"/>
              <w:bottom w:val="single" w:sz="12" w:space="0" w:color="auto"/>
            </w:tcBorders>
          </w:tcPr>
          <w:p w14:paraId="5875D03D" w14:textId="77777777" w:rsidR="002D5AAC" w:rsidRDefault="00411A36" w:rsidP="00660CE8">
            <w:pPr>
              <w:spacing w:before="120"/>
              <w:jc w:val="center"/>
            </w:pPr>
            <w:r>
              <w:rPr>
                <w:noProof/>
                <w:lang w:val="en-GB" w:eastAsia="en-GB"/>
              </w:rPr>
              <w:drawing>
                <wp:inline distT="0" distB="0" distL="0" distR="0" wp14:anchorId="6C6B476D" wp14:editId="6AA00D2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AC2A0E2"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5455EDBA" w14:textId="77777777" w:rsidR="00BD4745" w:rsidRDefault="00BD4745" w:rsidP="00BD4745">
            <w:pPr>
              <w:spacing w:before="240"/>
            </w:pPr>
            <w:proofErr w:type="spellStart"/>
            <w:r>
              <w:t>Distr</w:t>
            </w:r>
            <w:proofErr w:type="spellEnd"/>
            <w:r>
              <w:t>. general</w:t>
            </w:r>
          </w:p>
          <w:p w14:paraId="7F8DD541" w14:textId="6595827A" w:rsidR="00BD4745" w:rsidRDefault="00C203A4" w:rsidP="00BD4745">
            <w:pPr>
              <w:spacing w:line="240" w:lineRule="exact"/>
            </w:pPr>
            <w:r>
              <w:t>19</w:t>
            </w:r>
            <w:r w:rsidR="00BD4745">
              <w:t xml:space="preserve"> de </w:t>
            </w:r>
            <w:r w:rsidR="0068575A">
              <w:t xml:space="preserve">enero </w:t>
            </w:r>
            <w:r w:rsidR="00BD4745">
              <w:t>de 202</w:t>
            </w:r>
            <w:r w:rsidR="0068575A">
              <w:t>2</w:t>
            </w:r>
          </w:p>
          <w:p w14:paraId="7F3B12E6" w14:textId="77777777" w:rsidR="00BD4745" w:rsidRDefault="00BD4745" w:rsidP="00BD4745">
            <w:pPr>
              <w:spacing w:line="240" w:lineRule="exact"/>
            </w:pPr>
          </w:p>
          <w:p w14:paraId="1850FE2A" w14:textId="33BB8166" w:rsidR="00BD4745" w:rsidRDefault="00BD4745" w:rsidP="00BD4745">
            <w:pPr>
              <w:spacing w:line="240" w:lineRule="exact"/>
            </w:pPr>
            <w:r>
              <w:t>Original: español</w:t>
            </w:r>
          </w:p>
          <w:p w14:paraId="57A2C715" w14:textId="7633476E" w:rsidR="000E5F00" w:rsidRDefault="00BD4745" w:rsidP="00BD4745">
            <w:pPr>
              <w:spacing w:line="240" w:lineRule="exact"/>
            </w:pPr>
            <w:r>
              <w:t>Español, francés e inglés únicamente</w:t>
            </w:r>
          </w:p>
        </w:tc>
      </w:tr>
    </w:tbl>
    <w:p w14:paraId="47F87BB9" w14:textId="58916916" w:rsidR="0068575A" w:rsidRDefault="00BD4745" w:rsidP="00BD4745">
      <w:pPr>
        <w:spacing w:before="120"/>
        <w:rPr>
          <w:b/>
          <w:bCs/>
          <w:sz w:val="24"/>
          <w:szCs w:val="24"/>
        </w:rPr>
      </w:pPr>
      <w:r w:rsidRPr="00B723D4">
        <w:rPr>
          <w:b/>
          <w:bCs/>
          <w:sz w:val="24"/>
          <w:szCs w:val="24"/>
        </w:rPr>
        <w:t>Comité de Derechos Humanos</w:t>
      </w:r>
    </w:p>
    <w:p w14:paraId="10C88419" w14:textId="0670E99E" w:rsidR="0068575A" w:rsidRPr="000B3794" w:rsidRDefault="000E4375" w:rsidP="0068575A">
      <w:pPr>
        <w:pStyle w:val="paragraph"/>
        <w:spacing w:before="0" w:beforeAutospacing="0" w:after="0" w:afterAutospacing="0"/>
        <w:textAlignment w:val="baseline"/>
        <w:rPr>
          <w:rFonts w:ascii="Segoe UI" w:hAnsi="Segoe UI" w:cs="Segoe UI"/>
          <w:sz w:val="18"/>
          <w:szCs w:val="18"/>
          <w:lang w:val="es-ES"/>
        </w:rPr>
      </w:pPr>
      <w:r w:rsidRPr="004B0800">
        <w:rPr>
          <w:rStyle w:val="normaltextrun"/>
          <w:b/>
          <w:bCs/>
          <w:sz w:val="20"/>
          <w:szCs w:val="20"/>
          <w:lang w:val="es-ES"/>
        </w:rPr>
        <w:t>134º</w:t>
      </w:r>
      <w:r w:rsidR="0068575A" w:rsidRPr="000B3794">
        <w:rPr>
          <w:rStyle w:val="normaltextrun"/>
          <w:b/>
          <w:bCs/>
          <w:sz w:val="20"/>
          <w:szCs w:val="20"/>
          <w:lang w:val="es-ES"/>
        </w:rPr>
        <w:t xml:space="preserve"> período de sesiones</w:t>
      </w:r>
      <w:r w:rsidR="0068575A" w:rsidRPr="000B3794">
        <w:rPr>
          <w:rStyle w:val="eop"/>
          <w:sz w:val="20"/>
          <w:szCs w:val="20"/>
          <w:lang w:val="es-ES"/>
        </w:rPr>
        <w:t> </w:t>
      </w:r>
    </w:p>
    <w:p w14:paraId="77806D60" w14:textId="455DE2A9" w:rsidR="0068575A" w:rsidRPr="000B3794" w:rsidRDefault="000E4375" w:rsidP="0068575A">
      <w:pPr>
        <w:pStyle w:val="paragraph"/>
        <w:spacing w:before="0" w:beforeAutospacing="0" w:after="0" w:afterAutospacing="0"/>
        <w:textAlignment w:val="baseline"/>
        <w:rPr>
          <w:rFonts w:ascii="Segoe UI" w:hAnsi="Segoe UI" w:cs="Segoe UI"/>
          <w:sz w:val="18"/>
          <w:szCs w:val="18"/>
          <w:lang w:val="es-ES"/>
        </w:rPr>
      </w:pPr>
      <w:r w:rsidRPr="004B0800">
        <w:rPr>
          <w:rStyle w:val="normaltextrun"/>
          <w:sz w:val="20"/>
          <w:szCs w:val="20"/>
          <w:lang w:val="es-ES"/>
        </w:rPr>
        <w:t>28 de febrero a 25 de marzo de 2022</w:t>
      </w:r>
    </w:p>
    <w:p w14:paraId="78154A46" w14:textId="3B60024B" w:rsidR="0068575A" w:rsidRPr="000A1525" w:rsidRDefault="0068575A" w:rsidP="0068575A">
      <w:pPr>
        <w:pStyle w:val="paragraph"/>
        <w:spacing w:before="0" w:beforeAutospacing="0" w:after="0" w:afterAutospacing="0"/>
        <w:textAlignment w:val="baseline"/>
        <w:rPr>
          <w:rFonts w:ascii="Segoe UI" w:hAnsi="Segoe UI" w:cs="Segoe UI"/>
          <w:sz w:val="18"/>
          <w:szCs w:val="18"/>
          <w:lang w:val="es-ES"/>
        </w:rPr>
      </w:pPr>
      <w:r w:rsidRPr="000B3794">
        <w:rPr>
          <w:rStyle w:val="normaltextrun"/>
          <w:b/>
          <w:bCs/>
          <w:sz w:val="20"/>
          <w:szCs w:val="20"/>
          <w:lang w:val="es-ES"/>
        </w:rPr>
        <w:t>Examen de los informes presentados</w:t>
      </w:r>
      <w:r>
        <w:rPr>
          <w:rStyle w:val="normaltextrun"/>
          <w:b/>
          <w:bCs/>
          <w:sz w:val="20"/>
          <w:szCs w:val="20"/>
          <w:lang w:val="es-ES"/>
        </w:rPr>
        <w:t xml:space="preserve"> por los </w:t>
      </w:r>
      <w:proofErr w:type="gramStart"/>
      <w:r>
        <w:rPr>
          <w:rStyle w:val="normaltextrun"/>
          <w:b/>
          <w:bCs/>
          <w:sz w:val="20"/>
          <w:szCs w:val="20"/>
          <w:lang w:val="es-ES"/>
        </w:rPr>
        <w:t>Estados partes</w:t>
      </w:r>
      <w:proofErr w:type="gramEnd"/>
      <w:r w:rsidRPr="000A1525">
        <w:rPr>
          <w:sz w:val="20"/>
          <w:szCs w:val="20"/>
          <w:lang w:val="es-ES"/>
        </w:rPr>
        <w:br/>
      </w:r>
      <w:r>
        <w:rPr>
          <w:rStyle w:val="normaltextrun"/>
          <w:b/>
          <w:bCs/>
          <w:sz w:val="20"/>
          <w:szCs w:val="20"/>
          <w:lang w:val="es-ES"/>
        </w:rPr>
        <w:t>en virtud del artículo 40 del Pacto</w:t>
      </w:r>
      <w:r w:rsidRPr="000A1525">
        <w:rPr>
          <w:rStyle w:val="eop"/>
          <w:sz w:val="20"/>
          <w:szCs w:val="20"/>
          <w:lang w:val="es-ES"/>
        </w:rPr>
        <w:t> </w:t>
      </w:r>
    </w:p>
    <w:p w14:paraId="62BA3CAD" w14:textId="1451EA04" w:rsidR="00BD4745" w:rsidRPr="00B723D4" w:rsidRDefault="00BD4745">
      <w:pPr>
        <w:pStyle w:val="HMG"/>
      </w:pPr>
      <w:r>
        <w:tab/>
      </w:r>
      <w:r>
        <w:tab/>
        <w:t>Respuestas de</w:t>
      </w:r>
      <w:r w:rsidR="0068575A">
        <w:t>l Estado Plurinacional de</w:t>
      </w:r>
      <w:r>
        <w:t xml:space="preserve"> Bolivia</w:t>
      </w:r>
      <w:r w:rsidRPr="009E6B7A">
        <w:t xml:space="preserve"> a</w:t>
      </w:r>
      <w:r w:rsidR="00F26F0C">
        <w:t> </w:t>
      </w:r>
      <w:r w:rsidRPr="009E6B7A">
        <w:t>la lista de cuestiones relativa</w:t>
      </w:r>
      <w:r>
        <w:t> a su cuarto </w:t>
      </w:r>
      <w:r w:rsidRPr="009E6B7A">
        <w:t>informe</w:t>
      </w:r>
      <w:r w:rsidR="00F26F0C">
        <w:t> </w:t>
      </w:r>
      <w:r w:rsidRPr="009E6B7A">
        <w:t>periódico</w:t>
      </w:r>
      <w:r w:rsidR="00F26F0C" w:rsidRPr="004B0800">
        <w:rPr>
          <w:rStyle w:val="FootnoteReference"/>
          <w:b w:val="0"/>
          <w:bCs/>
          <w:sz w:val="20"/>
          <w:vertAlign w:val="baseline"/>
        </w:rPr>
        <w:footnoteReference w:customMarkFollows="1" w:id="1"/>
        <w:t>*</w:t>
      </w:r>
    </w:p>
    <w:p w14:paraId="1DB6ABB7" w14:textId="77777777" w:rsidR="00BD4745" w:rsidRDefault="00BD4745" w:rsidP="00BD4745">
      <w:pPr>
        <w:pStyle w:val="SingleTxtG"/>
        <w:jc w:val="right"/>
      </w:pPr>
      <w:r>
        <w:t>[Fecha de recepción: 21 de diciembre de 2021</w:t>
      </w:r>
      <w:r w:rsidRPr="009E6B7A">
        <w:t>]</w:t>
      </w:r>
    </w:p>
    <w:p w14:paraId="739BCD13" w14:textId="77777777" w:rsidR="00EB5403" w:rsidRPr="00BF1986" w:rsidRDefault="00EB5403" w:rsidP="00EB5403">
      <w:pPr>
        <w:pStyle w:val="SingleTxtG"/>
        <w:rPr>
          <w:rFonts w:eastAsiaTheme="minorHAnsi"/>
          <w:lang w:val="es-ES_tradnl"/>
        </w:rPr>
      </w:pPr>
      <w:r w:rsidRPr="00BF1986">
        <w:rPr>
          <w:lang w:val="es-ES_tradnl"/>
        </w:rPr>
        <w:br w:type="page"/>
      </w:r>
    </w:p>
    <w:p w14:paraId="4CC67DB7" w14:textId="142439B3" w:rsidR="00BD4745" w:rsidRPr="002014CD" w:rsidRDefault="002014CD">
      <w:pPr>
        <w:pStyle w:val="HChG"/>
      </w:pPr>
      <w:r>
        <w:rPr>
          <w:lang w:val="es-ES_tradnl"/>
        </w:rPr>
        <w:lastRenderedPageBreak/>
        <w:tab/>
      </w:r>
      <w:r w:rsidR="00BD4745" w:rsidRPr="002014CD">
        <w:t xml:space="preserve">I. </w:t>
      </w:r>
      <w:r>
        <w:tab/>
      </w:r>
      <w:r w:rsidR="00BD4745" w:rsidRPr="002014CD">
        <w:t>Introducción</w:t>
      </w:r>
    </w:p>
    <w:p w14:paraId="75D1A7C0" w14:textId="684F9184" w:rsidR="00BD4745" w:rsidRPr="002014CD" w:rsidRDefault="0098102E" w:rsidP="002014CD">
      <w:pPr>
        <w:pStyle w:val="SingleTxtG"/>
      </w:pPr>
      <w:r w:rsidRPr="002014CD">
        <w:rPr>
          <w:rFonts w:eastAsiaTheme="minorHAnsi"/>
          <w:lang w:val="es-BO" w:eastAsia="en-US"/>
        </w:rPr>
        <w:t>1.</w:t>
      </w:r>
      <w:r w:rsidRPr="002014CD">
        <w:rPr>
          <w:rFonts w:eastAsiaTheme="minorHAnsi"/>
          <w:lang w:val="es-BO" w:eastAsia="en-US"/>
        </w:rPr>
        <w:tab/>
      </w:r>
      <w:r w:rsidR="00BD4745" w:rsidRPr="002014CD">
        <w:t>El Pacto Internacional de Derechos Civiles y Políticos (</w:t>
      </w:r>
      <w:proofErr w:type="spellStart"/>
      <w:r w:rsidR="00BD4745" w:rsidRPr="002014CD">
        <w:rPr>
          <w:spacing w:val="-4"/>
        </w:rPr>
        <w:t>PIDCP</w:t>
      </w:r>
      <w:proofErr w:type="spellEnd"/>
      <w:r w:rsidR="00BD4745" w:rsidRPr="002014CD">
        <w:t xml:space="preserve">) fue ratificado por Bolivia mediante Decreto Supremo </w:t>
      </w:r>
      <w:proofErr w:type="spellStart"/>
      <w:r w:rsidR="00BD4745" w:rsidRPr="002014CD">
        <w:t>Nº</w:t>
      </w:r>
      <w:proofErr w:type="spellEnd"/>
      <w:r w:rsidR="00BD4745" w:rsidRPr="002014CD">
        <w:t xml:space="preserve"> 18950 de 17 de mayo de 1982, elevado a rango de Ley </w:t>
      </w:r>
      <w:proofErr w:type="spellStart"/>
      <w:r w:rsidR="00BD4745" w:rsidRPr="002014CD">
        <w:t>Nº</w:t>
      </w:r>
      <w:proofErr w:type="spellEnd"/>
      <w:r w:rsidR="00BD4745" w:rsidRPr="002014CD">
        <w:t xml:space="preserve"> 2119 de 11 de septiembre de 2000.</w:t>
      </w:r>
    </w:p>
    <w:p w14:paraId="071D5B87" w14:textId="1DC9D11A" w:rsidR="00BD4745" w:rsidRPr="002014CD" w:rsidRDefault="0098102E" w:rsidP="002014CD">
      <w:pPr>
        <w:pStyle w:val="SingleTxtG"/>
        <w:rPr>
          <w:spacing w:val="-4"/>
        </w:rPr>
      </w:pPr>
      <w:r w:rsidRPr="002014CD">
        <w:rPr>
          <w:rFonts w:eastAsiaTheme="minorHAnsi"/>
          <w:spacing w:val="-4"/>
          <w:lang w:val="es-BO" w:eastAsia="en-US"/>
        </w:rPr>
        <w:t>2.</w:t>
      </w:r>
      <w:r w:rsidRPr="002014CD">
        <w:rPr>
          <w:rFonts w:eastAsiaTheme="minorHAnsi"/>
          <w:spacing w:val="-4"/>
          <w:lang w:val="es-BO" w:eastAsia="en-US"/>
        </w:rPr>
        <w:tab/>
      </w:r>
      <w:r w:rsidR="00BD4745" w:rsidRPr="002014CD">
        <w:t xml:space="preserve">El Pacto, así como los demás instrumentos internacionales de derechos humanos, forma parte del bloque de constitucionalidad, por lo que prevalecen en el orden interno, en virtud de lo previsto en los Artículos </w:t>
      </w:r>
      <w:proofErr w:type="spellStart"/>
      <w:proofErr w:type="gramStart"/>
      <w:r w:rsidR="00BD4745" w:rsidRPr="002014CD">
        <w:t>13.II</w:t>
      </w:r>
      <w:proofErr w:type="spellEnd"/>
      <w:proofErr w:type="gramEnd"/>
      <w:r w:rsidR="00BD4745" w:rsidRPr="002014CD">
        <w:t xml:space="preserve"> y IV, 256 y </w:t>
      </w:r>
      <w:proofErr w:type="spellStart"/>
      <w:r w:rsidR="00BD4745" w:rsidRPr="002014CD">
        <w:t>410.II</w:t>
      </w:r>
      <w:proofErr w:type="spellEnd"/>
      <w:r w:rsidR="00BD4745" w:rsidRPr="002014CD">
        <w:t xml:space="preserve"> de la Constitución Política del Estado.</w:t>
      </w:r>
    </w:p>
    <w:p w14:paraId="0C4CF761" w14:textId="4005A6EA" w:rsidR="00BD4745" w:rsidRPr="002014CD" w:rsidRDefault="0098102E" w:rsidP="002014CD">
      <w:pPr>
        <w:pStyle w:val="SingleTxtG"/>
      </w:pPr>
      <w:r w:rsidRPr="002014CD">
        <w:rPr>
          <w:rFonts w:eastAsiaTheme="minorHAnsi"/>
          <w:lang w:val="es-BO" w:eastAsia="en-US"/>
        </w:rPr>
        <w:t>3.</w:t>
      </w:r>
      <w:r w:rsidRPr="002014CD">
        <w:rPr>
          <w:rFonts w:eastAsiaTheme="minorHAnsi"/>
          <w:lang w:val="es-BO" w:eastAsia="en-US"/>
        </w:rPr>
        <w:tab/>
      </w:r>
      <w:r w:rsidR="00BD4745" w:rsidRPr="002014CD">
        <w:t>El Estado Plurinacional de Bolivia, de conformidad con lo dispuesto en el Artículo 40 del Pacto, presenta las respuestas a la Lista de Cuestiones Previas relativa al Cuarto Informe Periódico del Estado Plurinacional de Bolivia, en el cual se da a conocer los avances normativos y las medidas asumidas en el país, en cumplimiento a las disposiciones del Pacto, y las recomendaciones emitidas por el Comité al Tercer Informe Periódico (</w:t>
      </w:r>
      <w:proofErr w:type="spellStart"/>
      <w:r w:rsidR="00BD4745" w:rsidRPr="002014CD">
        <w:t>CCPR</w:t>
      </w:r>
      <w:proofErr w:type="spellEnd"/>
      <w:r w:rsidR="00BD4745" w:rsidRPr="002014CD">
        <w:t>/C/BOL/CO/3) de 22 de septiembre de 2011.</w:t>
      </w:r>
    </w:p>
    <w:p w14:paraId="7FBAF397" w14:textId="44E5EEF5" w:rsidR="00BD4745" w:rsidRPr="002014CD" w:rsidRDefault="002014CD">
      <w:pPr>
        <w:pStyle w:val="HChG"/>
      </w:pPr>
      <w:r>
        <w:tab/>
      </w:r>
      <w:r w:rsidR="00BD4745" w:rsidRPr="002014CD">
        <w:t>II.</w:t>
      </w:r>
      <w:r>
        <w:tab/>
      </w:r>
      <w:r w:rsidR="00BD4745" w:rsidRPr="002014CD">
        <w:t>Marco Constitucional y jurídico de la aplicación del Pacto (</w:t>
      </w:r>
      <w:r w:rsidR="00F26F0C">
        <w:t>a</w:t>
      </w:r>
      <w:r w:rsidR="00BD4745" w:rsidRPr="002014CD">
        <w:t>rt</w:t>
      </w:r>
      <w:r w:rsidR="00F71A97">
        <w:t>s.</w:t>
      </w:r>
      <w:r w:rsidR="00BD4745" w:rsidRPr="002014CD">
        <w:t xml:space="preserve"> 1 y 2)</w:t>
      </w:r>
    </w:p>
    <w:p w14:paraId="421FE044" w14:textId="543AC47F" w:rsidR="00BD4745" w:rsidRPr="002014CD" w:rsidRDefault="002014CD" w:rsidP="004B0800">
      <w:pPr>
        <w:pStyle w:val="H23G"/>
      </w:pPr>
      <w:r>
        <w:tab/>
      </w:r>
      <w:r w:rsidR="00BD4745" w:rsidRPr="002014CD">
        <w:t>1.</w:t>
      </w:r>
      <w:r w:rsidR="00BD4745" w:rsidRPr="002014CD">
        <w:tab/>
      </w:r>
      <w:r w:rsidR="001A1E5D" w:rsidRPr="00ED0B85">
        <w:t xml:space="preserve">Respuesta al </w:t>
      </w:r>
      <w:r w:rsidR="001A1E5D" w:rsidRPr="001A1E5D">
        <w:t xml:space="preserve">párrafo 1 </w:t>
      </w:r>
      <w:r w:rsidR="001A1E5D" w:rsidRPr="001A1E5D">
        <w:rPr>
          <w:lang w:val="es-ES_tradnl"/>
        </w:rPr>
        <w:t xml:space="preserve">de </w:t>
      </w:r>
      <w:r w:rsidR="001A1E5D">
        <w:rPr>
          <w:lang w:val="es-ES_tradnl"/>
        </w:rPr>
        <w:t>la lista de cuestiones (</w:t>
      </w:r>
      <w:proofErr w:type="spellStart"/>
      <w:r w:rsidR="000D06E8">
        <w:fldChar w:fldCharType="begin"/>
      </w:r>
      <w:r w:rsidR="000D06E8">
        <w:instrText xml:space="preserve"> HYPERLINK "https://undocs.org/es/CCPR/C/BOL/Q/4" </w:instrText>
      </w:r>
      <w:r w:rsidR="000D06E8">
        <w:fldChar w:fldCharType="separate"/>
      </w:r>
      <w:r w:rsidR="005437DF" w:rsidRPr="005437DF">
        <w:rPr>
          <w:rStyle w:val="Hyperlink"/>
          <w:lang w:val="es-ES_tradnl"/>
        </w:rPr>
        <w:t>CCPR</w:t>
      </w:r>
      <w:proofErr w:type="spellEnd"/>
      <w:r w:rsidR="005437DF" w:rsidRPr="005437DF">
        <w:rPr>
          <w:rStyle w:val="Hyperlink"/>
          <w:lang w:val="es-ES_tradnl"/>
        </w:rPr>
        <w:t>/C/BOL/Q/4</w:t>
      </w:r>
      <w:r w:rsidR="000D06E8">
        <w:rPr>
          <w:rStyle w:val="Hyperlink"/>
          <w:lang w:val="es-ES_tradnl"/>
        </w:rPr>
        <w:fldChar w:fldCharType="end"/>
      </w:r>
      <w:r w:rsidR="001A1E5D">
        <w:rPr>
          <w:lang w:val="es-ES_tradnl"/>
        </w:rPr>
        <w:t>)</w:t>
      </w:r>
    </w:p>
    <w:p w14:paraId="70CDAEE4" w14:textId="431CDA85" w:rsidR="00BD4745" w:rsidRPr="002014CD" w:rsidRDefault="0098102E" w:rsidP="002014CD">
      <w:pPr>
        <w:pStyle w:val="SingleTxtG"/>
        <w:rPr>
          <w:rFonts w:eastAsia="Calibri"/>
        </w:rPr>
      </w:pPr>
      <w:r w:rsidRPr="002014CD">
        <w:rPr>
          <w:rFonts w:eastAsia="Calibri"/>
        </w:rPr>
        <w:t>4.</w:t>
      </w:r>
      <w:r w:rsidRPr="002014CD">
        <w:rPr>
          <w:rFonts w:eastAsia="Calibri"/>
        </w:rPr>
        <w:tab/>
      </w:r>
      <w:r w:rsidR="00BD4745" w:rsidRPr="002014CD">
        <w:rPr>
          <w:rFonts w:eastAsia="Calibri"/>
        </w:rPr>
        <w:t xml:space="preserve">El Estado Boliviano a partir de la promulgación de la Constitución Política del Estado el 2009, marcó una nueva pauta en el acoplamiento de las disposiciones internacionales al orden constitucional interno, asumiendo las líneas jurisprudenciales desarrolladas con anterioridad, pues en su Art. </w:t>
      </w:r>
      <w:proofErr w:type="spellStart"/>
      <w:r w:rsidR="00BD4745" w:rsidRPr="002014CD">
        <w:rPr>
          <w:rFonts w:eastAsia="Calibri"/>
        </w:rPr>
        <w:t>410.II</w:t>
      </w:r>
      <w:proofErr w:type="spellEnd"/>
      <w:r w:rsidR="00BD4745" w:rsidRPr="002014CD">
        <w:rPr>
          <w:rFonts w:eastAsia="Calibri"/>
        </w:rPr>
        <w:t>, el bloque de constitucionalidad está integrado por los Tratados y Convenios Internacionales en materia de Derechos Humanos y las normas de Derecho Comunitario ratificados por el país – incluido el Pacto Internacional de Derechos Civiles y Políticos-. Asimismo, debe destacarse que la misma norma constitucional en sus Arts. 13 IV y 256 I dispone la aplicación preferente de los instrumentos internacionales de derechos humanos cuando reconozcan derechos más favorables que los establecidos en la propia Constitución.</w:t>
      </w:r>
    </w:p>
    <w:p w14:paraId="1DBB50B3" w14:textId="19704FBF" w:rsidR="00BD4745" w:rsidRPr="002014CD" w:rsidRDefault="0098102E" w:rsidP="002014CD">
      <w:pPr>
        <w:pStyle w:val="SingleTxtG"/>
        <w:rPr>
          <w:rFonts w:eastAsia="Calibri"/>
        </w:rPr>
      </w:pPr>
      <w:r w:rsidRPr="002014CD">
        <w:rPr>
          <w:rFonts w:eastAsia="Calibri"/>
        </w:rPr>
        <w:t>5.</w:t>
      </w:r>
      <w:r w:rsidRPr="002014CD">
        <w:rPr>
          <w:rFonts w:eastAsia="Calibri"/>
        </w:rPr>
        <w:tab/>
      </w:r>
      <w:r w:rsidR="00BD4745" w:rsidRPr="002014CD">
        <w:rPr>
          <w:rFonts w:eastAsia="Calibri"/>
        </w:rPr>
        <w:t xml:space="preserve">El Tribunal Constitucional pronunció la </w:t>
      </w:r>
      <w:proofErr w:type="spellStart"/>
      <w:r w:rsidR="00BD4745" w:rsidRPr="002014CD">
        <w:rPr>
          <w:rFonts w:eastAsia="Calibri"/>
        </w:rPr>
        <w:t>SCP</w:t>
      </w:r>
      <w:proofErr w:type="spellEnd"/>
      <w:r w:rsidR="00BD4745" w:rsidRPr="002014CD">
        <w:rPr>
          <w:rFonts w:eastAsia="Calibri"/>
        </w:rPr>
        <w:t xml:space="preserve"> 110/2010-R de 10 de mayo, a través de la cual entendió que los elementos normativos y las decisiones jurisdiccionales que emanen de este sistema no son aislados e independientes del sistema legal interno, dado que la efectividad en cuanto a la protección de los derechos fundamentales, está garantizada en tanto y en cuanto el orden interno asuma, en lo referente a su contenido, los alcances y efectos de estas normas y decisiones emergentes del Sistema Interamericano de Protección de Derechos Humanos. En este sentido, sostuvo lo siguiente:</w:t>
      </w:r>
    </w:p>
    <w:p w14:paraId="36139DD9" w14:textId="44F7F968" w:rsidR="00BD4745" w:rsidRPr="002014CD" w:rsidRDefault="002014CD" w:rsidP="002014CD">
      <w:pPr>
        <w:pStyle w:val="SingleTxtG"/>
        <w:rPr>
          <w:rFonts w:eastAsia="Calibri"/>
          <w:i/>
          <w:lang w:eastAsia="es-BO"/>
        </w:rPr>
      </w:pPr>
      <w:r>
        <w:rPr>
          <w:rFonts w:eastAsia="Calibri"/>
          <w:i/>
          <w:lang w:eastAsia="es-BO"/>
        </w:rPr>
        <w:tab/>
      </w:r>
      <w:r w:rsidR="00BD4745" w:rsidRPr="002014CD">
        <w:rPr>
          <w:rFonts w:eastAsia="Calibri"/>
          <w:i/>
          <w:lang w:eastAsia="es-BO"/>
        </w:rPr>
        <w:t xml:space="preserve">“En efecto, la doctrina del bloque de constitucionalidad reconocida por el Art. 410 de la </w:t>
      </w:r>
      <w:proofErr w:type="spellStart"/>
      <w:r w:rsidR="00BD4745" w:rsidRPr="002014CD">
        <w:rPr>
          <w:rFonts w:eastAsia="Calibri"/>
          <w:i/>
          <w:lang w:eastAsia="es-BO"/>
        </w:rPr>
        <w:t>CPE</w:t>
      </w:r>
      <w:proofErr w:type="spellEnd"/>
      <w:r w:rsidR="00BD4745" w:rsidRPr="002014CD">
        <w:rPr>
          <w:rFonts w:eastAsia="Calibri"/>
          <w:i/>
          <w:lang w:eastAsia="es-BO"/>
        </w:rPr>
        <w:t xml:space="preserve">, contempla como parte del mismo a los Tratados Internacionales referentes a Derechos Humanos, entre los cuales inequívocamente se encuentra el Pacto de San José de Costa Rica, denominado también Convención Interamericana de Derechos Humanos, ratificado por Bolivia mediante Ley </w:t>
      </w:r>
      <w:proofErr w:type="spellStart"/>
      <w:r w:rsidR="00BD4745" w:rsidRPr="002014CD">
        <w:rPr>
          <w:rFonts w:eastAsia="Calibri"/>
          <w:i/>
          <w:lang w:eastAsia="es-BO"/>
        </w:rPr>
        <w:t>N</w:t>
      </w:r>
      <w:r w:rsidR="009C23DD">
        <w:rPr>
          <w:rFonts w:eastAsia="Calibri"/>
          <w:i/>
          <w:lang w:eastAsia="es-BO"/>
        </w:rPr>
        <w:t>º</w:t>
      </w:r>
      <w:proofErr w:type="spellEnd"/>
      <w:r w:rsidR="00BD4745" w:rsidRPr="002014CD">
        <w:rPr>
          <w:rFonts w:eastAsia="Calibri"/>
          <w:i/>
          <w:lang w:eastAsia="es-BO"/>
        </w:rPr>
        <w:t xml:space="preserve"> 1.599 de 18 de octubre de 1994, norma que por su esencia y temática se encuentra amparada por el principio de supremacía constitucional, postulado a partir del cual, se sustenta el eje estructural de la jerarquía normativa imperante en el Estado Plurinacional de Bolivia.</w:t>
      </w:r>
    </w:p>
    <w:p w14:paraId="299B57DD" w14:textId="187883D7" w:rsidR="00BD4745" w:rsidRPr="002014CD" w:rsidRDefault="005C7B1D" w:rsidP="002014CD">
      <w:pPr>
        <w:pStyle w:val="SingleTxtG"/>
        <w:rPr>
          <w:rFonts w:eastAsia="Calibri"/>
          <w:i/>
          <w:lang w:eastAsia="es-BO"/>
        </w:rPr>
      </w:pPr>
      <w:r>
        <w:rPr>
          <w:rFonts w:eastAsia="Calibri"/>
          <w:i/>
          <w:lang w:eastAsia="es-BO"/>
        </w:rPr>
        <w:tab/>
      </w:r>
      <w:r w:rsidR="00BD4745" w:rsidRPr="002014CD">
        <w:rPr>
          <w:rFonts w:eastAsia="Calibri"/>
          <w:i/>
          <w:lang w:eastAsia="es-BO"/>
        </w:rPr>
        <w:t xml:space="preserve">El Pacto de San José de Costa Rica, como norma componente del bloque de constitucionalidad, está constituido por tres partes esenciales, estrictamente vinculadas entre sí: la primera, conformada por el preámbulo, la segunda denominada dogmática y la </w:t>
      </w:r>
      <w:proofErr w:type="gramStart"/>
      <w:r w:rsidR="00BD4745" w:rsidRPr="002014CD">
        <w:rPr>
          <w:rFonts w:eastAsia="Calibri"/>
          <w:i/>
          <w:lang w:eastAsia="es-BO"/>
        </w:rPr>
        <w:t>tercera referente</w:t>
      </w:r>
      <w:proofErr w:type="gramEnd"/>
      <w:r w:rsidR="00BD4745" w:rsidRPr="002014CD">
        <w:rPr>
          <w:rFonts w:eastAsia="Calibri"/>
          <w:i/>
          <w:lang w:eastAsia="es-BO"/>
        </w:rPr>
        <w:t xml:space="preserve"> a la parte orgánica. Precisamente, el Capítulo VIII de este instrumento regula a la Corte Interamericana de Derechos Humanos, en consecuencia, siguiendo un criterio de interpretación constitucional ‘sistémico’, debe establecerse que este órgano y por ende las decisiones que de él emanan, forman parte también de este b</w:t>
      </w:r>
      <w:r w:rsidR="004E11E7">
        <w:rPr>
          <w:rFonts w:eastAsia="Calibri"/>
          <w:i/>
          <w:lang w:eastAsia="es-BO"/>
        </w:rPr>
        <w:t>loque de constitucionalidad (…)”</w:t>
      </w:r>
      <w:r w:rsidR="00BD4745" w:rsidRPr="002014CD">
        <w:rPr>
          <w:rFonts w:eastAsia="Calibri"/>
          <w:i/>
          <w:lang w:eastAsia="es-BO"/>
        </w:rPr>
        <w:t xml:space="preserve">. </w:t>
      </w:r>
    </w:p>
    <w:p w14:paraId="47867E72" w14:textId="4D040CE7" w:rsidR="00BD4745" w:rsidRPr="002014CD" w:rsidRDefault="0098102E" w:rsidP="002014CD">
      <w:pPr>
        <w:pStyle w:val="SingleTxtG"/>
        <w:rPr>
          <w:rFonts w:eastAsia="Calibri"/>
          <w:lang w:eastAsia="es-BO"/>
        </w:rPr>
      </w:pPr>
      <w:r w:rsidRPr="002014CD">
        <w:rPr>
          <w:rFonts w:eastAsia="Calibri"/>
          <w:lang w:val="es-BO" w:eastAsia="es-BO"/>
        </w:rPr>
        <w:lastRenderedPageBreak/>
        <w:t>6.</w:t>
      </w:r>
      <w:r w:rsidRPr="002014CD">
        <w:rPr>
          <w:rFonts w:eastAsia="Calibri"/>
          <w:lang w:val="es-BO" w:eastAsia="es-BO"/>
        </w:rPr>
        <w:tab/>
      </w:r>
      <w:r w:rsidR="00BD4745" w:rsidRPr="002014CD">
        <w:rPr>
          <w:rFonts w:eastAsia="Calibri"/>
          <w:lang w:eastAsia="es-BO"/>
        </w:rPr>
        <w:t xml:space="preserve">Finalmente el Tribunal concluyó estableciendo en su pronunciamiento, que al ser la Corte Interamericana de Derechos Humanos el último y máximo garante en el plano supranacional del respeto a los derechos humanos, el objeto de su competencia y las decisiones que en ejercicio de ella emanan constituyen piedras angulares para garantizar efectivamente la vigencia del “Estado Constitucional”, que contemporáneamente se traduce en el “Estado social y democrático de derecho”, y que tiene como uno de sus ejes principales, entre otros, precisamente la vigencia de los derechos humanos y la existencia de mecanismos eficaces que los hagan valer. Es por esta razón que las sentencias emanadas por la Corte IDH ahora también forman parte del bloque de constitucionalidad y fundamentan no solamente la actuación de los agentes públicos, si no también subordinan en cuanto a su contenido a toda la normativa </w:t>
      </w:r>
      <w:proofErr w:type="spellStart"/>
      <w:r w:rsidR="00BD4745" w:rsidRPr="002014CD">
        <w:rPr>
          <w:rFonts w:eastAsia="Calibri"/>
          <w:lang w:eastAsia="es-BO"/>
        </w:rPr>
        <w:t>infraconstitucional</w:t>
      </w:r>
      <w:proofErr w:type="spellEnd"/>
      <w:r w:rsidR="00BD4745" w:rsidRPr="002014CD">
        <w:rPr>
          <w:rFonts w:eastAsia="Calibri"/>
          <w:lang w:eastAsia="es-BO"/>
        </w:rPr>
        <w:t xml:space="preserve"> vigente:</w:t>
      </w:r>
      <w:r w:rsidR="00BD4745" w:rsidRPr="002014CD">
        <w:rPr>
          <w:rFonts w:eastAsia="Calibri"/>
          <w:i/>
          <w:lang w:eastAsia="es-BO"/>
        </w:rPr>
        <w:t xml:space="preserve">“(…) En el marco del panorama descrito, se colige que inequívocamente las Sentencias emanadas de la CIDH, por su naturaleza y efectos, no se encuentran por debajo ni de la Constitución Política del Estado tampoco de las normas jurídicas </w:t>
      </w:r>
      <w:proofErr w:type="spellStart"/>
      <w:r w:rsidR="00BD4745" w:rsidRPr="002014CD">
        <w:rPr>
          <w:rFonts w:eastAsia="Calibri"/>
          <w:i/>
          <w:lang w:eastAsia="es-BO"/>
        </w:rPr>
        <w:t>infra-constitucionales</w:t>
      </w:r>
      <w:proofErr w:type="spellEnd"/>
      <w:r w:rsidR="00BD4745" w:rsidRPr="002014CD">
        <w:rPr>
          <w:rFonts w:eastAsia="Calibri"/>
          <w:i/>
          <w:lang w:eastAsia="es-BO"/>
        </w:rPr>
        <w:t xml:space="preserve">, sino por el contrario, forman parte del bloque de constitucionalidad y a partir del alcance del principio de supremacía constitucional que alcanza a las normas que integran este bloque son </w:t>
      </w:r>
      <w:proofErr w:type="spellStart"/>
      <w:r w:rsidR="00BD4745" w:rsidRPr="002014CD">
        <w:rPr>
          <w:rFonts w:eastAsia="Calibri"/>
          <w:i/>
          <w:lang w:eastAsia="es-BO"/>
        </w:rPr>
        <w:t>fundamentadoras</w:t>
      </w:r>
      <w:proofErr w:type="spellEnd"/>
      <w:r w:rsidR="00BD4745" w:rsidRPr="002014CD">
        <w:rPr>
          <w:rFonts w:eastAsia="Calibri"/>
          <w:i/>
          <w:lang w:eastAsia="es-BO"/>
        </w:rPr>
        <w:t xml:space="preserve"> e informadoras de todo el orden jurídico interno, debiendo el mismo adecuarse plenamente a su contenido para consagrar así la vigencia plena del ‘Estado Constitucional’ enmarcado en la operatividad del Sistema Interamericano de Protección a Derechos Humanos”</w:t>
      </w:r>
      <w:r w:rsidR="00BD4745" w:rsidRPr="002014CD">
        <w:rPr>
          <w:rFonts w:eastAsia="Calibri"/>
          <w:lang w:eastAsia="es-BO"/>
        </w:rPr>
        <w:t>.</w:t>
      </w:r>
    </w:p>
    <w:p w14:paraId="0DADA7FF" w14:textId="2BAC72E1" w:rsidR="00BD4745" w:rsidRPr="002014CD" w:rsidRDefault="0098102E" w:rsidP="002014CD">
      <w:pPr>
        <w:pStyle w:val="SingleTxtG"/>
        <w:rPr>
          <w:rFonts w:eastAsia="Calibri"/>
        </w:rPr>
      </w:pPr>
      <w:r w:rsidRPr="002014CD">
        <w:rPr>
          <w:rFonts w:eastAsia="Calibri"/>
        </w:rPr>
        <w:t>7.</w:t>
      </w:r>
      <w:r w:rsidRPr="002014CD">
        <w:rPr>
          <w:rFonts w:eastAsia="Calibri"/>
        </w:rPr>
        <w:tab/>
      </w:r>
      <w:r w:rsidR="00BD4745" w:rsidRPr="002014CD">
        <w:rPr>
          <w:rFonts w:eastAsia="Calibri"/>
        </w:rPr>
        <w:t xml:space="preserve">Así en la </w:t>
      </w:r>
      <w:proofErr w:type="spellStart"/>
      <w:r w:rsidR="00BD4745" w:rsidRPr="002014CD">
        <w:rPr>
          <w:rFonts w:eastAsia="Calibri"/>
        </w:rPr>
        <w:t>SPC</w:t>
      </w:r>
      <w:proofErr w:type="spellEnd"/>
      <w:r w:rsidR="00BD4745" w:rsidRPr="002014CD">
        <w:rPr>
          <w:rFonts w:eastAsia="Calibri"/>
        </w:rPr>
        <w:t xml:space="preserve"> 0032/2019 de 9 de julio, estableció que todas las autoridades estatales, en el marco de sus competencias, tienen la obligación de realizar un control de convencionalidad sobre sus acciones, que consiste en un examen de compatibilidad entre las normas nacionales y el “corpus iuris” internacional de los derechos humanos compuesto tanto por los tratados internacionales sobre derechos humanos como por los criterios jurisprudenciales emitidos por los Órganos internacionales que interpretan dichos tratados. Por consiguiente, al momento de establecer el contenido de la obligación de efectuar el control de convencionalidad, el Tribunal reconoció el carácter vinculante de la jurisprudencia emitida por los órganos de tratados de derechos humanos, incluido el Comité de Derechos Humanos, en sus observaciones generales y comunicaciones individuales.</w:t>
      </w:r>
    </w:p>
    <w:p w14:paraId="5A12872D" w14:textId="1BB433F7" w:rsidR="00BD4745" w:rsidRPr="002014CD" w:rsidRDefault="0098102E" w:rsidP="002014CD">
      <w:pPr>
        <w:pStyle w:val="SingleTxtG"/>
        <w:rPr>
          <w:rFonts w:eastAsia="Calibri"/>
        </w:rPr>
      </w:pPr>
      <w:r w:rsidRPr="002014CD">
        <w:rPr>
          <w:rFonts w:eastAsia="Calibri"/>
        </w:rPr>
        <w:t>8.</w:t>
      </w:r>
      <w:r w:rsidRPr="002014CD">
        <w:rPr>
          <w:rFonts w:eastAsia="Calibri"/>
        </w:rPr>
        <w:tab/>
      </w:r>
      <w:r w:rsidR="00BD4745" w:rsidRPr="002014CD">
        <w:rPr>
          <w:rFonts w:eastAsia="Calibri"/>
        </w:rPr>
        <w:t xml:space="preserve">Como resultado de lo anterior en su ámbito jurisdiccional de control tutelar y normativo, el TCP utilizó los dictámenes del </w:t>
      </w:r>
      <w:proofErr w:type="spellStart"/>
      <w:r w:rsidR="00BD4745" w:rsidRPr="002014CD">
        <w:rPr>
          <w:rFonts w:eastAsia="Calibri"/>
        </w:rPr>
        <w:t>CtteDHH</w:t>
      </w:r>
      <w:proofErr w:type="spellEnd"/>
      <w:r w:rsidR="00BD4745" w:rsidRPr="002014CD">
        <w:rPr>
          <w:rFonts w:eastAsia="Calibri"/>
        </w:rPr>
        <w:t xml:space="preserve"> tanto como base fundamental para la resolución del caso concreto, así como de manera referencial. A continuación, se exponen los principales ejemplos de incorporación de la jurisprudencia del Comité en la labor jurisdiccional del TCP:</w:t>
      </w:r>
    </w:p>
    <w:p w14:paraId="13D8A344" w14:textId="77777777" w:rsidR="00BD4745" w:rsidRPr="002014CD" w:rsidRDefault="00BD4745">
      <w:pPr>
        <w:pStyle w:val="Bullet1G"/>
      </w:pPr>
      <w:r w:rsidRPr="00F26F0C">
        <w:t>Dictámenes</w:t>
      </w:r>
      <w:r w:rsidRPr="002014CD">
        <w:t xml:space="preserve"> del Comité utilizadas para la resolución del caso concreto:</w:t>
      </w:r>
    </w:p>
    <w:p w14:paraId="78FC19FA" w14:textId="2D4F5B60" w:rsidR="00BD4745" w:rsidRPr="002014CD" w:rsidRDefault="00BD4745">
      <w:pPr>
        <w:pStyle w:val="Bullet2G"/>
      </w:pPr>
      <w:r w:rsidRPr="00F26F0C">
        <w:t>Debido</w:t>
      </w:r>
      <w:r w:rsidRPr="002014CD">
        <w:t xml:space="preserve"> proceso – </w:t>
      </w:r>
      <w:proofErr w:type="spellStart"/>
      <w:r w:rsidRPr="002014CD">
        <w:t>SSCCPP</w:t>
      </w:r>
      <w:proofErr w:type="spellEnd"/>
      <w:r w:rsidRPr="002014CD">
        <w:t xml:space="preserve"> 0480/2019-</w:t>
      </w:r>
      <w:proofErr w:type="spellStart"/>
      <w:r w:rsidRPr="002014CD">
        <w:t>S2</w:t>
      </w:r>
      <w:proofErr w:type="spellEnd"/>
      <w:r w:rsidRPr="002014CD">
        <w:t xml:space="preserve"> de 9 de julio de 2019, 2055/2012 de 16 de octubre y 0432/2015- </w:t>
      </w:r>
      <w:proofErr w:type="spellStart"/>
      <w:r w:rsidRPr="002014CD">
        <w:t>S2</w:t>
      </w:r>
      <w:proofErr w:type="spellEnd"/>
      <w:r w:rsidRPr="002014CD">
        <w:t xml:space="preserve"> de 29 de </w:t>
      </w:r>
      <w:r w:rsidR="004E11E7">
        <w:t>abril</w:t>
      </w:r>
      <w:r w:rsidR="00A164D8">
        <w:t>.</w:t>
      </w:r>
      <w:r w:rsidRPr="002014CD">
        <w:t xml:space="preserve"> </w:t>
      </w:r>
    </w:p>
    <w:p w14:paraId="7A7D8773" w14:textId="58713C6D" w:rsidR="00BD4745" w:rsidRPr="002014CD" w:rsidRDefault="00BD4745" w:rsidP="002014CD">
      <w:pPr>
        <w:pStyle w:val="Bullet2G"/>
      </w:pPr>
      <w:r w:rsidRPr="002014CD">
        <w:t xml:space="preserve">Libertad de residencia – </w:t>
      </w:r>
      <w:proofErr w:type="spellStart"/>
      <w:r w:rsidRPr="002014CD">
        <w:t>SPC</w:t>
      </w:r>
      <w:proofErr w:type="spellEnd"/>
      <w:r w:rsidRPr="002014CD">
        <w:t xml:space="preserve"> 0024/2018 de 27 de junio</w:t>
      </w:r>
      <w:r w:rsidR="00A164D8">
        <w:t>.</w:t>
      </w:r>
      <w:r w:rsidRPr="002014CD">
        <w:t xml:space="preserve"> </w:t>
      </w:r>
    </w:p>
    <w:p w14:paraId="3CC23BE4" w14:textId="0B28178A" w:rsidR="00BD4745" w:rsidRPr="002014CD" w:rsidRDefault="00BD4745" w:rsidP="002014CD">
      <w:pPr>
        <w:pStyle w:val="Bullet2G"/>
      </w:pPr>
      <w:r w:rsidRPr="002014CD">
        <w:t xml:space="preserve">Derechos políticos – </w:t>
      </w:r>
      <w:proofErr w:type="spellStart"/>
      <w:r w:rsidRPr="002014CD">
        <w:t>SCP</w:t>
      </w:r>
      <w:proofErr w:type="spellEnd"/>
      <w:r w:rsidRPr="002014CD">
        <w:t xml:space="preserve"> 0021/2019-</w:t>
      </w:r>
      <w:proofErr w:type="spellStart"/>
      <w:r w:rsidRPr="002014CD">
        <w:t>S3</w:t>
      </w:r>
      <w:proofErr w:type="spellEnd"/>
      <w:r w:rsidRPr="002014CD">
        <w:t xml:space="preserve"> de 1 de marzo</w:t>
      </w:r>
      <w:r w:rsidR="00A164D8">
        <w:t>.</w:t>
      </w:r>
    </w:p>
    <w:p w14:paraId="02807013" w14:textId="1C1BB8DD" w:rsidR="00BD4745" w:rsidRPr="002014CD" w:rsidRDefault="00BD4745" w:rsidP="002014CD">
      <w:pPr>
        <w:pStyle w:val="Bullet2G"/>
      </w:pPr>
      <w:r w:rsidRPr="002014CD">
        <w:t xml:space="preserve">Pueblos indígenas en aislamiento voluntario – </w:t>
      </w:r>
      <w:proofErr w:type="spellStart"/>
      <w:r w:rsidRPr="002014CD">
        <w:t>SPC</w:t>
      </w:r>
      <w:proofErr w:type="spellEnd"/>
      <w:r w:rsidRPr="002014CD">
        <w:t xml:space="preserve"> 0014/2013-L de 20 de febrero</w:t>
      </w:r>
      <w:r w:rsidR="00A164D8">
        <w:t>.</w:t>
      </w:r>
    </w:p>
    <w:p w14:paraId="14583F01" w14:textId="6E8FC4CF" w:rsidR="00BD4745" w:rsidRPr="002014CD" w:rsidRDefault="00BD4745" w:rsidP="002014CD">
      <w:pPr>
        <w:pStyle w:val="Bullet2G"/>
      </w:pPr>
      <w:r w:rsidRPr="002014CD">
        <w:t xml:space="preserve">Independencia judicial – </w:t>
      </w:r>
      <w:proofErr w:type="spellStart"/>
      <w:r w:rsidRPr="002014CD">
        <w:t>SPC</w:t>
      </w:r>
      <w:proofErr w:type="spellEnd"/>
      <w:r w:rsidRPr="002014CD">
        <w:t xml:space="preserve"> 0034/2020 de 25 de noviembre</w:t>
      </w:r>
      <w:r w:rsidR="00A164D8">
        <w:t>.</w:t>
      </w:r>
    </w:p>
    <w:p w14:paraId="78AF2335" w14:textId="7DBF827F" w:rsidR="00BD4745" w:rsidRPr="002014CD" w:rsidRDefault="00BD4745" w:rsidP="002014CD">
      <w:pPr>
        <w:pStyle w:val="Bullet1G"/>
      </w:pPr>
      <w:r w:rsidRPr="002014CD">
        <w:t>Dictámenes del Comité citados reiteradamente de forma referencial</w:t>
      </w:r>
      <w:r w:rsidR="004E11E7">
        <w:t>:</w:t>
      </w:r>
    </w:p>
    <w:p w14:paraId="71E6A0E3" w14:textId="2DBE2096" w:rsidR="00BD4745" w:rsidRPr="004B0800" w:rsidRDefault="00BD4745" w:rsidP="002014CD">
      <w:pPr>
        <w:pStyle w:val="Bullet2G"/>
        <w:rPr>
          <w:lang w:eastAsia="es-BO"/>
        </w:rPr>
      </w:pPr>
      <w:r w:rsidRPr="004B0800">
        <w:rPr>
          <w:lang w:eastAsia="es-BO"/>
        </w:rPr>
        <w:t xml:space="preserve">Derecho a la igualdad y no discriminación – </w:t>
      </w:r>
      <w:proofErr w:type="spellStart"/>
      <w:r w:rsidRPr="004B0800">
        <w:rPr>
          <w:lang w:eastAsia="es-BO"/>
        </w:rPr>
        <w:t>SP</w:t>
      </w:r>
      <w:r w:rsidR="004E11E7" w:rsidRPr="004B0800">
        <w:rPr>
          <w:lang w:eastAsia="es-BO"/>
        </w:rPr>
        <w:t>C</w:t>
      </w:r>
      <w:proofErr w:type="spellEnd"/>
      <w:r w:rsidR="004E11E7" w:rsidRPr="004B0800">
        <w:rPr>
          <w:lang w:eastAsia="es-BO"/>
        </w:rPr>
        <w:t xml:space="preserve"> 1250/2012 de 20 de septiembre</w:t>
      </w:r>
      <w:r w:rsidR="00A164D8">
        <w:rPr>
          <w:lang w:eastAsia="es-BO"/>
        </w:rPr>
        <w:t>.</w:t>
      </w:r>
    </w:p>
    <w:p w14:paraId="37B70F63" w14:textId="59E179FE" w:rsidR="00BD4745" w:rsidRPr="004B0800" w:rsidRDefault="00BD4745" w:rsidP="002014CD">
      <w:pPr>
        <w:pStyle w:val="Bullet2G"/>
        <w:rPr>
          <w:lang w:eastAsia="es-BO"/>
        </w:rPr>
      </w:pPr>
      <w:r w:rsidRPr="004B0800">
        <w:rPr>
          <w:lang w:eastAsia="es-BO"/>
        </w:rPr>
        <w:t xml:space="preserve">Trato mínimo de las personas privadas de libertad – </w:t>
      </w:r>
      <w:proofErr w:type="spellStart"/>
      <w:r w:rsidRPr="004B0800">
        <w:rPr>
          <w:lang w:eastAsia="es-BO"/>
        </w:rPr>
        <w:t>SPC</w:t>
      </w:r>
      <w:proofErr w:type="spellEnd"/>
      <w:r w:rsidRPr="004B0800">
        <w:rPr>
          <w:lang w:eastAsia="es-BO"/>
        </w:rPr>
        <w:t xml:space="preserve"> 0662/2013 de 31 de mayo</w:t>
      </w:r>
      <w:r w:rsidR="00A164D8">
        <w:rPr>
          <w:lang w:eastAsia="es-BO"/>
        </w:rPr>
        <w:t>.</w:t>
      </w:r>
    </w:p>
    <w:p w14:paraId="04D62A9A" w14:textId="5EFEBB49" w:rsidR="00BD4745" w:rsidRPr="004B0800" w:rsidRDefault="00BD4745" w:rsidP="002014CD">
      <w:pPr>
        <w:pStyle w:val="Bullet2G"/>
        <w:rPr>
          <w:lang w:eastAsia="es-BO"/>
        </w:rPr>
      </w:pPr>
      <w:r w:rsidRPr="004B0800">
        <w:rPr>
          <w:lang w:eastAsia="es-BO"/>
        </w:rPr>
        <w:lastRenderedPageBreak/>
        <w:t xml:space="preserve">Debido proceso – </w:t>
      </w:r>
      <w:proofErr w:type="spellStart"/>
      <w:r w:rsidRPr="004B0800">
        <w:rPr>
          <w:lang w:eastAsia="es-BO"/>
        </w:rPr>
        <w:t>SSPCC</w:t>
      </w:r>
      <w:proofErr w:type="spellEnd"/>
      <w:r w:rsidRPr="004B0800">
        <w:rPr>
          <w:lang w:eastAsia="es-BO"/>
        </w:rPr>
        <w:t xml:space="preserve"> 0028/2014 de 3 enero</w:t>
      </w:r>
      <w:r w:rsidRPr="004B0800">
        <w:rPr>
          <w:rStyle w:val="FootnoteReference"/>
        </w:rPr>
        <w:footnoteReference w:id="2"/>
      </w:r>
      <w:r w:rsidRPr="004B0800">
        <w:rPr>
          <w:lang w:eastAsia="es-BO"/>
        </w:rPr>
        <w:t>, 0165/2019-</w:t>
      </w:r>
      <w:proofErr w:type="spellStart"/>
      <w:r w:rsidRPr="004B0800">
        <w:rPr>
          <w:lang w:eastAsia="es-BO"/>
        </w:rPr>
        <w:t>S2</w:t>
      </w:r>
      <w:proofErr w:type="spellEnd"/>
      <w:r w:rsidRPr="004B0800">
        <w:rPr>
          <w:lang w:eastAsia="es-BO"/>
        </w:rPr>
        <w:t xml:space="preserve"> de 24 de abril</w:t>
      </w:r>
      <w:r w:rsidRPr="004B0800">
        <w:rPr>
          <w:rStyle w:val="FootnoteReference"/>
        </w:rPr>
        <w:footnoteReference w:id="3"/>
      </w:r>
      <w:r w:rsidRPr="004B0800">
        <w:rPr>
          <w:lang w:eastAsia="es-BO"/>
        </w:rPr>
        <w:t xml:space="preserve"> – Equidad procesal y 1512/2012 de 24 de septiembre</w:t>
      </w:r>
      <w:r w:rsidR="00A164D8">
        <w:rPr>
          <w:lang w:eastAsia="es-BO"/>
        </w:rPr>
        <w:t>.</w:t>
      </w:r>
    </w:p>
    <w:p w14:paraId="272CFD0F" w14:textId="28CD2D70" w:rsidR="00BD4745" w:rsidRPr="004B0800" w:rsidRDefault="00BD4745" w:rsidP="002014CD">
      <w:pPr>
        <w:pStyle w:val="Bullet2G"/>
        <w:rPr>
          <w:lang w:eastAsia="es-BO"/>
        </w:rPr>
      </w:pPr>
      <w:r w:rsidRPr="004B0800">
        <w:rPr>
          <w:lang w:eastAsia="es-BO"/>
        </w:rPr>
        <w:t xml:space="preserve">Libertad personal y de locomoción – </w:t>
      </w:r>
      <w:proofErr w:type="spellStart"/>
      <w:r w:rsidRPr="004B0800">
        <w:rPr>
          <w:lang w:eastAsia="es-BO"/>
        </w:rPr>
        <w:t>SSCCPP</w:t>
      </w:r>
      <w:proofErr w:type="spellEnd"/>
      <w:r w:rsidRPr="004B0800">
        <w:rPr>
          <w:lang w:eastAsia="es-BO"/>
        </w:rPr>
        <w:t xml:space="preserve"> 0162/2018-</w:t>
      </w:r>
      <w:proofErr w:type="spellStart"/>
      <w:r w:rsidRPr="004B0800">
        <w:rPr>
          <w:lang w:eastAsia="es-BO"/>
        </w:rPr>
        <w:t>S4</w:t>
      </w:r>
      <w:proofErr w:type="spellEnd"/>
      <w:r w:rsidRPr="004B0800">
        <w:rPr>
          <w:lang w:eastAsia="es-BO"/>
        </w:rPr>
        <w:t xml:space="preserve"> de 30 de abril</w:t>
      </w:r>
      <w:r w:rsidRPr="004B0800">
        <w:rPr>
          <w:rStyle w:val="FootnoteReference"/>
        </w:rPr>
        <w:footnoteReference w:id="4"/>
      </w:r>
      <w:r w:rsidRPr="004B0800">
        <w:rPr>
          <w:rStyle w:val="FootnoteReference"/>
        </w:rPr>
        <w:t xml:space="preserve"> </w:t>
      </w:r>
      <w:r w:rsidRPr="004B0800">
        <w:rPr>
          <w:lang w:eastAsia="es-BO"/>
        </w:rPr>
        <w:t>y 0514/2018-</w:t>
      </w:r>
      <w:proofErr w:type="spellStart"/>
      <w:r w:rsidRPr="004B0800">
        <w:rPr>
          <w:lang w:eastAsia="es-BO"/>
        </w:rPr>
        <w:t>S4</w:t>
      </w:r>
      <w:proofErr w:type="spellEnd"/>
      <w:r w:rsidRPr="004B0800">
        <w:rPr>
          <w:lang w:eastAsia="es-BO"/>
        </w:rPr>
        <w:t xml:space="preserve"> de 12 de septiembre</w:t>
      </w:r>
      <w:r w:rsidR="00A164D8">
        <w:rPr>
          <w:lang w:eastAsia="es-BO"/>
        </w:rPr>
        <w:t>.</w:t>
      </w:r>
    </w:p>
    <w:p w14:paraId="03F4FB40" w14:textId="6254DCF4" w:rsidR="00BD4745" w:rsidRPr="002014CD" w:rsidRDefault="00BD4745" w:rsidP="002014CD">
      <w:pPr>
        <w:pStyle w:val="Bullet2G"/>
        <w:rPr>
          <w:lang w:eastAsia="es-BO"/>
        </w:rPr>
      </w:pPr>
      <w:r w:rsidRPr="002014CD">
        <w:rPr>
          <w:lang w:eastAsia="es-BO"/>
        </w:rPr>
        <w:t xml:space="preserve">Además, resaltar que a través de la Academia Plurinacional de Estudios Constitucionales del Tribunal Constitucional Plurinacional (creada por el Código Procesal Constitucional), se gestionaron diversos procesos de capacitación interna y externa en materia de derechos humanos o con una vinculación con la temática. A continuación, se puntualizan los eventos desarrollados </w:t>
      </w:r>
      <w:r w:rsidR="004E11E7">
        <w:rPr>
          <w:lang w:eastAsia="es-BO"/>
        </w:rPr>
        <w:t>desde las Gestiones 2018 a 2021</w:t>
      </w:r>
      <w:r w:rsidR="00A164D8">
        <w:rPr>
          <w:lang w:eastAsia="es-BO"/>
        </w:rPr>
        <w:t>.</w:t>
      </w:r>
    </w:p>
    <w:p w14:paraId="68576EB6" w14:textId="60CC0743" w:rsidR="00BD4745" w:rsidRPr="002014CD" w:rsidRDefault="00BD4745" w:rsidP="002014CD">
      <w:pPr>
        <w:pStyle w:val="Bullet1G"/>
      </w:pPr>
      <w:r w:rsidRPr="002014CD">
        <w:t>Gestión 2018</w:t>
      </w:r>
      <w:r w:rsidR="004E11E7">
        <w:t>:</w:t>
      </w:r>
    </w:p>
    <w:p w14:paraId="7D3F1940" w14:textId="6CAD707A" w:rsidR="00BD4745" w:rsidRPr="002014CD" w:rsidRDefault="00BD4745" w:rsidP="002014CD">
      <w:pPr>
        <w:pStyle w:val="Bullet2G"/>
        <w:rPr>
          <w:lang w:eastAsia="es-BO"/>
        </w:rPr>
      </w:pPr>
      <w:r w:rsidRPr="002014CD">
        <w:rPr>
          <w:lang w:eastAsia="es-BO"/>
        </w:rPr>
        <w:t xml:space="preserve">Conferencia: “Concepciones sobre la Teoría del Derecho”, ahondando profundamente en el </w:t>
      </w:r>
      <w:r w:rsidR="004E11E7">
        <w:rPr>
          <w:lang w:eastAsia="es-BO"/>
        </w:rPr>
        <w:t>respecto a los derechos humanos</w:t>
      </w:r>
      <w:r w:rsidR="00A164D8">
        <w:rPr>
          <w:lang w:eastAsia="es-BO"/>
        </w:rPr>
        <w:t>.</w:t>
      </w:r>
    </w:p>
    <w:p w14:paraId="78B8A3FB" w14:textId="54C0F17A" w:rsidR="00BD4745" w:rsidRPr="002014CD" w:rsidRDefault="00BD4745">
      <w:pPr>
        <w:pStyle w:val="Bullet2G"/>
        <w:rPr>
          <w:lang w:eastAsia="es-BO"/>
        </w:rPr>
      </w:pPr>
      <w:r w:rsidRPr="004B0800">
        <w:t>Curso</w:t>
      </w:r>
      <w:r w:rsidRPr="002014CD">
        <w:rPr>
          <w:lang w:eastAsia="es-BO"/>
        </w:rPr>
        <w:t xml:space="preserve"> Taller sobre: “Atribuciones del Tribunal Constitucional Plurinacional, Derechos Fundamentale</w:t>
      </w:r>
      <w:r w:rsidR="004E11E7">
        <w:rPr>
          <w:lang w:eastAsia="es-BO"/>
        </w:rPr>
        <w:t>s y Garantías Constitucionales”</w:t>
      </w:r>
      <w:r w:rsidR="00A164D8">
        <w:rPr>
          <w:lang w:eastAsia="es-BO"/>
        </w:rPr>
        <w:t>.</w:t>
      </w:r>
    </w:p>
    <w:p w14:paraId="5E77DE93" w14:textId="08FCCA96" w:rsidR="00BD4745" w:rsidRPr="002014CD" w:rsidRDefault="00BD4745" w:rsidP="002014CD">
      <w:pPr>
        <w:pStyle w:val="Bullet2G"/>
        <w:rPr>
          <w:lang w:eastAsia="es-BO"/>
        </w:rPr>
      </w:pPr>
      <w:r w:rsidRPr="002014CD">
        <w:rPr>
          <w:lang w:eastAsia="es-BO"/>
        </w:rPr>
        <w:t>Circuito de Difusión sobre: “El Tribunal Constitucional Plurinacional, Derechos Fundamentales, Garantías Constitucionales y Jurisdicción Indíg</w:t>
      </w:r>
      <w:r w:rsidR="004E11E7">
        <w:rPr>
          <w:lang w:eastAsia="es-BO"/>
        </w:rPr>
        <w:t>ena Originaria Campesina”</w:t>
      </w:r>
      <w:r w:rsidR="00A164D8">
        <w:rPr>
          <w:lang w:eastAsia="es-BO"/>
        </w:rPr>
        <w:t>.</w:t>
      </w:r>
    </w:p>
    <w:p w14:paraId="37A29A20" w14:textId="64F49A3B" w:rsidR="00BD4745" w:rsidRPr="002014CD" w:rsidRDefault="00BD4745" w:rsidP="002014CD">
      <w:pPr>
        <w:pStyle w:val="Bullet2G"/>
        <w:rPr>
          <w:lang w:eastAsia="es-BO"/>
        </w:rPr>
      </w:pPr>
      <w:r w:rsidRPr="002014CD">
        <w:rPr>
          <w:lang w:eastAsia="es-BO"/>
        </w:rPr>
        <w:t>Circuito de difusión sobre: “Tribunal Constitucional Plurinacional, derechos fundamentales, garantías constitucionales y Jurisdicción Indíge</w:t>
      </w:r>
      <w:r w:rsidR="004E11E7">
        <w:rPr>
          <w:lang w:eastAsia="es-BO"/>
        </w:rPr>
        <w:t>na Originaria Campesina (</w:t>
      </w:r>
      <w:proofErr w:type="spellStart"/>
      <w:r w:rsidR="004E11E7">
        <w:rPr>
          <w:lang w:eastAsia="es-BO"/>
        </w:rPr>
        <w:t>JIOC</w:t>
      </w:r>
      <w:proofErr w:type="spellEnd"/>
      <w:r w:rsidR="004E11E7">
        <w:rPr>
          <w:lang w:eastAsia="es-BO"/>
        </w:rPr>
        <w:t>)”</w:t>
      </w:r>
      <w:r w:rsidR="00A164D8">
        <w:rPr>
          <w:lang w:eastAsia="es-BO"/>
        </w:rPr>
        <w:t>.</w:t>
      </w:r>
    </w:p>
    <w:p w14:paraId="73FF869A" w14:textId="16CDBD0D" w:rsidR="00BD4745" w:rsidRPr="002014CD" w:rsidRDefault="00BD4745" w:rsidP="002014CD">
      <w:pPr>
        <w:pStyle w:val="Bullet2G"/>
        <w:rPr>
          <w:lang w:eastAsia="es-BO"/>
        </w:rPr>
      </w:pPr>
      <w:r w:rsidRPr="002014CD">
        <w:rPr>
          <w:lang w:eastAsia="es-BO"/>
        </w:rPr>
        <w:t>Primer Ciclo de Conferencias del Estado Legal de Derecho al Estado Constitucional de Derecho: Subsunción Versus Ponderación, Guaranismo Jud</w:t>
      </w:r>
      <w:r w:rsidR="004E11E7">
        <w:rPr>
          <w:lang w:eastAsia="es-BO"/>
        </w:rPr>
        <w:t>icial y Derechos Fundamentales”</w:t>
      </w:r>
      <w:r w:rsidR="00A164D8">
        <w:rPr>
          <w:lang w:eastAsia="es-BO"/>
        </w:rPr>
        <w:t>.</w:t>
      </w:r>
    </w:p>
    <w:p w14:paraId="2CDBBF01" w14:textId="43D145D9" w:rsidR="00BD4745" w:rsidRPr="002014CD" w:rsidRDefault="00BD4745" w:rsidP="002014CD">
      <w:pPr>
        <w:pStyle w:val="Bullet1G"/>
      </w:pPr>
      <w:r w:rsidRPr="002014CD">
        <w:t>Gestión 2019</w:t>
      </w:r>
      <w:r w:rsidR="004E11E7">
        <w:t>:</w:t>
      </w:r>
    </w:p>
    <w:p w14:paraId="053B42FD" w14:textId="6DDA599C" w:rsidR="00BD4745" w:rsidRPr="002014CD" w:rsidRDefault="00BD4745" w:rsidP="002014CD">
      <w:pPr>
        <w:pStyle w:val="Bullet2G"/>
        <w:rPr>
          <w:b/>
          <w:lang w:eastAsia="es-BO"/>
        </w:rPr>
      </w:pPr>
      <w:r w:rsidRPr="002014CD">
        <w:rPr>
          <w:lang w:eastAsia="es-BO"/>
        </w:rPr>
        <w:t>Conferencia Magistral:</w:t>
      </w:r>
      <w:r w:rsidRPr="002014CD">
        <w:rPr>
          <w:b/>
          <w:lang w:eastAsia="es-BO"/>
        </w:rPr>
        <w:t xml:space="preserve"> </w:t>
      </w:r>
      <w:r w:rsidRPr="002014CD">
        <w:rPr>
          <w:lang w:eastAsia="es-BO"/>
        </w:rPr>
        <w:t>“Bartolomé de las Casas y la G</w:t>
      </w:r>
      <w:r w:rsidR="004E11E7">
        <w:rPr>
          <w:lang w:eastAsia="es-BO"/>
        </w:rPr>
        <w:t>énesis de los Derechos Humanos”</w:t>
      </w:r>
      <w:r w:rsidR="00A164D8">
        <w:rPr>
          <w:lang w:eastAsia="es-BO"/>
        </w:rPr>
        <w:t>.</w:t>
      </w:r>
    </w:p>
    <w:p w14:paraId="4D858B2C" w14:textId="6CACB738" w:rsidR="00BD4745" w:rsidRPr="002014CD" w:rsidRDefault="00BD4745" w:rsidP="002014CD">
      <w:pPr>
        <w:pStyle w:val="Bullet2G"/>
        <w:rPr>
          <w:b/>
          <w:lang w:eastAsia="es-BO"/>
        </w:rPr>
      </w:pPr>
      <w:r w:rsidRPr="002014CD">
        <w:rPr>
          <w:lang w:eastAsia="es-BO"/>
        </w:rPr>
        <w:t>Conferencia Magistral: Derechos Fundamentales y Jurisprudencia Constitucional relevante emitida por el Tribunal Constituci</w:t>
      </w:r>
      <w:r w:rsidR="004E11E7">
        <w:rPr>
          <w:lang w:eastAsia="es-BO"/>
        </w:rPr>
        <w:t>onal referente al Adulto Mayor”</w:t>
      </w:r>
      <w:r w:rsidR="00A164D8">
        <w:rPr>
          <w:lang w:eastAsia="es-BO"/>
        </w:rPr>
        <w:t>.</w:t>
      </w:r>
    </w:p>
    <w:p w14:paraId="1738F7B8" w14:textId="243F21C6" w:rsidR="00BD4745" w:rsidRPr="002014CD" w:rsidRDefault="00BD4745" w:rsidP="002014CD">
      <w:pPr>
        <w:pStyle w:val="Bullet1G"/>
      </w:pPr>
      <w:r w:rsidRPr="002014CD">
        <w:t>Gestión 2020</w:t>
      </w:r>
      <w:r w:rsidR="004E11E7">
        <w:t>:</w:t>
      </w:r>
    </w:p>
    <w:p w14:paraId="7F84146C" w14:textId="38FDE1CB" w:rsidR="00BD4745" w:rsidRPr="002014CD" w:rsidRDefault="00BD4745" w:rsidP="002014CD">
      <w:pPr>
        <w:pStyle w:val="Bullet2G"/>
        <w:rPr>
          <w:lang w:eastAsia="es-BO"/>
        </w:rPr>
      </w:pPr>
      <w:r w:rsidRPr="002014CD">
        <w:rPr>
          <w:lang w:eastAsia="es-BO"/>
        </w:rPr>
        <w:t>Conferencia: “La Cultura del Neoconstituciona</w:t>
      </w:r>
      <w:r w:rsidR="004E11E7">
        <w:rPr>
          <w:lang w:eastAsia="es-BO"/>
        </w:rPr>
        <w:t>lismo y Argumentación Jurídica”</w:t>
      </w:r>
      <w:r w:rsidR="00A164D8">
        <w:rPr>
          <w:lang w:eastAsia="es-BO"/>
        </w:rPr>
        <w:t>.</w:t>
      </w:r>
    </w:p>
    <w:p w14:paraId="0910777D" w14:textId="7ECC0BB9" w:rsidR="00BD4745" w:rsidRPr="002014CD" w:rsidRDefault="00BD4745" w:rsidP="002014CD">
      <w:pPr>
        <w:pStyle w:val="Bullet2G"/>
        <w:rPr>
          <w:lang w:eastAsia="es-BO"/>
        </w:rPr>
      </w:pPr>
      <w:r w:rsidRPr="002014CD">
        <w:rPr>
          <w:lang w:eastAsia="es-BO"/>
        </w:rPr>
        <w:t>Seminario Internacional: “Derechos Humanos en Tiempos de Pandemia”</w:t>
      </w:r>
      <w:r w:rsidR="00A164D8">
        <w:rPr>
          <w:lang w:eastAsia="es-BO"/>
        </w:rPr>
        <w:t>.</w:t>
      </w:r>
    </w:p>
    <w:p w14:paraId="57C49A73" w14:textId="74EAB662" w:rsidR="00BD4745" w:rsidRPr="002014CD" w:rsidRDefault="00BD4745" w:rsidP="002014CD">
      <w:pPr>
        <w:pStyle w:val="Bullet2G"/>
        <w:rPr>
          <w:lang w:eastAsia="es-BO"/>
        </w:rPr>
      </w:pPr>
      <w:r w:rsidRPr="002014CD">
        <w:rPr>
          <w:lang w:eastAsia="es-BO"/>
        </w:rPr>
        <w:t>IV Jornadas Nacionales: “Razonamiento Probatorio, Derechos Fundamentales E</w:t>
      </w:r>
      <w:r w:rsidR="004E11E7">
        <w:rPr>
          <w:lang w:eastAsia="es-BO"/>
        </w:rPr>
        <w:t xml:space="preserve"> Interpretación Constitucional”</w:t>
      </w:r>
      <w:r w:rsidR="00A164D8">
        <w:rPr>
          <w:lang w:eastAsia="es-BO"/>
        </w:rPr>
        <w:t>.</w:t>
      </w:r>
    </w:p>
    <w:p w14:paraId="2C6615C8" w14:textId="4F8E2F2C" w:rsidR="00BD4745" w:rsidRPr="002014CD" w:rsidRDefault="00BD4745" w:rsidP="002014CD">
      <w:pPr>
        <w:pStyle w:val="Bullet1G"/>
      </w:pPr>
      <w:r w:rsidRPr="002014CD">
        <w:t>Gestión 2021</w:t>
      </w:r>
      <w:r w:rsidR="004E11E7">
        <w:t>:</w:t>
      </w:r>
    </w:p>
    <w:p w14:paraId="635E51A0" w14:textId="6B63C94E" w:rsidR="00BD4745" w:rsidRPr="002014CD" w:rsidRDefault="00BD4745" w:rsidP="002014CD">
      <w:pPr>
        <w:pStyle w:val="Bullet2G"/>
        <w:rPr>
          <w:lang w:eastAsia="es-BO"/>
        </w:rPr>
      </w:pPr>
      <w:r w:rsidRPr="002014CD">
        <w:rPr>
          <w:lang w:eastAsia="es-BO"/>
        </w:rPr>
        <w:t>Curso Virtual Gratuito: “Principios, Derechos y Garantías Constitucionales sobre la Protección de Personas Privada</w:t>
      </w:r>
      <w:r w:rsidR="004E11E7">
        <w:rPr>
          <w:lang w:eastAsia="es-BO"/>
        </w:rPr>
        <w:t>s de Libertad”</w:t>
      </w:r>
      <w:r w:rsidR="00A164D8">
        <w:rPr>
          <w:lang w:eastAsia="es-BO"/>
        </w:rPr>
        <w:t>.</w:t>
      </w:r>
    </w:p>
    <w:p w14:paraId="346E5B44" w14:textId="6E2EB157" w:rsidR="00BD4745" w:rsidRPr="002014CD" w:rsidRDefault="00BD4745" w:rsidP="002014CD">
      <w:pPr>
        <w:pStyle w:val="Bullet2G"/>
        <w:rPr>
          <w:lang w:eastAsia="es-BO"/>
        </w:rPr>
      </w:pPr>
      <w:r w:rsidRPr="002014CD">
        <w:rPr>
          <w:lang w:eastAsia="es-BO"/>
        </w:rPr>
        <w:t xml:space="preserve">Seminario Virtual Gratuito: “Instrumentos </w:t>
      </w:r>
      <w:proofErr w:type="gramStart"/>
      <w:r w:rsidRPr="002014CD">
        <w:rPr>
          <w:lang w:eastAsia="es-BO"/>
        </w:rPr>
        <w:t>jurídico constitucionales</w:t>
      </w:r>
      <w:proofErr w:type="gramEnd"/>
      <w:r w:rsidRPr="002014CD">
        <w:rPr>
          <w:lang w:eastAsia="es-BO"/>
        </w:rPr>
        <w:t xml:space="preserve"> y jurisprudenciales para la protección de los derechos de las niñas, niños y adolescentes”</w:t>
      </w:r>
      <w:r w:rsidR="00A164D8">
        <w:rPr>
          <w:lang w:eastAsia="es-BO"/>
        </w:rPr>
        <w:t>.</w:t>
      </w:r>
    </w:p>
    <w:p w14:paraId="08B00803" w14:textId="10564820" w:rsidR="00BD4745" w:rsidRPr="002014CD" w:rsidRDefault="00BD4745" w:rsidP="002014CD">
      <w:pPr>
        <w:pStyle w:val="Bullet2G"/>
        <w:rPr>
          <w:lang w:eastAsia="es-BO"/>
        </w:rPr>
      </w:pPr>
      <w:r w:rsidRPr="002014CD">
        <w:rPr>
          <w:lang w:eastAsia="es-BO"/>
        </w:rPr>
        <w:lastRenderedPageBreak/>
        <w:t>Curso Especializado en Interpretación Constitucional y Razonamiento Judicial: “Congreso Iberoamericano de Derecho Penal y Procesal Penal desde la Perspectiva Constitucional”</w:t>
      </w:r>
      <w:r w:rsidR="00A164D8">
        <w:rPr>
          <w:lang w:eastAsia="es-BO"/>
        </w:rPr>
        <w:t>.</w:t>
      </w:r>
    </w:p>
    <w:p w14:paraId="6430196E" w14:textId="3DF27774" w:rsidR="00BD4745" w:rsidRPr="002014CD" w:rsidRDefault="00BD4745" w:rsidP="002014CD">
      <w:pPr>
        <w:pStyle w:val="Bullet2G"/>
        <w:rPr>
          <w:lang w:eastAsia="es-BO"/>
        </w:rPr>
      </w:pPr>
      <w:r w:rsidRPr="002014CD">
        <w:rPr>
          <w:lang w:eastAsia="es-BO"/>
        </w:rPr>
        <w:t xml:space="preserve">Curso Virtual: El Habeas Corpus en Iberoamérica “Estudios Comparativos en Homenaje a los 49 años de la Interposición del Habeas Corpus escrito en Papel Higiénico por el Dr. Reynaldo Peters </w:t>
      </w:r>
      <w:proofErr w:type="spellStart"/>
      <w:r w:rsidRPr="002014CD">
        <w:rPr>
          <w:lang w:eastAsia="es-BO"/>
        </w:rPr>
        <w:t>Arzabe</w:t>
      </w:r>
      <w:proofErr w:type="spellEnd"/>
      <w:r w:rsidRPr="002014CD">
        <w:rPr>
          <w:lang w:eastAsia="es-BO"/>
        </w:rPr>
        <w:t>”.</w:t>
      </w:r>
    </w:p>
    <w:p w14:paraId="244C6F99" w14:textId="07890BAD" w:rsidR="00BD4745" w:rsidRPr="002014CD" w:rsidRDefault="0098102E" w:rsidP="002014CD">
      <w:pPr>
        <w:pStyle w:val="SingleTxtG"/>
        <w:rPr>
          <w:rFonts w:eastAsia="Calibri"/>
          <w:lang w:eastAsia="es-BO"/>
        </w:rPr>
      </w:pPr>
      <w:r w:rsidRPr="002014CD">
        <w:rPr>
          <w:rFonts w:eastAsia="Calibri"/>
          <w:lang w:val="es-BO" w:eastAsia="es-BO"/>
        </w:rPr>
        <w:t>9.</w:t>
      </w:r>
      <w:r w:rsidRPr="002014CD">
        <w:rPr>
          <w:rFonts w:eastAsia="Calibri"/>
          <w:sz w:val="24"/>
          <w:szCs w:val="24"/>
          <w:lang w:val="es-BO" w:eastAsia="es-BO"/>
        </w:rPr>
        <w:tab/>
      </w:r>
      <w:r w:rsidR="00BD4745" w:rsidRPr="002014CD">
        <w:rPr>
          <w:rFonts w:eastAsia="Calibri"/>
          <w:lang w:eastAsia="es-BO"/>
        </w:rPr>
        <w:t xml:space="preserve">La temática de los derechos civiles y políticos han sido consideradas también por la Unidad de Formación y Especialización dependiente de la Escuela de Jueces del Estado como un elemento central y transversal de su Programación Académica, en diferentes Módulos y Unidades de aprendizaje correspondientes al Plan Curricular del Primer Curso de Formación y Especialización Judicial en Área Ordinaria desarrollado de 2015 a 2017 y del cual egresaron 171 personas que han sido designadas y designados en cargos jurisdiccionales por el Consejo de la Magistratura, así como en el Segundo Curso de Formación y Especialización Judicial en Área Ordinaria y del cual egresaron 140 personas que han sido designadas y designados en cargos jurisdiccionales. </w:t>
      </w:r>
    </w:p>
    <w:p w14:paraId="236203DF" w14:textId="05AA6297" w:rsidR="00BD4745" w:rsidRPr="002014CD" w:rsidRDefault="00BD4745">
      <w:pPr>
        <w:pStyle w:val="H1G"/>
      </w:pPr>
      <w:r w:rsidRPr="002014CD">
        <w:t xml:space="preserve"> </w:t>
      </w:r>
      <w:r w:rsidR="002014CD">
        <w:tab/>
      </w:r>
      <w:r w:rsidR="002014CD">
        <w:tab/>
      </w:r>
      <w:r w:rsidRPr="002014CD">
        <w:t>Estado de excepción (art. 4)</w:t>
      </w:r>
    </w:p>
    <w:p w14:paraId="023B39D6" w14:textId="5919AE4B" w:rsidR="00BD4745" w:rsidRPr="002014CD" w:rsidRDefault="002014CD">
      <w:pPr>
        <w:pStyle w:val="H23G"/>
      </w:pPr>
      <w:r>
        <w:tab/>
      </w:r>
      <w:r w:rsidR="00BD4745" w:rsidRPr="002014CD">
        <w:t xml:space="preserve">2. </w:t>
      </w:r>
      <w:r>
        <w:tab/>
      </w:r>
      <w:r w:rsidR="001A1E5D" w:rsidRPr="00ED0B85">
        <w:t xml:space="preserve">Respuesta al </w:t>
      </w:r>
      <w:r w:rsidR="001A1E5D" w:rsidRPr="001A1E5D">
        <w:t xml:space="preserve">párrafo </w:t>
      </w:r>
      <w:r w:rsidR="001A1E5D">
        <w:t>2</w:t>
      </w:r>
      <w:r w:rsidR="001A1E5D" w:rsidRPr="001A1E5D">
        <w:t xml:space="preserve"> </w:t>
      </w:r>
      <w:r w:rsidR="001A1E5D" w:rsidRPr="001A1E5D">
        <w:rPr>
          <w:lang w:val="es-ES_tradnl"/>
        </w:rPr>
        <w:t xml:space="preserve">de </w:t>
      </w:r>
      <w:r w:rsidR="001A1E5D">
        <w:rPr>
          <w:lang w:val="es-ES_tradnl"/>
        </w:rPr>
        <w:t>la lista de cuestiones</w:t>
      </w:r>
    </w:p>
    <w:p w14:paraId="35268695" w14:textId="5D48A3D3" w:rsidR="00BD4745" w:rsidRPr="002014CD" w:rsidRDefault="0098102E" w:rsidP="002014CD">
      <w:pPr>
        <w:pStyle w:val="SingleTxtG"/>
        <w:rPr>
          <w:rFonts w:eastAsia="Calibri"/>
          <w:lang w:eastAsia="es-BO"/>
        </w:rPr>
      </w:pPr>
      <w:r w:rsidRPr="002014CD">
        <w:rPr>
          <w:rStyle w:val="SingleTxtGChar"/>
          <w:rFonts w:eastAsia="Calibri"/>
        </w:rPr>
        <w:t>10.</w:t>
      </w:r>
      <w:r w:rsidRPr="002014CD">
        <w:rPr>
          <w:rFonts w:eastAsia="Calibri"/>
          <w:sz w:val="24"/>
          <w:szCs w:val="24"/>
          <w:lang w:val="es-BO" w:eastAsia="es-BO"/>
        </w:rPr>
        <w:tab/>
      </w:r>
      <w:r w:rsidR="00BD4745" w:rsidRPr="002014CD">
        <w:rPr>
          <w:rFonts w:eastAsia="Calibri"/>
          <w:lang w:eastAsia="es-BO"/>
        </w:rPr>
        <w:t>El Estado Boliviano ha adoptado una legislación que prohíbe claramente la suspensión, durante un estado de excepción, de los derechos enunciados en el artículo 4, párrafo 2, del Pacto respecto a los Estados de Excepción, en ese sentido la Constitución Política del Estado Plurinacional de Bolivia, en su Artículo 137 establece: “</w:t>
      </w:r>
      <w:r w:rsidR="00BD4745" w:rsidRPr="002014CD">
        <w:rPr>
          <w:rFonts w:eastAsia="Calibri"/>
          <w:i/>
          <w:lang w:eastAsia="es-BO"/>
        </w:rPr>
        <w:t>En caso de peligro para la seguridad del Estado, amenaza externa, conmoción interna o desastre natural, la Presidenta o el Presidente del Estado tendrá la potestad de declarar el estado de excepción, en todo o en la parte del territorio donde fuera necesario. La declaración del estado de excepción no podrá en ningún caso suspender las garantías de los derechos, ni los derechos fundamentales, el derecho al debido proceso, el derecho a la información y los derechos de las personas privadas de libertad</w:t>
      </w:r>
      <w:r w:rsidR="00BD4745" w:rsidRPr="002014CD">
        <w:rPr>
          <w:rFonts w:eastAsia="Calibri"/>
          <w:lang w:eastAsia="es-BO"/>
        </w:rPr>
        <w:t>”.</w:t>
      </w:r>
    </w:p>
    <w:p w14:paraId="2205D2AE" w14:textId="77777777" w:rsidR="00BD4745" w:rsidRPr="002014CD" w:rsidRDefault="00BD4745">
      <w:pPr>
        <w:pStyle w:val="H1G"/>
      </w:pPr>
      <w:r w:rsidRPr="002014CD">
        <w:tab/>
      </w:r>
      <w:r w:rsidRPr="002014CD">
        <w:tab/>
        <w:t>Violaciones de derechos humanos durante el período de la dictadura</w:t>
      </w:r>
      <w:r w:rsidRPr="002014CD">
        <w:br/>
      </w:r>
      <w:r w:rsidRPr="002014CD">
        <w:rPr>
          <w:lang w:val="es-ES_tradnl"/>
        </w:rPr>
        <w:t>(arts. 2, 6 y 7)</w:t>
      </w:r>
    </w:p>
    <w:p w14:paraId="547031CE" w14:textId="494055B4" w:rsidR="00BD4745" w:rsidRPr="002014CD" w:rsidRDefault="002014CD">
      <w:pPr>
        <w:pStyle w:val="H23G"/>
      </w:pPr>
      <w:r>
        <w:tab/>
      </w:r>
      <w:r w:rsidR="00BD4745" w:rsidRPr="002014CD">
        <w:t>3.</w:t>
      </w:r>
      <w:r>
        <w:tab/>
      </w:r>
      <w:r w:rsidR="001A1E5D" w:rsidRPr="00ED0B85">
        <w:t xml:space="preserve">Respuesta al </w:t>
      </w:r>
      <w:r w:rsidR="001A1E5D" w:rsidRPr="001A1E5D">
        <w:t xml:space="preserve">párrafo </w:t>
      </w:r>
      <w:r w:rsidR="001A1E5D">
        <w:t>3</w:t>
      </w:r>
      <w:r w:rsidR="001A1E5D" w:rsidRPr="001A1E5D">
        <w:t xml:space="preserve"> </w:t>
      </w:r>
      <w:r w:rsidR="001A1E5D" w:rsidRPr="001A1E5D">
        <w:rPr>
          <w:lang w:val="es-ES_tradnl"/>
        </w:rPr>
        <w:t xml:space="preserve">de </w:t>
      </w:r>
      <w:r w:rsidR="001A1E5D">
        <w:rPr>
          <w:lang w:val="es-ES_tradnl"/>
        </w:rPr>
        <w:t>la lista de cuestiones</w:t>
      </w:r>
    </w:p>
    <w:p w14:paraId="6F338872" w14:textId="2218266C" w:rsidR="00BD4745" w:rsidRPr="002014CD" w:rsidRDefault="0098102E" w:rsidP="002014CD">
      <w:pPr>
        <w:pStyle w:val="SingleTxtG"/>
        <w:rPr>
          <w:rFonts w:eastAsia="Calibri"/>
          <w:lang w:eastAsia="es-BO"/>
        </w:rPr>
      </w:pPr>
      <w:r w:rsidRPr="002014CD">
        <w:rPr>
          <w:rFonts w:eastAsia="Calibri"/>
          <w:lang w:val="es-BO" w:eastAsia="es-BO"/>
        </w:rPr>
        <w:t>11.</w:t>
      </w:r>
      <w:r w:rsidRPr="002014CD">
        <w:rPr>
          <w:rFonts w:eastAsia="Calibri"/>
          <w:sz w:val="24"/>
          <w:szCs w:val="24"/>
          <w:lang w:val="es-BO" w:eastAsia="es-BO"/>
        </w:rPr>
        <w:tab/>
      </w:r>
      <w:r w:rsidR="00BD4745" w:rsidRPr="002014CD">
        <w:rPr>
          <w:rFonts w:eastAsia="Calibri"/>
          <w:lang w:eastAsia="es-BO"/>
        </w:rPr>
        <w:t>El Estado Boliviano a través de la Procuraduría General del Estado convoca periódicamente a Reuniones Técnicas de Trabajo Interinstitucional, conformadas por la Fiscalía General de Estado (“</w:t>
      </w:r>
      <w:proofErr w:type="spellStart"/>
      <w:r w:rsidR="00BD4745" w:rsidRPr="002014CD">
        <w:rPr>
          <w:rFonts w:eastAsia="Calibri"/>
          <w:lang w:eastAsia="es-BO"/>
        </w:rPr>
        <w:t>FGE</w:t>
      </w:r>
      <w:proofErr w:type="spellEnd"/>
      <w:r w:rsidR="00BD4745" w:rsidRPr="002014CD">
        <w:rPr>
          <w:rFonts w:eastAsia="Calibri"/>
          <w:lang w:eastAsia="es-BO"/>
        </w:rPr>
        <w:t>”), y el Instituto de Investigaciones Forenses (“</w:t>
      </w:r>
      <w:proofErr w:type="spellStart"/>
      <w:r w:rsidR="00BD4745" w:rsidRPr="002014CD">
        <w:rPr>
          <w:rFonts w:eastAsia="Calibri"/>
          <w:lang w:eastAsia="es-BO"/>
        </w:rPr>
        <w:t>IDIF</w:t>
      </w:r>
      <w:proofErr w:type="spellEnd"/>
      <w:r w:rsidR="00BD4745" w:rsidRPr="002014CD">
        <w:rPr>
          <w:rFonts w:eastAsia="Calibri"/>
          <w:lang w:eastAsia="es-BO"/>
        </w:rPr>
        <w:t xml:space="preserve">”), entidades que iniciaron un trabajo de coordinación desde la gestión 2018, bajo los siguientes ejes: </w:t>
      </w:r>
      <w:r w:rsidR="00BD4745" w:rsidRPr="002014CD">
        <w:rPr>
          <w:rFonts w:eastAsia="Calibri"/>
          <w:b/>
          <w:lang w:eastAsia="es-BO"/>
        </w:rPr>
        <w:t>a)</w:t>
      </w:r>
      <w:r w:rsidR="00BD4745" w:rsidRPr="002014CD">
        <w:rPr>
          <w:rFonts w:eastAsia="Calibri"/>
          <w:lang w:eastAsia="es-BO"/>
        </w:rPr>
        <w:t xml:space="preserve"> Investigación de los hechos por desaparición forzada de personas; </w:t>
      </w:r>
      <w:r w:rsidR="00BD4745" w:rsidRPr="002014CD">
        <w:rPr>
          <w:rFonts w:eastAsia="Calibri"/>
          <w:b/>
          <w:lang w:eastAsia="es-BO"/>
        </w:rPr>
        <w:t>b)</w:t>
      </w:r>
      <w:r w:rsidR="00BD4745" w:rsidRPr="002014CD">
        <w:rPr>
          <w:rFonts w:eastAsia="Calibri"/>
          <w:lang w:eastAsia="es-BO"/>
        </w:rPr>
        <w:t xml:space="preserve"> Ubicación de personas desaparecidas; </w:t>
      </w:r>
      <w:r w:rsidR="00BD4745" w:rsidRPr="002014CD">
        <w:rPr>
          <w:rFonts w:eastAsia="Calibri"/>
          <w:b/>
          <w:lang w:eastAsia="es-BO"/>
        </w:rPr>
        <w:t>c)</w:t>
      </w:r>
      <w:r w:rsidR="00BD4745" w:rsidRPr="002014CD">
        <w:rPr>
          <w:rFonts w:eastAsia="Calibri"/>
          <w:lang w:eastAsia="es-BO"/>
        </w:rPr>
        <w:t xml:space="preserve"> Identificación de restos mortales. </w:t>
      </w:r>
    </w:p>
    <w:p w14:paraId="27066ABC" w14:textId="130370EF" w:rsidR="00BD4745" w:rsidRPr="002014CD" w:rsidRDefault="0098102E" w:rsidP="002014CD">
      <w:pPr>
        <w:pStyle w:val="SingleTxtG"/>
        <w:rPr>
          <w:rFonts w:eastAsia="Calibri"/>
          <w:lang w:val="es-AR" w:eastAsia="es-BO"/>
        </w:rPr>
      </w:pPr>
      <w:r w:rsidRPr="002014CD">
        <w:rPr>
          <w:rFonts w:eastAsia="Calibri"/>
          <w:lang w:val="es-AR" w:eastAsia="es-BO"/>
        </w:rPr>
        <w:t>12.</w:t>
      </w:r>
      <w:r w:rsidRPr="002014CD">
        <w:rPr>
          <w:rFonts w:eastAsia="Calibri"/>
          <w:lang w:val="es-AR" w:eastAsia="es-BO"/>
        </w:rPr>
        <w:tab/>
      </w:r>
      <w:r w:rsidR="00BD4745" w:rsidRPr="002014CD">
        <w:rPr>
          <w:rFonts w:eastAsia="Calibri"/>
          <w:lang w:val="es-AR" w:eastAsia="es-BO"/>
        </w:rPr>
        <w:t xml:space="preserve">Una vez reestablecido el Gobierno Constitucional en noviembre de 2020, se reestructuró el trabajo interno de la </w:t>
      </w:r>
      <w:proofErr w:type="spellStart"/>
      <w:r w:rsidR="00BD4745" w:rsidRPr="002014CD">
        <w:rPr>
          <w:rFonts w:eastAsia="Calibri"/>
          <w:lang w:val="es-AR" w:eastAsia="es-BO"/>
        </w:rPr>
        <w:t>PGE</w:t>
      </w:r>
      <w:proofErr w:type="spellEnd"/>
      <w:r w:rsidR="00BD4745" w:rsidRPr="002014CD">
        <w:rPr>
          <w:rFonts w:eastAsia="Calibri"/>
          <w:lang w:val="es-AR" w:eastAsia="es-BO"/>
        </w:rPr>
        <w:t xml:space="preserve">; en consecuencia, el 29 de enero y 11 de junio de 2021, se llevaron a cabo las Reuniones Técnicas Interinstitucionales, en las cuales estuvieron presentes representantes de las siguientes instituciones: </w:t>
      </w:r>
      <w:proofErr w:type="spellStart"/>
      <w:r w:rsidR="00BD4745" w:rsidRPr="002014CD">
        <w:rPr>
          <w:rFonts w:eastAsia="Calibri"/>
          <w:lang w:val="es-AR" w:eastAsia="es-BO"/>
        </w:rPr>
        <w:t>MJTI</w:t>
      </w:r>
      <w:proofErr w:type="spellEnd"/>
      <w:r w:rsidR="00BD4745" w:rsidRPr="002014CD">
        <w:rPr>
          <w:rFonts w:eastAsia="Calibri"/>
          <w:lang w:val="es-AR" w:eastAsia="es-BO"/>
        </w:rPr>
        <w:t xml:space="preserve">, </w:t>
      </w:r>
      <w:proofErr w:type="spellStart"/>
      <w:r w:rsidR="00BD4745" w:rsidRPr="002014CD">
        <w:rPr>
          <w:rFonts w:eastAsia="Calibri"/>
          <w:lang w:val="es-AR" w:eastAsia="es-BO"/>
        </w:rPr>
        <w:t>FGE</w:t>
      </w:r>
      <w:proofErr w:type="spellEnd"/>
      <w:r w:rsidR="00BD4745" w:rsidRPr="002014CD">
        <w:rPr>
          <w:rFonts w:eastAsia="Calibri"/>
          <w:lang w:val="es-AR" w:eastAsia="es-BO"/>
        </w:rPr>
        <w:t xml:space="preserve">, Fiscalía Departamental de La Paz, </w:t>
      </w:r>
      <w:proofErr w:type="spellStart"/>
      <w:r w:rsidR="00BD4745" w:rsidRPr="002014CD">
        <w:rPr>
          <w:rFonts w:eastAsia="Calibri"/>
          <w:lang w:val="es-AR" w:eastAsia="es-BO"/>
        </w:rPr>
        <w:t>IDIF</w:t>
      </w:r>
      <w:proofErr w:type="spellEnd"/>
      <w:r w:rsidR="00BD4745" w:rsidRPr="002014CD">
        <w:rPr>
          <w:rFonts w:eastAsia="Calibri"/>
          <w:lang w:val="es-AR" w:eastAsia="es-BO"/>
        </w:rPr>
        <w:t xml:space="preserve">, </w:t>
      </w:r>
      <w:proofErr w:type="spellStart"/>
      <w:r w:rsidR="00BD4745" w:rsidRPr="002014CD">
        <w:rPr>
          <w:rFonts w:eastAsia="Calibri"/>
          <w:lang w:val="es-AR" w:eastAsia="es-BO"/>
        </w:rPr>
        <w:t>SEPRET</w:t>
      </w:r>
      <w:proofErr w:type="spellEnd"/>
      <w:r w:rsidR="00BD4745" w:rsidRPr="002014CD">
        <w:rPr>
          <w:rFonts w:eastAsia="Calibri"/>
          <w:lang w:val="es-AR" w:eastAsia="es-BO"/>
        </w:rPr>
        <w:t xml:space="preserve"> y </w:t>
      </w:r>
      <w:proofErr w:type="spellStart"/>
      <w:r w:rsidR="00BD4745" w:rsidRPr="002014CD">
        <w:rPr>
          <w:rFonts w:eastAsia="Calibri"/>
          <w:lang w:val="es-AR" w:eastAsia="es-BO"/>
        </w:rPr>
        <w:t>PGE</w:t>
      </w:r>
      <w:proofErr w:type="spellEnd"/>
      <w:r w:rsidR="00BD4745" w:rsidRPr="002014CD">
        <w:rPr>
          <w:rFonts w:eastAsia="Calibri"/>
          <w:lang w:val="es-AR" w:eastAsia="es-BO"/>
        </w:rPr>
        <w:t xml:space="preserve">, en las mismas se desarrolló un nuevo plan de trabajo que a la fecha se encuentra en implementación y que cuenta con las siguientes actividades: </w:t>
      </w:r>
      <w:proofErr w:type="spellStart"/>
      <w:r w:rsidR="00BD4745" w:rsidRPr="002014CD">
        <w:rPr>
          <w:rFonts w:eastAsia="Calibri"/>
          <w:lang w:val="es-AR" w:eastAsia="es-BO"/>
        </w:rPr>
        <w:t>1.Elaboración</w:t>
      </w:r>
      <w:proofErr w:type="spellEnd"/>
      <w:r w:rsidR="00BD4745" w:rsidRPr="002014CD">
        <w:rPr>
          <w:rFonts w:eastAsia="Calibri"/>
          <w:lang w:val="es-AR" w:eastAsia="es-BO"/>
        </w:rPr>
        <w:t xml:space="preserve"> y presentación de una Propuesta normativa sobre la modificación del Código Penal referida a la imprescriptibilidad de la acción penal sobre los hechos por desapariciones forzadas. 2. Seguimiento y coordinación en cuanto al proceso por la desaparición de Félix Melgar por el </w:t>
      </w:r>
      <w:proofErr w:type="spellStart"/>
      <w:r w:rsidR="00BD4745" w:rsidRPr="002014CD">
        <w:rPr>
          <w:rFonts w:eastAsia="Calibri"/>
          <w:lang w:val="es-AR" w:eastAsia="es-BO"/>
        </w:rPr>
        <w:t>SEPRET</w:t>
      </w:r>
      <w:proofErr w:type="spellEnd"/>
      <w:r w:rsidR="00BD4745" w:rsidRPr="002014CD">
        <w:rPr>
          <w:rFonts w:eastAsia="Calibri"/>
          <w:lang w:val="es-AR" w:eastAsia="es-BO"/>
        </w:rPr>
        <w:t xml:space="preserve"> (actualmente Mecanismo Nacional de Protección contra la Tortura. 3. La </w:t>
      </w:r>
      <w:proofErr w:type="spellStart"/>
      <w:r w:rsidR="00BD4745" w:rsidRPr="002014CD">
        <w:rPr>
          <w:rFonts w:eastAsia="Calibri"/>
          <w:lang w:val="es-AR" w:eastAsia="es-BO"/>
        </w:rPr>
        <w:t>PGE</w:t>
      </w:r>
      <w:proofErr w:type="spellEnd"/>
      <w:r w:rsidR="00BD4745" w:rsidRPr="002014CD">
        <w:rPr>
          <w:rFonts w:eastAsia="Calibri"/>
          <w:lang w:val="es-AR" w:eastAsia="es-BO"/>
        </w:rPr>
        <w:t xml:space="preserve"> promoverá la viabilidad del proyecto de fortalecimiento del </w:t>
      </w:r>
      <w:proofErr w:type="spellStart"/>
      <w:r w:rsidR="00BD4745" w:rsidRPr="002014CD">
        <w:rPr>
          <w:rFonts w:eastAsia="Calibri"/>
          <w:lang w:val="es-AR" w:eastAsia="es-BO"/>
        </w:rPr>
        <w:t>IDIF</w:t>
      </w:r>
      <w:proofErr w:type="spellEnd"/>
      <w:r w:rsidR="00BD4745" w:rsidRPr="002014CD">
        <w:rPr>
          <w:rFonts w:eastAsia="Calibri"/>
          <w:lang w:val="es-AR" w:eastAsia="es-BO"/>
        </w:rPr>
        <w:t xml:space="preserve">. 4. Seguimiento de los procesos Sobre las muestras de Gladys Solón madre de José Carlos Trujillo </w:t>
      </w:r>
      <w:proofErr w:type="spellStart"/>
      <w:r w:rsidR="00BD4745" w:rsidRPr="002014CD">
        <w:rPr>
          <w:rFonts w:eastAsia="Calibri"/>
          <w:lang w:val="es-AR" w:eastAsia="es-BO"/>
        </w:rPr>
        <w:t>Oroza</w:t>
      </w:r>
      <w:proofErr w:type="spellEnd"/>
      <w:r w:rsidR="00BD4745" w:rsidRPr="002014CD">
        <w:rPr>
          <w:rFonts w:eastAsia="Calibri"/>
          <w:lang w:val="es-AR" w:eastAsia="es-BO"/>
        </w:rPr>
        <w:t xml:space="preserve">, la </w:t>
      </w:r>
      <w:proofErr w:type="spellStart"/>
      <w:r w:rsidR="00BD4745" w:rsidRPr="002014CD">
        <w:rPr>
          <w:rFonts w:eastAsia="Calibri"/>
          <w:lang w:val="es-AR" w:eastAsia="es-BO"/>
        </w:rPr>
        <w:t>PGE</w:t>
      </w:r>
      <w:proofErr w:type="spellEnd"/>
      <w:r w:rsidR="00BD4745" w:rsidRPr="002014CD">
        <w:rPr>
          <w:rFonts w:eastAsia="Calibri"/>
          <w:lang w:val="es-AR" w:eastAsia="es-BO"/>
        </w:rPr>
        <w:t xml:space="preserve"> interpondrá oficios ante el Ministerio de Relaciones Exteriores para el seguimiento y devolución de muestras. </w:t>
      </w:r>
    </w:p>
    <w:p w14:paraId="3C3988BC" w14:textId="3590D6F0" w:rsidR="00BD4745" w:rsidRPr="002014CD" w:rsidRDefault="0098102E" w:rsidP="002014CD">
      <w:pPr>
        <w:pStyle w:val="SingleTxtG"/>
        <w:rPr>
          <w:rFonts w:eastAsia="Calibri"/>
          <w:lang w:val="es-AR" w:eastAsia="es-BO"/>
        </w:rPr>
      </w:pPr>
      <w:r w:rsidRPr="002014CD">
        <w:rPr>
          <w:rFonts w:eastAsia="Calibri"/>
          <w:lang w:val="es-AR" w:eastAsia="es-BO"/>
        </w:rPr>
        <w:lastRenderedPageBreak/>
        <w:t>13.</w:t>
      </w:r>
      <w:r w:rsidRPr="002014CD">
        <w:rPr>
          <w:rFonts w:eastAsia="Calibri"/>
          <w:lang w:val="es-AR" w:eastAsia="es-BO"/>
        </w:rPr>
        <w:tab/>
      </w:r>
      <w:r w:rsidR="00BD4745" w:rsidRPr="002014CD">
        <w:rPr>
          <w:rFonts w:eastAsia="Calibri"/>
          <w:lang w:val="es-AR" w:eastAsia="es-BO"/>
        </w:rPr>
        <w:t>En síntesis</w:t>
      </w:r>
      <w:r w:rsidR="00BD4745" w:rsidRPr="002014CD">
        <w:rPr>
          <w:rFonts w:eastAsia="Calibri"/>
          <w:lang w:eastAsia="es-BO"/>
        </w:rPr>
        <w:t xml:space="preserve">, la </w:t>
      </w:r>
      <w:proofErr w:type="spellStart"/>
      <w:r w:rsidR="00BD4745" w:rsidRPr="002014CD">
        <w:rPr>
          <w:rFonts w:eastAsia="Calibri"/>
          <w:lang w:eastAsia="es-BO"/>
        </w:rPr>
        <w:t>PGE</w:t>
      </w:r>
      <w:proofErr w:type="spellEnd"/>
      <w:r w:rsidR="00BD4745" w:rsidRPr="002014CD">
        <w:rPr>
          <w:rFonts w:eastAsia="Calibri"/>
          <w:lang w:eastAsia="es-BO"/>
        </w:rPr>
        <w:t xml:space="preserve"> se encuentra realizando gestiones de coordinación mediante Reuniones Técnicas de Trabajo Interinstitucional sobre Desapariciones Forzadas en Bolivia desde la gestión 2018, en específico para promover acciones concretas vinculadas a los tramites internacionales que requieren el esclarecimiento y búsqueda de los restos de los desaparecidos durante el periodo de 1964 a 1982.</w:t>
      </w:r>
    </w:p>
    <w:p w14:paraId="063F775B" w14:textId="736A99B5" w:rsidR="00BD4745" w:rsidRPr="002014CD" w:rsidRDefault="0098102E" w:rsidP="002014CD">
      <w:pPr>
        <w:pStyle w:val="SingleTxtG"/>
        <w:rPr>
          <w:rFonts w:eastAsia="Calibri"/>
          <w:lang w:eastAsia="es-BO"/>
        </w:rPr>
      </w:pPr>
      <w:r w:rsidRPr="002014CD">
        <w:rPr>
          <w:rFonts w:eastAsia="Calibri"/>
          <w:lang w:val="es-BO" w:eastAsia="es-BO"/>
        </w:rPr>
        <w:t>14.</w:t>
      </w:r>
      <w:r w:rsidRPr="002014CD">
        <w:rPr>
          <w:rFonts w:eastAsia="Calibri"/>
          <w:lang w:val="es-BO" w:eastAsia="es-BO"/>
        </w:rPr>
        <w:tab/>
      </w:r>
      <w:r w:rsidR="00BD4745" w:rsidRPr="002014CD">
        <w:rPr>
          <w:rFonts w:eastAsia="Calibri"/>
          <w:lang w:eastAsia="es-BO"/>
        </w:rPr>
        <w:t xml:space="preserve">Por otra parte, el Ministerio Público ha iniciado 3 procesos de oficio de manera conjunta con la Procuraduría General del Estado y el extinto </w:t>
      </w:r>
      <w:proofErr w:type="spellStart"/>
      <w:r w:rsidR="00BD4745" w:rsidRPr="002014CD">
        <w:rPr>
          <w:rFonts w:eastAsia="Calibri"/>
          <w:lang w:eastAsia="es-BO"/>
        </w:rPr>
        <w:t>SEPRET</w:t>
      </w:r>
      <w:proofErr w:type="spellEnd"/>
      <w:r w:rsidR="00BD4745" w:rsidRPr="002014CD">
        <w:rPr>
          <w:rFonts w:eastAsia="Calibri"/>
          <w:lang w:eastAsia="es-BO"/>
        </w:rPr>
        <w:t xml:space="preserve"> para realizar las investigaciones por los delitos de Desaparición Forzada en contra del autor y/o autores, con el objetivo de sancionar a quienes vulneraron derechos humanos </w:t>
      </w:r>
      <w:r w:rsidR="00BD4745" w:rsidRPr="002014CD">
        <w:t>durante los regímenes anticonstitucionales de 1964-1982.</w:t>
      </w:r>
    </w:p>
    <w:p w14:paraId="4BD2967B" w14:textId="410AE4B5" w:rsidR="00BD4745" w:rsidRPr="002014CD" w:rsidRDefault="0098102E" w:rsidP="002014CD">
      <w:pPr>
        <w:pStyle w:val="SingleTxtG"/>
        <w:rPr>
          <w:rFonts w:eastAsia="Libre Baskerville"/>
        </w:rPr>
      </w:pPr>
      <w:r w:rsidRPr="002014CD">
        <w:rPr>
          <w:rFonts w:eastAsia="Libre Baskerville"/>
          <w:lang w:val="es-BO" w:eastAsia="en-US"/>
        </w:rPr>
        <w:t>15.</w:t>
      </w:r>
      <w:r w:rsidRPr="002014CD">
        <w:rPr>
          <w:rFonts w:eastAsia="Libre Baskerville"/>
          <w:lang w:val="es-BO" w:eastAsia="en-US"/>
        </w:rPr>
        <w:tab/>
      </w:r>
      <w:r w:rsidR="00BD4745" w:rsidRPr="002014CD">
        <w:rPr>
          <w:rFonts w:eastAsia="Libre Baskerville"/>
        </w:rPr>
        <w:t xml:space="preserve">La Comisión de la Verdad fue creada mediante Ley </w:t>
      </w:r>
      <w:proofErr w:type="spellStart"/>
      <w:r w:rsidR="00BD4745" w:rsidRPr="002014CD">
        <w:rPr>
          <w:rFonts w:eastAsia="Libre Baskerville"/>
        </w:rPr>
        <w:t>N°</w:t>
      </w:r>
      <w:proofErr w:type="spellEnd"/>
      <w:r w:rsidR="00BD4745" w:rsidRPr="002014CD">
        <w:rPr>
          <w:rFonts w:eastAsia="Libre Baskerville"/>
        </w:rPr>
        <w:t xml:space="preserve"> 879, de 23 de diciembre de 2016, dicha Instancia, emitió el correspondiente Informe Final al cierre de sus funciones, con referencia a la investigación sobre el esclarecimiento de los asesinatos, desapariciones forzadas, torturas, detenciones arbitrarias y violencia sexual, entendidas como violaciones graves de derechos humanos, fundados en motivos políticos e ideológicos, acontecidos en Bolivia del 4 de noviembre de 1964 al 10 de octubre de 1982, el cual, consta de 11 Tomos, encontrándose en el Tomo IV las correspondientes conclusiones y recomendaciones.</w:t>
      </w:r>
    </w:p>
    <w:p w14:paraId="68E3BDE7" w14:textId="43C68F7A" w:rsidR="00BD4745" w:rsidRPr="002014CD" w:rsidRDefault="0098102E" w:rsidP="002014CD">
      <w:pPr>
        <w:pStyle w:val="SingleTxtG"/>
        <w:rPr>
          <w:rFonts w:eastAsia="Calibri"/>
          <w:lang w:eastAsia="es-BO"/>
        </w:rPr>
      </w:pPr>
      <w:r w:rsidRPr="002014CD">
        <w:rPr>
          <w:rFonts w:eastAsia="Calibri"/>
          <w:lang w:val="es-BO" w:eastAsia="es-BO"/>
        </w:rPr>
        <w:t>16.</w:t>
      </w:r>
      <w:r w:rsidRPr="002014CD">
        <w:rPr>
          <w:rFonts w:eastAsia="Calibri"/>
          <w:lang w:val="es-BO" w:eastAsia="es-BO"/>
        </w:rPr>
        <w:tab/>
      </w:r>
      <w:r w:rsidR="00BD4745" w:rsidRPr="002014CD">
        <w:rPr>
          <w:rFonts w:eastAsia="Calibri"/>
          <w:lang w:eastAsia="es-BO"/>
        </w:rPr>
        <w:t xml:space="preserve">En ese contexto, debe señalarse que el Informe Final elaborado por la Comisión de la Verdad, fue puesto en conocimiento de la Presidencia de la Asamblea Legislativa Plurinacional, Fiscalía General del Estado, Procuraduría General del Estado y Defensoría del Pueblo, finalmente fue puesta en conocimiento del señor </w:t>
      </w:r>
      <w:proofErr w:type="gramStart"/>
      <w:r w:rsidR="00BD4745" w:rsidRPr="002014CD">
        <w:rPr>
          <w:rFonts w:eastAsia="Calibri"/>
          <w:lang w:eastAsia="es-BO"/>
        </w:rPr>
        <w:t>Presidente</w:t>
      </w:r>
      <w:proofErr w:type="gramEnd"/>
      <w:r w:rsidR="00BD4745" w:rsidRPr="002014CD">
        <w:rPr>
          <w:rFonts w:eastAsia="Calibri"/>
          <w:lang w:eastAsia="es-BO"/>
        </w:rPr>
        <w:t xml:space="preserve"> del Estado Plurinacional en acto público celebrado en predios de la Casa Grande del Pueblo el 22 de marzo de 2021.</w:t>
      </w:r>
    </w:p>
    <w:p w14:paraId="03F9433A" w14:textId="4D45E293" w:rsidR="00BD4745" w:rsidRPr="002014CD" w:rsidRDefault="0098102E" w:rsidP="002014CD">
      <w:pPr>
        <w:pStyle w:val="SingleTxtG"/>
        <w:rPr>
          <w:rFonts w:eastAsia="Calibri"/>
          <w:lang w:eastAsia="es-BO"/>
        </w:rPr>
      </w:pPr>
      <w:r w:rsidRPr="002014CD">
        <w:rPr>
          <w:rFonts w:eastAsia="Calibri"/>
          <w:lang w:val="es-BO" w:eastAsia="es-BO"/>
        </w:rPr>
        <w:t>17.</w:t>
      </w:r>
      <w:r w:rsidRPr="002014CD">
        <w:rPr>
          <w:rFonts w:eastAsia="Calibri"/>
          <w:lang w:val="es-BO" w:eastAsia="es-BO"/>
        </w:rPr>
        <w:tab/>
      </w:r>
      <w:r w:rsidR="00BD4745" w:rsidRPr="002014CD">
        <w:rPr>
          <w:rFonts w:eastAsia="Calibri"/>
          <w:lang w:eastAsia="es-BO"/>
        </w:rPr>
        <w:t xml:space="preserve">En tal sentido, cumplida la tarea establecida en la normativa de creación de la Comisión de la Verdad, y siendo que la mencionada Instancia fue constituida como una Entidad descentralizada del Ministerio de Justicia y Transparencia Institucional, mediante Resolución Ministerial </w:t>
      </w:r>
      <w:proofErr w:type="spellStart"/>
      <w:r w:rsidR="00BD4745" w:rsidRPr="002014CD">
        <w:rPr>
          <w:rFonts w:eastAsia="Calibri"/>
          <w:lang w:eastAsia="es-BO"/>
        </w:rPr>
        <w:t>N</w:t>
      </w:r>
      <w:r w:rsidR="005C7B1D">
        <w:rPr>
          <w:rFonts w:eastAsia="Calibri"/>
          <w:lang w:eastAsia="es-BO"/>
        </w:rPr>
        <w:t>º</w:t>
      </w:r>
      <w:proofErr w:type="spellEnd"/>
      <w:r w:rsidR="00BD4745" w:rsidRPr="002014CD">
        <w:rPr>
          <w:rFonts w:eastAsia="Calibri"/>
          <w:lang w:eastAsia="es-BO"/>
        </w:rPr>
        <w:t xml:space="preserve"> 044/2021 de fecha 22 de abril de 2021, se designó al Área de Derechos Fundamentales, dependiente de la referida Cartera de Estado, como Instancia de seguimiento al cumplimiento de las recomendaciones señaladas en el Informe Final emitido por la Comisión de la Verdad. </w:t>
      </w:r>
    </w:p>
    <w:p w14:paraId="0C94C8A9" w14:textId="0D11F45A" w:rsidR="00BD4745" w:rsidRPr="002014CD" w:rsidRDefault="0098102E" w:rsidP="002014CD">
      <w:pPr>
        <w:pStyle w:val="SingleTxtG"/>
        <w:rPr>
          <w:rFonts w:eastAsia="Calibri"/>
          <w:lang w:eastAsia="es-BO"/>
        </w:rPr>
      </w:pPr>
      <w:r w:rsidRPr="002014CD">
        <w:rPr>
          <w:rFonts w:eastAsia="Calibri"/>
          <w:lang w:val="es-BO" w:eastAsia="es-BO"/>
        </w:rPr>
        <w:t>18.</w:t>
      </w:r>
      <w:r w:rsidRPr="002014CD">
        <w:rPr>
          <w:rFonts w:eastAsia="Calibri"/>
          <w:lang w:val="es-BO" w:eastAsia="es-BO"/>
        </w:rPr>
        <w:tab/>
      </w:r>
      <w:r w:rsidR="00BD4745" w:rsidRPr="002014CD">
        <w:rPr>
          <w:rFonts w:eastAsia="Calibri"/>
          <w:lang w:eastAsia="es-BO"/>
        </w:rPr>
        <w:t>En tal sentido, en conocimiento de la mencionada Resolución Ministerial, se ha procedido a revisar las conclusiones y recomendaciones contenidas en el Informe Final, las que se encuentran desglosadas en más de 100 acápites, los cuales derivan en sugerencias concretas de actuación, así como en 50 recomendaciones generales y 19 específicas, agrupándolas por ámbitos e identificando las Instituciones encargadas de su cumplimiento, y señalando la norma en la cual se encuentran fundamentadas dichas atribuciones. Seguimiento que se encuentra en curso ante todas las Instancias públicas vinculadas a las temáticas.</w:t>
      </w:r>
    </w:p>
    <w:p w14:paraId="42E2C4E6" w14:textId="58016858" w:rsidR="00BD4745" w:rsidRPr="002014CD" w:rsidRDefault="0098102E" w:rsidP="002014CD">
      <w:pPr>
        <w:pStyle w:val="SingleTxtG"/>
        <w:rPr>
          <w:rFonts w:eastAsia="Calibri"/>
          <w:lang w:eastAsia="es-BO"/>
        </w:rPr>
      </w:pPr>
      <w:r w:rsidRPr="002014CD">
        <w:rPr>
          <w:rFonts w:eastAsia="Calibri"/>
          <w:lang w:val="es-BO" w:eastAsia="es-BO"/>
        </w:rPr>
        <w:t>19.</w:t>
      </w:r>
      <w:r w:rsidRPr="002014CD">
        <w:rPr>
          <w:rFonts w:eastAsia="Calibri"/>
          <w:lang w:val="es-BO" w:eastAsia="es-BO"/>
        </w:rPr>
        <w:tab/>
      </w:r>
      <w:proofErr w:type="gramStart"/>
      <w:r w:rsidR="00BD4745" w:rsidRPr="002014CD">
        <w:rPr>
          <w:rFonts w:eastAsia="Calibri"/>
          <w:lang w:eastAsia="es-BO"/>
        </w:rPr>
        <w:t>En relación a</w:t>
      </w:r>
      <w:proofErr w:type="gramEnd"/>
      <w:r w:rsidR="00BD4745" w:rsidRPr="002014CD">
        <w:rPr>
          <w:rFonts w:eastAsia="Calibri"/>
          <w:lang w:eastAsia="es-BO"/>
        </w:rPr>
        <w:t xml:space="preserve"> la desclasificación de archivos, corresponde informar que el Ministerio de Defensa emitió la Resolución Ministerial </w:t>
      </w:r>
      <w:proofErr w:type="spellStart"/>
      <w:r w:rsidR="00BD4745" w:rsidRPr="002014CD">
        <w:rPr>
          <w:rFonts w:eastAsia="Calibri"/>
          <w:lang w:eastAsia="es-BO"/>
        </w:rPr>
        <w:t>31G</w:t>
      </w:r>
      <w:proofErr w:type="spellEnd"/>
      <w:r w:rsidR="00BD4745" w:rsidRPr="002014CD">
        <w:rPr>
          <w:rFonts w:eastAsia="Calibri"/>
          <w:lang w:eastAsia="es-BO"/>
        </w:rPr>
        <w:t xml:space="preserve"> de 19 de mayo de 2009, autorizando al Comando en Jefe de las FFAA, facilitar el acceso a familiares y víctimas de regímenes sujetos a dictaduras militares, a archivos, registros públicos y documentos existentes que lo soliciten y demuestren su interés legítimo.</w:t>
      </w:r>
    </w:p>
    <w:p w14:paraId="10A88CAA" w14:textId="56C2DAB7" w:rsidR="00BD4745" w:rsidRPr="002014CD" w:rsidRDefault="0098102E" w:rsidP="002014CD">
      <w:pPr>
        <w:pStyle w:val="SingleTxtG"/>
        <w:rPr>
          <w:rFonts w:eastAsia="Calibri"/>
          <w:lang w:eastAsia="es-BO"/>
        </w:rPr>
      </w:pPr>
      <w:r w:rsidRPr="002014CD">
        <w:rPr>
          <w:rFonts w:eastAsia="Calibri"/>
          <w:lang w:val="es-BO" w:eastAsia="es-BO"/>
        </w:rPr>
        <w:t>20.</w:t>
      </w:r>
      <w:r w:rsidRPr="002014CD">
        <w:rPr>
          <w:rFonts w:eastAsia="Calibri"/>
          <w:lang w:val="es-BO" w:eastAsia="es-BO"/>
        </w:rPr>
        <w:tab/>
      </w:r>
      <w:r w:rsidR="00BD4745" w:rsidRPr="002014CD">
        <w:rPr>
          <w:rFonts w:eastAsia="Calibri"/>
          <w:lang w:eastAsia="es-BO"/>
        </w:rPr>
        <w:t>Asimismo, el Tribunal Supremo de Justicia, mediante Auto Supremo 125/2010 de 1 de abril, ordenó al Comandante General de las FFAA del Estado Plurinacional de Bolivia, conjuntamente un representante del Ministerio Público, procedan a la desclasificación de archivos existentes en el Departamento Segundo del Estado Mayor de junio de 1979 a diciembre de 1980 y del reporte de ingresos y salidas al Estado Mayor del Ejército del 10 al 20 de julio de 1980, debiendo remitir fotocopias legalizadas al Tribunal Supremo de Justicia, con la finalidad de esclarecer los hechos.</w:t>
      </w:r>
    </w:p>
    <w:p w14:paraId="2D2918D2" w14:textId="00CF51CB" w:rsidR="00BD4745" w:rsidRPr="002014CD" w:rsidRDefault="0098102E" w:rsidP="002014CD">
      <w:pPr>
        <w:pStyle w:val="SingleTxtG"/>
        <w:rPr>
          <w:rFonts w:eastAsia="Calibri"/>
          <w:lang w:eastAsia="es-BO"/>
        </w:rPr>
      </w:pPr>
      <w:r w:rsidRPr="002014CD">
        <w:rPr>
          <w:rFonts w:eastAsia="Calibri"/>
          <w:lang w:val="es-BO" w:eastAsia="es-BO"/>
        </w:rPr>
        <w:t>21.</w:t>
      </w:r>
      <w:r w:rsidRPr="002014CD">
        <w:rPr>
          <w:rFonts w:eastAsia="Calibri"/>
          <w:lang w:val="es-BO" w:eastAsia="es-BO"/>
        </w:rPr>
        <w:tab/>
      </w:r>
      <w:r w:rsidR="00BD4745" w:rsidRPr="002014CD">
        <w:rPr>
          <w:rFonts w:eastAsia="Calibri"/>
          <w:lang w:eastAsia="es-BO"/>
        </w:rPr>
        <w:t>En ese sentido, el equipo técnico de la Comisión de la Verdad tuvo acceso al Archivo del Departamento II del Estado Mayor del Ejército. Asimismo, el Ministerio de Relaciones Exteriores, la Biblioteca y Archivo Histórico de la Asamblea Legislativa Plurinacional, el Tribunal Supremo de Justicia y el Ministerio de Justicia y Transparencia Institucional entregaron y también transfirieron información y documentación entorno a violaciones de derechos humanos, a la Comisión documentación que sirvió para el esclarecimiento de los hechos.</w:t>
      </w:r>
    </w:p>
    <w:p w14:paraId="1CA9F992" w14:textId="04D7D719" w:rsidR="00BD4745" w:rsidRPr="002014CD" w:rsidRDefault="00BD4745">
      <w:pPr>
        <w:pStyle w:val="H23G"/>
      </w:pPr>
      <w:r w:rsidRPr="002014CD">
        <w:lastRenderedPageBreak/>
        <w:tab/>
      </w:r>
      <w:r w:rsidRPr="00C24248">
        <w:t xml:space="preserve">4. </w:t>
      </w:r>
      <w:r w:rsidRPr="00C24248">
        <w:tab/>
      </w:r>
      <w:r w:rsidR="001A1E5D" w:rsidRPr="00ED0B85">
        <w:t xml:space="preserve">Respuesta al </w:t>
      </w:r>
      <w:r w:rsidR="001A1E5D" w:rsidRPr="001A1E5D">
        <w:t xml:space="preserve">párrafo </w:t>
      </w:r>
      <w:r w:rsidR="001A1E5D">
        <w:t>4</w:t>
      </w:r>
      <w:r w:rsidR="001A1E5D" w:rsidRPr="001A1E5D">
        <w:t xml:space="preserve"> </w:t>
      </w:r>
      <w:r w:rsidR="001A1E5D" w:rsidRPr="001A1E5D">
        <w:rPr>
          <w:lang w:val="es-ES_tradnl"/>
        </w:rPr>
        <w:t xml:space="preserve">de </w:t>
      </w:r>
      <w:r w:rsidR="001A1E5D">
        <w:rPr>
          <w:lang w:val="es-ES_tradnl"/>
        </w:rPr>
        <w:t>la lista de cuestiones</w:t>
      </w:r>
    </w:p>
    <w:p w14:paraId="3FD8223E" w14:textId="1A27515F" w:rsidR="00BD4745" w:rsidRPr="002014CD" w:rsidRDefault="0098102E" w:rsidP="002014CD">
      <w:pPr>
        <w:pStyle w:val="SingleTxtG"/>
      </w:pPr>
      <w:r w:rsidRPr="002014CD">
        <w:rPr>
          <w:rFonts w:eastAsiaTheme="minorHAnsi"/>
          <w:lang w:val="es-BO" w:eastAsia="en-US"/>
        </w:rPr>
        <w:t>22.</w:t>
      </w:r>
      <w:r w:rsidRPr="002014CD">
        <w:rPr>
          <w:rFonts w:eastAsiaTheme="minorHAnsi"/>
          <w:lang w:val="es-BO" w:eastAsia="en-US"/>
        </w:rPr>
        <w:tab/>
      </w:r>
      <w:r w:rsidR="00BD4745" w:rsidRPr="002014CD">
        <w:t xml:space="preserve">Conforme establece la Ley </w:t>
      </w:r>
      <w:proofErr w:type="spellStart"/>
      <w:r w:rsidR="00BD4745" w:rsidRPr="002014CD">
        <w:t>Nº</w:t>
      </w:r>
      <w:proofErr w:type="spellEnd"/>
      <w:r w:rsidR="00BD4745" w:rsidRPr="002014CD">
        <w:t xml:space="preserve"> 2640 y normas anexas, efectuada la revisión de solicitudes se procedió a la calificación de los beneficiarios, norma que prevé una reconsideración.</w:t>
      </w:r>
    </w:p>
    <w:p w14:paraId="61A673F2" w14:textId="2A33B6DB" w:rsidR="00BD4745" w:rsidRPr="002014CD" w:rsidRDefault="0098102E" w:rsidP="002014CD">
      <w:pPr>
        <w:pStyle w:val="SingleTxtG"/>
      </w:pPr>
      <w:r w:rsidRPr="002014CD">
        <w:rPr>
          <w:rFonts w:eastAsiaTheme="minorHAnsi"/>
          <w:lang w:val="es-BO" w:eastAsia="en-US"/>
        </w:rPr>
        <w:t>23.</w:t>
      </w:r>
      <w:r w:rsidRPr="002014CD">
        <w:rPr>
          <w:rFonts w:eastAsiaTheme="minorHAnsi"/>
          <w:lang w:val="es-BO" w:eastAsia="en-US"/>
        </w:rPr>
        <w:tab/>
      </w:r>
      <w:r w:rsidR="00BD4745" w:rsidRPr="002014CD">
        <w:t xml:space="preserve">Mediante Decreto Supremo </w:t>
      </w:r>
      <w:proofErr w:type="spellStart"/>
      <w:r w:rsidR="00BD4745" w:rsidRPr="002014CD">
        <w:t>Nº</w:t>
      </w:r>
      <w:proofErr w:type="spellEnd"/>
      <w:r w:rsidR="00BD4745" w:rsidRPr="002014CD">
        <w:t xml:space="preserve"> 1211 de 01 de mayo de 2012, se aprueba la lista oficial de 1714 beneficiarios, calificadas como víctimas de violencia política del periodo comprendido entre el 04 de noviembre de 1964 al </w:t>
      </w:r>
      <w:proofErr w:type="spellStart"/>
      <w:r w:rsidR="00BD4745" w:rsidRPr="002014CD">
        <w:t>l0</w:t>
      </w:r>
      <w:proofErr w:type="spellEnd"/>
      <w:r w:rsidR="00BD4745" w:rsidRPr="002014CD">
        <w:t xml:space="preserve"> de octubre de 1982. En ese contexto, a través de Resolución Ministerial </w:t>
      </w:r>
      <w:proofErr w:type="spellStart"/>
      <w:r w:rsidR="00BD4745" w:rsidRPr="002014CD">
        <w:t>Nº</w:t>
      </w:r>
      <w:proofErr w:type="spellEnd"/>
      <w:r w:rsidR="00BD4745" w:rsidRPr="002014CD">
        <w:t xml:space="preserve"> 083/2012 de 16 de mayo de 2012 el entonces Ministerio de Justicia, aprobó los montos individuales correspondiente únicamente al 20% de la lista oficial y definitiva de 1714 beneficiarios del resarcimiento calificado, por la extinta </w:t>
      </w:r>
      <w:proofErr w:type="spellStart"/>
      <w:r w:rsidR="00BD4745" w:rsidRPr="002014CD">
        <w:t>COMTECA</w:t>
      </w:r>
      <w:proofErr w:type="spellEnd"/>
      <w:r w:rsidR="00BD4745" w:rsidRPr="002014CD">
        <w:t>.</w:t>
      </w:r>
    </w:p>
    <w:p w14:paraId="49BAF96F" w14:textId="61EF3383" w:rsidR="00BD4745" w:rsidRPr="002014CD" w:rsidRDefault="0098102E" w:rsidP="002014CD">
      <w:pPr>
        <w:pStyle w:val="SingleTxtG"/>
      </w:pPr>
      <w:r w:rsidRPr="002014CD">
        <w:rPr>
          <w:rFonts w:eastAsiaTheme="minorHAnsi"/>
          <w:lang w:val="es-BO" w:eastAsia="en-US"/>
        </w:rPr>
        <w:t>24.</w:t>
      </w:r>
      <w:r w:rsidRPr="002014CD">
        <w:rPr>
          <w:rFonts w:eastAsiaTheme="minorHAnsi"/>
          <w:lang w:val="es-BO" w:eastAsia="en-US"/>
        </w:rPr>
        <w:tab/>
      </w:r>
      <w:r w:rsidR="00BD4745" w:rsidRPr="002014CD">
        <w:t>La Unidad de Apoyo a la Gestión Social dependiente del Ministerio de la Presidencia, procedió al pago del 20% a 1567 beneficiarios, quedando pendiente el pago a 147 personas, el cual será efectuada a través de la citada Entidad. Queda pendiente el pago del 80% restante del monto total calificado, pago que se está gestionando a través de coordinación interministerial, para lo cual a la fecha se encuentra en elaboración de una norma legal que lo viabilice.</w:t>
      </w:r>
    </w:p>
    <w:p w14:paraId="24FFEE18" w14:textId="6763889C" w:rsidR="00BD4745" w:rsidRPr="002014CD" w:rsidRDefault="0098102E" w:rsidP="002014CD">
      <w:pPr>
        <w:pStyle w:val="SingleTxtG"/>
      </w:pPr>
      <w:r w:rsidRPr="002014CD">
        <w:rPr>
          <w:rFonts w:eastAsiaTheme="minorHAnsi"/>
          <w:lang w:val="es-BO" w:eastAsia="en-US"/>
        </w:rPr>
        <w:t>25.</w:t>
      </w:r>
      <w:r w:rsidRPr="002014CD">
        <w:rPr>
          <w:rFonts w:eastAsiaTheme="minorHAnsi"/>
          <w:lang w:val="es-BO" w:eastAsia="en-US"/>
        </w:rPr>
        <w:tab/>
      </w:r>
      <w:r w:rsidR="00BD4745" w:rsidRPr="002014CD">
        <w:t>Respecto a la atención médica, con la aprobación de la Ley del Sistema Único de Salud (SUS) el Estado Plurinacional de Bolivia ha dado el paso para dotar a la población de un sistema de salud universal, público y gratuito. Se estima que el Sistema Único de Salud beneficiará, en un primer momento, a cerca del 51% de la población (5,8 millones de personas) que no contaba con ningún tipo de seguro de salud.</w:t>
      </w:r>
    </w:p>
    <w:p w14:paraId="095DCF3C" w14:textId="707CC127" w:rsidR="00BD4745" w:rsidRPr="002014CD" w:rsidRDefault="0098102E" w:rsidP="002014CD">
      <w:pPr>
        <w:pStyle w:val="SingleTxtG"/>
      </w:pPr>
      <w:r w:rsidRPr="002014CD">
        <w:rPr>
          <w:rFonts w:eastAsiaTheme="minorHAnsi"/>
          <w:lang w:val="es-BO" w:eastAsia="en-US"/>
        </w:rPr>
        <w:t>26.</w:t>
      </w:r>
      <w:r w:rsidRPr="002014CD">
        <w:rPr>
          <w:rFonts w:eastAsiaTheme="minorHAnsi"/>
          <w:lang w:val="es-BO" w:eastAsia="en-US"/>
        </w:rPr>
        <w:tab/>
      </w:r>
      <w:r w:rsidR="00BD4745" w:rsidRPr="002014CD">
        <w:t>En la practica el SUS ha significado el ordenamiento del sistema de salud ya que su ingreso es por el primer nivel de atención, el sistema de referencia y contra referencia evalúa la pertinencia de cada caso en función de la capacidad resolutiva del establecimiento, pero además en este tiempo de pandemia ha permitido ofrecer cobertura a la población desprotegida con acceso a diagnóstico oportuno y tratamiento gratuito incluidos los costos de terapia intensiva en sus medicamentos.</w:t>
      </w:r>
    </w:p>
    <w:p w14:paraId="6EE3F355" w14:textId="67FCED57" w:rsidR="00BD4745" w:rsidRPr="002014CD" w:rsidRDefault="002014CD">
      <w:pPr>
        <w:pStyle w:val="H1G"/>
        <w:rPr>
          <w:rFonts w:eastAsia="Calibri"/>
          <w:lang w:eastAsia="es-BO"/>
        </w:rPr>
      </w:pPr>
      <w:r>
        <w:rPr>
          <w:rFonts w:eastAsia="Calibri"/>
          <w:lang w:eastAsia="es-BO"/>
        </w:rPr>
        <w:tab/>
      </w:r>
      <w:r>
        <w:rPr>
          <w:rFonts w:eastAsia="Calibri"/>
          <w:lang w:eastAsia="es-BO"/>
        </w:rPr>
        <w:tab/>
      </w:r>
      <w:r w:rsidR="00BD4745" w:rsidRPr="002014CD">
        <w:rPr>
          <w:rFonts w:eastAsia="Calibri"/>
          <w:lang w:eastAsia="es-BO"/>
        </w:rPr>
        <w:t>No discriminación (arts. 2, 3, 17, 26 y 27)</w:t>
      </w:r>
    </w:p>
    <w:p w14:paraId="39FAE91C" w14:textId="7D0AF85D" w:rsidR="00BD4745" w:rsidRPr="002014CD" w:rsidRDefault="002014CD">
      <w:pPr>
        <w:pStyle w:val="H23G"/>
      </w:pPr>
      <w:r>
        <w:tab/>
      </w:r>
      <w:r w:rsidR="00BD4745" w:rsidRPr="002014CD">
        <w:t>5.</w:t>
      </w:r>
      <w:r>
        <w:tab/>
      </w:r>
      <w:r w:rsidR="001A1E5D" w:rsidRPr="00ED0B85">
        <w:t xml:space="preserve">Respuesta al </w:t>
      </w:r>
      <w:r w:rsidR="001A1E5D" w:rsidRPr="001A1E5D">
        <w:t xml:space="preserve">párrafo </w:t>
      </w:r>
      <w:r w:rsidR="001A1E5D">
        <w:t>5</w:t>
      </w:r>
      <w:r w:rsidR="001A1E5D" w:rsidRPr="001A1E5D">
        <w:t xml:space="preserve"> </w:t>
      </w:r>
      <w:r w:rsidR="001A1E5D" w:rsidRPr="001A1E5D">
        <w:rPr>
          <w:lang w:val="es-ES_tradnl"/>
        </w:rPr>
        <w:t xml:space="preserve">de </w:t>
      </w:r>
      <w:r w:rsidR="001A1E5D">
        <w:rPr>
          <w:lang w:val="es-ES_tradnl"/>
        </w:rPr>
        <w:t>la lista de cuestiones</w:t>
      </w:r>
    </w:p>
    <w:p w14:paraId="69CD99EE" w14:textId="7A991053" w:rsidR="00BD4745" w:rsidRPr="002014CD" w:rsidRDefault="0098102E" w:rsidP="002014CD">
      <w:pPr>
        <w:pStyle w:val="SingleTxtG"/>
        <w:rPr>
          <w:rFonts w:eastAsia="Calibri"/>
          <w:lang w:eastAsia="es-BO"/>
        </w:rPr>
      </w:pPr>
      <w:r w:rsidRPr="002014CD">
        <w:rPr>
          <w:rFonts w:eastAsia="Calibri"/>
          <w:lang w:val="es-BO" w:eastAsia="es-BO"/>
        </w:rPr>
        <w:t>27.</w:t>
      </w:r>
      <w:r w:rsidRPr="002014CD">
        <w:rPr>
          <w:rFonts w:eastAsia="Calibri"/>
          <w:lang w:val="es-BO" w:eastAsia="es-BO"/>
        </w:rPr>
        <w:tab/>
      </w:r>
      <w:r w:rsidR="00BD4745" w:rsidRPr="002014CD">
        <w:rPr>
          <w:rFonts w:eastAsia="Calibri"/>
          <w:lang w:eastAsia="es-BO"/>
        </w:rPr>
        <w:t>Respecto al Plan Multisectorial del Estado Plurinacional de Bolivia contra el Racismo, en el marco del principio de igualdad de remuneración, el Estado promueve la incorporación de las mujeres al trabajo, con una misma remuneración tanto para mujeres como para hombres, por un trabajo de igual valor. Para comprobar esta situación, se realizan</w:t>
      </w:r>
      <w:r w:rsidR="00A164D8">
        <w:rPr>
          <w:rFonts w:eastAsia="Calibri"/>
          <w:lang w:eastAsia="es-BO"/>
        </w:rPr>
        <w:t xml:space="preserve"> </w:t>
      </w:r>
      <w:r w:rsidR="00BD4745" w:rsidRPr="002014CD">
        <w:rPr>
          <w:rFonts w:eastAsia="Calibri"/>
          <w:lang w:eastAsia="es-BO"/>
        </w:rPr>
        <w:t>verificaciones de la situación y condiciones laborales de las compañeras trabajadoras.</w:t>
      </w:r>
    </w:p>
    <w:p w14:paraId="0F973999" w14:textId="606D8631" w:rsidR="00BD4745" w:rsidRPr="002014CD" w:rsidRDefault="0098102E" w:rsidP="002014CD">
      <w:pPr>
        <w:pStyle w:val="SingleTxtG"/>
        <w:rPr>
          <w:rFonts w:eastAsia="Calibri"/>
          <w:lang w:eastAsia="es-BO"/>
        </w:rPr>
      </w:pPr>
      <w:r w:rsidRPr="002014CD">
        <w:rPr>
          <w:rFonts w:eastAsia="Calibri"/>
          <w:lang w:val="es-BO" w:eastAsia="es-BO"/>
        </w:rPr>
        <w:t>28.</w:t>
      </w:r>
      <w:r w:rsidRPr="002014CD">
        <w:rPr>
          <w:rFonts w:eastAsia="Calibri"/>
          <w:lang w:val="es-BO" w:eastAsia="es-BO"/>
        </w:rPr>
        <w:tab/>
      </w:r>
      <w:r w:rsidR="00BD4745" w:rsidRPr="002014CD">
        <w:rPr>
          <w:rFonts w:eastAsia="Calibri"/>
          <w:lang w:eastAsia="es-BO"/>
        </w:rPr>
        <w:t>De igual manera se realizan verificaciones relativas a la erradicación del Trabajo Forzoso y Erradicación Progresiva del Trabajo Infantil, reforzadas por las Áreas de Equidad de Género y Racismo y Discriminación, así como inspecciones laborales, para garantizar el respeto de los derechos fundamentales irrenunciables de las mujeres trabajadoras.</w:t>
      </w:r>
    </w:p>
    <w:p w14:paraId="378958E8" w14:textId="5D143B1C" w:rsidR="00BD4745" w:rsidRPr="002014CD" w:rsidRDefault="0098102E" w:rsidP="002014CD">
      <w:pPr>
        <w:pStyle w:val="SingleTxtG"/>
        <w:rPr>
          <w:rFonts w:eastAsia="Calibri"/>
          <w:lang w:eastAsia="es-BO"/>
        </w:rPr>
      </w:pPr>
      <w:r w:rsidRPr="002014CD">
        <w:rPr>
          <w:rFonts w:eastAsia="Calibri"/>
          <w:lang w:val="es-BO" w:eastAsia="es-BO"/>
        </w:rPr>
        <w:t>29.</w:t>
      </w:r>
      <w:r w:rsidRPr="002014CD">
        <w:rPr>
          <w:rFonts w:eastAsia="Calibri"/>
          <w:lang w:val="es-BO" w:eastAsia="es-BO"/>
        </w:rPr>
        <w:tab/>
      </w:r>
      <w:r w:rsidR="00BD4745" w:rsidRPr="002014CD">
        <w:rPr>
          <w:rFonts w:eastAsia="Calibri"/>
          <w:lang w:eastAsia="es-BO"/>
        </w:rPr>
        <w:t xml:space="preserve">Por otro lado, es importante mencionar el </w:t>
      </w:r>
      <w:proofErr w:type="spellStart"/>
      <w:r w:rsidR="00BD4745" w:rsidRPr="002014CD">
        <w:rPr>
          <w:rFonts w:eastAsia="Calibri"/>
          <w:lang w:eastAsia="es-BO"/>
        </w:rPr>
        <w:t>DS</w:t>
      </w:r>
      <w:proofErr w:type="spellEnd"/>
      <w:r w:rsidR="00BD4745" w:rsidRPr="002014CD">
        <w:rPr>
          <w:rFonts w:eastAsia="Calibri"/>
          <w:lang w:eastAsia="es-BO"/>
        </w:rPr>
        <w:t xml:space="preserve"> </w:t>
      </w:r>
      <w:proofErr w:type="spellStart"/>
      <w:r w:rsidR="00BD4745" w:rsidRPr="002014CD">
        <w:rPr>
          <w:rFonts w:eastAsia="Calibri"/>
          <w:lang w:eastAsia="es-BO"/>
        </w:rPr>
        <w:t>N</w:t>
      </w:r>
      <w:r w:rsidR="00A164D8">
        <w:rPr>
          <w:rFonts w:eastAsia="Calibri"/>
          <w:lang w:eastAsia="es-BO"/>
        </w:rPr>
        <w:t>º</w:t>
      </w:r>
      <w:proofErr w:type="spellEnd"/>
      <w:r w:rsidR="00BD4745" w:rsidRPr="002014CD">
        <w:rPr>
          <w:rFonts w:eastAsia="Calibri"/>
          <w:lang w:eastAsia="es-BO"/>
        </w:rPr>
        <w:t xml:space="preserve"> 4401 de 26 de noviembre de 2020, cuyo objeto es “impulsar medidas para la igualdad de oportunidades en el acceso al empleo, la remuneración y el trato igualitario en el trabajo entre mujeres y hombres, con el fin de contribuir en la eliminación de la brecha salarial entre mujeres y hombres”. </w:t>
      </w:r>
    </w:p>
    <w:p w14:paraId="2B248A35" w14:textId="2B86313B" w:rsidR="00BD4745" w:rsidRPr="002014CD" w:rsidRDefault="0098102E" w:rsidP="002014CD">
      <w:pPr>
        <w:pStyle w:val="SingleTxtG"/>
        <w:rPr>
          <w:rFonts w:eastAsia="Calibri"/>
          <w:lang w:eastAsia="es-BO"/>
        </w:rPr>
      </w:pPr>
      <w:r w:rsidRPr="002014CD">
        <w:rPr>
          <w:rFonts w:eastAsia="Calibri"/>
          <w:lang w:val="es-BO" w:eastAsia="es-BO"/>
        </w:rPr>
        <w:t>30.</w:t>
      </w:r>
      <w:r w:rsidRPr="002014CD">
        <w:rPr>
          <w:rFonts w:eastAsia="Calibri"/>
          <w:lang w:val="es-BO" w:eastAsia="es-BO"/>
        </w:rPr>
        <w:tab/>
      </w:r>
      <w:r w:rsidR="00BD4745" w:rsidRPr="002014CD">
        <w:rPr>
          <w:rFonts w:eastAsia="Calibri"/>
          <w:lang w:eastAsia="es-BO"/>
        </w:rPr>
        <w:t xml:space="preserve">La Unidad de Derechos Fundamentales del </w:t>
      </w:r>
      <w:proofErr w:type="spellStart"/>
      <w:r w:rsidR="00BD4745" w:rsidRPr="002014CD">
        <w:rPr>
          <w:rFonts w:eastAsia="Calibri"/>
          <w:lang w:eastAsia="es-BO"/>
        </w:rPr>
        <w:t>MTEPS</w:t>
      </w:r>
      <w:proofErr w:type="spellEnd"/>
      <w:r w:rsidR="00BD4745" w:rsidRPr="002014CD">
        <w:rPr>
          <w:rFonts w:eastAsia="Calibri"/>
          <w:lang w:eastAsia="es-BO"/>
        </w:rPr>
        <w:t xml:space="preserve">, a través del área especializada de Lucha Contra el Racismo y Discriminación, desarrolla acciones de socialización de los derechos laborales en cumplimiento al principio de no discriminación a trabajadoras asalariadas del campo y la ciudad, para disminuir la brecha de acceso a fuentes laborales libres de violencia. </w:t>
      </w:r>
    </w:p>
    <w:p w14:paraId="33D6E97F" w14:textId="1A0931FF" w:rsidR="00BD4745" w:rsidRPr="002014CD" w:rsidRDefault="0098102E" w:rsidP="002014CD">
      <w:pPr>
        <w:pStyle w:val="SingleTxtG"/>
        <w:rPr>
          <w:rFonts w:eastAsia="Calibri"/>
          <w:lang w:eastAsia="es-BO"/>
        </w:rPr>
      </w:pPr>
      <w:r w:rsidRPr="002014CD">
        <w:rPr>
          <w:rFonts w:eastAsia="Calibri"/>
          <w:lang w:val="es-BO" w:eastAsia="es-BO"/>
        </w:rPr>
        <w:t>31.</w:t>
      </w:r>
      <w:r w:rsidRPr="002014CD">
        <w:rPr>
          <w:rFonts w:eastAsia="Calibri"/>
          <w:lang w:val="es-BO" w:eastAsia="es-BO"/>
        </w:rPr>
        <w:tab/>
      </w:r>
      <w:r w:rsidR="00BD4745" w:rsidRPr="002014CD">
        <w:rPr>
          <w:rFonts w:eastAsia="Calibri"/>
          <w:lang w:eastAsia="es-BO"/>
        </w:rPr>
        <w:t xml:space="preserve">Asimismo, emitió la </w:t>
      </w:r>
      <w:proofErr w:type="spellStart"/>
      <w:r w:rsidR="00BD4745" w:rsidRPr="002014CD">
        <w:rPr>
          <w:rFonts w:eastAsia="Calibri"/>
          <w:lang w:eastAsia="es-BO"/>
        </w:rPr>
        <w:t>RM</w:t>
      </w:r>
      <w:proofErr w:type="spellEnd"/>
      <w:r w:rsidR="00BD4745" w:rsidRPr="002014CD">
        <w:rPr>
          <w:rFonts w:eastAsia="Calibri"/>
          <w:lang w:eastAsia="es-BO"/>
        </w:rPr>
        <w:t xml:space="preserve"> 196/2021, mediante la cual establece el procedimiento para denuncia del acoso laboral y desarrolla inspecciones laborales periódicas, se atienden </w:t>
      </w:r>
      <w:r w:rsidR="00BD4745" w:rsidRPr="002014CD">
        <w:rPr>
          <w:rFonts w:eastAsia="Calibri"/>
          <w:lang w:eastAsia="es-BO"/>
        </w:rPr>
        <w:lastRenderedPageBreak/>
        <w:t xml:space="preserve">denuncias por despido injustificado, incumplimiento de pago de salarios, aguinaldos y finiquitos. </w:t>
      </w:r>
    </w:p>
    <w:p w14:paraId="56C88999" w14:textId="625C9FA0" w:rsidR="00BD4745" w:rsidRPr="002014CD" w:rsidRDefault="0098102E" w:rsidP="002014CD">
      <w:pPr>
        <w:pStyle w:val="SingleTxtG"/>
        <w:rPr>
          <w:rFonts w:eastAsia="Calibri"/>
          <w:lang w:eastAsia="es-BO"/>
        </w:rPr>
      </w:pPr>
      <w:r w:rsidRPr="002014CD">
        <w:rPr>
          <w:rFonts w:eastAsia="Calibri"/>
          <w:lang w:val="es-BO" w:eastAsia="es-BO"/>
        </w:rPr>
        <w:t>32.</w:t>
      </w:r>
      <w:r w:rsidRPr="002014CD">
        <w:rPr>
          <w:rFonts w:eastAsia="Calibri"/>
          <w:lang w:val="es-BO" w:eastAsia="es-BO"/>
        </w:rPr>
        <w:tab/>
      </w:r>
      <w:r w:rsidR="00BD4745" w:rsidRPr="002014CD">
        <w:rPr>
          <w:rFonts w:eastAsia="Calibri"/>
          <w:lang w:eastAsia="es-BO"/>
        </w:rPr>
        <w:t xml:space="preserve">El </w:t>
      </w:r>
      <w:proofErr w:type="spellStart"/>
      <w:r w:rsidR="00BD4745" w:rsidRPr="002014CD">
        <w:rPr>
          <w:rFonts w:eastAsia="Calibri"/>
          <w:lang w:eastAsia="es-BO"/>
        </w:rPr>
        <w:t>MTEPS</w:t>
      </w:r>
      <w:proofErr w:type="spellEnd"/>
      <w:r w:rsidR="00BD4745" w:rsidRPr="002014CD">
        <w:rPr>
          <w:rFonts w:eastAsia="Calibri"/>
          <w:lang w:eastAsia="es-BO"/>
        </w:rPr>
        <w:t>, también “implementó un sistema de oficinas móviles temporales en zonas alejadas con el objetivo de restituir los derechos de las/os trabajadoras/res, y por las cuales se reciben denuncias, se realizan inspecciones, se instalan audiencias, se proporciona información y se realizan capacitaciones en la aplicación de los derechos laborales, dirigidas a adolescentes, jóvenes, padres de familia y población en general”.</w:t>
      </w:r>
    </w:p>
    <w:p w14:paraId="665391F7" w14:textId="6C2C7DDB" w:rsidR="00BD4745" w:rsidRPr="002014CD" w:rsidRDefault="0098102E" w:rsidP="002014CD">
      <w:pPr>
        <w:pStyle w:val="SingleTxtG"/>
        <w:rPr>
          <w:rFonts w:eastAsia="Calibri"/>
          <w:lang w:eastAsia="es-BO"/>
        </w:rPr>
      </w:pPr>
      <w:r w:rsidRPr="002014CD">
        <w:rPr>
          <w:rFonts w:eastAsia="Calibri"/>
          <w:lang w:val="es-BO" w:eastAsia="es-BO"/>
        </w:rPr>
        <w:t>33.</w:t>
      </w:r>
      <w:r w:rsidRPr="002014CD">
        <w:rPr>
          <w:rFonts w:eastAsia="Calibri"/>
          <w:lang w:val="es-BO" w:eastAsia="es-BO"/>
        </w:rPr>
        <w:tab/>
      </w:r>
      <w:r w:rsidR="00BD4745" w:rsidRPr="002014CD">
        <w:rPr>
          <w:rFonts w:eastAsia="Calibri"/>
          <w:lang w:eastAsia="es-BO"/>
        </w:rPr>
        <w:t xml:space="preserve">Respecto a las </w:t>
      </w:r>
      <w:r w:rsidR="00BD4745" w:rsidRPr="002014CD">
        <w:t xml:space="preserve">denuncias recibidas sobre casos de discriminación </w:t>
      </w:r>
      <w:proofErr w:type="gramStart"/>
      <w:r w:rsidR="00BD4745" w:rsidRPr="002014CD">
        <w:t>en razón de</w:t>
      </w:r>
      <w:proofErr w:type="gramEnd"/>
      <w:r w:rsidR="00BD4745" w:rsidRPr="002014CD">
        <w:t xml:space="preserve"> género</w:t>
      </w:r>
      <w:r w:rsidR="00BD4745" w:rsidRPr="002014CD">
        <w:rPr>
          <w:rFonts w:eastAsia="Calibri"/>
          <w:lang w:eastAsia="es-BO"/>
        </w:rPr>
        <w:t xml:space="preserve">, el Viceministerio de Igualdad de Oportunidades tiene reportadas las siguientes denuncias de casos por Departamentos respecto a Asesinatos y Homicidios que fueron cometidos en contra de personas de la comunidad </w:t>
      </w:r>
      <w:proofErr w:type="spellStart"/>
      <w:r w:rsidR="00BD4745" w:rsidRPr="002014CD">
        <w:rPr>
          <w:rFonts w:eastAsia="Calibri"/>
          <w:lang w:eastAsia="es-BO"/>
        </w:rPr>
        <w:t>LGBTI</w:t>
      </w:r>
      <w:proofErr w:type="spellEnd"/>
      <w:r w:rsidR="00BD4745" w:rsidRPr="002014CD">
        <w:rPr>
          <w:rFonts w:eastAsia="Calibri"/>
          <w:lang w:eastAsia="es-BO"/>
        </w:rPr>
        <w:t xml:space="preserve">. </w:t>
      </w:r>
    </w:p>
    <w:p w14:paraId="5C9688B6" w14:textId="45A00B1B" w:rsidR="00BD4745" w:rsidRPr="00C24248" w:rsidRDefault="0002501C" w:rsidP="004B0800">
      <w:pPr>
        <w:pStyle w:val="H23G"/>
      </w:pPr>
      <w:r>
        <w:tab/>
      </w:r>
      <w:r w:rsidR="00BD4745" w:rsidRPr="00C24248">
        <w:t>Departamento de Cochabamba</w:t>
      </w:r>
    </w:p>
    <w:tbl>
      <w:tblPr>
        <w:tblStyle w:val="TableGrid"/>
        <w:tblW w:w="963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336"/>
        <w:gridCol w:w="1120"/>
        <w:gridCol w:w="908"/>
        <w:gridCol w:w="1262"/>
        <w:gridCol w:w="1092"/>
        <w:gridCol w:w="1301"/>
        <w:gridCol w:w="1181"/>
        <w:gridCol w:w="794"/>
        <w:gridCol w:w="1643"/>
      </w:tblGrid>
      <w:tr w:rsidR="00104871" w:rsidRPr="00104871" w14:paraId="7FFDA3BA" w14:textId="77777777" w:rsidTr="004B0800">
        <w:trPr>
          <w:trHeight w:val="240"/>
          <w:tblHeader/>
        </w:trPr>
        <w:tc>
          <w:tcPr>
            <w:tcW w:w="336" w:type="dxa"/>
            <w:tcBorders>
              <w:top w:val="single" w:sz="4" w:space="0" w:color="auto"/>
              <w:bottom w:val="single" w:sz="12" w:space="0" w:color="auto"/>
            </w:tcBorders>
            <w:shd w:val="clear" w:color="auto" w:fill="auto"/>
            <w:vAlign w:val="bottom"/>
          </w:tcPr>
          <w:p w14:paraId="1607A82E" w14:textId="5354A974" w:rsidR="00BD4745" w:rsidRPr="00104871" w:rsidRDefault="00BD4745" w:rsidP="004B0800">
            <w:pPr>
              <w:spacing w:before="80" w:after="80" w:line="200" w:lineRule="exact"/>
              <w:rPr>
                <w:i/>
                <w:sz w:val="16"/>
              </w:rPr>
            </w:pPr>
            <w:proofErr w:type="spellStart"/>
            <w:r w:rsidRPr="00104871">
              <w:rPr>
                <w:i/>
                <w:sz w:val="16"/>
              </w:rPr>
              <w:t>N°</w:t>
            </w:r>
            <w:proofErr w:type="spellEnd"/>
          </w:p>
        </w:tc>
        <w:tc>
          <w:tcPr>
            <w:tcW w:w="1120" w:type="dxa"/>
            <w:tcBorders>
              <w:top w:val="single" w:sz="4" w:space="0" w:color="auto"/>
              <w:bottom w:val="single" w:sz="12" w:space="0" w:color="auto"/>
            </w:tcBorders>
            <w:shd w:val="clear" w:color="auto" w:fill="auto"/>
            <w:vAlign w:val="bottom"/>
          </w:tcPr>
          <w:p w14:paraId="3ECB9C11" w14:textId="7A4F8AC5" w:rsidR="00BD4745" w:rsidRPr="00104871" w:rsidRDefault="00BD4745" w:rsidP="004B0800">
            <w:pPr>
              <w:spacing w:before="80" w:after="80" w:line="200" w:lineRule="exact"/>
              <w:rPr>
                <w:i/>
                <w:sz w:val="16"/>
              </w:rPr>
            </w:pPr>
            <w:r w:rsidRPr="00104871">
              <w:rPr>
                <w:i/>
                <w:sz w:val="16"/>
              </w:rPr>
              <w:t xml:space="preserve">Víctima </w:t>
            </w:r>
          </w:p>
        </w:tc>
        <w:tc>
          <w:tcPr>
            <w:tcW w:w="908" w:type="dxa"/>
            <w:tcBorders>
              <w:top w:val="single" w:sz="4" w:space="0" w:color="auto"/>
              <w:bottom w:val="single" w:sz="12" w:space="0" w:color="auto"/>
            </w:tcBorders>
            <w:shd w:val="clear" w:color="auto" w:fill="auto"/>
            <w:vAlign w:val="bottom"/>
          </w:tcPr>
          <w:p w14:paraId="242F0A39" w14:textId="00CCC106" w:rsidR="00BD4745" w:rsidRPr="00104871" w:rsidRDefault="00BD4745" w:rsidP="004B0800">
            <w:pPr>
              <w:spacing w:before="80" w:after="80" w:line="200" w:lineRule="exact"/>
              <w:rPr>
                <w:i/>
                <w:sz w:val="16"/>
              </w:rPr>
            </w:pPr>
            <w:r w:rsidRPr="00104871">
              <w:rPr>
                <w:i/>
                <w:sz w:val="16"/>
              </w:rPr>
              <w:t xml:space="preserve">Fecha </w:t>
            </w:r>
          </w:p>
        </w:tc>
        <w:tc>
          <w:tcPr>
            <w:tcW w:w="1262" w:type="dxa"/>
            <w:tcBorders>
              <w:top w:val="single" w:sz="4" w:space="0" w:color="auto"/>
              <w:bottom w:val="single" w:sz="12" w:space="0" w:color="auto"/>
            </w:tcBorders>
            <w:shd w:val="clear" w:color="auto" w:fill="auto"/>
            <w:vAlign w:val="bottom"/>
          </w:tcPr>
          <w:p w14:paraId="3BA80293" w14:textId="3E99F65E" w:rsidR="00BD4745" w:rsidRPr="00104871" w:rsidRDefault="00BD4745" w:rsidP="004B0800">
            <w:pPr>
              <w:spacing w:before="80" w:after="80" w:line="200" w:lineRule="exact"/>
              <w:rPr>
                <w:i/>
                <w:sz w:val="16"/>
              </w:rPr>
            </w:pPr>
            <w:r w:rsidRPr="00104871">
              <w:rPr>
                <w:i/>
                <w:sz w:val="16"/>
              </w:rPr>
              <w:t>Relación del hecho</w:t>
            </w:r>
          </w:p>
        </w:tc>
        <w:tc>
          <w:tcPr>
            <w:tcW w:w="1092" w:type="dxa"/>
            <w:tcBorders>
              <w:top w:val="single" w:sz="4" w:space="0" w:color="auto"/>
              <w:bottom w:val="single" w:sz="12" w:space="0" w:color="auto"/>
            </w:tcBorders>
            <w:shd w:val="clear" w:color="auto" w:fill="auto"/>
            <w:vAlign w:val="bottom"/>
          </w:tcPr>
          <w:p w14:paraId="3777A163" w14:textId="4F183308" w:rsidR="00BD4745" w:rsidRPr="00104871" w:rsidRDefault="00BD4745" w:rsidP="004B0800">
            <w:pPr>
              <w:spacing w:before="80" w:after="80" w:line="200" w:lineRule="exact"/>
              <w:rPr>
                <w:i/>
                <w:sz w:val="16"/>
              </w:rPr>
            </w:pPr>
            <w:proofErr w:type="spellStart"/>
            <w:r w:rsidRPr="00104871">
              <w:rPr>
                <w:i/>
                <w:sz w:val="16"/>
              </w:rPr>
              <w:t>N°</w:t>
            </w:r>
            <w:proofErr w:type="spellEnd"/>
            <w:r w:rsidRPr="00104871">
              <w:rPr>
                <w:i/>
                <w:sz w:val="16"/>
              </w:rPr>
              <w:t xml:space="preserve"> de caso</w:t>
            </w:r>
          </w:p>
        </w:tc>
        <w:tc>
          <w:tcPr>
            <w:tcW w:w="1301" w:type="dxa"/>
            <w:tcBorders>
              <w:top w:val="single" w:sz="4" w:space="0" w:color="auto"/>
              <w:bottom w:val="single" w:sz="12" w:space="0" w:color="auto"/>
            </w:tcBorders>
            <w:shd w:val="clear" w:color="auto" w:fill="auto"/>
            <w:vAlign w:val="bottom"/>
          </w:tcPr>
          <w:p w14:paraId="03772098" w14:textId="07F82BFA" w:rsidR="00BD4745" w:rsidRPr="00104871" w:rsidRDefault="00BD4745" w:rsidP="004B0800">
            <w:pPr>
              <w:spacing w:before="80" w:after="80" w:line="200" w:lineRule="exact"/>
              <w:rPr>
                <w:i/>
                <w:sz w:val="16"/>
              </w:rPr>
            </w:pPr>
            <w:r w:rsidRPr="00104871">
              <w:rPr>
                <w:i/>
                <w:sz w:val="16"/>
              </w:rPr>
              <w:t>Delito</w:t>
            </w:r>
          </w:p>
        </w:tc>
        <w:tc>
          <w:tcPr>
            <w:tcW w:w="1181" w:type="dxa"/>
            <w:tcBorders>
              <w:top w:val="single" w:sz="4" w:space="0" w:color="auto"/>
              <w:bottom w:val="single" w:sz="12" w:space="0" w:color="auto"/>
            </w:tcBorders>
            <w:shd w:val="clear" w:color="auto" w:fill="auto"/>
            <w:vAlign w:val="bottom"/>
          </w:tcPr>
          <w:p w14:paraId="0C2A2197" w14:textId="0034171C" w:rsidR="00BD4745" w:rsidRPr="00104871" w:rsidRDefault="00BD4745" w:rsidP="004B0800">
            <w:pPr>
              <w:spacing w:before="80" w:after="80" w:line="200" w:lineRule="exact"/>
              <w:rPr>
                <w:i/>
                <w:sz w:val="16"/>
              </w:rPr>
            </w:pPr>
            <w:r w:rsidRPr="00104871">
              <w:rPr>
                <w:i/>
                <w:sz w:val="16"/>
              </w:rPr>
              <w:t>Etapa</w:t>
            </w:r>
          </w:p>
        </w:tc>
        <w:tc>
          <w:tcPr>
            <w:tcW w:w="794" w:type="dxa"/>
            <w:tcBorders>
              <w:top w:val="single" w:sz="4" w:space="0" w:color="auto"/>
              <w:bottom w:val="single" w:sz="12" w:space="0" w:color="auto"/>
            </w:tcBorders>
            <w:shd w:val="clear" w:color="auto" w:fill="auto"/>
            <w:vAlign w:val="bottom"/>
          </w:tcPr>
          <w:p w14:paraId="47576470" w14:textId="37D4C13D" w:rsidR="00BD4745" w:rsidRPr="00104871" w:rsidRDefault="00BD4745" w:rsidP="004B0800">
            <w:pPr>
              <w:spacing w:before="80" w:after="80" w:line="200" w:lineRule="exact"/>
              <w:rPr>
                <w:i/>
                <w:sz w:val="16"/>
              </w:rPr>
            </w:pPr>
            <w:r w:rsidRPr="00104871">
              <w:rPr>
                <w:i/>
                <w:sz w:val="16"/>
              </w:rPr>
              <w:t>Estado</w:t>
            </w:r>
          </w:p>
        </w:tc>
        <w:tc>
          <w:tcPr>
            <w:tcW w:w="1643" w:type="dxa"/>
            <w:tcBorders>
              <w:top w:val="single" w:sz="4" w:space="0" w:color="auto"/>
              <w:bottom w:val="single" w:sz="12" w:space="0" w:color="auto"/>
            </w:tcBorders>
            <w:shd w:val="clear" w:color="auto" w:fill="auto"/>
            <w:vAlign w:val="bottom"/>
          </w:tcPr>
          <w:p w14:paraId="7EB4FA92" w14:textId="1D801E16" w:rsidR="00BD4745" w:rsidRPr="00104871" w:rsidRDefault="00BD4745" w:rsidP="004B0800">
            <w:pPr>
              <w:spacing w:before="80" w:after="80" w:line="200" w:lineRule="exact"/>
              <w:rPr>
                <w:i/>
                <w:sz w:val="16"/>
              </w:rPr>
            </w:pPr>
            <w:r w:rsidRPr="00104871">
              <w:rPr>
                <w:i/>
                <w:sz w:val="16"/>
              </w:rPr>
              <w:t>Observaciones</w:t>
            </w:r>
          </w:p>
        </w:tc>
      </w:tr>
      <w:tr w:rsidR="00104871" w:rsidRPr="00104871" w14:paraId="378A6BA4" w14:textId="77777777" w:rsidTr="004B0800">
        <w:trPr>
          <w:trHeight w:hRule="exact" w:val="113"/>
          <w:tblHeader/>
        </w:trPr>
        <w:tc>
          <w:tcPr>
            <w:tcW w:w="336" w:type="dxa"/>
            <w:tcBorders>
              <w:top w:val="single" w:sz="12" w:space="0" w:color="auto"/>
            </w:tcBorders>
            <w:shd w:val="clear" w:color="auto" w:fill="auto"/>
          </w:tcPr>
          <w:p w14:paraId="27C177FC" w14:textId="77777777" w:rsidR="006678D4" w:rsidRPr="00104871" w:rsidRDefault="006678D4" w:rsidP="004B0800">
            <w:pPr>
              <w:spacing w:before="40" w:after="120"/>
            </w:pPr>
          </w:p>
        </w:tc>
        <w:tc>
          <w:tcPr>
            <w:tcW w:w="1120" w:type="dxa"/>
            <w:tcBorders>
              <w:top w:val="single" w:sz="12" w:space="0" w:color="auto"/>
            </w:tcBorders>
            <w:shd w:val="clear" w:color="auto" w:fill="auto"/>
          </w:tcPr>
          <w:p w14:paraId="4424B76B" w14:textId="77777777" w:rsidR="006678D4" w:rsidRPr="00104871" w:rsidRDefault="006678D4" w:rsidP="004B0800">
            <w:pPr>
              <w:spacing w:before="40" w:after="120"/>
            </w:pPr>
          </w:p>
        </w:tc>
        <w:tc>
          <w:tcPr>
            <w:tcW w:w="908" w:type="dxa"/>
            <w:tcBorders>
              <w:top w:val="single" w:sz="12" w:space="0" w:color="auto"/>
            </w:tcBorders>
            <w:shd w:val="clear" w:color="auto" w:fill="auto"/>
          </w:tcPr>
          <w:p w14:paraId="4F9D588A" w14:textId="77777777" w:rsidR="006678D4" w:rsidRPr="00104871" w:rsidRDefault="006678D4" w:rsidP="004B0800">
            <w:pPr>
              <w:spacing w:before="40" w:after="120"/>
            </w:pPr>
          </w:p>
        </w:tc>
        <w:tc>
          <w:tcPr>
            <w:tcW w:w="1262" w:type="dxa"/>
            <w:tcBorders>
              <w:top w:val="single" w:sz="12" w:space="0" w:color="auto"/>
            </w:tcBorders>
            <w:shd w:val="clear" w:color="auto" w:fill="auto"/>
          </w:tcPr>
          <w:p w14:paraId="625A89B6" w14:textId="77777777" w:rsidR="006678D4" w:rsidRPr="00104871" w:rsidRDefault="006678D4" w:rsidP="004B0800">
            <w:pPr>
              <w:spacing w:before="40" w:after="120"/>
            </w:pPr>
          </w:p>
        </w:tc>
        <w:tc>
          <w:tcPr>
            <w:tcW w:w="1092" w:type="dxa"/>
            <w:tcBorders>
              <w:top w:val="single" w:sz="12" w:space="0" w:color="auto"/>
            </w:tcBorders>
            <w:shd w:val="clear" w:color="auto" w:fill="auto"/>
          </w:tcPr>
          <w:p w14:paraId="4661F451" w14:textId="77777777" w:rsidR="006678D4" w:rsidRPr="00104871" w:rsidRDefault="006678D4" w:rsidP="004B0800">
            <w:pPr>
              <w:spacing w:before="40" w:after="120"/>
            </w:pPr>
          </w:p>
        </w:tc>
        <w:tc>
          <w:tcPr>
            <w:tcW w:w="1301" w:type="dxa"/>
            <w:tcBorders>
              <w:top w:val="single" w:sz="12" w:space="0" w:color="auto"/>
            </w:tcBorders>
            <w:shd w:val="clear" w:color="auto" w:fill="auto"/>
          </w:tcPr>
          <w:p w14:paraId="36E6A22A" w14:textId="77777777" w:rsidR="006678D4" w:rsidRPr="00104871" w:rsidRDefault="006678D4" w:rsidP="004B0800">
            <w:pPr>
              <w:spacing w:before="40" w:after="120"/>
            </w:pPr>
          </w:p>
        </w:tc>
        <w:tc>
          <w:tcPr>
            <w:tcW w:w="1181" w:type="dxa"/>
            <w:tcBorders>
              <w:top w:val="single" w:sz="12" w:space="0" w:color="auto"/>
            </w:tcBorders>
            <w:shd w:val="clear" w:color="auto" w:fill="auto"/>
          </w:tcPr>
          <w:p w14:paraId="48E7FDD3" w14:textId="77777777" w:rsidR="006678D4" w:rsidRPr="00104871" w:rsidRDefault="006678D4" w:rsidP="004B0800">
            <w:pPr>
              <w:spacing w:before="40" w:after="120"/>
            </w:pPr>
          </w:p>
        </w:tc>
        <w:tc>
          <w:tcPr>
            <w:tcW w:w="794" w:type="dxa"/>
            <w:tcBorders>
              <w:top w:val="single" w:sz="12" w:space="0" w:color="auto"/>
            </w:tcBorders>
            <w:shd w:val="clear" w:color="auto" w:fill="auto"/>
          </w:tcPr>
          <w:p w14:paraId="070155F5" w14:textId="77777777" w:rsidR="006678D4" w:rsidRPr="00104871" w:rsidRDefault="006678D4" w:rsidP="004B0800">
            <w:pPr>
              <w:spacing w:before="40" w:after="120"/>
            </w:pPr>
          </w:p>
        </w:tc>
        <w:tc>
          <w:tcPr>
            <w:tcW w:w="1643" w:type="dxa"/>
            <w:tcBorders>
              <w:top w:val="single" w:sz="12" w:space="0" w:color="auto"/>
            </w:tcBorders>
            <w:shd w:val="clear" w:color="auto" w:fill="auto"/>
          </w:tcPr>
          <w:p w14:paraId="594B445C" w14:textId="77777777" w:rsidR="006678D4" w:rsidRPr="00104871" w:rsidRDefault="006678D4" w:rsidP="004B0800">
            <w:pPr>
              <w:spacing w:before="40" w:after="120"/>
            </w:pPr>
          </w:p>
        </w:tc>
      </w:tr>
      <w:tr w:rsidR="00104871" w:rsidRPr="00104871" w14:paraId="517D96CB" w14:textId="77777777" w:rsidTr="004B0800">
        <w:trPr>
          <w:trHeight w:val="240"/>
        </w:trPr>
        <w:tc>
          <w:tcPr>
            <w:tcW w:w="336" w:type="dxa"/>
            <w:shd w:val="clear" w:color="auto" w:fill="auto"/>
          </w:tcPr>
          <w:p w14:paraId="407F1DF7" w14:textId="77777777" w:rsidR="00BD4745" w:rsidRPr="00104871" w:rsidRDefault="00BD4745" w:rsidP="004B0800">
            <w:pPr>
              <w:spacing w:before="40" w:after="120"/>
            </w:pPr>
            <w:r w:rsidRPr="00104871">
              <w:t xml:space="preserve">1. </w:t>
            </w:r>
          </w:p>
        </w:tc>
        <w:tc>
          <w:tcPr>
            <w:tcW w:w="1120" w:type="dxa"/>
            <w:shd w:val="clear" w:color="auto" w:fill="auto"/>
          </w:tcPr>
          <w:p w14:paraId="67AD6F42" w14:textId="77777777" w:rsidR="00BD4745" w:rsidRPr="00104871" w:rsidRDefault="00BD4745" w:rsidP="004B0800">
            <w:pPr>
              <w:spacing w:before="40" w:after="120"/>
            </w:pPr>
            <w:r w:rsidRPr="004B0800">
              <w:t xml:space="preserve">Alessandra </w:t>
            </w:r>
            <w:proofErr w:type="spellStart"/>
            <w:r w:rsidRPr="004B0800">
              <w:t>Ferreti</w:t>
            </w:r>
            <w:proofErr w:type="spellEnd"/>
          </w:p>
        </w:tc>
        <w:tc>
          <w:tcPr>
            <w:tcW w:w="908" w:type="dxa"/>
            <w:shd w:val="clear" w:color="auto" w:fill="auto"/>
          </w:tcPr>
          <w:p w14:paraId="039231B7" w14:textId="77777777" w:rsidR="00BD4745" w:rsidRPr="00104871" w:rsidRDefault="00BD4745" w:rsidP="004B0800">
            <w:pPr>
              <w:spacing w:before="40" w:after="120"/>
            </w:pPr>
            <w:r w:rsidRPr="00104871">
              <w:t>06/02/21</w:t>
            </w:r>
          </w:p>
        </w:tc>
        <w:tc>
          <w:tcPr>
            <w:tcW w:w="1262" w:type="dxa"/>
            <w:shd w:val="clear" w:color="auto" w:fill="auto"/>
          </w:tcPr>
          <w:p w14:paraId="1A89DAD4" w14:textId="77777777" w:rsidR="00BD4745" w:rsidRPr="00104871" w:rsidRDefault="00BD4745" w:rsidP="004B0800">
            <w:pPr>
              <w:spacing w:before="40" w:after="120"/>
            </w:pPr>
            <w:r w:rsidRPr="00104871">
              <w:t>Mujer Trans asfixiada por un cliente</w:t>
            </w:r>
          </w:p>
        </w:tc>
        <w:tc>
          <w:tcPr>
            <w:tcW w:w="1092" w:type="dxa"/>
            <w:shd w:val="clear" w:color="auto" w:fill="auto"/>
          </w:tcPr>
          <w:p w14:paraId="359CA3F9" w14:textId="77777777" w:rsidR="00BD4745" w:rsidRPr="00104871" w:rsidRDefault="00BD4745" w:rsidP="004B0800">
            <w:pPr>
              <w:spacing w:before="40" w:after="120"/>
            </w:pPr>
            <w:r w:rsidRPr="00104871">
              <w:t>30110200000000</w:t>
            </w:r>
          </w:p>
        </w:tc>
        <w:tc>
          <w:tcPr>
            <w:tcW w:w="1301" w:type="dxa"/>
            <w:shd w:val="clear" w:color="auto" w:fill="auto"/>
          </w:tcPr>
          <w:p w14:paraId="554B60B2" w14:textId="77777777" w:rsidR="00BD4745" w:rsidRPr="00104871" w:rsidRDefault="00BD4745" w:rsidP="004B0800">
            <w:pPr>
              <w:spacing w:before="40" w:after="120"/>
            </w:pPr>
            <w:r w:rsidRPr="00104871">
              <w:t>Asesinato Art. 252</w:t>
            </w:r>
          </w:p>
        </w:tc>
        <w:tc>
          <w:tcPr>
            <w:tcW w:w="1181" w:type="dxa"/>
            <w:shd w:val="clear" w:color="auto" w:fill="auto"/>
          </w:tcPr>
          <w:p w14:paraId="47C97351" w14:textId="77777777" w:rsidR="00BD4745" w:rsidRPr="00104871" w:rsidRDefault="00BD4745" w:rsidP="004B0800">
            <w:pPr>
              <w:spacing w:before="40" w:after="120"/>
            </w:pPr>
            <w:r w:rsidRPr="00104871">
              <w:t>Preliminar</w:t>
            </w:r>
          </w:p>
        </w:tc>
        <w:tc>
          <w:tcPr>
            <w:tcW w:w="794" w:type="dxa"/>
            <w:shd w:val="clear" w:color="auto" w:fill="auto"/>
          </w:tcPr>
          <w:p w14:paraId="1659BE6C" w14:textId="77777777" w:rsidR="00BD4745" w:rsidRPr="00104871" w:rsidRDefault="00BD4745" w:rsidP="004B0800">
            <w:pPr>
              <w:spacing w:before="40" w:after="120"/>
            </w:pPr>
            <w:r w:rsidRPr="00104871">
              <w:t>Abierto</w:t>
            </w:r>
          </w:p>
        </w:tc>
        <w:tc>
          <w:tcPr>
            <w:tcW w:w="1643" w:type="dxa"/>
            <w:shd w:val="clear" w:color="auto" w:fill="auto"/>
          </w:tcPr>
          <w:p w14:paraId="0BEB0077" w14:textId="77777777" w:rsidR="00BD4745" w:rsidRPr="00104871" w:rsidRDefault="00BD4745" w:rsidP="004B0800">
            <w:pPr>
              <w:spacing w:before="40" w:after="120"/>
            </w:pPr>
            <w:r w:rsidRPr="00104871">
              <w:t>Complementación de Diligencias 22/02/21 (60 días)</w:t>
            </w:r>
          </w:p>
        </w:tc>
      </w:tr>
      <w:tr w:rsidR="00104871" w:rsidRPr="00104871" w14:paraId="6E59885F" w14:textId="77777777" w:rsidTr="004B0800">
        <w:trPr>
          <w:trHeight w:val="240"/>
        </w:trPr>
        <w:tc>
          <w:tcPr>
            <w:tcW w:w="336" w:type="dxa"/>
            <w:tcBorders>
              <w:bottom w:val="single" w:sz="12" w:space="0" w:color="auto"/>
            </w:tcBorders>
            <w:shd w:val="clear" w:color="auto" w:fill="auto"/>
          </w:tcPr>
          <w:p w14:paraId="5A0EC11C" w14:textId="77777777" w:rsidR="00BD4745" w:rsidRPr="00104871" w:rsidRDefault="00BD4745" w:rsidP="004B0800">
            <w:pPr>
              <w:spacing w:before="40" w:after="120"/>
            </w:pPr>
            <w:r w:rsidRPr="00104871">
              <w:t>2.</w:t>
            </w:r>
          </w:p>
        </w:tc>
        <w:tc>
          <w:tcPr>
            <w:tcW w:w="1120" w:type="dxa"/>
            <w:tcBorders>
              <w:bottom w:val="single" w:sz="12" w:space="0" w:color="auto"/>
            </w:tcBorders>
            <w:shd w:val="clear" w:color="auto" w:fill="auto"/>
          </w:tcPr>
          <w:p w14:paraId="03134770" w14:textId="77777777" w:rsidR="00BD4745" w:rsidRPr="00104871" w:rsidRDefault="00BD4745" w:rsidP="004B0800">
            <w:pPr>
              <w:spacing w:before="40" w:after="120"/>
            </w:pPr>
            <w:r w:rsidRPr="004B0800">
              <w:t>Tres mujeres transexuales</w:t>
            </w:r>
          </w:p>
        </w:tc>
        <w:tc>
          <w:tcPr>
            <w:tcW w:w="908" w:type="dxa"/>
            <w:tcBorders>
              <w:bottom w:val="single" w:sz="12" w:space="0" w:color="auto"/>
            </w:tcBorders>
            <w:shd w:val="clear" w:color="auto" w:fill="auto"/>
          </w:tcPr>
          <w:p w14:paraId="15A83542" w14:textId="77777777" w:rsidR="00BD4745" w:rsidRPr="00104871" w:rsidRDefault="00BD4745" w:rsidP="004B0800">
            <w:pPr>
              <w:spacing w:before="40" w:after="120"/>
            </w:pPr>
            <w:r w:rsidRPr="00104871">
              <w:t>10/05/13</w:t>
            </w:r>
          </w:p>
        </w:tc>
        <w:tc>
          <w:tcPr>
            <w:tcW w:w="1262" w:type="dxa"/>
            <w:tcBorders>
              <w:bottom w:val="single" w:sz="12" w:space="0" w:color="auto"/>
            </w:tcBorders>
            <w:shd w:val="clear" w:color="auto" w:fill="auto"/>
          </w:tcPr>
          <w:p w14:paraId="710FE6D7" w14:textId="77777777" w:rsidR="00BD4745" w:rsidRPr="00104871" w:rsidRDefault="00BD4745" w:rsidP="004B0800">
            <w:pPr>
              <w:spacing w:before="40" w:after="120"/>
            </w:pPr>
            <w:r w:rsidRPr="00104871">
              <w:t>Agredidas por un taxista</w:t>
            </w:r>
          </w:p>
        </w:tc>
        <w:tc>
          <w:tcPr>
            <w:tcW w:w="1092" w:type="dxa"/>
            <w:tcBorders>
              <w:bottom w:val="single" w:sz="12" w:space="0" w:color="auto"/>
            </w:tcBorders>
            <w:shd w:val="clear" w:color="auto" w:fill="auto"/>
          </w:tcPr>
          <w:p w14:paraId="0A17A9FD" w14:textId="77777777" w:rsidR="00BD4745" w:rsidRPr="00104871" w:rsidRDefault="00BD4745" w:rsidP="004B0800">
            <w:pPr>
              <w:spacing w:before="40" w:after="120"/>
            </w:pPr>
            <w:proofErr w:type="spellStart"/>
            <w:r w:rsidRPr="00104871">
              <w:t>Int</w:t>
            </w:r>
            <w:proofErr w:type="spellEnd"/>
            <w:r w:rsidRPr="00104871">
              <w:t>. 79/2013</w:t>
            </w:r>
          </w:p>
        </w:tc>
        <w:tc>
          <w:tcPr>
            <w:tcW w:w="1301" w:type="dxa"/>
            <w:tcBorders>
              <w:bottom w:val="single" w:sz="12" w:space="0" w:color="auto"/>
            </w:tcBorders>
            <w:shd w:val="clear" w:color="auto" w:fill="auto"/>
          </w:tcPr>
          <w:p w14:paraId="48E10755" w14:textId="77777777" w:rsidR="00BD4745" w:rsidRPr="00104871" w:rsidRDefault="00BD4745" w:rsidP="004B0800">
            <w:pPr>
              <w:spacing w:before="40" w:after="120"/>
            </w:pPr>
            <w:r w:rsidRPr="00104871">
              <w:t>Lesiones Graves y Leves, Robo Agravado.</w:t>
            </w:r>
          </w:p>
          <w:p w14:paraId="7BE31919" w14:textId="77777777" w:rsidR="00BD4745" w:rsidRPr="00104871" w:rsidRDefault="00BD4745" w:rsidP="004B0800">
            <w:pPr>
              <w:spacing w:before="40" w:after="120"/>
            </w:pPr>
            <w:r w:rsidRPr="00104871">
              <w:t>Art. 271, 332 Cód. Penal</w:t>
            </w:r>
          </w:p>
        </w:tc>
        <w:tc>
          <w:tcPr>
            <w:tcW w:w="1181" w:type="dxa"/>
            <w:tcBorders>
              <w:bottom w:val="single" w:sz="12" w:space="0" w:color="auto"/>
            </w:tcBorders>
            <w:shd w:val="clear" w:color="auto" w:fill="auto"/>
          </w:tcPr>
          <w:p w14:paraId="5246D063" w14:textId="77777777" w:rsidR="00BD4745" w:rsidRPr="00104871" w:rsidRDefault="00BD4745" w:rsidP="004B0800">
            <w:pPr>
              <w:spacing w:before="40" w:after="120"/>
            </w:pPr>
            <w:r w:rsidRPr="00104871">
              <w:t>Procedimiento Abreviado Concluido</w:t>
            </w:r>
          </w:p>
        </w:tc>
        <w:tc>
          <w:tcPr>
            <w:tcW w:w="794" w:type="dxa"/>
            <w:tcBorders>
              <w:bottom w:val="single" w:sz="12" w:space="0" w:color="auto"/>
            </w:tcBorders>
            <w:shd w:val="clear" w:color="auto" w:fill="auto"/>
          </w:tcPr>
          <w:p w14:paraId="01B54CFF" w14:textId="77777777" w:rsidR="00BD4745" w:rsidRPr="00104871" w:rsidRDefault="00BD4745" w:rsidP="004B0800">
            <w:pPr>
              <w:spacing w:before="40" w:after="120"/>
            </w:pPr>
            <w:r w:rsidRPr="00104871">
              <w:t>Cerrado</w:t>
            </w:r>
          </w:p>
        </w:tc>
        <w:tc>
          <w:tcPr>
            <w:tcW w:w="1643" w:type="dxa"/>
            <w:tcBorders>
              <w:bottom w:val="single" w:sz="12" w:space="0" w:color="auto"/>
            </w:tcBorders>
            <w:shd w:val="clear" w:color="auto" w:fill="auto"/>
          </w:tcPr>
          <w:p w14:paraId="23577CC0" w14:textId="77777777" w:rsidR="00BD4745" w:rsidRPr="00104871" w:rsidRDefault="00BD4745" w:rsidP="004B0800">
            <w:pPr>
              <w:spacing w:before="40" w:after="120"/>
            </w:pPr>
            <w:r w:rsidRPr="00104871">
              <w:t>Concluido</w:t>
            </w:r>
          </w:p>
        </w:tc>
      </w:tr>
    </w:tbl>
    <w:p w14:paraId="3DC92AA1" w14:textId="27D6E759" w:rsidR="00BD4745" w:rsidRPr="00C24248" w:rsidRDefault="00104871" w:rsidP="004B0800">
      <w:pPr>
        <w:pStyle w:val="H23G"/>
      </w:pPr>
      <w:r>
        <w:tab/>
      </w:r>
      <w:r w:rsidR="00BD4745" w:rsidRPr="00C24248">
        <w:t>Departamento de Santa Cruz</w:t>
      </w:r>
    </w:p>
    <w:tbl>
      <w:tblPr>
        <w:tblStyle w:val="TableGrid"/>
        <w:tblW w:w="963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322"/>
        <w:gridCol w:w="1134"/>
        <w:gridCol w:w="896"/>
        <w:gridCol w:w="1470"/>
        <w:gridCol w:w="1190"/>
        <w:gridCol w:w="1007"/>
        <w:gridCol w:w="1302"/>
        <w:gridCol w:w="1148"/>
        <w:gridCol w:w="1168"/>
      </w:tblGrid>
      <w:tr w:rsidR="00104871" w:rsidRPr="00104871" w14:paraId="0CFA794B" w14:textId="77777777" w:rsidTr="004B0800">
        <w:trPr>
          <w:trHeight w:val="240"/>
          <w:tblHeader/>
        </w:trPr>
        <w:tc>
          <w:tcPr>
            <w:tcW w:w="322" w:type="dxa"/>
            <w:tcBorders>
              <w:top w:val="single" w:sz="4" w:space="0" w:color="auto"/>
              <w:bottom w:val="single" w:sz="12" w:space="0" w:color="auto"/>
            </w:tcBorders>
            <w:shd w:val="clear" w:color="auto" w:fill="auto"/>
            <w:vAlign w:val="bottom"/>
          </w:tcPr>
          <w:p w14:paraId="6975368E" w14:textId="17190A9F" w:rsidR="00BD4745" w:rsidRPr="00104871" w:rsidRDefault="00BD4745">
            <w:pPr>
              <w:spacing w:before="80" w:after="80" w:line="200" w:lineRule="exact"/>
              <w:rPr>
                <w:i/>
                <w:sz w:val="16"/>
                <w:szCs w:val="16"/>
              </w:rPr>
            </w:pPr>
            <w:proofErr w:type="spellStart"/>
            <w:r w:rsidRPr="00104871">
              <w:rPr>
                <w:i/>
                <w:sz w:val="16"/>
                <w:szCs w:val="16"/>
              </w:rPr>
              <w:t>N°</w:t>
            </w:r>
            <w:proofErr w:type="spellEnd"/>
          </w:p>
        </w:tc>
        <w:tc>
          <w:tcPr>
            <w:tcW w:w="1134" w:type="dxa"/>
            <w:tcBorders>
              <w:top w:val="single" w:sz="4" w:space="0" w:color="auto"/>
              <w:bottom w:val="single" w:sz="12" w:space="0" w:color="auto"/>
            </w:tcBorders>
            <w:shd w:val="clear" w:color="auto" w:fill="auto"/>
            <w:vAlign w:val="bottom"/>
          </w:tcPr>
          <w:p w14:paraId="50BADE25" w14:textId="781F5E73" w:rsidR="00BD4745" w:rsidRPr="00104871" w:rsidRDefault="00BD4745" w:rsidP="004B0800">
            <w:pPr>
              <w:spacing w:before="80" w:after="80" w:line="200" w:lineRule="exact"/>
              <w:rPr>
                <w:i/>
                <w:sz w:val="16"/>
                <w:szCs w:val="16"/>
              </w:rPr>
            </w:pPr>
            <w:r w:rsidRPr="00104871">
              <w:rPr>
                <w:i/>
                <w:sz w:val="16"/>
                <w:szCs w:val="16"/>
              </w:rPr>
              <w:t xml:space="preserve">Víctima </w:t>
            </w:r>
          </w:p>
        </w:tc>
        <w:tc>
          <w:tcPr>
            <w:tcW w:w="896" w:type="dxa"/>
            <w:tcBorders>
              <w:top w:val="single" w:sz="4" w:space="0" w:color="auto"/>
              <w:bottom w:val="single" w:sz="12" w:space="0" w:color="auto"/>
            </w:tcBorders>
            <w:shd w:val="clear" w:color="auto" w:fill="auto"/>
            <w:vAlign w:val="bottom"/>
          </w:tcPr>
          <w:p w14:paraId="2BE9153F" w14:textId="0CF0EC31" w:rsidR="00BD4745" w:rsidRPr="00104871" w:rsidRDefault="00BD4745" w:rsidP="004B0800">
            <w:pPr>
              <w:spacing w:before="80" w:after="80" w:line="200" w:lineRule="exact"/>
              <w:rPr>
                <w:i/>
                <w:sz w:val="16"/>
                <w:szCs w:val="16"/>
              </w:rPr>
            </w:pPr>
            <w:r w:rsidRPr="00104871">
              <w:rPr>
                <w:i/>
                <w:sz w:val="16"/>
                <w:szCs w:val="16"/>
              </w:rPr>
              <w:t xml:space="preserve">Fecha </w:t>
            </w:r>
          </w:p>
        </w:tc>
        <w:tc>
          <w:tcPr>
            <w:tcW w:w="1470" w:type="dxa"/>
            <w:tcBorders>
              <w:top w:val="single" w:sz="4" w:space="0" w:color="auto"/>
              <w:bottom w:val="single" w:sz="12" w:space="0" w:color="auto"/>
            </w:tcBorders>
            <w:shd w:val="clear" w:color="auto" w:fill="auto"/>
            <w:vAlign w:val="bottom"/>
          </w:tcPr>
          <w:p w14:paraId="27E0E9A1" w14:textId="089D06FE" w:rsidR="00BD4745" w:rsidRPr="00104871" w:rsidRDefault="00BD4745" w:rsidP="004B0800">
            <w:pPr>
              <w:spacing w:before="80" w:after="80" w:line="200" w:lineRule="exact"/>
              <w:rPr>
                <w:i/>
                <w:sz w:val="16"/>
                <w:szCs w:val="16"/>
              </w:rPr>
            </w:pPr>
            <w:r w:rsidRPr="00104871">
              <w:rPr>
                <w:i/>
                <w:sz w:val="16"/>
                <w:szCs w:val="16"/>
              </w:rPr>
              <w:t>Relación del hecho</w:t>
            </w:r>
          </w:p>
        </w:tc>
        <w:tc>
          <w:tcPr>
            <w:tcW w:w="1190" w:type="dxa"/>
            <w:tcBorders>
              <w:top w:val="single" w:sz="4" w:space="0" w:color="auto"/>
              <w:bottom w:val="single" w:sz="12" w:space="0" w:color="auto"/>
            </w:tcBorders>
            <w:shd w:val="clear" w:color="auto" w:fill="auto"/>
            <w:vAlign w:val="bottom"/>
          </w:tcPr>
          <w:p w14:paraId="7A6F93DC" w14:textId="2F444FEF" w:rsidR="00BD4745" w:rsidRPr="00104871" w:rsidRDefault="00BD4745" w:rsidP="004B0800">
            <w:pPr>
              <w:spacing w:before="80" w:after="80" w:line="200" w:lineRule="exact"/>
              <w:rPr>
                <w:i/>
                <w:sz w:val="16"/>
                <w:szCs w:val="16"/>
              </w:rPr>
            </w:pPr>
            <w:proofErr w:type="spellStart"/>
            <w:r w:rsidRPr="00104871">
              <w:rPr>
                <w:i/>
                <w:sz w:val="16"/>
                <w:szCs w:val="16"/>
              </w:rPr>
              <w:t>N°</w:t>
            </w:r>
            <w:proofErr w:type="spellEnd"/>
            <w:r w:rsidRPr="00104871">
              <w:rPr>
                <w:i/>
                <w:sz w:val="16"/>
                <w:szCs w:val="16"/>
              </w:rPr>
              <w:t xml:space="preserve"> de caso</w:t>
            </w:r>
          </w:p>
        </w:tc>
        <w:tc>
          <w:tcPr>
            <w:tcW w:w="1007" w:type="dxa"/>
            <w:tcBorders>
              <w:top w:val="single" w:sz="4" w:space="0" w:color="auto"/>
              <w:bottom w:val="single" w:sz="12" w:space="0" w:color="auto"/>
            </w:tcBorders>
            <w:shd w:val="clear" w:color="auto" w:fill="auto"/>
            <w:vAlign w:val="bottom"/>
          </w:tcPr>
          <w:p w14:paraId="25885EFA" w14:textId="2E6D124E" w:rsidR="00BD4745" w:rsidRPr="00104871" w:rsidRDefault="00BD4745" w:rsidP="004B0800">
            <w:pPr>
              <w:spacing w:before="80" w:after="80" w:line="200" w:lineRule="exact"/>
              <w:rPr>
                <w:i/>
                <w:sz w:val="16"/>
                <w:szCs w:val="16"/>
              </w:rPr>
            </w:pPr>
            <w:r w:rsidRPr="00104871">
              <w:rPr>
                <w:i/>
                <w:sz w:val="16"/>
                <w:szCs w:val="16"/>
              </w:rPr>
              <w:t>Delito</w:t>
            </w:r>
          </w:p>
        </w:tc>
        <w:tc>
          <w:tcPr>
            <w:tcW w:w="1302" w:type="dxa"/>
            <w:tcBorders>
              <w:top w:val="single" w:sz="4" w:space="0" w:color="auto"/>
              <w:bottom w:val="single" w:sz="12" w:space="0" w:color="auto"/>
            </w:tcBorders>
            <w:shd w:val="clear" w:color="auto" w:fill="auto"/>
            <w:vAlign w:val="bottom"/>
          </w:tcPr>
          <w:p w14:paraId="7BB060A1" w14:textId="7E448114" w:rsidR="00BD4745" w:rsidRPr="00104871" w:rsidRDefault="00BD4745" w:rsidP="004B0800">
            <w:pPr>
              <w:spacing w:before="80" w:after="80" w:line="200" w:lineRule="exact"/>
              <w:rPr>
                <w:i/>
                <w:sz w:val="16"/>
                <w:szCs w:val="16"/>
              </w:rPr>
            </w:pPr>
            <w:r w:rsidRPr="00104871">
              <w:rPr>
                <w:i/>
                <w:sz w:val="16"/>
                <w:szCs w:val="16"/>
              </w:rPr>
              <w:t>Etapa</w:t>
            </w:r>
          </w:p>
        </w:tc>
        <w:tc>
          <w:tcPr>
            <w:tcW w:w="1148" w:type="dxa"/>
            <w:tcBorders>
              <w:top w:val="single" w:sz="4" w:space="0" w:color="auto"/>
              <w:bottom w:val="single" w:sz="12" w:space="0" w:color="auto"/>
            </w:tcBorders>
            <w:shd w:val="clear" w:color="auto" w:fill="auto"/>
            <w:vAlign w:val="bottom"/>
          </w:tcPr>
          <w:p w14:paraId="3877E917" w14:textId="44E02400" w:rsidR="00BD4745" w:rsidRPr="00104871" w:rsidRDefault="00BD4745" w:rsidP="004B0800">
            <w:pPr>
              <w:spacing w:before="80" w:after="80" w:line="200" w:lineRule="exact"/>
              <w:rPr>
                <w:i/>
                <w:sz w:val="16"/>
                <w:szCs w:val="16"/>
              </w:rPr>
            </w:pPr>
            <w:r w:rsidRPr="00104871">
              <w:rPr>
                <w:i/>
                <w:sz w:val="16"/>
                <w:szCs w:val="16"/>
              </w:rPr>
              <w:t>Estado</w:t>
            </w:r>
          </w:p>
        </w:tc>
        <w:tc>
          <w:tcPr>
            <w:tcW w:w="1168" w:type="dxa"/>
            <w:tcBorders>
              <w:top w:val="single" w:sz="4" w:space="0" w:color="auto"/>
              <w:bottom w:val="single" w:sz="12" w:space="0" w:color="auto"/>
            </w:tcBorders>
            <w:shd w:val="clear" w:color="auto" w:fill="auto"/>
            <w:vAlign w:val="bottom"/>
          </w:tcPr>
          <w:p w14:paraId="6B35E0B5" w14:textId="4111491D" w:rsidR="00BD4745" w:rsidRPr="00104871" w:rsidRDefault="00BD4745" w:rsidP="004B0800">
            <w:pPr>
              <w:spacing w:before="80" w:after="80" w:line="200" w:lineRule="exact"/>
              <w:rPr>
                <w:i/>
                <w:sz w:val="16"/>
                <w:szCs w:val="16"/>
              </w:rPr>
            </w:pPr>
            <w:r w:rsidRPr="00104871">
              <w:rPr>
                <w:i/>
                <w:sz w:val="16"/>
                <w:szCs w:val="16"/>
              </w:rPr>
              <w:t>Observaciones</w:t>
            </w:r>
          </w:p>
        </w:tc>
      </w:tr>
      <w:tr w:rsidR="00104871" w:rsidRPr="00104871" w14:paraId="15F4EAA9" w14:textId="77777777" w:rsidTr="004B0800">
        <w:trPr>
          <w:trHeight w:hRule="exact" w:val="113"/>
        </w:trPr>
        <w:tc>
          <w:tcPr>
            <w:tcW w:w="322" w:type="dxa"/>
            <w:tcBorders>
              <w:top w:val="single" w:sz="12" w:space="0" w:color="auto"/>
            </w:tcBorders>
            <w:shd w:val="clear" w:color="auto" w:fill="auto"/>
          </w:tcPr>
          <w:p w14:paraId="000BD757" w14:textId="01E52EDA" w:rsidR="00BD4745" w:rsidRPr="004B0800" w:rsidRDefault="00BD4745" w:rsidP="004B0800">
            <w:pPr>
              <w:spacing w:before="40" w:after="120"/>
              <w:rPr>
                <w:szCs w:val="16"/>
              </w:rPr>
            </w:pPr>
          </w:p>
        </w:tc>
        <w:tc>
          <w:tcPr>
            <w:tcW w:w="1134" w:type="dxa"/>
            <w:tcBorders>
              <w:top w:val="single" w:sz="12" w:space="0" w:color="auto"/>
            </w:tcBorders>
            <w:shd w:val="clear" w:color="auto" w:fill="auto"/>
          </w:tcPr>
          <w:p w14:paraId="6150D4B5" w14:textId="50431113" w:rsidR="00BD4745" w:rsidRPr="004B0800" w:rsidRDefault="00BD4745" w:rsidP="004B0800">
            <w:pPr>
              <w:spacing w:before="40" w:after="120"/>
              <w:rPr>
                <w:szCs w:val="16"/>
              </w:rPr>
            </w:pPr>
          </w:p>
        </w:tc>
        <w:tc>
          <w:tcPr>
            <w:tcW w:w="896" w:type="dxa"/>
            <w:tcBorders>
              <w:top w:val="single" w:sz="12" w:space="0" w:color="auto"/>
            </w:tcBorders>
            <w:shd w:val="clear" w:color="auto" w:fill="auto"/>
          </w:tcPr>
          <w:p w14:paraId="74FD151E" w14:textId="37F2E25E" w:rsidR="00BD4745" w:rsidRPr="004B0800" w:rsidRDefault="00BD4745" w:rsidP="004B0800">
            <w:pPr>
              <w:spacing w:before="40" w:after="120"/>
              <w:rPr>
                <w:szCs w:val="16"/>
              </w:rPr>
            </w:pPr>
          </w:p>
        </w:tc>
        <w:tc>
          <w:tcPr>
            <w:tcW w:w="1470" w:type="dxa"/>
            <w:tcBorders>
              <w:top w:val="single" w:sz="12" w:space="0" w:color="auto"/>
            </w:tcBorders>
            <w:shd w:val="clear" w:color="auto" w:fill="auto"/>
          </w:tcPr>
          <w:p w14:paraId="2C2026EC" w14:textId="4E8A7186" w:rsidR="00BD4745" w:rsidRPr="004B0800" w:rsidRDefault="00BD4745" w:rsidP="004B0800">
            <w:pPr>
              <w:spacing w:before="40" w:after="120"/>
              <w:rPr>
                <w:szCs w:val="16"/>
              </w:rPr>
            </w:pPr>
          </w:p>
        </w:tc>
        <w:tc>
          <w:tcPr>
            <w:tcW w:w="1190" w:type="dxa"/>
            <w:tcBorders>
              <w:top w:val="single" w:sz="12" w:space="0" w:color="auto"/>
            </w:tcBorders>
            <w:shd w:val="clear" w:color="auto" w:fill="auto"/>
          </w:tcPr>
          <w:p w14:paraId="01FD8258" w14:textId="1DCC75CE" w:rsidR="00BD4745" w:rsidRPr="004B0800" w:rsidRDefault="00BD4745" w:rsidP="004B0800">
            <w:pPr>
              <w:spacing w:before="40" w:after="120"/>
              <w:rPr>
                <w:szCs w:val="16"/>
              </w:rPr>
            </w:pPr>
          </w:p>
        </w:tc>
        <w:tc>
          <w:tcPr>
            <w:tcW w:w="1007" w:type="dxa"/>
            <w:tcBorders>
              <w:top w:val="single" w:sz="12" w:space="0" w:color="auto"/>
            </w:tcBorders>
            <w:shd w:val="clear" w:color="auto" w:fill="auto"/>
          </w:tcPr>
          <w:p w14:paraId="757E28E8" w14:textId="47D013B0" w:rsidR="00BD4745" w:rsidRPr="004B0800" w:rsidRDefault="00BD4745" w:rsidP="004B0800">
            <w:pPr>
              <w:spacing w:before="40" w:after="120"/>
              <w:rPr>
                <w:szCs w:val="16"/>
              </w:rPr>
            </w:pPr>
          </w:p>
        </w:tc>
        <w:tc>
          <w:tcPr>
            <w:tcW w:w="1302" w:type="dxa"/>
            <w:tcBorders>
              <w:top w:val="single" w:sz="12" w:space="0" w:color="auto"/>
            </w:tcBorders>
            <w:shd w:val="clear" w:color="auto" w:fill="auto"/>
          </w:tcPr>
          <w:p w14:paraId="03F43C4E" w14:textId="14901517" w:rsidR="00BD4745" w:rsidRPr="004B0800" w:rsidRDefault="00BD4745" w:rsidP="004B0800">
            <w:pPr>
              <w:spacing w:before="40" w:after="120"/>
              <w:rPr>
                <w:szCs w:val="16"/>
              </w:rPr>
            </w:pPr>
          </w:p>
        </w:tc>
        <w:tc>
          <w:tcPr>
            <w:tcW w:w="1148" w:type="dxa"/>
            <w:tcBorders>
              <w:top w:val="single" w:sz="12" w:space="0" w:color="auto"/>
            </w:tcBorders>
            <w:shd w:val="clear" w:color="auto" w:fill="auto"/>
          </w:tcPr>
          <w:p w14:paraId="4BBA35A8" w14:textId="7685D823" w:rsidR="00BD4745" w:rsidRPr="004B0800" w:rsidRDefault="00BD4745" w:rsidP="004B0800">
            <w:pPr>
              <w:spacing w:before="40" w:after="120"/>
              <w:rPr>
                <w:szCs w:val="16"/>
              </w:rPr>
            </w:pPr>
          </w:p>
        </w:tc>
        <w:tc>
          <w:tcPr>
            <w:tcW w:w="1168" w:type="dxa"/>
            <w:tcBorders>
              <w:top w:val="single" w:sz="12" w:space="0" w:color="auto"/>
            </w:tcBorders>
            <w:shd w:val="clear" w:color="auto" w:fill="auto"/>
          </w:tcPr>
          <w:p w14:paraId="41A94626" w14:textId="77777777" w:rsidR="00BD4745" w:rsidRPr="004B0800" w:rsidRDefault="00BD4745" w:rsidP="004B0800">
            <w:pPr>
              <w:spacing w:before="40" w:after="120"/>
              <w:rPr>
                <w:szCs w:val="16"/>
              </w:rPr>
            </w:pPr>
          </w:p>
        </w:tc>
      </w:tr>
      <w:tr w:rsidR="00104871" w:rsidRPr="00104871" w14:paraId="219E2568" w14:textId="77777777" w:rsidTr="00104871">
        <w:trPr>
          <w:trHeight w:val="240"/>
        </w:trPr>
        <w:tc>
          <w:tcPr>
            <w:tcW w:w="322" w:type="dxa"/>
            <w:shd w:val="clear" w:color="auto" w:fill="auto"/>
          </w:tcPr>
          <w:p w14:paraId="06A0A81A" w14:textId="12575E85" w:rsidR="00104871" w:rsidRPr="00104871" w:rsidRDefault="00104871" w:rsidP="00104871">
            <w:pPr>
              <w:spacing w:before="40" w:after="120"/>
              <w:rPr>
                <w:szCs w:val="16"/>
              </w:rPr>
            </w:pPr>
            <w:r w:rsidRPr="00C2316A">
              <w:rPr>
                <w:szCs w:val="16"/>
              </w:rPr>
              <w:t xml:space="preserve">1. </w:t>
            </w:r>
          </w:p>
        </w:tc>
        <w:tc>
          <w:tcPr>
            <w:tcW w:w="1134" w:type="dxa"/>
            <w:shd w:val="clear" w:color="auto" w:fill="auto"/>
          </w:tcPr>
          <w:p w14:paraId="5C5DA74A" w14:textId="3CD1E0AB" w:rsidR="00104871" w:rsidRPr="00104871" w:rsidRDefault="00104871" w:rsidP="00104871">
            <w:pPr>
              <w:spacing w:before="40" w:after="120"/>
              <w:rPr>
                <w:szCs w:val="16"/>
              </w:rPr>
            </w:pPr>
            <w:r w:rsidRPr="00C2316A">
              <w:rPr>
                <w:szCs w:val="16"/>
              </w:rPr>
              <w:t>Carla Suarez</w:t>
            </w:r>
          </w:p>
        </w:tc>
        <w:tc>
          <w:tcPr>
            <w:tcW w:w="896" w:type="dxa"/>
            <w:shd w:val="clear" w:color="auto" w:fill="auto"/>
          </w:tcPr>
          <w:p w14:paraId="0FE7A46B" w14:textId="5AA4DD7B" w:rsidR="00104871" w:rsidRPr="00104871" w:rsidRDefault="00104871" w:rsidP="00104871">
            <w:pPr>
              <w:spacing w:before="40" w:after="120"/>
              <w:rPr>
                <w:szCs w:val="16"/>
              </w:rPr>
            </w:pPr>
            <w:r w:rsidRPr="00C2316A">
              <w:rPr>
                <w:szCs w:val="16"/>
              </w:rPr>
              <w:t>24/03/16</w:t>
            </w:r>
          </w:p>
        </w:tc>
        <w:tc>
          <w:tcPr>
            <w:tcW w:w="1470" w:type="dxa"/>
            <w:shd w:val="clear" w:color="auto" w:fill="auto"/>
          </w:tcPr>
          <w:p w14:paraId="449B4AE1" w14:textId="01D19DF7" w:rsidR="00104871" w:rsidRPr="00104871" w:rsidRDefault="00104871" w:rsidP="00104871">
            <w:pPr>
              <w:spacing w:before="40" w:after="120"/>
              <w:rPr>
                <w:szCs w:val="16"/>
              </w:rPr>
            </w:pPr>
            <w:r w:rsidRPr="00C2316A">
              <w:rPr>
                <w:szCs w:val="16"/>
              </w:rPr>
              <w:t>Mujer Transexual torturada a orillas laguna Buena Vista</w:t>
            </w:r>
          </w:p>
        </w:tc>
        <w:tc>
          <w:tcPr>
            <w:tcW w:w="1190" w:type="dxa"/>
            <w:shd w:val="clear" w:color="auto" w:fill="auto"/>
          </w:tcPr>
          <w:p w14:paraId="61A5BDE2" w14:textId="77777777" w:rsidR="00104871" w:rsidRPr="00C2316A" w:rsidRDefault="00104871" w:rsidP="00104871">
            <w:pPr>
              <w:spacing w:before="40" w:after="120"/>
              <w:rPr>
                <w:szCs w:val="16"/>
              </w:rPr>
            </w:pPr>
            <w:r w:rsidRPr="00C2316A">
              <w:rPr>
                <w:szCs w:val="16"/>
              </w:rPr>
              <w:t>Caso 122/2016</w:t>
            </w:r>
          </w:p>
          <w:p w14:paraId="2E7266F0" w14:textId="77777777" w:rsidR="00104871" w:rsidRPr="00C2316A" w:rsidRDefault="00104871" w:rsidP="00104871">
            <w:pPr>
              <w:spacing w:before="40" w:after="120"/>
              <w:rPr>
                <w:szCs w:val="16"/>
              </w:rPr>
            </w:pPr>
            <w:proofErr w:type="spellStart"/>
            <w:r w:rsidRPr="00C2316A">
              <w:rPr>
                <w:szCs w:val="16"/>
              </w:rPr>
              <w:t>FELCC</w:t>
            </w:r>
            <w:proofErr w:type="spellEnd"/>
          </w:p>
          <w:p w14:paraId="14946173" w14:textId="75E3DBE0" w:rsidR="00104871" w:rsidRPr="00104871" w:rsidRDefault="00104871" w:rsidP="00104871">
            <w:pPr>
              <w:spacing w:before="40" w:after="120"/>
              <w:rPr>
                <w:szCs w:val="16"/>
              </w:rPr>
            </w:pPr>
            <w:r w:rsidRPr="00C2316A">
              <w:rPr>
                <w:szCs w:val="16"/>
              </w:rPr>
              <w:t>Prov. Ichilo</w:t>
            </w:r>
          </w:p>
        </w:tc>
        <w:tc>
          <w:tcPr>
            <w:tcW w:w="1007" w:type="dxa"/>
            <w:shd w:val="clear" w:color="auto" w:fill="auto"/>
          </w:tcPr>
          <w:p w14:paraId="1B6B25BD" w14:textId="417726A6" w:rsidR="00104871" w:rsidRPr="00104871" w:rsidRDefault="00104871" w:rsidP="00104871">
            <w:pPr>
              <w:spacing w:before="40" w:after="120"/>
              <w:rPr>
                <w:szCs w:val="16"/>
              </w:rPr>
            </w:pPr>
            <w:r w:rsidRPr="00C2316A">
              <w:rPr>
                <w:szCs w:val="16"/>
              </w:rPr>
              <w:t>Homicidio Art. 251</w:t>
            </w:r>
          </w:p>
        </w:tc>
        <w:tc>
          <w:tcPr>
            <w:tcW w:w="1302" w:type="dxa"/>
            <w:shd w:val="clear" w:color="auto" w:fill="auto"/>
          </w:tcPr>
          <w:p w14:paraId="78937689" w14:textId="131274F7" w:rsidR="00104871" w:rsidRPr="00104871" w:rsidRDefault="00104871" w:rsidP="00104871">
            <w:pPr>
              <w:spacing w:before="40" w:after="120"/>
              <w:rPr>
                <w:szCs w:val="16"/>
              </w:rPr>
            </w:pPr>
            <w:r w:rsidRPr="00C2316A">
              <w:rPr>
                <w:szCs w:val="16"/>
              </w:rPr>
              <w:t xml:space="preserve">Resolución de Rechazo </w:t>
            </w:r>
          </w:p>
        </w:tc>
        <w:tc>
          <w:tcPr>
            <w:tcW w:w="1148" w:type="dxa"/>
            <w:shd w:val="clear" w:color="auto" w:fill="auto"/>
          </w:tcPr>
          <w:p w14:paraId="4C374C6C" w14:textId="461DE638" w:rsidR="00104871" w:rsidRPr="00104871" w:rsidRDefault="00104871" w:rsidP="00104871">
            <w:pPr>
              <w:spacing w:before="40" w:after="120"/>
              <w:rPr>
                <w:szCs w:val="16"/>
              </w:rPr>
            </w:pPr>
            <w:r w:rsidRPr="00C2316A">
              <w:rPr>
                <w:szCs w:val="16"/>
              </w:rPr>
              <w:t xml:space="preserve">Rechazo </w:t>
            </w:r>
          </w:p>
        </w:tc>
        <w:tc>
          <w:tcPr>
            <w:tcW w:w="1168" w:type="dxa"/>
            <w:shd w:val="clear" w:color="auto" w:fill="auto"/>
          </w:tcPr>
          <w:p w14:paraId="007B9F62" w14:textId="77777777" w:rsidR="00104871" w:rsidRPr="00104871" w:rsidRDefault="00104871" w:rsidP="00104871">
            <w:pPr>
              <w:spacing w:before="40" w:after="120"/>
              <w:rPr>
                <w:szCs w:val="16"/>
              </w:rPr>
            </w:pPr>
          </w:p>
        </w:tc>
      </w:tr>
      <w:tr w:rsidR="00104871" w:rsidRPr="00104871" w14:paraId="45A04993" w14:textId="77777777" w:rsidTr="004B0800">
        <w:trPr>
          <w:trHeight w:val="240"/>
        </w:trPr>
        <w:tc>
          <w:tcPr>
            <w:tcW w:w="322" w:type="dxa"/>
            <w:shd w:val="clear" w:color="auto" w:fill="auto"/>
          </w:tcPr>
          <w:p w14:paraId="6FDB1A7A" w14:textId="77777777" w:rsidR="00104871" w:rsidRPr="004B0800" w:rsidRDefault="00104871" w:rsidP="004B0800">
            <w:pPr>
              <w:spacing w:before="40" w:after="120"/>
              <w:rPr>
                <w:szCs w:val="16"/>
              </w:rPr>
            </w:pPr>
            <w:r w:rsidRPr="004B0800">
              <w:rPr>
                <w:szCs w:val="16"/>
              </w:rPr>
              <w:t>2.</w:t>
            </w:r>
          </w:p>
        </w:tc>
        <w:tc>
          <w:tcPr>
            <w:tcW w:w="1134" w:type="dxa"/>
            <w:shd w:val="clear" w:color="auto" w:fill="auto"/>
          </w:tcPr>
          <w:p w14:paraId="4393A64B" w14:textId="77777777" w:rsidR="00104871" w:rsidRPr="004B0800" w:rsidRDefault="00104871" w:rsidP="004B0800">
            <w:pPr>
              <w:spacing w:before="40" w:after="120"/>
              <w:rPr>
                <w:szCs w:val="16"/>
              </w:rPr>
            </w:pPr>
            <w:r w:rsidRPr="004B0800">
              <w:rPr>
                <w:szCs w:val="16"/>
              </w:rPr>
              <w:t>Dayana Zarate</w:t>
            </w:r>
          </w:p>
        </w:tc>
        <w:tc>
          <w:tcPr>
            <w:tcW w:w="896" w:type="dxa"/>
            <w:shd w:val="clear" w:color="auto" w:fill="auto"/>
          </w:tcPr>
          <w:p w14:paraId="125F5B59" w14:textId="77777777" w:rsidR="00104871" w:rsidRPr="004B0800" w:rsidRDefault="00104871" w:rsidP="004B0800">
            <w:pPr>
              <w:spacing w:before="40" w:after="120"/>
              <w:rPr>
                <w:szCs w:val="16"/>
              </w:rPr>
            </w:pPr>
            <w:r w:rsidRPr="004B0800">
              <w:rPr>
                <w:szCs w:val="16"/>
              </w:rPr>
              <w:t>01/04/16</w:t>
            </w:r>
          </w:p>
        </w:tc>
        <w:tc>
          <w:tcPr>
            <w:tcW w:w="1470" w:type="dxa"/>
            <w:shd w:val="clear" w:color="auto" w:fill="auto"/>
          </w:tcPr>
          <w:p w14:paraId="6F401F79" w14:textId="77777777" w:rsidR="00104871" w:rsidRPr="004B0800" w:rsidRDefault="00104871" w:rsidP="004B0800">
            <w:pPr>
              <w:spacing w:before="40" w:after="120"/>
              <w:rPr>
                <w:szCs w:val="16"/>
              </w:rPr>
            </w:pPr>
            <w:r w:rsidRPr="004B0800">
              <w:rPr>
                <w:szCs w:val="16"/>
              </w:rPr>
              <w:t>Mujer Transexual muerta atada de manos y pies en una rockola</w:t>
            </w:r>
          </w:p>
        </w:tc>
        <w:tc>
          <w:tcPr>
            <w:tcW w:w="1190" w:type="dxa"/>
            <w:shd w:val="clear" w:color="auto" w:fill="auto"/>
          </w:tcPr>
          <w:p w14:paraId="0A04635D" w14:textId="77777777" w:rsidR="00104871" w:rsidRPr="004B0800" w:rsidRDefault="00104871" w:rsidP="004B0800">
            <w:pPr>
              <w:spacing w:before="40" w:after="120"/>
              <w:rPr>
                <w:szCs w:val="16"/>
              </w:rPr>
            </w:pPr>
            <w:proofErr w:type="spellStart"/>
            <w:r w:rsidRPr="004B0800">
              <w:rPr>
                <w:szCs w:val="16"/>
              </w:rPr>
              <w:t>FISSCZ1602422</w:t>
            </w:r>
            <w:proofErr w:type="spellEnd"/>
          </w:p>
        </w:tc>
        <w:tc>
          <w:tcPr>
            <w:tcW w:w="1007" w:type="dxa"/>
            <w:shd w:val="clear" w:color="auto" w:fill="auto"/>
          </w:tcPr>
          <w:p w14:paraId="6564AABE" w14:textId="77777777" w:rsidR="00104871" w:rsidRPr="004B0800" w:rsidRDefault="00104871" w:rsidP="004B0800">
            <w:pPr>
              <w:spacing w:before="40" w:after="120"/>
              <w:rPr>
                <w:szCs w:val="16"/>
              </w:rPr>
            </w:pPr>
            <w:r w:rsidRPr="004B0800">
              <w:rPr>
                <w:szCs w:val="16"/>
              </w:rPr>
              <w:t>Asesinato Art. 252</w:t>
            </w:r>
          </w:p>
        </w:tc>
        <w:tc>
          <w:tcPr>
            <w:tcW w:w="1302" w:type="dxa"/>
            <w:shd w:val="clear" w:color="auto" w:fill="auto"/>
          </w:tcPr>
          <w:p w14:paraId="61F7318F" w14:textId="77777777" w:rsidR="00104871" w:rsidRPr="004B0800" w:rsidRDefault="00104871" w:rsidP="004B0800">
            <w:pPr>
              <w:spacing w:before="40" w:after="120"/>
              <w:rPr>
                <w:szCs w:val="16"/>
              </w:rPr>
            </w:pPr>
            <w:r w:rsidRPr="004B0800">
              <w:rPr>
                <w:szCs w:val="16"/>
              </w:rPr>
              <w:t>Sentencia Condenatoria de 30 años sin derecho a indulto</w:t>
            </w:r>
          </w:p>
        </w:tc>
        <w:tc>
          <w:tcPr>
            <w:tcW w:w="1148" w:type="dxa"/>
            <w:shd w:val="clear" w:color="auto" w:fill="auto"/>
          </w:tcPr>
          <w:p w14:paraId="6335226C" w14:textId="77777777" w:rsidR="00104871" w:rsidRPr="004B0800" w:rsidRDefault="00104871" w:rsidP="004B0800">
            <w:pPr>
              <w:spacing w:before="40" w:after="120"/>
              <w:rPr>
                <w:szCs w:val="16"/>
              </w:rPr>
            </w:pPr>
            <w:r w:rsidRPr="004B0800">
              <w:rPr>
                <w:szCs w:val="16"/>
              </w:rPr>
              <w:t>Sentencia Ejecutoriada</w:t>
            </w:r>
          </w:p>
        </w:tc>
        <w:tc>
          <w:tcPr>
            <w:tcW w:w="1168" w:type="dxa"/>
            <w:shd w:val="clear" w:color="auto" w:fill="auto"/>
          </w:tcPr>
          <w:p w14:paraId="08768385" w14:textId="77777777" w:rsidR="00104871" w:rsidRPr="004B0800" w:rsidRDefault="00104871" w:rsidP="004B0800">
            <w:pPr>
              <w:spacing w:before="40" w:after="120"/>
              <w:rPr>
                <w:szCs w:val="16"/>
              </w:rPr>
            </w:pPr>
          </w:p>
        </w:tc>
      </w:tr>
      <w:tr w:rsidR="00104871" w:rsidRPr="00104871" w14:paraId="270578AE" w14:textId="77777777" w:rsidTr="004B0800">
        <w:trPr>
          <w:trHeight w:val="240"/>
        </w:trPr>
        <w:tc>
          <w:tcPr>
            <w:tcW w:w="322" w:type="dxa"/>
            <w:tcBorders>
              <w:bottom w:val="single" w:sz="12" w:space="0" w:color="auto"/>
            </w:tcBorders>
            <w:shd w:val="clear" w:color="auto" w:fill="auto"/>
          </w:tcPr>
          <w:p w14:paraId="31337873" w14:textId="77777777" w:rsidR="00104871" w:rsidRPr="004B0800" w:rsidRDefault="00104871" w:rsidP="004B0800">
            <w:pPr>
              <w:spacing w:before="40" w:after="120"/>
              <w:rPr>
                <w:szCs w:val="16"/>
              </w:rPr>
            </w:pPr>
            <w:r w:rsidRPr="004B0800">
              <w:rPr>
                <w:szCs w:val="16"/>
              </w:rPr>
              <w:t xml:space="preserve">3. </w:t>
            </w:r>
          </w:p>
        </w:tc>
        <w:tc>
          <w:tcPr>
            <w:tcW w:w="1134" w:type="dxa"/>
            <w:tcBorders>
              <w:bottom w:val="single" w:sz="12" w:space="0" w:color="auto"/>
            </w:tcBorders>
            <w:shd w:val="clear" w:color="auto" w:fill="auto"/>
          </w:tcPr>
          <w:p w14:paraId="1EA0AAC5" w14:textId="77777777" w:rsidR="00104871" w:rsidRPr="004B0800" w:rsidRDefault="00104871" w:rsidP="004B0800">
            <w:pPr>
              <w:spacing w:before="40" w:after="120"/>
              <w:rPr>
                <w:szCs w:val="16"/>
              </w:rPr>
            </w:pPr>
            <w:r w:rsidRPr="004B0800">
              <w:rPr>
                <w:szCs w:val="16"/>
              </w:rPr>
              <w:t>Luisa Durán</w:t>
            </w:r>
          </w:p>
        </w:tc>
        <w:tc>
          <w:tcPr>
            <w:tcW w:w="896" w:type="dxa"/>
            <w:tcBorders>
              <w:bottom w:val="single" w:sz="12" w:space="0" w:color="auto"/>
            </w:tcBorders>
            <w:shd w:val="clear" w:color="auto" w:fill="auto"/>
          </w:tcPr>
          <w:p w14:paraId="14C41CFD" w14:textId="77777777" w:rsidR="00104871" w:rsidRPr="004B0800" w:rsidRDefault="00104871" w:rsidP="004B0800">
            <w:pPr>
              <w:spacing w:before="40" w:after="120"/>
              <w:rPr>
                <w:szCs w:val="16"/>
              </w:rPr>
            </w:pPr>
            <w:r w:rsidRPr="004B0800">
              <w:rPr>
                <w:szCs w:val="16"/>
              </w:rPr>
              <w:t>06/10/12</w:t>
            </w:r>
          </w:p>
        </w:tc>
        <w:tc>
          <w:tcPr>
            <w:tcW w:w="1470" w:type="dxa"/>
            <w:tcBorders>
              <w:bottom w:val="single" w:sz="12" w:space="0" w:color="auto"/>
            </w:tcBorders>
            <w:shd w:val="clear" w:color="auto" w:fill="auto"/>
          </w:tcPr>
          <w:p w14:paraId="4298CC15" w14:textId="77777777" w:rsidR="00104871" w:rsidRPr="004B0800" w:rsidRDefault="00104871" w:rsidP="004B0800">
            <w:pPr>
              <w:spacing w:before="40" w:after="120"/>
              <w:rPr>
                <w:szCs w:val="16"/>
              </w:rPr>
            </w:pPr>
            <w:r w:rsidRPr="004B0800">
              <w:rPr>
                <w:szCs w:val="16"/>
              </w:rPr>
              <w:t>Mujer Transexual con 52 puñaladas</w:t>
            </w:r>
          </w:p>
        </w:tc>
        <w:tc>
          <w:tcPr>
            <w:tcW w:w="1190" w:type="dxa"/>
            <w:tcBorders>
              <w:bottom w:val="single" w:sz="12" w:space="0" w:color="auto"/>
            </w:tcBorders>
            <w:shd w:val="clear" w:color="auto" w:fill="auto"/>
          </w:tcPr>
          <w:p w14:paraId="7ADA27FA" w14:textId="77777777" w:rsidR="00104871" w:rsidRPr="004B0800" w:rsidRDefault="00104871" w:rsidP="004B0800">
            <w:pPr>
              <w:spacing w:before="40" w:after="120"/>
              <w:rPr>
                <w:szCs w:val="16"/>
              </w:rPr>
            </w:pPr>
            <w:proofErr w:type="spellStart"/>
            <w:r w:rsidRPr="004B0800">
              <w:rPr>
                <w:szCs w:val="16"/>
              </w:rPr>
              <w:t>SCZ</w:t>
            </w:r>
            <w:proofErr w:type="spellEnd"/>
            <w:r w:rsidRPr="004B0800">
              <w:rPr>
                <w:szCs w:val="16"/>
              </w:rPr>
              <w:t xml:space="preserve"> </w:t>
            </w:r>
            <w:proofErr w:type="spellStart"/>
            <w:r w:rsidRPr="004B0800">
              <w:rPr>
                <w:szCs w:val="16"/>
              </w:rPr>
              <w:t>TUS1200001</w:t>
            </w:r>
            <w:proofErr w:type="spellEnd"/>
          </w:p>
        </w:tc>
        <w:tc>
          <w:tcPr>
            <w:tcW w:w="1007" w:type="dxa"/>
            <w:tcBorders>
              <w:bottom w:val="single" w:sz="12" w:space="0" w:color="auto"/>
            </w:tcBorders>
            <w:shd w:val="clear" w:color="auto" w:fill="auto"/>
          </w:tcPr>
          <w:p w14:paraId="1E3CA6AC" w14:textId="77777777" w:rsidR="00104871" w:rsidRPr="004B0800" w:rsidRDefault="00104871" w:rsidP="004B0800">
            <w:pPr>
              <w:spacing w:before="40" w:after="120"/>
              <w:rPr>
                <w:szCs w:val="16"/>
              </w:rPr>
            </w:pPr>
            <w:r w:rsidRPr="004B0800">
              <w:rPr>
                <w:szCs w:val="16"/>
              </w:rPr>
              <w:t>Asesinato Art. 252</w:t>
            </w:r>
          </w:p>
        </w:tc>
        <w:tc>
          <w:tcPr>
            <w:tcW w:w="1302" w:type="dxa"/>
            <w:tcBorders>
              <w:bottom w:val="single" w:sz="12" w:space="0" w:color="auto"/>
            </w:tcBorders>
            <w:shd w:val="clear" w:color="auto" w:fill="auto"/>
          </w:tcPr>
          <w:p w14:paraId="17D2C9E9" w14:textId="77777777" w:rsidR="00104871" w:rsidRPr="004B0800" w:rsidRDefault="00104871" w:rsidP="004B0800">
            <w:pPr>
              <w:spacing w:before="40" w:after="120"/>
              <w:rPr>
                <w:szCs w:val="16"/>
              </w:rPr>
            </w:pPr>
            <w:r w:rsidRPr="004B0800">
              <w:rPr>
                <w:szCs w:val="16"/>
              </w:rPr>
              <w:t>Resolución de Rechazo</w:t>
            </w:r>
          </w:p>
        </w:tc>
        <w:tc>
          <w:tcPr>
            <w:tcW w:w="1148" w:type="dxa"/>
            <w:tcBorders>
              <w:bottom w:val="single" w:sz="12" w:space="0" w:color="auto"/>
            </w:tcBorders>
            <w:shd w:val="clear" w:color="auto" w:fill="auto"/>
          </w:tcPr>
          <w:p w14:paraId="0C98B6AE" w14:textId="77777777" w:rsidR="00104871" w:rsidRPr="004B0800" w:rsidRDefault="00104871" w:rsidP="004B0800">
            <w:pPr>
              <w:spacing w:before="40" w:after="120"/>
              <w:rPr>
                <w:szCs w:val="16"/>
              </w:rPr>
            </w:pPr>
            <w:r w:rsidRPr="004B0800">
              <w:rPr>
                <w:szCs w:val="16"/>
              </w:rPr>
              <w:t>Rechazado</w:t>
            </w:r>
          </w:p>
        </w:tc>
        <w:tc>
          <w:tcPr>
            <w:tcW w:w="1168" w:type="dxa"/>
            <w:tcBorders>
              <w:bottom w:val="single" w:sz="12" w:space="0" w:color="auto"/>
            </w:tcBorders>
            <w:shd w:val="clear" w:color="auto" w:fill="auto"/>
          </w:tcPr>
          <w:p w14:paraId="59A4EC2E" w14:textId="77777777" w:rsidR="00104871" w:rsidRPr="004B0800" w:rsidRDefault="00104871" w:rsidP="004B0800">
            <w:pPr>
              <w:spacing w:before="40" w:after="120"/>
              <w:rPr>
                <w:szCs w:val="16"/>
              </w:rPr>
            </w:pPr>
          </w:p>
        </w:tc>
      </w:tr>
    </w:tbl>
    <w:p w14:paraId="48792B19" w14:textId="7A760151" w:rsidR="00BD4745" w:rsidRPr="00C24248" w:rsidRDefault="00104871" w:rsidP="004B0800">
      <w:pPr>
        <w:pStyle w:val="H23G"/>
      </w:pPr>
      <w:r>
        <w:tab/>
      </w:r>
      <w:r w:rsidR="00BD4745" w:rsidRPr="00C24248">
        <w:t xml:space="preserve">Ciudad de El Alto </w:t>
      </w:r>
    </w:p>
    <w:tbl>
      <w:tblPr>
        <w:tblStyle w:val="TableGrid"/>
        <w:tblW w:w="963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301"/>
        <w:gridCol w:w="1074"/>
        <w:gridCol w:w="977"/>
        <w:gridCol w:w="1470"/>
        <w:gridCol w:w="1308"/>
        <w:gridCol w:w="977"/>
        <w:gridCol w:w="1233"/>
        <w:gridCol w:w="1163"/>
        <w:gridCol w:w="1134"/>
      </w:tblGrid>
      <w:tr w:rsidR="00104871" w:rsidRPr="00104871" w14:paraId="6F528D8A" w14:textId="77777777" w:rsidTr="004B0800">
        <w:trPr>
          <w:trHeight w:val="240"/>
          <w:tblHeader/>
        </w:trPr>
        <w:tc>
          <w:tcPr>
            <w:tcW w:w="301" w:type="dxa"/>
            <w:tcBorders>
              <w:top w:val="single" w:sz="4" w:space="0" w:color="auto"/>
              <w:bottom w:val="single" w:sz="12" w:space="0" w:color="auto"/>
            </w:tcBorders>
            <w:shd w:val="clear" w:color="auto" w:fill="auto"/>
            <w:vAlign w:val="bottom"/>
          </w:tcPr>
          <w:p w14:paraId="6B773585" w14:textId="04D6E28D" w:rsidR="00BD4745" w:rsidRPr="00104871" w:rsidRDefault="00BD4745" w:rsidP="004B0800">
            <w:pPr>
              <w:spacing w:before="80" w:after="80" w:line="200" w:lineRule="exact"/>
              <w:rPr>
                <w:i/>
                <w:sz w:val="16"/>
                <w:szCs w:val="16"/>
              </w:rPr>
            </w:pPr>
            <w:proofErr w:type="spellStart"/>
            <w:r w:rsidRPr="00104871">
              <w:rPr>
                <w:i/>
                <w:sz w:val="16"/>
                <w:szCs w:val="16"/>
              </w:rPr>
              <w:t>N°</w:t>
            </w:r>
            <w:proofErr w:type="spellEnd"/>
          </w:p>
        </w:tc>
        <w:tc>
          <w:tcPr>
            <w:tcW w:w="1074" w:type="dxa"/>
            <w:tcBorders>
              <w:top w:val="single" w:sz="4" w:space="0" w:color="auto"/>
              <w:bottom w:val="single" w:sz="12" w:space="0" w:color="auto"/>
            </w:tcBorders>
            <w:shd w:val="clear" w:color="auto" w:fill="auto"/>
            <w:vAlign w:val="bottom"/>
          </w:tcPr>
          <w:p w14:paraId="574D2E8B" w14:textId="0B8C59ED" w:rsidR="00BD4745" w:rsidRPr="00104871" w:rsidRDefault="00BD4745" w:rsidP="004B0800">
            <w:pPr>
              <w:spacing w:before="80" w:after="80" w:line="200" w:lineRule="exact"/>
              <w:rPr>
                <w:i/>
                <w:sz w:val="16"/>
                <w:szCs w:val="16"/>
              </w:rPr>
            </w:pPr>
            <w:r w:rsidRPr="00104871">
              <w:rPr>
                <w:i/>
                <w:sz w:val="16"/>
                <w:szCs w:val="16"/>
              </w:rPr>
              <w:t xml:space="preserve">Víctima </w:t>
            </w:r>
          </w:p>
        </w:tc>
        <w:tc>
          <w:tcPr>
            <w:tcW w:w="977" w:type="dxa"/>
            <w:tcBorders>
              <w:top w:val="single" w:sz="4" w:space="0" w:color="auto"/>
              <w:bottom w:val="single" w:sz="12" w:space="0" w:color="auto"/>
            </w:tcBorders>
            <w:shd w:val="clear" w:color="auto" w:fill="auto"/>
            <w:vAlign w:val="bottom"/>
          </w:tcPr>
          <w:p w14:paraId="46FF74D2" w14:textId="3BB19E50" w:rsidR="00BD4745" w:rsidRPr="00104871" w:rsidRDefault="00BD4745" w:rsidP="004B0800">
            <w:pPr>
              <w:spacing w:before="80" w:after="80" w:line="200" w:lineRule="exact"/>
              <w:rPr>
                <w:i/>
                <w:sz w:val="16"/>
                <w:szCs w:val="16"/>
              </w:rPr>
            </w:pPr>
            <w:r w:rsidRPr="00104871">
              <w:rPr>
                <w:i/>
                <w:sz w:val="16"/>
                <w:szCs w:val="16"/>
              </w:rPr>
              <w:t xml:space="preserve">Fecha </w:t>
            </w:r>
          </w:p>
        </w:tc>
        <w:tc>
          <w:tcPr>
            <w:tcW w:w="1470" w:type="dxa"/>
            <w:tcBorders>
              <w:top w:val="single" w:sz="4" w:space="0" w:color="auto"/>
              <w:bottom w:val="single" w:sz="12" w:space="0" w:color="auto"/>
            </w:tcBorders>
            <w:shd w:val="clear" w:color="auto" w:fill="auto"/>
            <w:vAlign w:val="bottom"/>
          </w:tcPr>
          <w:p w14:paraId="51316C76" w14:textId="058CF629" w:rsidR="00BD4745" w:rsidRPr="00104871" w:rsidRDefault="00BD4745" w:rsidP="004B0800">
            <w:pPr>
              <w:spacing w:before="80" w:after="80" w:line="200" w:lineRule="exact"/>
              <w:rPr>
                <w:i/>
                <w:sz w:val="16"/>
                <w:szCs w:val="16"/>
              </w:rPr>
            </w:pPr>
            <w:r w:rsidRPr="00104871">
              <w:rPr>
                <w:i/>
                <w:sz w:val="16"/>
                <w:szCs w:val="16"/>
              </w:rPr>
              <w:t>Relación del hecho</w:t>
            </w:r>
          </w:p>
        </w:tc>
        <w:tc>
          <w:tcPr>
            <w:tcW w:w="1308" w:type="dxa"/>
            <w:tcBorders>
              <w:top w:val="single" w:sz="4" w:space="0" w:color="auto"/>
              <w:bottom w:val="single" w:sz="12" w:space="0" w:color="auto"/>
            </w:tcBorders>
            <w:shd w:val="clear" w:color="auto" w:fill="auto"/>
            <w:vAlign w:val="bottom"/>
          </w:tcPr>
          <w:p w14:paraId="701AD257" w14:textId="370C0CA1" w:rsidR="00BD4745" w:rsidRPr="00104871" w:rsidRDefault="00BD4745" w:rsidP="004B0800">
            <w:pPr>
              <w:spacing w:before="80" w:after="80" w:line="200" w:lineRule="exact"/>
              <w:rPr>
                <w:i/>
                <w:sz w:val="16"/>
                <w:szCs w:val="16"/>
              </w:rPr>
            </w:pPr>
            <w:proofErr w:type="spellStart"/>
            <w:r w:rsidRPr="00104871">
              <w:rPr>
                <w:i/>
                <w:sz w:val="16"/>
                <w:szCs w:val="16"/>
              </w:rPr>
              <w:t>N°</w:t>
            </w:r>
            <w:proofErr w:type="spellEnd"/>
            <w:r w:rsidRPr="00104871">
              <w:rPr>
                <w:i/>
                <w:sz w:val="16"/>
                <w:szCs w:val="16"/>
              </w:rPr>
              <w:t xml:space="preserve"> de caso</w:t>
            </w:r>
          </w:p>
        </w:tc>
        <w:tc>
          <w:tcPr>
            <w:tcW w:w="977" w:type="dxa"/>
            <w:tcBorders>
              <w:top w:val="single" w:sz="4" w:space="0" w:color="auto"/>
              <w:bottom w:val="single" w:sz="12" w:space="0" w:color="auto"/>
            </w:tcBorders>
            <w:shd w:val="clear" w:color="auto" w:fill="auto"/>
            <w:vAlign w:val="bottom"/>
          </w:tcPr>
          <w:p w14:paraId="50044DE3" w14:textId="04ADF4EF" w:rsidR="00BD4745" w:rsidRPr="00104871" w:rsidRDefault="00BD4745" w:rsidP="004B0800">
            <w:pPr>
              <w:spacing w:before="80" w:after="80" w:line="200" w:lineRule="exact"/>
              <w:rPr>
                <w:i/>
                <w:sz w:val="16"/>
                <w:szCs w:val="16"/>
              </w:rPr>
            </w:pPr>
            <w:r w:rsidRPr="00104871">
              <w:rPr>
                <w:i/>
                <w:sz w:val="16"/>
                <w:szCs w:val="16"/>
              </w:rPr>
              <w:t>Delito</w:t>
            </w:r>
          </w:p>
        </w:tc>
        <w:tc>
          <w:tcPr>
            <w:tcW w:w="1233" w:type="dxa"/>
            <w:tcBorders>
              <w:top w:val="single" w:sz="4" w:space="0" w:color="auto"/>
              <w:bottom w:val="single" w:sz="12" w:space="0" w:color="auto"/>
            </w:tcBorders>
            <w:shd w:val="clear" w:color="auto" w:fill="auto"/>
            <w:vAlign w:val="bottom"/>
          </w:tcPr>
          <w:p w14:paraId="502CE816" w14:textId="5661D420" w:rsidR="00BD4745" w:rsidRPr="00104871" w:rsidRDefault="00BD4745" w:rsidP="004B0800">
            <w:pPr>
              <w:spacing w:before="80" w:after="80" w:line="200" w:lineRule="exact"/>
              <w:rPr>
                <w:i/>
                <w:sz w:val="16"/>
                <w:szCs w:val="16"/>
              </w:rPr>
            </w:pPr>
            <w:r w:rsidRPr="00104871">
              <w:rPr>
                <w:i/>
                <w:sz w:val="16"/>
                <w:szCs w:val="16"/>
              </w:rPr>
              <w:t>Etapa</w:t>
            </w:r>
          </w:p>
        </w:tc>
        <w:tc>
          <w:tcPr>
            <w:tcW w:w="1163" w:type="dxa"/>
            <w:tcBorders>
              <w:top w:val="single" w:sz="4" w:space="0" w:color="auto"/>
              <w:bottom w:val="single" w:sz="12" w:space="0" w:color="auto"/>
            </w:tcBorders>
            <w:shd w:val="clear" w:color="auto" w:fill="auto"/>
            <w:vAlign w:val="bottom"/>
          </w:tcPr>
          <w:p w14:paraId="65D08009" w14:textId="47E8C570" w:rsidR="00BD4745" w:rsidRPr="00104871" w:rsidRDefault="00BD4745" w:rsidP="004B0800">
            <w:pPr>
              <w:spacing w:before="80" w:after="80" w:line="200" w:lineRule="exact"/>
              <w:rPr>
                <w:i/>
                <w:sz w:val="16"/>
                <w:szCs w:val="16"/>
              </w:rPr>
            </w:pPr>
            <w:r w:rsidRPr="00104871">
              <w:rPr>
                <w:i/>
                <w:sz w:val="16"/>
                <w:szCs w:val="16"/>
              </w:rPr>
              <w:t>Estado</w:t>
            </w:r>
          </w:p>
        </w:tc>
        <w:tc>
          <w:tcPr>
            <w:tcW w:w="1134" w:type="dxa"/>
            <w:tcBorders>
              <w:top w:val="single" w:sz="4" w:space="0" w:color="auto"/>
              <w:bottom w:val="single" w:sz="12" w:space="0" w:color="auto"/>
            </w:tcBorders>
            <w:shd w:val="clear" w:color="auto" w:fill="auto"/>
            <w:vAlign w:val="bottom"/>
          </w:tcPr>
          <w:p w14:paraId="0ACCD6A1" w14:textId="22F14411" w:rsidR="00BD4745" w:rsidRPr="00104871" w:rsidRDefault="00BD4745" w:rsidP="004B0800">
            <w:pPr>
              <w:spacing w:before="80" w:after="80" w:line="200" w:lineRule="exact"/>
              <w:rPr>
                <w:i/>
                <w:sz w:val="16"/>
                <w:szCs w:val="16"/>
              </w:rPr>
            </w:pPr>
            <w:r w:rsidRPr="00104871">
              <w:rPr>
                <w:i/>
                <w:sz w:val="16"/>
                <w:szCs w:val="16"/>
              </w:rPr>
              <w:t>Observaciones</w:t>
            </w:r>
          </w:p>
        </w:tc>
      </w:tr>
      <w:tr w:rsidR="00104871" w:rsidRPr="00104871" w14:paraId="0DCDB43C" w14:textId="77777777" w:rsidTr="004B0800">
        <w:trPr>
          <w:trHeight w:hRule="exact" w:val="113"/>
        </w:trPr>
        <w:tc>
          <w:tcPr>
            <w:tcW w:w="301" w:type="dxa"/>
            <w:tcBorders>
              <w:top w:val="single" w:sz="12" w:space="0" w:color="auto"/>
            </w:tcBorders>
            <w:shd w:val="clear" w:color="auto" w:fill="auto"/>
          </w:tcPr>
          <w:p w14:paraId="4D0CEA08" w14:textId="07C1AD2E" w:rsidR="00BD4745" w:rsidRPr="004B0800" w:rsidRDefault="00BD4745" w:rsidP="004B0800">
            <w:pPr>
              <w:spacing w:before="40" w:after="120"/>
              <w:rPr>
                <w:szCs w:val="16"/>
              </w:rPr>
            </w:pPr>
          </w:p>
        </w:tc>
        <w:tc>
          <w:tcPr>
            <w:tcW w:w="1074" w:type="dxa"/>
            <w:tcBorders>
              <w:top w:val="single" w:sz="12" w:space="0" w:color="auto"/>
            </w:tcBorders>
            <w:shd w:val="clear" w:color="auto" w:fill="auto"/>
          </w:tcPr>
          <w:p w14:paraId="037B1B56" w14:textId="2C1D77EF" w:rsidR="00BD4745" w:rsidRPr="004B0800" w:rsidRDefault="00BD4745" w:rsidP="004B0800">
            <w:pPr>
              <w:spacing w:before="40" w:after="120"/>
              <w:rPr>
                <w:szCs w:val="16"/>
              </w:rPr>
            </w:pPr>
          </w:p>
        </w:tc>
        <w:tc>
          <w:tcPr>
            <w:tcW w:w="977" w:type="dxa"/>
            <w:tcBorders>
              <w:top w:val="single" w:sz="12" w:space="0" w:color="auto"/>
            </w:tcBorders>
            <w:shd w:val="clear" w:color="auto" w:fill="auto"/>
          </w:tcPr>
          <w:p w14:paraId="24D47155" w14:textId="018EC479" w:rsidR="00BD4745" w:rsidRPr="004B0800" w:rsidRDefault="00BD4745" w:rsidP="004B0800">
            <w:pPr>
              <w:spacing w:before="40" w:after="120"/>
              <w:rPr>
                <w:szCs w:val="16"/>
              </w:rPr>
            </w:pPr>
          </w:p>
        </w:tc>
        <w:tc>
          <w:tcPr>
            <w:tcW w:w="1470" w:type="dxa"/>
            <w:tcBorders>
              <w:top w:val="single" w:sz="12" w:space="0" w:color="auto"/>
            </w:tcBorders>
            <w:shd w:val="clear" w:color="auto" w:fill="auto"/>
          </w:tcPr>
          <w:p w14:paraId="050CA179" w14:textId="669223C9" w:rsidR="00BD4745" w:rsidRPr="004B0800" w:rsidRDefault="00BD4745" w:rsidP="004B0800">
            <w:pPr>
              <w:spacing w:before="40" w:after="120"/>
              <w:rPr>
                <w:szCs w:val="16"/>
              </w:rPr>
            </w:pPr>
          </w:p>
        </w:tc>
        <w:tc>
          <w:tcPr>
            <w:tcW w:w="1308" w:type="dxa"/>
            <w:tcBorders>
              <w:top w:val="single" w:sz="12" w:space="0" w:color="auto"/>
            </w:tcBorders>
            <w:shd w:val="clear" w:color="auto" w:fill="auto"/>
          </w:tcPr>
          <w:p w14:paraId="509B5F65" w14:textId="0F73C990" w:rsidR="00BD4745" w:rsidRPr="004B0800" w:rsidRDefault="00BD4745" w:rsidP="004B0800">
            <w:pPr>
              <w:spacing w:before="40" w:after="120"/>
              <w:rPr>
                <w:szCs w:val="16"/>
              </w:rPr>
            </w:pPr>
          </w:p>
        </w:tc>
        <w:tc>
          <w:tcPr>
            <w:tcW w:w="977" w:type="dxa"/>
            <w:tcBorders>
              <w:top w:val="single" w:sz="12" w:space="0" w:color="auto"/>
            </w:tcBorders>
            <w:shd w:val="clear" w:color="auto" w:fill="auto"/>
          </w:tcPr>
          <w:p w14:paraId="73A7879F" w14:textId="6808503C" w:rsidR="00BD4745" w:rsidRPr="004B0800" w:rsidRDefault="00BD4745" w:rsidP="004B0800">
            <w:pPr>
              <w:spacing w:before="40" w:after="120"/>
              <w:rPr>
                <w:szCs w:val="16"/>
              </w:rPr>
            </w:pPr>
          </w:p>
        </w:tc>
        <w:tc>
          <w:tcPr>
            <w:tcW w:w="1233" w:type="dxa"/>
            <w:tcBorders>
              <w:top w:val="single" w:sz="12" w:space="0" w:color="auto"/>
            </w:tcBorders>
            <w:shd w:val="clear" w:color="auto" w:fill="auto"/>
          </w:tcPr>
          <w:p w14:paraId="7D0AC81C" w14:textId="21FAED1C" w:rsidR="00BD4745" w:rsidRPr="004B0800" w:rsidRDefault="00BD4745" w:rsidP="004B0800">
            <w:pPr>
              <w:spacing w:before="40" w:after="120"/>
              <w:rPr>
                <w:szCs w:val="16"/>
              </w:rPr>
            </w:pPr>
          </w:p>
        </w:tc>
        <w:tc>
          <w:tcPr>
            <w:tcW w:w="1163" w:type="dxa"/>
            <w:tcBorders>
              <w:top w:val="single" w:sz="12" w:space="0" w:color="auto"/>
            </w:tcBorders>
            <w:shd w:val="clear" w:color="auto" w:fill="auto"/>
          </w:tcPr>
          <w:p w14:paraId="21ABC300" w14:textId="32670072" w:rsidR="00BD4745" w:rsidRPr="004B0800" w:rsidRDefault="00BD4745" w:rsidP="004B0800">
            <w:pPr>
              <w:spacing w:before="40" w:after="120"/>
              <w:rPr>
                <w:szCs w:val="16"/>
              </w:rPr>
            </w:pPr>
          </w:p>
        </w:tc>
        <w:tc>
          <w:tcPr>
            <w:tcW w:w="1134" w:type="dxa"/>
            <w:tcBorders>
              <w:top w:val="single" w:sz="12" w:space="0" w:color="auto"/>
            </w:tcBorders>
            <w:shd w:val="clear" w:color="auto" w:fill="auto"/>
          </w:tcPr>
          <w:p w14:paraId="55648EF8" w14:textId="77777777" w:rsidR="00BD4745" w:rsidRPr="004B0800" w:rsidRDefault="00BD4745" w:rsidP="004B0800">
            <w:pPr>
              <w:spacing w:before="40" w:after="120"/>
              <w:rPr>
                <w:szCs w:val="16"/>
              </w:rPr>
            </w:pPr>
          </w:p>
        </w:tc>
      </w:tr>
      <w:tr w:rsidR="00104871" w:rsidRPr="00104871" w14:paraId="40E2698D" w14:textId="77777777" w:rsidTr="00104871">
        <w:trPr>
          <w:trHeight w:val="240"/>
        </w:trPr>
        <w:tc>
          <w:tcPr>
            <w:tcW w:w="301" w:type="dxa"/>
            <w:tcBorders>
              <w:bottom w:val="single" w:sz="12" w:space="0" w:color="auto"/>
            </w:tcBorders>
            <w:shd w:val="clear" w:color="auto" w:fill="auto"/>
          </w:tcPr>
          <w:p w14:paraId="02E9B57C" w14:textId="1C5128C3" w:rsidR="00104871" w:rsidRPr="00104871" w:rsidRDefault="00104871" w:rsidP="00104871">
            <w:pPr>
              <w:spacing w:before="40" w:after="120"/>
              <w:rPr>
                <w:szCs w:val="16"/>
              </w:rPr>
            </w:pPr>
            <w:r w:rsidRPr="004622A4">
              <w:rPr>
                <w:szCs w:val="16"/>
              </w:rPr>
              <w:t xml:space="preserve">1. </w:t>
            </w:r>
          </w:p>
        </w:tc>
        <w:tc>
          <w:tcPr>
            <w:tcW w:w="1074" w:type="dxa"/>
            <w:tcBorders>
              <w:bottom w:val="single" w:sz="12" w:space="0" w:color="auto"/>
            </w:tcBorders>
            <w:shd w:val="clear" w:color="auto" w:fill="auto"/>
          </w:tcPr>
          <w:p w14:paraId="5AE40AF2" w14:textId="7095828D" w:rsidR="00104871" w:rsidRPr="00104871" w:rsidRDefault="00104871" w:rsidP="00104871">
            <w:pPr>
              <w:spacing w:before="40" w:after="120"/>
              <w:rPr>
                <w:szCs w:val="16"/>
              </w:rPr>
            </w:pPr>
            <w:r w:rsidRPr="004622A4">
              <w:rPr>
                <w:szCs w:val="16"/>
              </w:rPr>
              <w:t>Litzy Hurtado</w:t>
            </w:r>
          </w:p>
        </w:tc>
        <w:tc>
          <w:tcPr>
            <w:tcW w:w="977" w:type="dxa"/>
            <w:tcBorders>
              <w:bottom w:val="single" w:sz="12" w:space="0" w:color="auto"/>
            </w:tcBorders>
            <w:shd w:val="clear" w:color="auto" w:fill="auto"/>
          </w:tcPr>
          <w:p w14:paraId="7984C8E5" w14:textId="32BE4087" w:rsidR="00104871" w:rsidRPr="00104871" w:rsidRDefault="00104871" w:rsidP="00104871">
            <w:pPr>
              <w:spacing w:before="40" w:after="120"/>
              <w:rPr>
                <w:szCs w:val="16"/>
              </w:rPr>
            </w:pPr>
            <w:r w:rsidRPr="004622A4">
              <w:rPr>
                <w:szCs w:val="16"/>
              </w:rPr>
              <w:t>23/12/18</w:t>
            </w:r>
          </w:p>
        </w:tc>
        <w:tc>
          <w:tcPr>
            <w:tcW w:w="1470" w:type="dxa"/>
            <w:tcBorders>
              <w:bottom w:val="single" w:sz="12" w:space="0" w:color="auto"/>
            </w:tcBorders>
            <w:shd w:val="clear" w:color="auto" w:fill="auto"/>
          </w:tcPr>
          <w:p w14:paraId="761BE802" w14:textId="47BE44B3" w:rsidR="00104871" w:rsidRPr="00104871" w:rsidRDefault="00104871" w:rsidP="00104871">
            <w:pPr>
              <w:spacing w:before="40" w:after="120"/>
              <w:rPr>
                <w:szCs w:val="16"/>
              </w:rPr>
            </w:pPr>
            <w:r w:rsidRPr="004622A4">
              <w:rPr>
                <w:szCs w:val="16"/>
              </w:rPr>
              <w:t>Mujer Transexual sufrió ataques y herida en el pecho con destornillador</w:t>
            </w:r>
          </w:p>
        </w:tc>
        <w:tc>
          <w:tcPr>
            <w:tcW w:w="1308" w:type="dxa"/>
            <w:tcBorders>
              <w:bottom w:val="single" w:sz="12" w:space="0" w:color="auto"/>
            </w:tcBorders>
            <w:shd w:val="clear" w:color="auto" w:fill="auto"/>
          </w:tcPr>
          <w:p w14:paraId="27A08772" w14:textId="695E4FB5" w:rsidR="00104871" w:rsidRPr="00104871" w:rsidRDefault="00104871" w:rsidP="00104871">
            <w:pPr>
              <w:spacing w:before="40" w:after="120"/>
              <w:rPr>
                <w:szCs w:val="16"/>
              </w:rPr>
            </w:pPr>
            <w:proofErr w:type="spellStart"/>
            <w:r w:rsidRPr="004622A4">
              <w:rPr>
                <w:szCs w:val="16"/>
              </w:rPr>
              <w:t>EAL1811787</w:t>
            </w:r>
            <w:proofErr w:type="spellEnd"/>
          </w:p>
        </w:tc>
        <w:tc>
          <w:tcPr>
            <w:tcW w:w="977" w:type="dxa"/>
            <w:tcBorders>
              <w:bottom w:val="single" w:sz="12" w:space="0" w:color="auto"/>
            </w:tcBorders>
            <w:shd w:val="clear" w:color="auto" w:fill="auto"/>
          </w:tcPr>
          <w:p w14:paraId="5478D77C" w14:textId="6224B3EF" w:rsidR="00104871" w:rsidRPr="00104871" w:rsidRDefault="00104871" w:rsidP="00104871">
            <w:pPr>
              <w:spacing w:before="40" w:after="120"/>
              <w:rPr>
                <w:szCs w:val="16"/>
              </w:rPr>
            </w:pPr>
            <w:r w:rsidRPr="004622A4">
              <w:rPr>
                <w:szCs w:val="16"/>
              </w:rPr>
              <w:t>Homicidio Art. 251</w:t>
            </w:r>
          </w:p>
        </w:tc>
        <w:tc>
          <w:tcPr>
            <w:tcW w:w="1233" w:type="dxa"/>
            <w:tcBorders>
              <w:bottom w:val="single" w:sz="12" w:space="0" w:color="auto"/>
            </w:tcBorders>
            <w:shd w:val="clear" w:color="auto" w:fill="auto"/>
          </w:tcPr>
          <w:p w14:paraId="3AEF9D4B" w14:textId="3517C838" w:rsidR="00104871" w:rsidRPr="00104871" w:rsidRDefault="00104871" w:rsidP="00104871">
            <w:pPr>
              <w:spacing w:before="40" w:after="120"/>
              <w:rPr>
                <w:szCs w:val="16"/>
              </w:rPr>
            </w:pPr>
            <w:r w:rsidRPr="004622A4">
              <w:rPr>
                <w:szCs w:val="16"/>
              </w:rPr>
              <w:t>Con acusación formal</w:t>
            </w:r>
          </w:p>
        </w:tc>
        <w:tc>
          <w:tcPr>
            <w:tcW w:w="1163" w:type="dxa"/>
            <w:tcBorders>
              <w:bottom w:val="single" w:sz="12" w:space="0" w:color="auto"/>
            </w:tcBorders>
            <w:shd w:val="clear" w:color="auto" w:fill="auto"/>
          </w:tcPr>
          <w:p w14:paraId="157219A5" w14:textId="6C68D180" w:rsidR="00104871" w:rsidRPr="00104871" w:rsidRDefault="00104871" w:rsidP="00104871">
            <w:pPr>
              <w:spacing w:before="40" w:after="120"/>
              <w:rPr>
                <w:szCs w:val="16"/>
              </w:rPr>
            </w:pPr>
            <w:r w:rsidRPr="004622A4">
              <w:rPr>
                <w:szCs w:val="16"/>
              </w:rPr>
              <w:t>Juicio Oral</w:t>
            </w:r>
          </w:p>
        </w:tc>
        <w:tc>
          <w:tcPr>
            <w:tcW w:w="1134" w:type="dxa"/>
            <w:tcBorders>
              <w:bottom w:val="single" w:sz="12" w:space="0" w:color="auto"/>
            </w:tcBorders>
            <w:shd w:val="clear" w:color="auto" w:fill="auto"/>
          </w:tcPr>
          <w:p w14:paraId="554E88C9" w14:textId="77777777" w:rsidR="00104871" w:rsidRPr="00104871" w:rsidRDefault="00104871" w:rsidP="00104871">
            <w:pPr>
              <w:spacing w:before="40" w:after="120"/>
              <w:rPr>
                <w:szCs w:val="16"/>
              </w:rPr>
            </w:pPr>
          </w:p>
        </w:tc>
      </w:tr>
      <w:tr w:rsidR="00104871" w:rsidRPr="00104871" w14:paraId="2D645419" w14:textId="77777777" w:rsidTr="00104871">
        <w:trPr>
          <w:trHeight w:val="240"/>
        </w:trPr>
        <w:tc>
          <w:tcPr>
            <w:tcW w:w="301" w:type="dxa"/>
            <w:tcBorders>
              <w:bottom w:val="single" w:sz="12" w:space="0" w:color="auto"/>
            </w:tcBorders>
            <w:shd w:val="clear" w:color="auto" w:fill="auto"/>
          </w:tcPr>
          <w:p w14:paraId="27882A1B" w14:textId="77777777" w:rsidR="00104871" w:rsidRPr="004B0800" w:rsidRDefault="00104871" w:rsidP="004B0800">
            <w:pPr>
              <w:spacing w:before="40" w:after="120"/>
              <w:rPr>
                <w:szCs w:val="16"/>
              </w:rPr>
            </w:pPr>
            <w:r w:rsidRPr="004B0800">
              <w:rPr>
                <w:szCs w:val="16"/>
              </w:rPr>
              <w:lastRenderedPageBreak/>
              <w:t>2.</w:t>
            </w:r>
          </w:p>
        </w:tc>
        <w:tc>
          <w:tcPr>
            <w:tcW w:w="1074" w:type="dxa"/>
            <w:tcBorders>
              <w:bottom w:val="single" w:sz="12" w:space="0" w:color="auto"/>
            </w:tcBorders>
            <w:shd w:val="clear" w:color="auto" w:fill="auto"/>
          </w:tcPr>
          <w:p w14:paraId="2DC40C26" w14:textId="77777777" w:rsidR="00104871" w:rsidRPr="004B0800" w:rsidRDefault="00104871" w:rsidP="004B0800">
            <w:pPr>
              <w:spacing w:before="40" w:after="120"/>
              <w:rPr>
                <w:szCs w:val="16"/>
              </w:rPr>
            </w:pPr>
            <w:r w:rsidRPr="004B0800">
              <w:rPr>
                <w:szCs w:val="16"/>
              </w:rPr>
              <w:t>Gabriela Ramírez</w:t>
            </w:r>
          </w:p>
        </w:tc>
        <w:tc>
          <w:tcPr>
            <w:tcW w:w="977" w:type="dxa"/>
            <w:tcBorders>
              <w:bottom w:val="single" w:sz="12" w:space="0" w:color="auto"/>
            </w:tcBorders>
            <w:shd w:val="clear" w:color="auto" w:fill="auto"/>
          </w:tcPr>
          <w:p w14:paraId="5512EC70" w14:textId="77777777" w:rsidR="00104871" w:rsidRPr="004B0800" w:rsidRDefault="00104871" w:rsidP="004B0800">
            <w:pPr>
              <w:spacing w:before="40" w:after="120"/>
              <w:rPr>
                <w:szCs w:val="16"/>
              </w:rPr>
            </w:pPr>
            <w:r w:rsidRPr="004B0800">
              <w:rPr>
                <w:szCs w:val="16"/>
              </w:rPr>
              <w:t>22/10/20</w:t>
            </w:r>
          </w:p>
        </w:tc>
        <w:tc>
          <w:tcPr>
            <w:tcW w:w="1470" w:type="dxa"/>
            <w:tcBorders>
              <w:bottom w:val="single" w:sz="12" w:space="0" w:color="auto"/>
            </w:tcBorders>
            <w:shd w:val="clear" w:color="auto" w:fill="auto"/>
          </w:tcPr>
          <w:p w14:paraId="52056E56" w14:textId="77777777" w:rsidR="00104871" w:rsidRPr="004B0800" w:rsidRDefault="00104871" w:rsidP="004B0800">
            <w:pPr>
              <w:spacing w:before="40" w:after="120"/>
              <w:rPr>
                <w:szCs w:val="16"/>
              </w:rPr>
            </w:pPr>
            <w:r w:rsidRPr="004B0800">
              <w:rPr>
                <w:szCs w:val="16"/>
              </w:rPr>
              <w:t>Mujer Transexual con 18 puñaladas en hostal de Villa Adela El Alto</w:t>
            </w:r>
          </w:p>
        </w:tc>
        <w:tc>
          <w:tcPr>
            <w:tcW w:w="1308" w:type="dxa"/>
            <w:tcBorders>
              <w:bottom w:val="single" w:sz="12" w:space="0" w:color="auto"/>
            </w:tcBorders>
            <w:shd w:val="clear" w:color="auto" w:fill="auto"/>
          </w:tcPr>
          <w:p w14:paraId="3566B76E" w14:textId="77777777" w:rsidR="00104871" w:rsidRPr="004B0800" w:rsidRDefault="00104871" w:rsidP="004B0800">
            <w:pPr>
              <w:spacing w:before="40" w:after="120"/>
              <w:rPr>
                <w:szCs w:val="16"/>
              </w:rPr>
            </w:pPr>
            <w:r w:rsidRPr="004B0800">
              <w:rPr>
                <w:szCs w:val="16"/>
              </w:rPr>
              <w:t>201502022004212</w:t>
            </w:r>
          </w:p>
        </w:tc>
        <w:tc>
          <w:tcPr>
            <w:tcW w:w="977" w:type="dxa"/>
            <w:tcBorders>
              <w:bottom w:val="single" w:sz="12" w:space="0" w:color="auto"/>
            </w:tcBorders>
            <w:shd w:val="clear" w:color="auto" w:fill="auto"/>
          </w:tcPr>
          <w:p w14:paraId="4097B6CD" w14:textId="77777777" w:rsidR="00104871" w:rsidRPr="004B0800" w:rsidRDefault="00104871" w:rsidP="004B0800">
            <w:pPr>
              <w:spacing w:before="40" w:after="120"/>
              <w:rPr>
                <w:szCs w:val="16"/>
              </w:rPr>
            </w:pPr>
            <w:r w:rsidRPr="004B0800">
              <w:rPr>
                <w:szCs w:val="16"/>
              </w:rPr>
              <w:t>Asesinato Art. 252</w:t>
            </w:r>
          </w:p>
        </w:tc>
        <w:tc>
          <w:tcPr>
            <w:tcW w:w="1233" w:type="dxa"/>
            <w:tcBorders>
              <w:bottom w:val="single" w:sz="12" w:space="0" w:color="auto"/>
            </w:tcBorders>
            <w:shd w:val="clear" w:color="auto" w:fill="auto"/>
          </w:tcPr>
          <w:p w14:paraId="174CA706" w14:textId="77777777" w:rsidR="00104871" w:rsidRPr="004B0800" w:rsidRDefault="00104871" w:rsidP="004B0800">
            <w:pPr>
              <w:spacing w:before="40" w:after="120"/>
              <w:rPr>
                <w:szCs w:val="16"/>
              </w:rPr>
            </w:pPr>
            <w:r w:rsidRPr="004B0800">
              <w:rPr>
                <w:szCs w:val="16"/>
              </w:rPr>
              <w:t>Con imputación formal</w:t>
            </w:r>
          </w:p>
        </w:tc>
        <w:tc>
          <w:tcPr>
            <w:tcW w:w="1163" w:type="dxa"/>
            <w:tcBorders>
              <w:bottom w:val="single" w:sz="12" w:space="0" w:color="auto"/>
            </w:tcBorders>
            <w:shd w:val="clear" w:color="auto" w:fill="auto"/>
          </w:tcPr>
          <w:p w14:paraId="72B04EC5" w14:textId="77777777" w:rsidR="00104871" w:rsidRPr="004B0800" w:rsidRDefault="00104871" w:rsidP="004B0800">
            <w:pPr>
              <w:spacing w:before="40" w:after="120"/>
              <w:rPr>
                <w:szCs w:val="16"/>
              </w:rPr>
            </w:pPr>
            <w:r w:rsidRPr="004B0800">
              <w:rPr>
                <w:szCs w:val="16"/>
              </w:rPr>
              <w:t>Preparatoria</w:t>
            </w:r>
          </w:p>
        </w:tc>
        <w:tc>
          <w:tcPr>
            <w:tcW w:w="1134" w:type="dxa"/>
            <w:tcBorders>
              <w:bottom w:val="single" w:sz="12" w:space="0" w:color="auto"/>
            </w:tcBorders>
            <w:shd w:val="clear" w:color="auto" w:fill="auto"/>
          </w:tcPr>
          <w:p w14:paraId="70CAC13E" w14:textId="77777777" w:rsidR="00104871" w:rsidRPr="004B0800" w:rsidRDefault="00104871" w:rsidP="004B0800">
            <w:pPr>
              <w:spacing w:before="40" w:after="120"/>
              <w:rPr>
                <w:szCs w:val="16"/>
              </w:rPr>
            </w:pPr>
          </w:p>
        </w:tc>
      </w:tr>
    </w:tbl>
    <w:p w14:paraId="43F6D06E" w14:textId="43C1ADD1" w:rsidR="00BD4745" w:rsidRPr="002014CD" w:rsidRDefault="00397866">
      <w:pPr>
        <w:pStyle w:val="H1G"/>
        <w:rPr>
          <w:rFonts w:eastAsia="Calibri"/>
          <w:lang w:val="es-SV" w:eastAsia="es-BO"/>
        </w:rPr>
      </w:pPr>
      <w:r>
        <w:rPr>
          <w:rFonts w:eastAsia="Calibri"/>
          <w:lang w:val="es-SV" w:eastAsia="es-BO"/>
        </w:rPr>
        <w:tab/>
      </w:r>
      <w:r>
        <w:rPr>
          <w:rFonts w:eastAsia="Calibri"/>
          <w:lang w:val="es-SV" w:eastAsia="es-BO"/>
        </w:rPr>
        <w:tab/>
      </w:r>
      <w:r w:rsidR="00BD4745" w:rsidRPr="002014CD">
        <w:rPr>
          <w:rFonts w:eastAsia="Calibri"/>
          <w:lang w:val="es-SV" w:eastAsia="es-BO"/>
        </w:rPr>
        <w:t>Igualdad entre el hombre y la mujer (arts. 2, 3, 25 y 26)</w:t>
      </w:r>
    </w:p>
    <w:p w14:paraId="6EA6E6FF" w14:textId="249990B8" w:rsidR="00BD4745" w:rsidRPr="002014CD" w:rsidRDefault="00397866">
      <w:pPr>
        <w:pStyle w:val="H23G"/>
      </w:pPr>
      <w:r>
        <w:tab/>
      </w:r>
      <w:r w:rsidR="00BD4745" w:rsidRPr="002014CD">
        <w:t xml:space="preserve">6. </w:t>
      </w:r>
      <w:r>
        <w:tab/>
      </w:r>
      <w:r w:rsidR="001A1E5D" w:rsidRPr="00ED0B85">
        <w:t xml:space="preserve">Respuesta al </w:t>
      </w:r>
      <w:r w:rsidR="001A1E5D" w:rsidRPr="001A1E5D">
        <w:t xml:space="preserve">párrafo </w:t>
      </w:r>
      <w:r w:rsidR="001A1E5D">
        <w:t>6</w:t>
      </w:r>
      <w:r w:rsidR="001A1E5D" w:rsidRPr="001A1E5D">
        <w:t xml:space="preserve"> </w:t>
      </w:r>
      <w:r w:rsidR="001A1E5D" w:rsidRPr="001A1E5D">
        <w:rPr>
          <w:lang w:val="es-ES_tradnl"/>
        </w:rPr>
        <w:t xml:space="preserve">de </w:t>
      </w:r>
      <w:r w:rsidR="001A1E5D">
        <w:rPr>
          <w:lang w:val="es-ES_tradnl"/>
        </w:rPr>
        <w:t>la lista de cuestiones</w:t>
      </w:r>
    </w:p>
    <w:p w14:paraId="13F8B914" w14:textId="2CF258CE" w:rsidR="00BD4745" w:rsidRPr="00397866" w:rsidRDefault="0098102E" w:rsidP="00397866">
      <w:pPr>
        <w:pStyle w:val="SingleTxtG"/>
        <w:rPr>
          <w:rFonts w:eastAsia="Calibri"/>
          <w:lang w:val="es-SV" w:eastAsia="es-BO"/>
        </w:rPr>
      </w:pPr>
      <w:r w:rsidRPr="00397866">
        <w:rPr>
          <w:rFonts w:eastAsia="Calibri"/>
          <w:lang w:val="es-SV" w:eastAsia="es-BO"/>
        </w:rPr>
        <w:t>34.</w:t>
      </w:r>
      <w:r w:rsidRPr="00397866">
        <w:rPr>
          <w:rFonts w:eastAsia="Calibri"/>
          <w:lang w:val="es-SV" w:eastAsia="es-BO"/>
        </w:rPr>
        <w:tab/>
      </w:r>
      <w:r w:rsidR="00BD4745" w:rsidRPr="00397866">
        <w:rPr>
          <w:rFonts w:eastAsia="Calibri"/>
          <w:lang w:val="es-SV" w:eastAsia="es-BO"/>
        </w:rPr>
        <w:t xml:space="preserve">El Plan Multisectorial para el Avance en la </w:t>
      </w:r>
      <w:proofErr w:type="spellStart"/>
      <w:r w:rsidR="00BD4745" w:rsidRPr="00397866">
        <w:rPr>
          <w:rFonts w:eastAsia="Calibri"/>
          <w:lang w:val="es-SV" w:eastAsia="es-BO"/>
        </w:rPr>
        <w:t>Despatriarcalización</w:t>
      </w:r>
      <w:proofErr w:type="spellEnd"/>
      <w:r w:rsidR="00BD4745" w:rsidRPr="00397866">
        <w:rPr>
          <w:rFonts w:eastAsia="Calibri"/>
          <w:lang w:val="es-SV" w:eastAsia="es-BO"/>
        </w:rPr>
        <w:t xml:space="preserve"> y el Derecho de las Mujeres a Vivir Bien entró en vigencia mediante Resolución </w:t>
      </w:r>
      <w:proofErr w:type="spellStart"/>
      <w:r w:rsidR="00BD4745" w:rsidRPr="00397866">
        <w:rPr>
          <w:rFonts w:eastAsia="Calibri"/>
          <w:lang w:val="es-SV" w:eastAsia="es-BO"/>
        </w:rPr>
        <w:t>CSIPVLV-Nº</w:t>
      </w:r>
      <w:proofErr w:type="spellEnd"/>
      <w:r w:rsidR="00BD4745" w:rsidRPr="00397866">
        <w:rPr>
          <w:rFonts w:eastAsia="Calibri"/>
          <w:lang w:val="es-SV" w:eastAsia="es-BO"/>
        </w:rPr>
        <w:t xml:space="preserve"> 001/2017 en fecha 27 de julio del 2017 emitida por el Consejo Sectorial e Intersectorial “Por una Vida Libre de Violencia” en su quinta sesión ordinaria, tuvo vigencia hasta el año 2020, y se encuentra en su etapa de evaluación, que permitirá recoger los resultados alcanzados y las lecciones aprendidas para lograr la formulación de un nuevo plan en coordinación con todos los actores involucrados para los próximos cinco años, con el fin de lograr mejores resultados. Los resultados del Plan logrados hasta la fecha sobre la situación de las mujeres se resumen en las áreas de intervención que coinciden con las agendas de las mujeres, es decir que existe correspondencia con las reivindicaciones de las mujeres. </w:t>
      </w:r>
    </w:p>
    <w:p w14:paraId="47E0F23B" w14:textId="4EC6E8F6" w:rsidR="00BD4745" w:rsidRPr="00397866" w:rsidRDefault="0098102E" w:rsidP="00397866">
      <w:pPr>
        <w:pStyle w:val="SingleTxtG"/>
        <w:rPr>
          <w:rFonts w:eastAsia="Calibri"/>
          <w:lang w:eastAsia="es-BO"/>
        </w:rPr>
      </w:pPr>
      <w:r w:rsidRPr="00397866">
        <w:rPr>
          <w:rFonts w:eastAsia="Calibri"/>
          <w:lang w:val="es-BO" w:eastAsia="es-BO"/>
        </w:rPr>
        <w:t>35.</w:t>
      </w:r>
      <w:r w:rsidRPr="00397866">
        <w:rPr>
          <w:rFonts w:eastAsia="Calibri"/>
          <w:lang w:val="es-BO" w:eastAsia="es-BO"/>
        </w:rPr>
        <w:tab/>
      </w:r>
      <w:r w:rsidR="00BD4745" w:rsidRPr="00397866">
        <w:rPr>
          <w:rFonts w:eastAsia="Calibri"/>
          <w:lang w:eastAsia="es-BO"/>
        </w:rPr>
        <w:t xml:space="preserve">El Órgano Electoral Plurinacional informa respecto a las medidas asumidas para aumentar la representación de las mujeres en especial indígenas y afrodescendientes, la promulgación de la Ley </w:t>
      </w:r>
      <w:proofErr w:type="spellStart"/>
      <w:r w:rsidR="00BD4745" w:rsidRPr="00397866">
        <w:rPr>
          <w:rFonts w:eastAsia="Calibri"/>
          <w:lang w:eastAsia="es-BO"/>
        </w:rPr>
        <w:t>Nº</w:t>
      </w:r>
      <w:proofErr w:type="spellEnd"/>
      <w:r w:rsidR="00BD4745" w:rsidRPr="00397866">
        <w:rPr>
          <w:rFonts w:eastAsia="Calibri"/>
          <w:lang w:eastAsia="es-BO"/>
        </w:rPr>
        <w:t xml:space="preserve"> 1096 de Organizaciones Políticas, que establece que todas las organizaciones políticas deben incorporar en sus estatutos un régimen de </w:t>
      </w:r>
      <w:proofErr w:type="spellStart"/>
      <w:r w:rsidR="00BD4745" w:rsidRPr="00397866">
        <w:rPr>
          <w:rFonts w:eastAsia="Calibri"/>
          <w:lang w:eastAsia="es-BO"/>
        </w:rPr>
        <w:t>despatriarcalización</w:t>
      </w:r>
      <w:proofErr w:type="spellEnd"/>
      <w:r w:rsidR="00BD4745" w:rsidRPr="00397866">
        <w:rPr>
          <w:rFonts w:eastAsia="Calibri"/>
          <w:lang w:eastAsia="es-BO"/>
        </w:rPr>
        <w:t>, que entre otras cosas garantice la equivalencia y la igualdad de oportunidades del 50% hombre y mujeres en la conformación de la estructura de la organización política en todos los niveles e instancias de decisión y deliberación, así como mecanismos que promuevan la participación efectiva de mujeres, jóvenes y de las naciones y pueblos indígena, originario campesinas.</w:t>
      </w:r>
    </w:p>
    <w:p w14:paraId="1BB9A398" w14:textId="64040FDC" w:rsidR="00BD4745" w:rsidRPr="00397866" w:rsidRDefault="0098102E" w:rsidP="00397866">
      <w:pPr>
        <w:pStyle w:val="SingleTxtG"/>
        <w:rPr>
          <w:rFonts w:eastAsia="Calibri"/>
          <w:lang w:eastAsia="es-BO"/>
        </w:rPr>
      </w:pPr>
      <w:r w:rsidRPr="00397866">
        <w:rPr>
          <w:rFonts w:eastAsia="Calibri"/>
          <w:lang w:val="es-BO" w:eastAsia="es-BO"/>
        </w:rPr>
        <w:t>36.</w:t>
      </w:r>
      <w:r w:rsidRPr="00397866">
        <w:rPr>
          <w:rFonts w:eastAsia="Calibri"/>
          <w:lang w:val="es-BO" w:eastAsia="es-BO"/>
        </w:rPr>
        <w:tab/>
      </w:r>
      <w:r w:rsidR="00BD4745" w:rsidRPr="00397866">
        <w:rPr>
          <w:rFonts w:eastAsia="Calibri"/>
          <w:lang w:eastAsia="es-BO"/>
        </w:rPr>
        <w:t>Asimismo, se tiene el Reglamento de Inscripción y Registro de Candidaturas para las elecciones generales del 2020 y otro para el 2021, que establece criterios de paridad y alternancia; Reglamento de Faltas Electorales y Sanciones relacionadas con el acoso y violencia política; Reglamento para el trámite de recepción de denuncias y renuncias por acoso y violencia política de mujeres candidatas, electas o en función política, pública.</w:t>
      </w:r>
    </w:p>
    <w:p w14:paraId="3BC5AFBF" w14:textId="17C28CD6" w:rsidR="00BD4745" w:rsidRPr="00397866" w:rsidRDefault="0098102E" w:rsidP="00397866">
      <w:pPr>
        <w:pStyle w:val="SingleTxtG"/>
        <w:rPr>
          <w:rFonts w:eastAsia="Calibri"/>
          <w:lang w:eastAsia="es-BO"/>
        </w:rPr>
      </w:pPr>
      <w:r w:rsidRPr="00397866">
        <w:rPr>
          <w:rFonts w:eastAsia="Calibri"/>
          <w:lang w:val="es-BO" w:eastAsia="es-BO"/>
        </w:rPr>
        <w:t>37.</w:t>
      </w:r>
      <w:r w:rsidRPr="00397866">
        <w:rPr>
          <w:rFonts w:eastAsia="Calibri"/>
          <w:lang w:val="es-BO" w:eastAsia="es-BO"/>
        </w:rPr>
        <w:tab/>
      </w:r>
      <w:r w:rsidR="00BD4745" w:rsidRPr="00397866">
        <w:rPr>
          <w:rFonts w:eastAsia="Calibri"/>
          <w:lang w:eastAsia="es-BO"/>
        </w:rPr>
        <w:t>Entre las medidas y acciones de comunicación adoptadas en la gestión 2018, se llevó adelante 5 investigaciones sobre temas referidas a la democracia paritaria y complementariedad entre mujeres y hombres indígenas originarios campesinos; en la gestión 2019, desarrollo de recursos comunicacionales para la promoción de la participación política de las mujeres.</w:t>
      </w:r>
    </w:p>
    <w:p w14:paraId="29F40EB3" w14:textId="2FDD46FB" w:rsidR="00BD4745" w:rsidRPr="00397866" w:rsidRDefault="0098102E" w:rsidP="00397866">
      <w:pPr>
        <w:pStyle w:val="SingleTxtG"/>
      </w:pPr>
      <w:r w:rsidRPr="00397866">
        <w:rPr>
          <w:rFonts w:eastAsiaTheme="minorHAnsi"/>
          <w:lang w:val="es-BO" w:eastAsia="en-US"/>
        </w:rPr>
        <w:t>38.</w:t>
      </w:r>
      <w:r w:rsidRPr="00397866">
        <w:rPr>
          <w:rFonts w:eastAsiaTheme="minorHAnsi"/>
          <w:lang w:val="es-BO" w:eastAsia="en-US"/>
        </w:rPr>
        <w:tab/>
      </w:r>
      <w:r w:rsidR="00BD4745" w:rsidRPr="00397866">
        <w:rPr>
          <w:rFonts w:eastAsia="Calibri"/>
          <w:lang w:eastAsia="es-BO"/>
        </w:rPr>
        <w:t xml:space="preserve">Respecto al </w:t>
      </w:r>
      <w:r w:rsidR="00BD4745" w:rsidRPr="00397866">
        <w:t>Observatorio de Paridad Democrática, el 2020 se realizaron acciones de comunicación para la promoción de los derechos políticos de las mujeres tanto en el proceso de elecciones generales 2020 como en la elección de autoridades políticas departamentales, regionales y municipales 2021.</w:t>
      </w:r>
    </w:p>
    <w:p w14:paraId="12E4BA7A" w14:textId="0FFBD928" w:rsidR="00BD4745" w:rsidRPr="00397866" w:rsidRDefault="0098102E" w:rsidP="00397866">
      <w:pPr>
        <w:pStyle w:val="SingleTxtG"/>
      </w:pPr>
      <w:r w:rsidRPr="00397866">
        <w:rPr>
          <w:rFonts w:eastAsiaTheme="minorHAnsi"/>
          <w:lang w:val="es-BO" w:eastAsia="en-US"/>
        </w:rPr>
        <w:t>39.</w:t>
      </w:r>
      <w:r w:rsidRPr="00397866">
        <w:rPr>
          <w:rFonts w:eastAsiaTheme="minorHAnsi"/>
          <w:lang w:val="es-BO" w:eastAsia="en-US"/>
        </w:rPr>
        <w:tab/>
      </w:r>
      <w:r w:rsidR="00BD4745" w:rsidRPr="00397866">
        <w:t>También se realizaron actividades de socialización con el objetivo de fortalecer el ejercicio de los derechos políticos de las mujeres.</w:t>
      </w:r>
    </w:p>
    <w:p w14:paraId="6BD29ECD" w14:textId="31A66B4F" w:rsidR="00BD4745" w:rsidRPr="00397866" w:rsidRDefault="0098102E" w:rsidP="00397866">
      <w:pPr>
        <w:pStyle w:val="SingleTxtG"/>
        <w:rPr>
          <w:rFonts w:eastAsia="Calibri"/>
          <w:lang w:eastAsia="es-BO"/>
        </w:rPr>
      </w:pPr>
      <w:r w:rsidRPr="00397866">
        <w:rPr>
          <w:rFonts w:eastAsia="Calibri"/>
          <w:lang w:val="es-BO" w:eastAsia="es-BO"/>
        </w:rPr>
        <w:t>40.</w:t>
      </w:r>
      <w:r w:rsidRPr="00397866">
        <w:rPr>
          <w:rFonts w:eastAsia="Calibri"/>
          <w:lang w:val="es-BO" w:eastAsia="es-BO"/>
        </w:rPr>
        <w:tab/>
      </w:r>
      <w:r w:rsidR="00BD4745" w:rsidRPr="00397866">
        <w:t>Con relación a los casos denunciados de acoso y violencia política contra mujeres</w:t>
      </w:r>
      <w:r w:rsidR="00BD4745" w:rsidRPr="00397866">
        <w:rPr>
          <w:rFonts w:eastAsia="Calibri"/>
          <w:lang w:eastAsia="es-BO"/>
        </w:rPr>
        <w:t>, la gestión 2018 se registraron 91 denuncias; la gestión 2019 se registraron 21 denuncias; la gestión 2020 se registraron 20 denuncias; y la gestión 2021 se registraron 22 denuncias. Entre 2016 al mes de octubre de 2021, se registraron 360 renuncias; de las cuales 43 fueron por acoso y violencia política.</w:t>
      </w:r>
    </w:p>
    <w:p w14:paraId="0A231F6E" w14:textId="20ADF690" w:rsidR="00BD4745" w:rsidRPr="00397866" w:rsidRDefault="0098102E" w:rsidP="00397866">
      <w:pPr>
        <w:pStyle w:val="SingleTxtG"/>
        <w:rPr>
          <w:rFonts w:eastAsia="Calibri"/>
          <w:lang w:eastAsia="es-BO"/>
        </w:rPr>
      </w:pPr>
      <w:r w:rsidRPr="00397866">
        <w:rPr>
          <w:rFonts w:eastAsia="Calibri"/>
          <w:lang w:val="es-BO" w:eastAsia="es-BO"/>
        </w:rPr>
        <w:t>41.</w:t>
      </w:r>
      <w:r w:rsidRPr="00397866">
        <w:rPr>
          <w:rFonts w:eastAsia="Calibri"/>
          <w:lang w:val="es-BO" w:eastAsia="es-BO"/>
        </w:rPr>
        <w:tab/>
      </w:r>
      <w:r w:rsidR="00BD4745" w:rsidRPr="00397866">
        <w:rPr>
          <w:rFonts w:eastAsia="Calibri"/>
          <w:lang w:eastAsia="es-BO"/>
        </w:rPr>
        <w:t xml:space="preserve">La Dirección General de Prevención y Eliminación de Toda Forma de Violencia </w:t>
      </w:r>
      <w:proofErr w:type="gramStart"/>
      <w:r w:rsidR="00BD4745" w:rsidRPr="00397866">
        <w:rPr>
          <w:rFonts w:eastAsia="Calibri"/>
          <w:lang w:eastAsia="es-BO"/>
        </w:rPr>
        <w:t>en Razón de</w:t>
      </w:r>
      <w:proofErr w:type="gramEnd"/>
      <w:r w:rsidR="00BD4745" w:rsidRPr="00397866">
        <w:rPr>
          <w:rFonts w:eastAsia="Calibri"/>
          <w:lang w:eastAsia="es-BO"/>
        </w:rPr>
        <w:t xml:space="preserve"> Género y Generacional ha tomado conocimiento de 7 casos de Acoso Político en la gestión 2021 en cumplimiento a lo establecido en el Art. 9 del Decreto Supremo </w:t>
      </w:r>
      <w:proofErr w:type="spellStart"/>
      <w:r w:rsidR="00BD4745" w:rsidRPr="00397866">
        <w:rPr>
          <w:rFonts w:eastAsia="Calibri"/>
          <w:lang w:eastAsia="es-BO"/>
        </w:rPr>
        <w:t>N°</w:t>
      </w:r>
      <w:proofErr w:type="spellEnd"/>
      <w:r w:rsidR="00BD4745" w:rsidRPr="00397866">
        <w:rPr>
          <w:rFonts w:eastAsia="Calibri"/>
          <w:lang w:eastAsia="es-BO"/>
        </w:rPr>
        <w:t xml:space="preserve"> 2935 </w:t>
      </w:r>
      <w:r w:rsidR="00BD4745" w:rsidRPr="00397866">
        <w:rPr>
          <w:rFonts w:eastAsia="Calibri"/>
          <w:lang w:eastAsia="es-BO"/>
        </w:rPr>
        <w:lastRenderedPageBreak/>
        <w:t xml:space="preserve">de 5 de octubre de 2016, Reglamento a la Ley </w:t>
      </w:r>
      <w:proofErr w:type="spellStart"/>
      <w:r w:rsidR="00BD4745" w:rsidRPr="00397866">
        <w:rPr>
          <w:rFonts w:eastAsia="Calibri"/>
          <w:lang w:eastAsia="es-BO"/>
        </w:rPr>
        <w:t>N°</w:t>
      </w:r>
      <w:proofErr w:type="spellEnd"/>
      <w:r w:rsidR="00BD4745" w:rsidRPr="00397866">
        <w:rPr>
          <w:rFonts w:eastAsia="Calibri"/>
          <w:lang w:eastAsia="es-BO"/>
        </w:rPr>
        <w:t xml:space="preserve"> 243 Contra el Acoso y Violencia Política hacia las Mujeres, se realiza seguimiento a cada una de las denuncias.</w:t>
      </w:r>
    </w:p>
    <w:p w14:paraId="0079634E" w14:textId="3488F4E0" w:rsidR="00BD4745" w:rsidRPr="002014CD" w:rsidRDefault="00BD4745">
      <w:pPr>
        <w:pStyle w:val="H1G"/>
        <w:rPr>
          <w:bCs/>
        </w:rPr>
      </w:pPr>
      <w:r w:rsidRPr="002014CD">
        <w:rPr>
          <w:lang w:val="es-ES_tradnl"/>
        </w:rPr>
        <w:tab/>
      </w:r>
      <w:r w:rsidRPr="002014CD">
        <w:rPr>
          <w:lang w:val="es-ES_tradnl"/>
        </w:rPr>
        <w:tab/>
        <w:t>Violencia contra la mujer, incluida la violencia doméstica</w:t>
      </w:r>
      <w:r w:rsidR="00104871">
        <w:rPr>
          <w:lang w:val="es-ES_tradnl"/>
        </w:rPr>
        <w:br/>
      </w:r>
      <w:r w:rsidRPr="002014CD">
        <w:rPr>
          <w:lang w:val="es-ES_tradnl"/>
        </w:rPr>
        <w:t>(arts.</w:t>
      </w:r>
      <w:r w:rsidRPr="002014CD">
        <w:rPr>
          <w:bCs/>
        </w:rPr>
        <w:t xml:space="preserve"> 2, 3, 6, 7, 14, 24 y 26)</w:t>
      </w:r>
    </w:p>
    <w:p w14:paraId="4BE35E7C" w14:textId="0526F897" w:rsidR="00BD4745" w:rsidRPr="002014CD" w:rsidRDefault="00397866">
      <w:pPr>
        <w:pStyle w:val="H23G"/>
      </w:pPr>
      <w:r>
        <w:tab/>
      </w:r>
      <w:r w:rsidR="00BD4745" w:rsidRPr="002014CD">
        <w:t>7.</w:t>
      </w:r>
      <w:r>
        <w:tab/>
      </w:r>
      <w:r w:rsidR="001A1E5D" w:rsidRPr="00ED0B85">
        <w:t xml:space="preserve">Respuesta al </w:t>
      </w:r>
      <w:r w:rsidR="001A1E5D" w:rsidRPr="001A1E5D">
        <w:t xml:space="preserve">párrafo </w:t>
      </w:r>
      <w:r w:rsidR="001A1E5D">
        <w:t>7</w:t>
      </w:r>
      <w:r w:rsidR="001A1E5D" w:rsidRPr="001A1E5D">
        <w:t xml:space="preserve"> </w:t>
      </w:r>
      <w:r w:rsidR="001A1E5D" w:rsidRPr="001A1E5D">
        <w:rPr>
          <w:lang w:val="es-ES_tradnl"/>
        </w:rPr>
        <w:t xml:space="preserve">de </w:t>
      </w:r>
      <w:r w:rsidR="001A1E5D">
        <w:rPr>
          <w:lang w:val="es-ES_tradnl"/>
        </w:rPr>
        <w:t xml:space="preserve">la lista de cuestiones </w:t>
      </w:r>
    </w:p>
    <w:p w14:paraId="6CAC88E5" w14:textId="2E21E271" w:rsidR="00BD4745" w:rsidRPr="00397866" w:rsidRDefault="0098102E" w:rsidP="00397866">
      <w:pPr>
        <w:pStyle w:val="SingleTxtG"/>
      </w:pPr>
      <w:r w:rsidRPr="00397866">
        <w:rPr>
          <w:rFonts w:eastAsiaTheme="minorHAnsi"/>
          <w:lang w:val="es-BO" w:eastAsia="en-US"/>
        </w:rPr>
        <w:t>42.</w:t>
      </w:r>
      <w:r w:rsidRPr="00397866">
        <w:rPr>
          <w:rFonts w:eastAsiaTheme="minorHAnsi"/>
          <w:lang w:val="es-BO" w:eastAsia="en-US"/>
        </w:rPr>
        <w:tab/>
      </w:r>
      <w:r w:rsidR="00BD4745" w:rsidRPr="00397866">
        <w:t xml:space="preserve">A fin de realizar una comparación de los últimos tres años para identificar la inversión que corresponde al cumplimiento de la Ley </w:t>
      </w:r>
      <w:proofErr w:type="spellStart"/>
      <w:r w:rsidR="00BD4745" w:rsidRPr="00397866">
        <w:t>N</w:t>
      </w:r>
      <w:r w:rsidR="00945B27">
        <w:t>º</w:t>
      </w:r>
      <w:proofErr w:type="spellEnd"/>
      <w:r w:rsidR="00BD4745" w:rsidRPr="00397866">
        <w:t xml:space="preserve"> 348 y </w:t>
      </w:r>
      <w:proofErr w:type="spellStart"/>
      <w:r w:rsidR="00BD4745" w:rsidRPr="00397866">
        <w:t>D.S</w:t>
      </w:r>
      <w:proofErr w:type="spellEnd"/>
      <w:r w:rsidR="00BD4745" w:rsidRPr="00397866">
        <w:t xml:space="preserve">. </w:t>
      </w:r>
      <w:proofErr w:type="spellStart"/>
      <w:r w:rsidR="00BD4745" w:rsidRPr="00397866">
        <w:t>N</w:t>
      </w:r>
      <w:r w:rsidR="00945B27">
        <w:t>º</w:t>
      </w:r>
      <w:proofErr w:type="spellEnd"/>
      <w:r w:rsidR="00BD4745" w:rsidRPr="00397866">
        <w:t xml:space="preserve"> 2145 a los Gobiernos Autónomos Departamentales y Gobiernos Autónomos Municipales, se hizo el análisis del presupuesto asignado al Programa 25 “Promoción y Políticas para grupos Vulnerables y de la Mujer”, de acuerdo a lo establecido en la Directriz de Formulación Presupuestaria, aprobada mediante Resolución </w:t>
      </w:r>
      <w:proofErr w:type="spellStart"/>
      <w:r w:rsidR="00BD4745" w:rsidRPr="00397866">
        <w:t>Biministerial</w:t>
      </w:r>
      <w:proofErr w:type="spellEnd"/>
      <w:r w:rsidR="00BD4745" w:rsidRPr="00397866">
        <w:t xml:space="preserve"> </w:t>
      </w:r>
      <w:proofErr w:type="spellStart"/>
      <w:r w:rsidR="00BD4745" w:rsidRPr="00397866">
        <w:t>N</w:t>
      </w:r>
      <w:r w:rsidR="00945B27">
        <w:t>º</w:t>
      </w:r>
      <w:proofErr w:type="spellEnd"/>
      <w:r w:rsidR="00945B27">
        <w:t xml:space="preserve"> </w:t>
      </w:r>
      <w:r w:rsidR="00BD4745" w:rsidRPr="00397866">
        <w:t>07 del 24 de junio de 2016 del Ministerio de Planificación del Desarrollo y del Ministerio de Economía y Finanzas Públicas.</w:t>
      </w:r>
    </w:p>
    <w:p w14:paraId="626536F1" w14:textId="64F8CA29" w:rsidR="00104871" w:rsidRDefault="00BD4745" w:rsidP="004B0800">
      <w:pPr>
        <w:pStyle w:val="Heading1"/>
        <w:rPr>
          <w:rFonts w:eastAsia="Calibri"/>
        </w:rPr>
      </w:pPr>
      <w:r w:rsidRPr="002014CD">
        <w:rPr>
          <w:rFonts w:eastAsia="Calibri"/>
        </w:rPr>
        <w:t>Tabla 1</w:t>
      </w:r>
    </w:p>
    <w:p w14:paraId="320CBA4B" w14:textId="31D86724" w:rsidR="00BD4745" w:rsidRPr="002014CD" w:rsidRDefault="00104871" w:rsidP="004B0800">
      <w:pPr>
        <w:pStyle w:val="H23G"/>
        <w:spacing w:before="0"/>
        <w:rPr>
          <w:rFonts w:eastAsia="Calibri"/>
          <w:lang w:val="es-ES_tradnl"/>
        </w:rPr>
      </w:pPr>
      <w:r>
        <w:rPr>
          <w:rFonts w:eastAsia="Calibri"/>
          <w:lang w:val="es-ES_tradnl"/>
        </w:rPr>
        <w:tab/>
      </w:r>
      <w:r>
        <w:rPr>
          <w:rFonts w:eastAsia="Calibri"/>
          <w:lang w:val="es-ES_tradnl"/>
        </w:rPr>
        <w:tab/>
      </w:r>
      <w:r w:rsidR="00BD4745" w:rsidRPr="00397866">
        <w:rPr>
          <w:rFonts w:eastAsia="Calibri"/>
          <w:lang w:val="es-ES_tradnl"/>
        </w:rPr>
        <w:t xml:space="preserve">Presupuesto de los gobiernos autónomos departamentales dentro del programa 25 </w:t>
      </w:r>
      <w:r>
        <w:rPr>
          <w:rFonts w:eastAsia="Calibri"/>
          <w:lang w:val="es-ES_tradnl"/>
        </w:rPr>
        <w:t>“</w:t>
      </w:r>
      <w:r w:rsidR="00BD4745" w:rsidRPr="00397866">
        <w:rPr>
          <w:rFonts w:eastAsia="Calibri"/>
          <w:lang w:val="es-ES_tradnl"/>
        </w:rPr>
        <w:t>Promoción y Políticas para grupos Vulnerables y de la Mujer</w:t>
      </w:r>
      <w:r>
        <w:rPr>
          <w:rFonts w:eastAsia="Calibri"/>
          <w:lang w:val="es-ES_tradnl"/>
        </w:rPr>
        <w:t>”</w:t>
      </w:r>
      <w:r>
        <w:rPr>
          <w:rFonts w:eastAsia="Calibri"/>
          <w:lang w:val="es-ES_tradnl"/>
        </w:rPr>
        <w:br/>
      </w:r>
      <w:r w:rsidR="00BD4745" w:rsidRPr="00397866">
        <w:rPr>
          <w:rFonts w:eastAsia="Calibri"/>
          <w:lang w:val="es-ES_tradnl"/>
        </w:rPr>
        <w:t>gestiones 2018-2020 (Bs)</w:t>
      </w:r>
    </w:p>
    <w:tbl>
      <w:tblPr>
        <w:tblW w:w="9638" w:type="dxa"/>
        <w:tblBorders>
          <w:top w:val="single" w:sz="4" w:space="0" w:color="auto"/>
        </w:tblBorders>
        <w:tblLayout w:type="fixed"/>
        <w:tblCellMar>
          <w:left w:w="0" w:type="dxa"/>
          <w:right w:w="0" w:type="dxa"/>
        </w:tblCellMar>
        <w:tblLook w:val="04A0" w:firstRow="1" w:lastRow="0" w:firstColumn="1" w:lastColumn="0" w:noHBand="0" w:noVBand="1"/>
      </w:tblPr>
      <w:tblGrid>
        <w:gridCol w:w="956"/>
        <w:gridCol w:w="1116"/>
        <w:gridCol w:w="938"/>
        <w:gridCol w:w="557"/>
        <w:gridCol w:w="1067"/>
        <w:gridCol w:w="924"/>
        <w:gridCol w:w="620"/>
        <w:gridCol w:w="1073"/>
        <w:gridCol w:w="924"/>
        <w:gridCol w:w="518"/>
        <w:gridCol w:w="945"/>
      </w:tblGrid>
      <w:tr w:rsidR="00104871" w:rsidRPr="00104871" w14:paraId="2ED1E1C3" w14:textId="77777777" w:rsidTr="004B0800">
        <w:trPr>
          <w:trHeight w:val="240"/>
          <w:tblHeader/>
        </w:trPr>
        <w:tc>
          <w:tcPr>
            <w:tcW w:w="956" w:type="dxa"/>
            <w:vMerge w:val="restart"/>
            <w:tcBorders>
              <w:top w:val="single" w:sz="4" w:space="0" w:color="auto"/>
              <w:bottom w:val="single" w:sz="12" w:space="0" w:color="auto"/>
            </w:tcBorders>
            <w:shd w:val="clear" w:color="auto" w:fill="auto"/>
            <w:noWrap/>
            <w:vAlign w:val="bottom"/>
            <w:hideMark/>
          </w:tcPr>
          <w:p w14:paraId="2D53A7E3" w14:textId="77777777" w:rsidR="00BD4745" w:rsidRPr="00104871" w:rsidRDefault="00BD4745">
            <w:pPr>
              <w:spacing w:before="80" w:after="80" w:line="200" w:lineRule="exact"/>
              <w:rPr>
                <w:i/>
                <w:sz w:val="16"/>
                <w:szCs w:val="18"/>
              </w:rPr>
            </w:pPr>
            <w:r w:rsidRPr="00104871">
              <w:rPr>
                <w:i/>
                <w:sz w:val="16"/>
                <w:szCs w:val="18"/>
              </w:rPr>
              <w:t>Departamento</w:t>
            </w:r>
          </w:p>
        </w:tc>
        <w:tc>
          <w:tcPr>
            <w:tcW w:w="2611" w:type="dxa"/>
            <w:gridSpan w:val="3"/>
            <w:tcBorders>
              <w:top w:val="single" w:sz="4" w:space="0" w:color="auto"/>
              <w:bottom w:val="single" w:sz="4" w:space="0" w:color="auto"/>
            </w:tcBorders>
            <w:shd w:val="clear" w:color="auto" w:fill="auto"/>
            <w:noWrap/>
            <w:vAlign w:val="bottom"/>
            <w:hideMark/>
          </w:tcPr>
          <w:p w14:paraId="7D5C84BB" w14:textId="77777777" w:rsidR="00BD4745" w:rsidRPr="00104871" w:rsidRDefault="00BD4745" w:rsidP="004B0800">
            <w:pPr>
              <w:spacing w:before="80" w:after="80" w:line="200" w:lineRule="exact"/>
              <w:ind w:left="113"/>
              <w:jc w:val="center"/>
              <w:rPr>
                <w:i/>
                <w:sz w:val="16"/>
                <w:szCs w:val="18"/>
              </w:rPr>
            </w:pPr>
            <w:r w:rsidRPr="00104871">
              <w:rPr>
                <w:i/>
                <w:sz w:val="16"/>
                <w:szCs w:val="18"/>
              </w:rPr>
              <w:t>2018</w:t>
            </w:r>
          </w:p>
        </w:tc>
        <w:tc>
          <w:tcPr>
            <w:tcW w:w="2611" w:type="dxa"/>
            <w:gridSpan w:val="3"/>
            <w:tcBorders>
              <w:top w:val="single" w:sz="4" w:space="0" w:color="auto"/>
              <w:bottom w:val="single" w:sz="4" w:space="0" w:color="auto"/>
            </w:tcBorders>
            <w:shd w:val="clear" w:color="auto" w:fill="auto"/>
            <w:noWrap/>
            <w:vAlign w:val="bottom"/>
            <w:hideMark/>
          </w:tcPr>
          <w:p w14:paraId="615CEEE5" w14:textId="77777777" w:rsidR="00BD4745" w:rsidRPr="00104871" w:rsidRDefault="00BD4745" w:rsidP="004B0800">
            <w:pPr>
              <w:spacing w:before="80" w:after="80" w:line="200" w:lineRule="exact"/>
              <w:ind w:left="113"/>
              <w:jc w:val="center"/>
              <w:rPr>
                <w:i/>
                <w:sz w:val="16"/>
                <w:szCs w:val="18"/>
              </w:rPr>
            </w:pPr>
            <w:r w:rsidRPr="00104871">
              <w:rPr>
                <w:i/>
                <w:sz w:val="16"/>
                <w:szCs w:val="18"/>
              </w:rPr>
              <w:t>2019</w:t>
            </w:r>
          </w:p>
        </w:tc>
        <w:tc>
          <w:tcPr>
            <w:tcW w:w="2515" w:type="dxa"/>
            <w:gridSpan w:val="3"/>
            <w:tcBorders>
              <w:top w:val="single" w:sz="4" w:space="0" w:color="auto"/>
              <w:bottom w:val="single" w:sz="4" w:space="0" w:color="auto"/>
            </w:tcBorders>
            <w:shd w:val="clear" w:color="auto" w:fill="auto"/>
            <w:noWrap/>
            <w:vAlign w:val="bottom"/>
            <w:hideMark/>
          </w:tcPr>
          <w:p w14:paraId="4545B5DC" w14:textId="77777777" w:rsidR="00BD4745" w:rsidRPr="00104871" w:rsidRDefault="00BD4745" w:rsidP="004B0800">
            <w:pPr>
              <w:spacing w:before="80" w:after="80" w:line="200" w:lineRule="exact"/>
              <w:ind w:left="113"/>
              <w:jc w:val="center"/>
              <w:rPr>
                <w:i/>
                <w:sz w:val="16"/>
                <w:szCs w:val="18"/>
              </w:rPr>
            </w:pPr>
            <w:r w:rsidRPr="00104871">
              <w:rPr>
                <w:i/>
                <w:sz w:val="16"/>
                <w:szCs w:val="18"/>
              </w:rPr>
              <w:t>2020</w:t>
            </w:r>
          </w:p>
        </w:tc>
        <w:tc>
          <w:tcPr>
            <w:tcW w:w="945" w:type="dxa"/>
            <w:tcBorders>
              <w:top w:val="single" w:sz="4" w:space="0" w:color="auto"/>
              <w:bottom w:val="single" w:sz="4" w:space="0" w:color="auto"/>
            </w:tcBorders>
            <w:shd w:val="clear" w:color="auto" w:fill="auto"/>
            <w:noWrap/>
            <w:vAlign w:val="bottom"/>
            <w:hideMark/>
          </w:tcPr>
          <w:p w14:paraId="1E5E9DA1" w14:textId="77777777" w:rsidR="00BD4745" w:rsidRPr="00104871" w:rsidRDefault="00BD4745" w:rsidP="004B0800">
            <w:pPr>
              <w:spacing w:before="80" w:after="80" w:line="200" w:lineRule="exact"/>
              <w:ind w:left="113"/>
              <w:jc w:val="center"/>
              <w:rPr>
                <w:i/>
                <w:sz w:val="16"/>
                <w:szCs w:val="18"/>
              </w:rPr>
            </w:pPr>
            <w:r w:rsidRPr="00104871">
              <w:rPr>
                <w:i/>
                <w:sz w:val="16"/>
                <w:szCs w:val="18"/>
              </w:rPr>
              <w:t>Ejecución promedio</w:t>
            </w:r>
          </w:p>
        </w:tc>
      </w:tr>
      <w:tr w:rsidR="00104871" w:rsidRPr="00104871" w14:paraId="76D73770" w14:textId="77777777" w:rsidTr="004B0800">
        <w:trPr>
          <w:trHeight w:val="240"/>
          <w:tblHeader/>
        </w:trPr>
        <w:tc>
          <w:tcPr>
            <w:tcW w:w="956" w:type="dxa"/>
            <w:vMerge/>
            <w:tcBorders>
              <w:top w:val="single" w:sz="12" w:space="0" w:color="auto"/>
              <w:bottom w:val="single" w:sz="12" w:space="0" w:color="auto"/>
            </w:tcBorders>
            <w:shd w:val="clear" w:color="auto" w:fill="auto"/>
            <w:vAlign w:val="bottom"/>
            <w:hideMark/>
          </w:tcPr>
          <w:p w14:paraId="44CEB920" w14:textId="77777777" w:rsidR="00BD4745" w:rsidRPr="00104871" w:rsidRDefault="00BD4745">
            <w:pPr>
              <w:spacing w:before="40" w:after="40" w:line="220" w:lineRule="exact"/>
              <w:rPr>
                <w:sz w:val="18"/>
                <w:szCs w:val="18"/>
              </w:rPr>
            </w:pPr>
          </w:p>
        </w:tc>
        <w:tc>
          <w:tcPr>
            <w:tcW w:w="1116" w:type="dxa"/>
            <w:tcBorders>
              <w:top w:val="single" w:sz="4" w:space="0" w:color="auto"/>
              <w:bottom w:val="single" w:sz="12" w:space="0" w:color="auto"/>
            </w:tcBorders>
            <w:shd w:val="clear" w:color="auto" w:fill="auto"/>
            <w:noWrap/>
            <w:vAlign w:val="bottom"/>
            <w:hideMark/>
          </w:tcPr>
          <w:p w14:paraId="3B909167" w14:textId="6590F2B2" w:rsidR="00BD4745" w:rsidRPr="004B0800" w:rsidRDefault="00BD4745" w:rsidP="004B0800">
            <w:pPr>
              <w:spacing w:before="80" w:after="80" w:line="200" w:lineRule="exact"/>
              <w:ind w:left="113"/>
              <w:jc w:val="right"/>
              <w:rPr>
                <w:i/>
                <w:sz w:val="16"/>
                <w:szCs w:val="18"/>
              </w:rPr>
            </w:pPr>
            <w:r w:rsidRPr="004B0800">
              <w:rPr>
                <w:i/>
                <w:sz w:val="16"/>
                <w:szCs w:val="18"/>
              </w:rPr>
              <w:t>Presupuestado</w:t>
            </w:r>
          </w:p>
        </w:tc>
        <w:tc>
          <w:tcPr>
            <w:tcW w:w="938" w:type="dxa"/>
            <w:tcBorders>
              <w:top w:val="single" w:sz="4" w:space="0" w:color="auto"/>
              <w:bottom w:val="single" w:sz="12" w:space="0" w:color="auto"/>
            </w:tcBorders>
            <w:shd w:val="clear" w:color="auto" w:fill="auto"/>
            <w:vAlign w:val="bottom"/>
            <w:hideMark/>
          </w:tcPr>
          <w:p w14:paraId="3426ECF8" w14:textId="77777777" w:rsidR="00BD4745" w:rsidRPr="004B0800" w:rsidRDefault="00BD4745" w:rsidP="004B0800">
            <w:pPr>
              <w:spacing w:before="80" w:after="80" w:line="200" w:lineRule="exact"/>
              <w:ind w:left="113"/>
              <w:jc w:val="right"/>
              <w:rPr>
                <w:i/>
                <w:sz w:val="16"/>
                <w:szCs w:val="18"/>
              </w:rPr>
            </w:pPr>
            <w:r w:rsidRPr="004B0800">
              <w:rPr>
                <w:i/>
                <w:sz w:val="16"/>
                <w:szCs w:val="18"/>
              </w:rPr>
              <w:t>Ejecutado</w:t>
            </w:r>
          </w:p>
        </w:tc>
        <w:tc>
          <w:tcPr>
            <w:tcW w:w="557" w:type="dxa"/>
            <w:tcBorders>
              <w:top w:val="single" w:sz="4" w:space="0" w:color="auto"/>
              <w:bottom w:val="single" w:sz="12" w:space="0" w:color="auto"/>
            </w:tcBorders>
            <w:shd w:val="clear" w:color="auto" w:fill="auto"/>
            <w:vAlign w:val="bottom"/>
            <w:hideMark/>
          </w:tcPr>
          <w:p w14:paraId="545DA3AF" w14:textId="77777777" w:rsidR="00BD4745" w:rsidRPr="004B0800" w:rsidRDefault="00BD4745" w:rsidP="004B0800">
            <w:pPr>
              <w:spacing w:before="80" w:after="80" w:line="200" w:lineRule="exact"/>
              <w:ind w:left="113"/>
              <w:jc w:val="right"/>
              <w:rPr>
                <w:i/>
                <w:sz w:val="16"/>
                <w:szCs w:val="18"/>
              </w:rPr>
            </w:pPr>
            <w:r w:rsidRPr="004B0800">
              <w:rPr>
                <w:i/>
                <w:sz w:val="16"/>
                <w:szCs w:val="18"/>
              </w:rPr>
              <w:t>%</w:t>
            </w:r>
          </w:p>
        </w:tc>
        <w:tc>
          <w:tcPr>
            <w:tcW w:w="1067" w:type="dxa"/>
            <w:tcBorders>
              <w:top w:val="single" w:sz="4" w:space="0" w:color="auto"/>
              <w:bottom w:val="single" w:sz="12" w:space="0" w:color="auto"/>
            </w:tcBorders>
            <w:shd w:val="clear" w:color="auto" w:fill="auto"/>
            <w:noWrap/>
            <w:vAlign w:val="bottom"/>
            <w:hideMark/>
          </w:tcPr>
          <w:p w14:paraId="42C2C1BF" w14:textId="10C74B46" w:rsidR="00BD4745" w:rsidRPr="004B0800" w:rsidRDefault="00BD4745" w:rsidP="004B0800">
            <w:pPr>
              <w:spacing w:before="80" w:after="80" w:line="200" w:lineRule="exact"/>
              <w:ind w:left="113"/>
              <w:jc w:val="right"/>
              <w:rPr>
                <w:i/>
                <w:sz w:val="16"/>
                <w:szCs w:val="18"/>
              </w:rPr>
            </w:pPr>
            <w:r w:rsidRPr="004B0800">
              <w:rPr>
                <w:i/>
                <w:sz w:val="16"/>
                <w:szCs w:val="18"/>
              </w:rPr>
              <w:t>Presupues</w:t>
            </w:r>
            <w:r w:rsidR="00104871">
              <w:rPr>
                <w:i/>
                <w:sz w:val="16"/>
                <w:szCs w:val="18"/>
              </w:rPr>
              <w:t>t</w:t>
            </w:r>
            <w:r w:rsidRPr="004B0800">
              <w:rPr>
                <w:i/>
                <w:sz w:val="16"/>
                <w:szCs w:val="18"/>
              </w:rPr>
              <w:t>ado</w:t>
            </w:r>
          </w:p>
        </w:tc>
        <w:tc>
          <w:tcPr>
            <w:tcW w:w="924" w:type="dxa"/>
            <w:tcBorders>
              <w:top w:val="single" w:sz="4" w:space="0" w:color="auto"/>
              <w:bottom w:val="single" w:sz="12" w:space="0" w:color="auto"/>
            </w:tcBorders>
            <w:shd w:val="clear" w:color="auto" w:fill="auto"/>
            <w:vAlign w:val="bottom"/>
            <w:hideMark/>
          </w:tcPr>
          <w:p w14:paraId="448F96D3" w14:textId="77777777" w:rsidR="00BD4745" w:rsidRPr="004B0800" w:rsidRDefault="00BD4745" w:rsidP="004B0800">
            <w:pPr>
              <w:spacing w:before="80" w:after="80" w:line="200" w:lineRule="exact"/>
              <w:ind w:left="113"/>
              <w:jc w:val="right"/>
              <w:rPr>
                <w:i/>
                <w:sz w:val="16"/>
                <w:szCs w:val="18"/>
              </w:rPr>
            </w:pPr>
            <w:r w:rsidRPr="004B0800">
              <w:rPr>
                <w:i/>
                <w:sz w:val="16"/>
                <w:szCs w:val="18"/>
              </w:rPr>
              <w:t>Ejecutado</w:t>
            </w:r>
          </w:p>
        </w:tc>
        <w:tc>
          <w:tcPr>
            <w:tcW w:w="620" w:type="dxa"/>
            <w:tcBorders>
              <w:top w:val="single" w:sz="4" w:space="0" w:color="auto"/>
              <w:bottom w:val="single" w:sz="12" w:space="0" w:color="auto"/>
            </w:tcBorders>
            <w:shd w:val="clear" w:color="auto" w:fill="auto"/>
            <w:vAlign w:val="bottom"/>
            <w:hideMark/>
          </w:tcPr>
          <w:p w14:paraId="5399FFB5" w14:textId="77777777" w:rsidR="00BD4745" w:rsidRPr="004B0800" w:rsidRDefault="00BD4745" w:rsidP="004B0800">
            <w:pPr>
              <w:spacing w:before="80" w:after="80" w:line="200" w:lineRule="exact"/>
              <w:ind w:left="113"/>
              <w:jc w:val="right"/>
              <w:rPr>
                <w:i/>
                <w:sz w:val="16"/>
                <w:szCs w:val="18"/>
              </w:rPr>
            </w:pPr>
            <w:r w:rsidRPr="004B0800">
              <w:rPr>
                <w:i/>
                <w:sz w:val="16"/>
                <w:szCs w:val="18"/>
              </w:rPr>
              <w:t>%</w:t>
            </w:r>
          </w:p>
        </w:tc>
        <w:tc>
          <w:tcPr>
            <w:tcW w:w="1073" w:type="dxa"/>
            <w:tcBorders>
              <w:top w:val="single" w:sz="4" w:space="0" w:color="auto"/>
              <w:bottom w:val="single" w:sz="12" w:space="0" w:color="auto"/>
            </w:tcBorders>
            <w:shd w:val="clear" w:color="auto" w:fill="auto"/>
            <w:noWrap/>
            <w:vAlign w:val="bottom"/>
            <w:hideMark/>
          </w:tcPr>
          <w:p w14:paraId="7E88FC5A" w14:textId="7D265173" w:rsidR="00BD4745" w:rsidRPr="004B0800" w:rsidRDefault="00BD4745" w:rsidP="004B0800">
            <w:pPr>
              <w:spacing w:before="80" w:after="80" w:line="200" w:lineRule="exact"/>
              <w:ind w:left="113"/>
              <w:jc w:val="right"/>
              <w:rPr>
                <w:i/>
                <w:sz w:val="16"/>
                <w:szCs w:val="18"/>
              </w:rPr>
            </w:pPr>
            <w:r w:rsidRPr="004B0800">
              <w:rPr>
                <w:i/>
                <w:sz w:val="16"/>
                <w:szCs w:val="18"/>
              </w:rPr>
              <w:t>Presupues</w:t>
            </w:r>
            <w:r w:rsidR="00104871">
              <w:rPr>
                <w:i/>
                <w:sz w:val="16"/>
                <w:szCs w:val="18"/>
              </w:rPr>
              <w:t>t</w:t>
            </w:r>
            <w:r w:rsidRPr="004B0800">
              <w:rPr>
                <w:i/>
                <w:sz w:val="16"/>
                <w:szCs w:val="18"/>
              </w:rPr>
              <w:t>ado</w:t>
            </w:r>
          </w:p>
        </w:tc>
        <w:tc>
          <w:tcPr>
            <w:tcW w:w="924" w:type="dxa"/>
            <w:tcBorders>
              <w:top w:val="single" w:sz="4" w:space="0" w:color="auto"/>
              <w:bottom w:val="single" w:sz="12" w:space="0" w:color="auto"/>
            </w:tcBorders>
            <w:shd w:val="clear" w:color="auto" w:fill="auto"/>
            <w:vAlign w:val="bottom"/>
            <w:hideMark/>
          </w:tcPr>
          <w:p w14:paraId="68460500" w14:textId="77777777" w:rsidR="00BD4745" w:rsidRPr="004B0800" w:rsidRDefault="00BD4745" w:rsidP="004B0800">
            <w:pPr>
              <w:spacing w:before="80" w:after="80" w:line="200" w:lineRule="exact"/>
              <w:ind w:left="113"/>
              <w:jc w:val="right"/>
              <w:rPr>
                <w:i/>
                <w:sz w:val="16"/>
                <w:szCs w:val="18"/>
              </w:rPr>
            </w:pPr>
            <w:r w:rsidRPr="004B0800">
              <w:rPr>
                <w:i/>
                <w:sz w:val="16"/>
                <w:szCs w:val="18"/>
              </w:rPr>
              <w:t>Ejecutado</w:t>
            </w:r>
          </w:p>
        </w:tc>
        <w:tc>
          <w:tcPr>
            <w:tcW w:w="518" w:type="dxa"/>
            <w:tcBorders>
              <w:top w:val="single" w:sz="4" w:space="0" w:color="auto"/>
              <w:bottom w:val="single" w:sz="12" w:space="0" w:color="auto"/>
            </w:tcBorders>
            <w:shd w:val="clear" w:color="auto" w:fill="auto"/>
            <w:vAlign w:val="bottom"/>
            <w:hideMark/>
          </w:tcPr>
          <w:p w14:paraId="613AB806" w14:textId="77777777" w:rsidR="00BD4745" w:rsidRPr="004B0800" w:rsidRDefault="00BD4745" w:rsidP="004B0800">
            <w:pPr>
              <w:spacing w:before="80" w:after="80" w:line="200" w:lineRule="exact"/>
              <w:ind w:left="113"/>
              <w:jc w:val="right"/>
              <w:rPr>
                <w:i/>
                <w:sz w:val="16"/>
                <w:szCs w:val="18"/>
              </w:rPr>
            </w:pPr>
            <w:r w:rsidRPr="004B0800">
              <w:rPr>
                <w:i/>
                <w:sz w:val="16"/>
                <w:szCs w:val="18"/>
              </w:rPr>
              <w:t>%</w:t>
            </w:r>
          </w:p>
        </w:tc>
        <w:tc>
          <w:tcPr>
            <w:tcW w:w="945" w:type="dxa"/>
            <w:tcBorders>
              <w:top w:val="single" w:sz="4" w:space="0" w:color="auto"/>
              <w:bottom w:val="single" w:sz="12" w:space="0" w:color="auto"/>
            </w:tcBorders>
            <w:shd w:val="clear" w:color="auto" w:fill="auto"/>
            <w:vAlign w:val="bottom"/>
            <w:hideMark/>
          </w:tcPr>
          <w:p w14:paraId="24B2B505" w14:textId="77777777" w:rsidR="00BD4745" w:rsidRPr="004B0800" w:rsidRDefault="00BD4745" w:rsidP="004B0800">
            <w:pPr>
              <w:spacing w:before="80" w:after="80" w:line="200" w:lineRule="exact"/>
              <w:ind w:left="113"/>
              <w:jc w:val="right"/>
              <w:rPr>
                <w:i/>
                <w:sz w:val="16"/>
                <w:szCs w:val="18"/>
              </w:rPr>
            </w:pPr>
          </w:p>
        </w:tc>
      </w:tr>
      <w:tr w:rsidR="00104871" w:rsidRPr="00104871" w14:paraId="12BFC25E" w14:textId="77777777" w:rsidTr="004B0800">
        <w:trPr>
          <w:trHeight w:val="240"/>
        </w:trPr>
        <w:tc>
          <w:tcPr>
            <w:tcW w:w="956" w:type="dxa"/>
            <w:tcBorders>
              <w:top w:val="single" w:sz="12" w:space="0" w:color="auto"/>
            </w:tcBorders>
            <w:shd w:val="clear" w:color="auto" w:fill="auto"/>
            <w:hideMark/>
          </w:tcPr>
          <w:p w14:paraId="3976AD7D" w14:textId="77777777" w:rsidR="00BD4745" w:rsidRPr="00104871" w:rsidRDefault="00BD4745">
            <w:pPr>
              <w:spacing w:before="40" w:after="40" w:line="220" w:lineRule="exact"/>
              <w:rPr>
                <w:sz w:val="18"/>
                <w:szCs w:val="18"/>
              </w:rPr>
            </w:pPr>
            <w:r w:rsidRPr="00104871">
              <w:rPr>
                <w:sz w:val="18"/>
                <w:szCs w:val="18"/>
              </w:rPr>
              <w:t>Chuquisaca</w:t>
            </w:r>
          </w:p>
        </w:tc>
        <w:tc>
          <w:tcPr>
            <w:tcW w:w="1116" w:type="dxa"/>
            <w:tcBorders>
              <w:top w:val="single" w:sz="12" w:space="0" w:color="auto"/>
            </w:tcBorders>
            <w:shd w:val="clear" w:color="auto" w:fill="auto"/>
            <w:vAlign w:val="bottom"/>
            <w:hideMark/>
          </w:tcPr>
          <w:p w14:paraId="18EA5A2C" w14:textId="420F987F" w:rsidR="00BD4745" w:rsidRPr="00104871" w:rsidRDefault="00BD4745" w:rsidP="004B0800">
            <w:pPr>
              <w:spacing w:before="40" w:after="40" w:line="220" w:lineRule="exact"/>
              <w:ind w:left="113"/>
              <w:jc w:val="right"/>
              <w:rPr>
                <w:sz w:val="18"/>
                <w:szCs w:val="18"/>
              </w:rPr>
            </w:pPr>
            <w:r w:rsidRPr="00104871">
              <w:rPr>
                <w:sz w:val="18"/>
                <w:szCs w:val="18"/>
              </w:rPr>
              <w:t>717</w:t>
            </w:r>
            <w:r w:rsidR="001471D3">
              <w:rPr>
                <w:sz w:val="18"/>
                <w:szCs w:val="18"/>
              </w:rPr>
              <w:t xml:space="preserve"> </w:t>
            </w:r>
            <w:r w:rsidRPr="00104871">
              <w:rPr>
                <w:sz w:val="18"/>
                <w:szCs w:val="18"/>
              </w:rPr>
              <w:t>020</w:t>
            </w:r>
          </w:p>
        </w:tc>
        <w:tc>
          <w:tcPr>
            <w:tcW w:w="938" w:type="dxa"/>
            <w:tcBorders>
              <w:top w:val="single" w:sz="12" w:space="0" w:color="auto"/>
            </w:tcBorders>
            <w:shd w:val="clear" w:color="auto" w:fill="auto"/>
            <w:vAlign w:val="bottom"/>
            <w:hideMark/>
          </w:tcPr>
          <w:p w14:paraId="71920194" w14:textId="6B5A1361" w:rsidR="00BD4745" w:rsidRPr="00104871" w:rsidRDefault="00BD4745" w:rsidP="004B0800">
            <w:pPr>
              <w:spacing w:before="40" w:after="40" w:line="220" w:lineRule="exact"/>
              <w:ind w:left="113"/>
              <w:jc w:val="right"/>
              <w:rPr>
                <w:sz w:val="18"/>
                <w:szCs w:val="18"/>
              </w:rPr>
            </w:pPr>
            <w:r w:rsidRPr="00104871">
              <w:rPr>
                <w:sz w:val="18"/>
                <w:szCs w:val="18"/>
              </w:rPr>
              <w:t>191</w:t>
            </w:r>
            <w:r w:rsidR="001471D3">
              <w:rPr>
                <w:sz w:val="18"/>
                <w:szCs w:val="18"/>
              </w:rPr>
              <w:t xml:space="preserve"> </w:t>
            </w:r>
            <w:r w:rsidRPr="00104871">
              <w:rPr>
                <w:sz w:val="18"/>
                <w:szCs w:val="18"/>
              </w:rPr>
              <w:t>205</w:t>
            </w:r>
          </w:p>
        </w:tc>
        <w:tc>
          <w:tcPr>
            <w:tcW w:w="557" w:type="dxa"/>
            <w:tcBorders>
              <w:top w:val="single" w:sz="12" w:space="0" w:color="auto"/>
            </w:tcBorders>
            <w:shd w:val="clear" w:color="auto" w:fill="auto"/>
            <w:noWrap/>
            <w:vAlign w:val="bottom"/>
            <w:hideMark/>
          </w:tcPr>
          <w:p w14:paraId="0953826E" w14:textId="77777777" w:rsidR="00BD4745" w:rsidRPr="00104871" w:rsidRDefault="00BD4745" w:rsidP="004B0800">
            <w:pPr>
              <w:spacing w:before="40" w:after="40" w:line="220" w:lineRule="exact"/>
              <w:ind w:left="113"/>
              <w:jc w:val="right"/>
              <w:rPr>
                <w:sz w:val="18"/>
                <w:szCs w:val="18"/>
              </w:rPr>
            </w:pPr>
            <w:r w:rsidRPr="00104871">
              <w:rPr>
                <w:sz w:val="18"/>
                <w:szCs w:val="18"/>
              </w:rPr>
              <w:t>26,67</w:t>
            </w:r>
          </w:p>
        </w:tc>
        <w:tc>
          <w:tcPr>
            <w:tcW w:w="1067" w:type="dxa"/>
            <w:tcBorders>
              <w:top w:val="single" w:sz="12" w:space="0" w:color="auto"/>
            </w:tcBorders>
            <w:shd w:val="clear" w:color="auto" w:fill="auto"/>
            <w:vAlign w:val="bottom"/>
            <w:hideMark/>
          </w:tcPr>
          <w:p w14:paraId="63BF6C95" w14:textId="79A668DF" w:rsidR="00BD4745" w:rsidRPr="00104871" w:rsidRDefault="00BD4745" w:rsidP="004B0800">
            <w:pPr>
              <w:spacing w:before="40" w:after="40" w:line="220" w:lineRule="exact"/>
              <w:ind w:left="113"/>
              <w:jc w:val="right"/>
              <w:rPr>
                <w:sz w:val="18"/>
                <w:szCs w:val="18"/>
              </w:rPr>
            </w:pPr>
            <w:r w:rsidRPr="00104871">
              <w:rPr>
                <w:sz w:val="18"/>
                <w:szCs w:val="18"/>
              </w:rPr>
              <w:t>728</w:t>
            </w:r>
            <w:r w:rsidR="001471D3">
              <w:rPr>
                <w:sz w:val="18"/>
                <w:szCs w:val="18"/>
              </w:rPr>
              <w:t xml:space="preserve"> </w:t>
            </w:r>
            <w:r w:rsidRPr="00104871">
              <w:rPr>
                <w:sz w:val="18"/>
                <w:szCs w:val="18"/>
              </w:rPr>
              <w:t>488</w:t>
            </w:r>
          </w:p>
        </w:tc>
        <w:tc>
          <w:tcPr>
            <w:tcW w:w="924" w:type="dxa"/>
            <w:tcBorders>
              <w:top w:val="single" w:sz="12" w:space="0" w:color="auto"/>
            </w:tcBorders>
            <w:shd w:val="clear" w:color="auto" w:fill="auto"/>
            <w:vAlign w:val="bottom"/>
            <w:hideMark/>
          </w:tcPr>
          <w:p w14:paraId="41B579EE" w14:textId="00121DF0" w:rsidR="00BD4745" w:rsidRPr="00104871" w:rsidRDefault="00BD4745" w:rsidP="004B0800">
            <w:pPr>
              <w:spacing w:before="40" w:after="40" w:line="220" w:lineRule="exact"/>
              <w:ind w:left="113"/>
              <w:jc w:val="right"/>
              <w:rPr>
                <w:sz w:val="18"/>
                <w:szCs w:val="18"/>
              </w:rPr>
            </w:pPr>
            <w:r w:rsidRPr="00104871">
              <w:rPr>
                <w:sz w:val="18"/>
                <w:szCs w:val="18"/>
              </w:rPr>
              <w:t>390</w:t>
            </w:r>
            <w:r w:rsidR="001471D3">
              <w:rPr>
                <w:sz w:val="18"/>
                <w:szCs w:val="18"/>
              </w:rPr>
              <w:t xml:space="preserve"> </w:t>
            </w:r>
            <w:r w:rsidRPr="00104871">
              <w:rPr>
                <w:sz w:val="18"/>
                <w:szCs w:val="18"/>
              </w:rPr>
              <w:t>043</w:t>
            </w:r>
          </w:p>
        </w:tc>
        <w:tc>
          <w:tcPr>
            <w:tcW w:w="620" w:type="dxa"/>
            <w:tcBorders>
              <w:top w:val="single" w:sz="12" w:space="0" w:color="auto"/>
            </w:tcBorders>
            <w:shd w:val="clear" w:color="auto" w:fill="auto"/>
            <w:noWrap/>
            <w:vAlign w:val="bottom"/>
            <w:hideMark/>
          </w:tcPr>
          <w:p w14:paraId="6A136538" w14:textId="77777777" w:rsidR="00BD4745" w:rsidRPr="00104871" w:rsidRDefault="00BD4745" w:rsidP="004B0800">
            <w:pPr>
              <w:spacing w:before="40" w:after="40" w:line="220" w:lineRule="exact"/>
              <w:ind w:left="113"/>
              <w:jc w:val="right"/>
              <w:rPr>
                <w:sz w:val="18"/>
                <w:szCs w:val="18"/>
              </w:rPr>
            </w:pPr>
            <w:r w:rsidRPr="00104871">
              <w:rPr>
                <w:sz w:val="18"/>
                <w:szCs w:val="18"/>
              </w:rPr>
              <w:t>53,54</w:t>
            </w:r>
          </w:p>
        </w:tc>
        <w:tc>
          <w:tcPr>
            <w:tcW w:w="1073" w:type="dxa"/>
            <w:tcBorders>
              <w:top w:val="single" w:sz="12" w:space="0" w:color="auto"/>
            </w:tcBorders>
            <w:shd w:val="clear" w:color="auto" w:fill="auto"/>
            <w:vAlign w:val="bottom"/>
            <w:hideMark/>
          </w:tcPr>
          <w:p w14:paraId="051EF34F" w14:textId="52133B74" w:rsidR="00BD4745" w:rsidRPr="00104871" w:rsidRDefault="00BD4745" w:rsidP="004B0800">
            <w:pPr>
              <w:spacing w:before="40" w:after="40" w:line="220" w:lineRule="exact"/>
              <w:ind w:left="113"/>
              <w:jc w:val="right"/>
              <w:rPr>
                <w:sz w:val="18"/>
                <w:szCs w:val="18"/>
              </w:rPr>
            </w:pPr>
            <w:r w:rsidRPr="00104871">
              <w:rPr>
                <w:sz w:val="18"/>
                <w:szCs w:val="18"/>
              </w:rPr>
              <w:t>881</w:t>
            </w:r>
            <w:r w:rsidR="001471D3">
              <w:rPr>
                <w:sz w:val="18"/>
                <w:szCs w:val="18"/>
              </w:rPr>
              <w:t xml:space="preserve"> </w:t>
            </w:r>
            <w:r w:rsidRPr="00104871">
              <w:rPr>
                <w:sz w:val="18"/>
                <w:szCs w:val="18"/>
              </w:rPr>
              <w:t>341</w:t>
            </w:r>
          </w:p>
        </w:tc>
        <w:tc>
          <w:tcPr>
            <w:tcW w:w="924" w:type="dxa"/>
            <w:tcBorders>
              <w:top w:val="single" w:sz="12" w:space="0" w:color="auto"/>
            </w:tcBorders>
            <w:shd w:val="clear" w:color="auto" w:fill="auto"/>
            <w:vAlign w:val="bottom"/>
            <w:hideMark/>
          </w:tcPr>
          <w:p w14:paraId="0F68C8A3" w14:textId="46DCC4FB" w:rsidR="00BD4745" w:rsidRPr="00104871" w:rsidRDefault="00BD4745" w:rsidP="004B0800">
            <w:pPr>
              <w:spacing w:before="40" w:after="40" w:line="220" w:lineRule="exact"/>
              <w:ind w:left="113"/>
              <w:jc w:val="right"/>
              <w:rPr>
                <w:sz w:val="18"/>
                <w:szCs w:val="18"/>
              </w:rPr>
            </w:pPr>
            <w:r w:rsidRPr="00104871">
              <w:rPr>
                <w:sz w:val="18"/>
                <w:szCs w:val="18"/>
              </w:rPr>
              <w:t>741</w:t>
            </w:r>
            <w:r w:rsidR="001471D3">
              <w:rPr>
                <w:sz w:val="18"/>
                <w:szCs w:val="18"/>
              </w:rPr>
              <w:t xml:space="preserve"> </w:t>
            </w:r>
            <w:r w:rsidRPr="00104871">
              <w:rPr>
                <w:sz w:val="18"/>
                <w:szCs w:val="18"/>
              </w:rPr>
              <w:t>151</w:t>
            </w:r>
          </w:p>
        </w:tc>
        <w:tc>
          <w:tcPr>
            <w:tcW w:w="518" w:type="dxa"/>
            <w:tcBorders>
              <w:top w:val="single" w:sz="12" w:space="0" w:color="auto"/>
            </w:tcBorders>
            <w:shd w:val="clear" w:color="auto" w:fill="auto"/>
            <w:noWrap/>
            <w:vAlign w:val="bottom"/>
            <w:hideMark/>
          </w:tcPr>
          <w:p w14:paraId="41E5CBC3" w14:textId="77777777" w:rsidR="00BD4745" w:rsidRPr="00104871" w:rsidRDefault="00BD4745" w:rsidP="004B0800">
            <w:pPr>
              <w:spacing w:before="40" w:after="40" w:line="220" w:lineRule="exact"/>
              <w:ind w:left="113"/>
              <w:jc w:val="right"/>
              <w:rPr>
                <w:sz w:val="18"/>
                <w:szCs w:val="18"/>
              </w:rPr>
            </w:pPr>
            <w:r w:rsidRPr="00104871">
              <w:rPr>
                <w:sz w:val="18"/>
                <w:szCs w:val="18"/>
              </w:rPr>
              <w:t>84,09</w:t>
            </w:r>
          </w:p>
        </w:tc>
        <w:tc>
          <w:tcPr>
            <w:tcW w:w="945" w:type="dxa"/>
            <w:tcBorders>
              <w:top w:val="single" w:sz="12" w:space="0" w:color="auto"/>
            </w:tcBorders>
            <w:shd w:val="clear" w:color="auto" w:fill="auto"/>
            <w:vAlign w:val="bottom"/>
            <w:hideMark/>
          </w:tcPr>
          <w:p w14:paraId="27C6DAAC" w14:textId="1E7DB19E" w:rsidR="00BD4745" w:rsidRPr="00104871" w:rsidRDefault="00BD4745" w:rsidP="004B0800">
            <w:pPr>
              <w:spacing w:before="40" w:after="40" w:line="220" w:lineRule="exact"/>
              <w:ind w:left="113"/>
              <w:jc w:val="right"/>
              <w:rPr>
                <w:sz w:val="18"/>
                <w:szCs w:val="18"/>
              </w:rPr>
            </w:pPr>
            <w:r w:rsidRPr="00104871">
              <w:rPr>
                <w:sz w:val="18"/>
                <w:szCs w:val="18"/>
              </w:rPr>
              <w:t>440</w:t>
            </w:r>
            <w:r w:rsidR="001471D3">
              <w:rPr>
                <w:sz w:val="18"/>
                <w:szCs w:val="18"/>
              </w:rPr>
              <w:t xml:space="preserve"> </w:t>
            </w:r>
            <w:r w:rsidRPr="00104871">
              <w:rPr>
                <w:sz w:val="18"/>
                <w:szCs w:val="18"/>
              </w:rPr>
              <w:t>799</w:t>
            </w:r>
          </w:p>
        </w:tc>
      </w:tr>
      <w:tr w:rsidR="00104871" w:rsidRPr="00104871" w14:paraId="279274CA" w14:textId="77777777" w:rsidTr="004B0800">
        <w:trPr>
          <w:trHeight w:val="240"/>
        </w:trPr>
        <w:tc>
          <w:tcPr>
            <w:tcW w:w="956" w:type="dxa"/>
            <w:shd w:val="clear" w:color="auto" w:fill="auto"/>
            <w:hideMark/>
          </w:tcPr>
          <w:p w14:paraId="6190475E" w14:textId="77777777" w:rsidR="00BD4745" w:rsidRPr="00104871" w:rsidRDefault="00BD4745">
            <w:pPr>
              <w:spacing w:before="40" w:after="40" w:line="220" w:lineRule="exact"/>
              <w:rPr>
                <w:sz w:val="18"/>
                <w:szCs w:val="18"/>
              </w:rPr>
            </w:pPr>
            <w:r w:rsidRPr="00104871">
              <w:rPr>
                <w:sz w:val="18"/>
                <w:szCs w:val="18"/>
              </w:rPr>
              <w:t>La Paz</w:t>
            </w:r>
          </w:p>
        </w:tc>
        <w:tc>
          <w:tcPr>
            <w:tcW w:w="1116" w:type="dxa"/>
            <w:shd w:val="clear" w:color="auto" w:fill="auto"/>
            <w:vAlign w:val="bottom"/>
            <w:hideMark/>
          </w:tcPr>
          <w:p w14:paraId="770EDC54" w14:textId="5713CB78" w:rsidR="00BD4745" w:rsidRPr="00104871" w:rsidRDefault="00BD4745" w:rsidP="004B0800">
            <w:pPr>
              <w:spacing w:before="40" w:after="40" w:line="220" w:lineRule="exact"/>
              <w:ind w:left="113"/>
              <w:jc w:val="right"/>
              <w:rPr>
                <w:sz w:val="18"/>
                <w:szCs w:val="18"/>
              </w:rPr>
            </w:pPr>
            <w:r w:rsidRPr="00104871">
              <w:rPr>
                <w:sz w:val="18"/>
                <w:szCs w:val="18"/>
              </w:rPr>
              <w:t>717</w:t>
            </w:r>
            <w:r w:rsidR="001471D3">
              <w:rPr>
                <w:sz w:val="18"/>
                <w:szCs w:val="18"/>
              </w:rPr>
              <w:t xml:space="preserve"> </w:t>
            </w:r>
            <w:r w:rsidRPr="00104871">
              <w:rPr>
                <w:sz w:val="18"/>
                <w:szCs w:val="18"/>
              </w:rPr>
              <w:t>020</w:t>
            </w:r>
          </w:p>
        </w:tc>
        <w:tc>
          <w:tcPr>
            <w:tcW w:w="938" w:type="dxa"/>
            <w:shd w:val="clear" w:color="auto" w:fill="auto"/>
            <w:vAlign w:val="bottom"/>
            <w:hideMark/>
          </w:tcPr>
          <w:p w14:paraId="10277409" w14:textId="2D71A8F7" w:rsidR="00BD4745" w:rsidRPr="00104871" w:rsidRDefault="00BD4745" w:rsidP="004B0800">
            <w:pPr>
              <w:spacing w:before="40" w:after="40" w:line="220" w:lineRule="exact"/>
              <w:ind w:left="113"/>
              <w:jc w:val="right"/>
              <w:rPr>
                <w:sz w:val="18"/>
                <w:szCs w:val="18"/>
              </w:rPr>
            </w:pPr>
            <w:r w:rsidRPr="00104871">
              <w:rPr>
                <w:sz w:val="18"/>
                <w:szCs w:val="18"/>
              </w:rPr>
              <w:t>615</w:t>
            </w:r>
            <w:r w:rsidR="001471D3">
              <w:rPr>
                <w:sz w:val="18"/>
                <w:szCs w:val="18"/>
              </w:rPr>
              <w:t xml:space="preserve"> </w:t>
            </w:r>
            <w:r w:rsidRPr="00104871">
              <w:rPr>
                <w:sz w:val="18"/>
                <w:szCs w:val="18"/>
              </w:rPr>
              <w:t>690</w:t>
            </w:r>
          </w:p>
        </w:tc>
        <w:tc>
          <w:tcPr>
            <w:tcW w:w="557" w:type="dxa"/>
            <w:shd w:val="clear" w:color="auto" w:fill="auto"/>
            <w:noWrap/>
            <w:vAlign w:val="bottom"/>
            <w:hideMark/>
          </w:tcPr>
          <w:p w14:paraId="549B37F0" w14:textId="77777777" w:rsidR="00BD4745" w:rsidRPr="00104871" w:rsidRDefault="00BD4745" w:rsidP="004B0800">
            <w:pPr>
              <w:spacing w:before="40" w:after="40" w:line="220" w:lineRule="exact"/>
              <w:ind w:left="113"/>
              <w:jc w:val="right"/>
              <w:rPr>
                <w:sz w:val="18"/>
                <w:szCs w:val="18"/>
              </w:rPr>
            </w:pPr>
            <w:r w:rsidRPr="00104871">
              <w:rPr>
                <w:sz w:val="18"/>
                <w:szCs w:val="18"/>
              </w:rPr>
              <w:t>85,87</w:t>
            </w:r>
          </w:p>
        </w:tc>
        <w:tc>
          <w:tcPr>
            <w:tcW w:w="1067" w:type="dxa"/>
            <w:shd w:val="clear" w:color="auto" w:fill="auto"/>
            <w:vAlign w:val="bottom"/>
            <w:hideMark/>
          </w:tcPr>
          <w:p w14:paraId="61BDD4A4" w14:textId="7C6BD48F" w:rsidR="00BD4745" w:rsidRPr="00104871" w:rsidRDefault="00BD4745" w:rsidP="004B0800">
            <w:pPr>
              <w:spacing w:before="40" w:after="40" w:line="220" w:lineRule="exact"/>
              <w:ind w:left="113"/>
              <w:jc w:val="right"/>
              <w:rPr>
                <w:sz w:val="18"/>
                <w:szCs w:val="18"/>
              </w:rPr>
            </w:pPr>
            <w:r w:rsidRPr="00104871">
              <w:rPr>
                <w:sz w:val="18"/>
                <w:szCs w:val="18"/>
              </w:rPr>
              <w:t>728</w:t>
            </w:r>
            <w:r w:rsidR="001471D3">
              <w:rPr>
                <w:sz w:val="18"/>
                <w:szCs w:val="18"/>
              </w:rPr>
              <w:t xml:space="preserve"> </w:t>
            </w:r>
            <w:r w:rsidRPr="00104871">
              <w:rPr>
                <w:sz w:val="18"/>
                <w:szCs w:val="18"/>
              </w:rPr>
              <w:t>488</w:t>
            </w:r>
          </w:p>
        </w:tc>
        <w:tc>
          <w:tcPr>
            <w:tcW w:w="924" w:type="dxa"/>
            <w:shd w:val="clear" w:color="auto" w:fill="auto"/>
            <w:vAlign w:val="bottom"/>
            <w:hideMark/>
          </w:tcPr>
          <w:p w14:paraId="4A938B58" w14:textId="4FC66111" w:rsidR="00BD4745" w:rsidRPr="00104871" w:rsidRDefault="00BD4745" w:rsidP="004B0800">
            <w:pPr>
              <w:spacing w:before="40" w:after="40" w:line="220" w:lineRule="exact"/>
              <w:ind w:left="113"/>
              <w:jc w:val="right"/>
              <w:rPr>
                <w:sz w:val="18"/>
                <w:szCs w:val="18"/>
              </w:rPr>
            </w:pPr>
            <w:r w:rsidRPr="00104871">
              <w:rPr>
                <w:sz w:val="18"/>
                <w:szCs w:val="18"/>
              </w:rPr>
              <w:t>706</w:t>
            </w:r>
            <w:r w:rsidR="001471D3">
              <w:rPr>
                <w:sz w:val="18"/>
                <w:szCs w:val="18"/>
              </w:rPr>
              <w:t xml:space="preserve"> </w:t>
            </w:r>
            <w:r w:rsidRPr="00104871">
              <w:rPr>
                <w:sz w:val="18"/>
                <w:szCs w:val="18"/>
              </w:rPr>
              <w:t>023</w:t>
            </w:r>
          </w:p>
        </w:tc>
        <w:tc>
          <w:tcPr>
            <w:tcW w:w="620" w:type="dxa"/>
            <w:shd w:val="clear" w:color="auto" w:fill="auto"/>
            <w:noWrap/>
            <w:vAlign w:val="bottom"/>
            <w:hideMark/>
          </w:tcPr>
          <w:p w14:paraId="19557ACD" w14:textId="77777777" w:rsidR="00BD4745" w:rsidRPr="00104871" w:rsidRDefault="00BD4745" w:rsidP="004B0800">
            <w:pPr>
              <w:spacing w:before="40" w:after="40" w:line="220" w:lineRule="exact"/>
              <w:ind w:left="113"/>
              <w:jc w:val="right"/>
              <w:rPr>
                <w:sz w:val="18"/>
                <w:szCs w:val="18"/>
              </w:rPr>
            </w:pPr>
            <w:r w:rsidRPr="00104871">
              <w:rPr>
                <w:sz w:val="18"/>
                <w:szCs w:val="18"/>
              </w:rPr>
              <w:t>96,92</w:t>
            </w:r>
          </w:p>
        </w:tc>
        <w:tc>
          <w:tcPr>
            <w:tcW w:w="1073" w:type="dxa"/>
            <w:shd w:val="clear" w:color="auto" w:fill="auto"/>
            <w:vAlign w:val="bottom"/>
            <w:hideMark/>
          </w:tcPr>
          <w:p w14:paraId="7F54B70D" w14:textId="0886B168" w:rsidR="00BD4745" w:rsidRPr="00104871" w:rsidRDefault="00BD4745" w:rsidP="004B0800">
            <w:pPr>
              <w:spacing w:before="40" w:after="40" w:line="220" w:lineRule="exact"/>
              <w:ind w:left="113"/>
              <w:jc w:val="right"/>
              <w:rPr>
                <w:sz w:val="18"/>
                <w:szCs w:val="18"/>
              </w:rPr>
            </w:pPr>
            <w:r w:rsidRPr="00104871">
              <w:rPr>
                <w:sz w:val="18"/>
                <w:szCs w:val="18"/>
              </w:rPr>
              <w:t>881</w:t>
            </w:r>
            <w:r w:rsidR="001471D3">
              <w:rPr>
                <w:sz w:val="18"/>
                <w:szCs w:val="18"/>
              </w:rPr>
              <w:t xml:space="preserve"> </w:t>
            </w:r>
            <w:r w:rsidRPr="00104871">
              <w:rPr>
                <w:sz w:val="18"/>
                <w:szCs w:val="18"/>
              </w:rPr>
              <w:t>341</w:t>
            </w:r>
          </w:p>
        </w:tc>
        <w:tc>
          <w:tcPr>
            <w:tcW w:w="924" w:type="dxa"/>
            <w:shd w:val="clear" w:color="auto" w:fill="auto"/>
            <w:vAlign w:val="bottom"/>
            <w:hideMark/>
          </w:tcPr>
          <w:p w14:paraId="6FFF70D8" w14:textId="3250894C" w:rsidR="00BD4745" w:rsidRPr="00104871" w:rsidRDefault="00BD4745" w:rsidP="004B0800">
            <w:pPr>
              <w:spacing w:before="40" w:after="40" w:line="220" w:lineRule="exact"/>
              <w:ind w:left="113"/>
              <w:jc w:val="right"/>
              <w:rPr>
                <w:sz w:val="18"/>
                <w:szCs w:val="18"/>
              </w:rPr>
            </w:pPr>
            <w:r w:rsidRPr="00104871">
              <w:rPr>
                <w:sz w:val="18"/>
                <w:szCs w:val="18"/>
              </w:rPr>
              <w:t>836</w:t>
            </w:r>
            <w:r w:rsidR="001471D3">
              <w:rPr>
                <w:sz w:val="18"/>
                <w:szCs w:val="18"/>
              </w:rPr>
              <w:t xml:space="preserve"> </w:t>
            </w:r>
            <w:r w:rsidRPr="00104871">
              <w:rPr>
                <w:sz w:val="18"/>
                <w:szCs w:val="18"/>
              </w:rPr>
              <w:t>912</w:t>
            </w:r>
          </w:p>
        </w:tc>
        <w:tc>
          <w:tcPr>
            <w:tcW w:w="518" w:type="dxa"/>
            <w:shd w:val="clear" w:color="auto" w:fill="auto"/>
            <w:noWrap/>
            <w:vAlign w:val="bottom"/>
            <w:hideMark/>
          </w:tcPr>
          <w:p w14:paraId="359909E0" w14:textId="77777777" w:rsidR="00BD4745" w:rsidRPr="00104871" w:rsidRDefault="00BD4745" w:rsidP="004B0800">
            <w:pPr>
              <w:spacing w:before="40" w:after="40" w:line="220" w:lineRule="exact"/>
              <w:ind w:left="113"/>
              <w:jc w:val="right"/>
              <w:rPr>
                <w:sz w:val="18"/>
                <w:szCs w:val="18"/>
              </w:rPr>
            </w:pPr>
            <w:r w:rsidRPr="00104871">
              <w:rPr>
                <w:sz w:val="18"/>
                <w:szCs w:val="18"/>
              </w:rPr>
              <w:t>94,96</w:t>
            </w:r>
          </w:p>
        </w:tc>
        <w:tc>
          <w:tcPr>
            <w:tcW w:w="945" w:type="dxa"/>
            <w:shd w:val="clear" w:color="auto" w:fill="auto"/>
            <w:vAlign w:val="bottom"/>
            <w:hideMark/>
          </w:tcPr>
          <w:p w14:paraId="4B1CB682" w14:textId="56AFEA05" w:rsidR="00BD4745" w:rsidRPr="00104871" w:rsidRDefault="00BD4745" w:rsidP="004B0800">
            <w:pPr>
              <w:spacing w:before="40" w:after="40" w:line="220" w:lineRule="exact"/>
              <w:ind w:left="113"/>
              <w:jc w:val="right"/>
              <w:rPr>
                <w:sz w:val="18"/>
                <w:szCs w:val="18"/>
              </w:rPr>
            </w:pPr>
            <w:r w:rsidRPr="00104871">
              <w:rPr>
                <w:sz w:val="18"/>
                <w:szCs w:val="18"/>
              </w:rPr>
              <w:t>719</w:t>
            </w:r>
            <w:r w:rsidR="001471D3">
              <w:rPr>
                <w:sz w:val="18"/>
                <w:szCs w:val="18"/>
              </w:rPr>
              <w:t xml:space="preserve"> </w:t>
            </w:r>
            <w:r w:rsidRPr="00104871">
              <w:rPr>
                <w:sz w:val="18"/>
                <w:szCs w:val="18"/>
              </w:rPr>
              <w:t>542</w:t>
            </w:r>
          </w:p>
        </w:tc>
      </w:tr>
      <w:tr w:rsidR="00104871" w:rsidRPr="00104871" w14:paraId="706317E0" w14:textId="77777777" w:rsidTr="004B0800">
        <w:trPr>
          <w:trHeight w:val="240"/>
        </w:trPr>
        <w:tc>
          <w:tcPr>
            <w:tcW w:w="956" w:type="dxa"/>
            <w:shd w:val="clear" w:color="auto" w:fill="auto"/>
            <w:hideMark/>
          </w:tcPr>
          <w:p w14:paraId="389741E0" w14:textId="77777777" w:rsidR="00BD4745" w:rsidRPr="00104871" w:rsidRDefault="00BD4745">
            <w:pPr>
              <w:spacing w:before="40" w:after="40" w:line="220" w:lineRule="exact"/>
              <w:rPr>
                <w:sz w:val="18"/>
                <w:szCs w:val="18"/>
              </w:rPr>
            </w:pPr>
            <w:r w:rsidRPr="00104871">
              <w:rPr>
                <w:sz w:val="18"/>
                <w:szCs w:val="18"/>
              </w:rPr>
              <w:t>Cochabamba</w:t>
            </w:r>
          </w:p>
        </w:tc>
        <w:tc>
          <w:tcPr>
            <w:tcW w:w="1116" w:type="dxa"/>
            <w:shd w:val="clear" w:color="auto" w:fill="auto"/>
            <w:vAlign w:val="bottom"/>
            <w:hideMark/>
          </w:tcPr>
          <w:p w14:paraId="1DC6F5B6" w14:textId="35B1B19C" w:rsidR="00BD4745" w:rsidRPr="00104871" w:rsidRDefault="00BD4745" w:rsidP="004B0800">
            <w:pPr>
              <w:spacing w:before="40" w:after="40" w:line="220" w:lineRule="exact"/>
              <w:ind w:left="113"/>
              <w:jc w:val="right"/>
              <w:rPr>
                <w:sz w:val="18"/>
                <w:szCs w:val="18"/>
              </w:rPr>
            </w:pPr>
            <w:r w:rsidRPr="00104871">
              <w:rPr>
                <w:sz w:val="18"/>
                <w:szCs w:val="18"/>
              </w:rPr>
              <w:t>717</w:t>
            </w:r>
            <w:r w:rsidR="001471D3">
              <w:rPr>
                <w:sz w:val="18"/>
                <w:szCs w:val="18"/>
              </w:rPr>
              <w:t xml:space="preserve"> </w:t>
            </w:r>
            <w:r w:rsidRPr="00104871">
              <w:rPr>
                <w:sz w:val="18"/>
                <w:szCs w:val="18"/>
              </w:rPr>
              <w:t>020</w:t>
            </w:r>
          </w:p>
        </w:tc>
        <w:tc>
          <w:tcPr>
            <w:tcW w:w="938" w:type="dxa"/>
            <w:shd w:val="clear" w:color="auto" w:fill="auto"/>
            <w:vAlign w:val="bottom"/>
            <w:hideMark/>
          </w:tcPr>
          <w:p w14:paraId="74CCF798" w14:textId="7CF787CF" w:rsidR="00BD4745" w:rsidRPr="00104871" w:rsidRDefault="00BD4745" w:rsidP="004B0800">
            <w:pPr>
              <w:spacing w:before="40" w:after="40" w:line="220" w:lineRule="exact"/>
              <w:ind w:left="113"/>
              <w:jc w:val="right"/>
              <w:rPr>
                <w:sz w:val="18"/>
                <w:szCs w:val="18"/>
              </w:rPr>
            </w:pPr>
            <w:r w:rsidRPr="00104871">
              <w:rPr>
                <w:sz w:val="18"/>
                <w:szCs w:val="18"/>
              </w:rPr>
              <w:t>668</w:t>
            </w:r>
            <w:r w:rsidR="001471D3">
              <w:rPr>
                <w:sz w:val="18"/>
                <w:szCs w:val="18"/>
              </w:rPr>
              <w:t xml:space="preserve"> </w:t>
            </w:r>
            <w:r w:rsidRPr="00104871">
              <w:rPr>
                <w:sz w:val="18"/>
                <w:szCs w:val="18"/>
              </w:rPr>
              <w:t>430</w:t>
            </w:r>
          </w:p>
        </w:tc>
        <w:tc>
          <w:tcPr>
            <w:tcW w:w="557" w:type="dxa"/>
            <w:shd w:val="clear" w:color="auto" w:fill="auto"/>
            <w:noWrap/>
            <w:vAlign w:val="bottom"/>
            <w:hideMark/>
          </w:tcPr>
          <w:p w14:paraId="76437010" w14:textId="77777777" w:rsidR="00BD4745" w:rsidRPr="00104871" w:rsidRDefault="00BD4745" w:rsidP="004B0800">
            <w:pPr>
              <w:spacing w:before="40" w:after="40" w:line="220" w:lineRule="exact"/>
              <w:ind w:left="113"/>
              <w:jc w:val="right"/>
              <w:rPr>
                <w:sz w:val="18"/>
                <w:szCs w:val="18"/>
              </w:rPr>
            </w:pPr>
            <w:r w:rsidRPr="00104871">
              <w:rPr>
                <w:sz w:val="18"/>
                <w:szCs w:val="18"/>
              </w:rPr>
              <w:t>93,22</w:t>
            </w:r>
          </w:p>
        </w:tc>
        <w:tc>
          <w:tcPr>
            <w:tcW w:w="1067" w:type="dxa"/>
            <w:shd w:val="clear" w:color="auto" w:fill="auto"/>
            <w:vAlign w:val="bottom"/>
            <w:hideMark/>
          </w:tcPr>
          <w:p w14:paraId="142EFABE" w14:textId="3F21FDBF" w:rsidR="00BD4745" w:rsidRPr="00104871" w:rsidRDefault="00BD4745" w:rsidP="004B0800">
            <w:pPr>
              <w:spacing w:before="40" w:after="40" w:line="220" w:lineRule="exact"/>
              <w:ind w:left="113"/>
              <w:jc w:val="right"/>
              <w:rPr>
                <w:sz w:val="18"/>
                <w:szCs w:val="18"/>
              </w:rPr>
            </w:pPr>
            <w:r w:rsidRPr="00104871">
              <w:rPr>
                <w:sz w:val="18"/>
                <w:szCs w:val="18"/>
              </w:rPr>
              <w:t>728</w:t>
            </w:r>
            <w:r w:rsidR="001471D3">
              <w:rPr>
                <w:sz w:val="18"/>
                <w:szCs w:val="18"/>
              </w:rPr>
              <w:t xml:space="preserve"> </w:t>
            </w:r>
            <w:r w:rsidRPr="00104871">
              <w:rPr>
                <w:sz w:val="18"/>
                <w:szCs w:val="18"/>
              </w:rPr>
              <w:t>488</w:t>
            </w:r>
          </w:p>
        </w:tc>
        <w:tc>
          <w:tcPr>
            <w:tcW w:w="924" w:type="dxa"/>
            <w:shd w:val="clear" w:color="auto" w:fill="auto"/>
            <w:vAlign w:val="bottom"/>
            <w:hideMark/>
          </w:tcPr>
          <w:p w14:paraId="69561846" w14:textId="16105172" w:rsidR="00BD4745" w:rsidRPr="00104871" w:rsidRDefault="00BD4745" w:rsidP="004B0800">
            <w:pPr>
              <w:spacing w:before="40" w:after="40" w:line="220" w:lineRule="exact"/>
              <w:ind w:left="113"/>
              <w:jc w:val="right"/>
              <w:rPr>
                <w:sz w:val="18"/>
                <w:szCs w:val="18"/>
              </w:rPr>
            </w:pPr>
            <w:r w:rsidRPr="00104871">
              <w:rPr>
                <w:sz w:val="18"/>
                <w:szCs w:val="18"/>
              </w:rPr>
              <w:t>700</w:t>
            </w:r>
            <w:r w:rsidR="001471D3">
              <w:rPr>
                <w:sz w:val="18"/>
                <w:szCs w:val="18"/>
              </w:rPr>
              <w:t xml:space="preserve"> </w:t>
            </w:r>
            <w:r w:rsidRPr="00104871">
              <w:rPr>
                <w:sz w:val="18"/>
                <w:szCs w:val="18"/>
              </w:rPr>
              <w:t>207</w:t>
            </w:r>
          </w:p>
        </w:tc>
        <w:tc>
          <w:tcPr>
            <w:tcW w:w="620" w:type="dxa"/>
            <w:shd w:val="clear" w:color="auto" w:fill="auto"/>
            <w:noWrap/>
            <w:vAlign w:val="bottom"/>
            <w:hideMark/>
          </w:tcPr>
          <w:p w14:paraId="26EE19B0" w14:textId="77777777" w:rsidR="00BD4745" w:rsidRPr="00104871" w:rsidRDefault="00BD4745" w:rsidP="004B0800">
            <w:pPr>
              <w:spacing w:before="40" w:after="40" w:line="220" w:lineRule="exact"/>
              <w:ind w:left="113"/>
              <w:jc w:val="right"/>
              <w:rPr>
                <w:sz w:val="18"/>
                <w:szCs w:val="18"/>
              </w:rPr>
            </w:pPr>
            <w:r w:rsidRPr="00104871">
              <w:rPr>
                <w:sz w:val="18"/>
                <w:szCs w:val="18"/>
              </w:rPr>
              <w:t>96,12</w:t>
            </w:r>
          </w:p>
        </w:tc>
        <w:tc>
          <w:tcPr>
            <w:tcW w:w="1073" w:type="dxa"/>
            <w:shd w:val="clear" w:color="auto" w:fill="auto"/>
            <w:vAlign w:val="bottom"/>
            <w:hideMark/>
          </w:tcPr>
          <w:p w14:paraId="175C29C4" w14:textId="0B1139B7" w:rsidR="00BD4745" w:rsidRPr="00104871" w:rsidRDefault="00BD4745" w:rsidP="004B0800">
            <w:pPr>
              <w:spacing w:before="40" w:after="40" w:line="220" w:lineRule="exact"/>
              <w:ind w:left="113"/>
              <w:jc w:val="right"/>
              <w:rPr>
                <w:sz w:val="18"/>
                <w:szCs w:val="18"/>
              </w:rPr>
            </w:pPr>
            <w:r w:rsidRPr="00104871">
              <w:rPr>
                <w:sz w:val="18"/>
                <w:szCs w:val="18"/>
              </w:rPr>
              <w:t>587</w:t>
            </w:r>
            <w:r w:rsidR="001471D3">
              <w:rPr>
                <w:sz w:val="18"/>
                <w:szCs w:val="18"/>
              </w:rPr>
              <w:t xml:space="preserve"> </w:t>
            </w:r>
            <w:r w:rsidRPr="00104871">
              <w:rPr>
                <w:sz w:val="18"/>
                <w:szCs w:val="18"/>
              </w:rPr>
              <w:t>561</w:t>
            </w:r>
          </w:p>
        </w:tc>
        <w:tc>
          <w:tcPr>
            <w:tcW w:w="924" w:type="dxa"/>
            <w:shd w:val="clear" w:color="auto" w:fill="auto"/>
            <w:vAlign w:val="bottom"/>
            <w:hideMark/>
          </w:tcPr>
          <w:p w14:paraId="45BAF9DA" w14:textId="2EDFD6E8" w:rsidR="00BD4745" w:rsidRPr="00104871" w:rsidRDefault="00BD4745" w:rsidP="004B0800">
            <w:pPr>
              <w:spacing w:before="40" w:after="40" w:line="220" w:lineRule="exact"/>
              <w:ind w:left="113"/>
              <w:jc w:val="right"/>
              <w:rPr>
                <w:sz w:val="18"/>
                <w:szCs w:val="18"/>
              </w:rPr>
            </w:pPr>
            <w:r w:rsidRPr="00104871">
              <w:rPr>
                <w:sz w:val="18"/>
                <w:szCs w:val="18"/>
              </w:rPr>
              <w:t>547</w:t>
            </w:r>
            <w:r w:rsidR="001471D3">
              <w:rPr>
                <w:sz w:val="18"/>
                <w:szCs w:val="18"/>
              </w:rPr>
              <w:t xml:space="preserve"> </w:t>
            </w:r>
            <w:r w:rsidRPr="00104871">
              <w:rPr>
                <w:sz w:val="18"/>
                <w:szCs w:val="18"/>
              </w:rPr>
              <w:t>238</w:t>
            </w:r>
          </w:p>
        </w:tc>
        <w:tc>
          <w:tcPr>
            <w:tcW w:w="518" w:type="dxa"/>
            <w:shd w:val="clear" w:color="auto" w:fill="auto"/>
            <w:noWrap/>
            <w:vAlign w:val="bottom"/>
            <w:hideMark/>
          </w:tcPr>
          <w:p w14:paraId="310FFC22" w14:textId="77777777" w:rsidR="00BD4745" w:rsidRPr="00104871" w:rsidRDefault="00BD4745" w:rsidP="004B0800">
            <w:pPr>
              <w:spacing w:before="40" w:after="40" w:line="220" w:lineRule="exact"/>
              <w:ind w:left="113"/>
              <w:jc w:val="right"/>
              <w:rPr>
                <w:sz w:val="18"/>
                <w:szCs w:val="18"/>
              </w:rPr>
            </w:pPr>
            <w:r w:rsidRPr="00104871">
              <w:rPr>
                <w:sz w:val="18"/>
                <w:szCs w:val="18"/>
              </w:rPr>
              <w:t>93,14</w:t>
            </w:r>
          </w:p>
        </w:tc>
        <w:tc>
          <w:tcPr>
            <w:tcW w:w="945" w:type="dxa"/>
            <w:shd w:val="clear" w:color="auto" w:fill="auto"/>
            <w:vAlign w:val="bottom"/>
            <w:hideMark/>
          </w:tcPr>
          <w:p w14:paraId="4D487952" w14:textId="5C444950" w:rsidR="00BD4745" w:rsidRPr="00104871" w:rsidRDefault="00BD4745" w:rsidP="004B0800">
            <w:pPr>
              <w:spacing w:before="40" w:after="40" w:line="220" w:lineRule="exact"/>
              <w:ind w:left="113"/>
              <w:jc w:val="right"/>
              <w:rPr>
                <w:sz w:val="18"/>
                <w:szCs w:val="18"/>
              </w:rPr>
            </w:pPr>
            <w:r w:rsidRPr="00104871">
              <w:rPr>
                <w:sz w:val="18"/>
                <w:szCs w:val="18"/>
              </w:rPr>
              <w:t>638</w:t>
            </w:r>
            <w:r w:rsidR="001471D3">
              <w:rPr>
                <w:sz w:val="18"/>
                <w:szCs w:val="18"/>
              </w:rPr>
              <w:t xml:space="preserve"> </w:t>
            </w:r>
            <w:r w:rsidRPr="00104871">
              <w:rPr>
                <w:sz w:val="18"/>
                <w:szCs w:val="18"/>
              </w:rPr>
              <w:t>625</w:t>
            </w:r>
          </w:p>
        </w:tc>
      </w:tr>
      <w:tr w:rsidR="00104871" w:rsidRPr="00104871" w14:paraId="066BCBCC" w14:textId="77777777" w:rsidTr="004B0800">
        <w:trPr>
          <w:trHeight w:val="240"/>
        </w:trPr>
        <w:tc>
          <w:tcPr>
            <w:tcW w:w="956" w:type="dxa"/>
            <w:shd w:val="clear" w:color="auto" w:fill="auto"/>
            <w:hideMark/>
          </w:tcPr>
          <w:p w14:paraId="2497EB75" w14:textId="77777777" w:rsidR="00BD4745" w:rsidRPr="00104871" w:rsidRDefault="00BD4745">
            <w:pPr>
              <w:spacing w:before="40" w:after="40" w:line="220" w:lineRule="exact"/>
              <w:rPr>
                <w:sz w:val="18"/>
                <w:szCs w:val="18"/>
              </w:rPr>
            </w:pPr>
            <w:r w:rsidRPr="00104871">
              <w:rPr>
                <w:sz w:val="18"/>
                <w:szCs w:val="18"/>
              </w:rPr>
              <w:t>Oruro</w:t>
            </w:r>
          </w:p>
        </w:tc>
        <w:tc>
          <w:tcPr>
            <w:tcW w:w="1116" w:type="dxa"/>
            <w:shd w:val="clear" w:color="auto" w:fill="auto"/>
            <w:vAlign w:val="bottom"/>
            <w:hideMark/>
          </w:tcPr>
          <w:p w14:paraId="73309D60" w14:textId="42BD6365" w:rsidR="00BD4745" w:rsidRPr="00104871" w:rsidRDefault="00BD4745" w:rsidP="004B0800">
            <w:pPr>
              <w:spacing w:before="40" w:after="40" w:line="220" w:lineRule="exact"/>
              <w:ind w:left="113"/>
              <w:jc w:val="right"/>
              <w:rPr>
                <w:sz w:val="18"/>
                <w:szCs w:val="18"/>
              </w:rPr>
            </w:pPr>
            <w:r w:rsidRPr="00104871">
              <w:rPr>
                <w:sz w:val="18"/>
                <w:szCs w:val="18"/>
              </w:rPr>
              <w:t>684</w:t>
            </w:r>
            <w:r w:rsidR="001471D3">
              <w:rPr>
                <w:sz w:val="18"/>
                <w:szCs w:val="18"/>
              </w:rPr>
              <w:t xml:space="preserve"> </w:t>
            </w:r>
            <w:r w:rsidRPr="00104871">
              <w:rPr>
                <w:sz w:val="18"/>
                <w:szCs w:val="18"/>
              </w:rPr>
              <w:t>478</w:t>
            </w:r>
          </w:p>
        </w:tc>
        <w:tc>
          <w:tcPr>
            <w:tcW w:w="938" w:type="dxa"/>
            <w:shd w:val="clear" w:color="auto" w:fill="auto"/>
            <w:vAlign w:val="bottom"/>
            <w:hideMark/>
          </w:tcPr>
          <w:p w14:paraId="2B125CB8" w14:textId="77777777" w:rsidR="00BD4745" w:rsidRPr="00104871" w:rsidRDefault="00BD4745" w:rsidP="004B0800">
            <w:pPr>
              <w:spacing w:before="40" w:after="40" w:line="220" w:lineRule="exact"/>
              <w:ind w:left="113"/>
              <w:jc w:val="right"/>
              <w:rPr>
                <w:sz w:val="18"/>
                <w:szCs w:val="18"/>
              </w:rPr>
            </w:pPr>
            <w:r w:rsidRPr="00104871">
              <w:rPr>
                <w:sz w:val="18"/>
                <w:szCs w:val="18"/>
              </w:rPr>
              <w:t>0</w:t>
            </w:r>
          </w:p>
        </w:tc>
        <w:tc>
          <w:tcPr>
            <w:tcW w:w="557" w:type="dxa"/>
            <w:shd w:val="clear" w:color="auto" w:fill="auto"/>
            <w:noWrap/>
            <w:vAlign w:val="bottom"/>
            <w:hideMark/>
          </w:tcPr>
          <w:p w14:paraId="7A7BC799" w14:textId="77777777" w:rsidR="00BD4745" w:rsidRPr="00104871" w:rsidRDefault="00BD4745" w:rsidP="004B0800">
            <w:pPr>
              <w:spacing w:before="40" w:after="40" w:line="220" w:lineRule="exact"/>
              <w:ind w:left="113"/>
              <w:jc w:val="right"/>
              <w:rPr>
                <w:sz w:val="18"/>
                <w:szCs w:val="18"/>
              </w:rPr>
            </w:pPr>
            <w:r w:rsidRPr="00104871">
              <w:rPr>
                <w:sz w:val="18"/>
                <w:szCs w:val="18"/>
              </w:rPr>
              <w:t>0,00</w:t>
            </w:r>
          </w:p>
        </w:tc>
        <w:tc>
          <w:tcPr>
            <w:tcW w:w="1067" w:type="dxa"/>
            <w:shd w:val="clear" w:color="auto" w:fill="auto"/>
            <w:vAlign w:val="bottom"/>
            <w:hideMark/>
          </w:tcPr>
          <w:p w14:paraId="79A520BB" w14:textId="769AF1A7" w:rsidR="00BD4745" w:rsidRPr="00104871" w:rsidRDefault="00BD4745" w:rsidP="004B0800">
            <w:pPr>
              <w:spacing w:before="40" w:after="40" w:line="220" w:lineRule="exact"/>
              <w:ind w:left="113"/>
              <w:jc w:val="right"/>
              <w:rPr>
                <w:sz w:val="18"/>
                <w:szCs w:val="18"/>
              </w:rPr>
            </w:pPr>
            <w:r w:rsidRPr="00104871">
              <w:rPr>
                <w:sz w:val="18"/>
                <w:szCs w:val="18"/>
              </w:rPr>
              <w:t>2.847</w:t>
            </w:r>
            <w:r w:rsidR="001471D3">
              <w:rPr>
                <w:sz w:val="18"/>
                <w:szCs w:val="18"/>
              </w:rPr>
              <w:t xml:space="preserve"> </w:t>
            </w:r>
            <w:r w:rsidRPr="00104871">
              <w:rPr>
                <w:sz w:val="18"/>
                <w:szCs w:val="18"/>
              </w:rPr>
              <w:t>100</w:t>
            </w:r>
          </w:p>
        </w:tc>
        <w:tc>
          <w:tcPr>
            <w:tcW w:w="924" w:type="dxa"/>
            <w:shd w:val="clear" w:color="auto" w:fill="auto"/>
            <w:vAlign w:val="bottom"/>
            <w:hideMark/>
          </w:tcPr>
          <w:p w14:paraId="4EE5925B" w14:textId="77777777" w:rsidR="00BD4745" w:rsidRPr="00104871" w:rsidRDefault="00BD4745" w:rsidP="004B0800">
            <w:pPr>
              <w:spacing w:before="40" w:after="40" w:line="220" w:lineRule="exact"/>
              <w:ind w:left="113"/>
              <w:jc w:val="right"/>
              <w:rPr>
                <w:sz w:val="18"/>
                <w:szCs w:val="18"/>
              </w:rPr>
            </w:pPr>
            <w:r w:rsidRPr="00104871">
              <w:rPr>
                <w:sz w:val="18"/>
                <w:szCs w:val="18"/>
              </w:rPr>
              <w:t>0</w:t>
            </w:r>
          </w:p>
        </w:tc>
        <w:tc>
          <w:tcPr>
            <w:tcW w:w="620" w:type="dxa"/>
            <w:shd w:val="clear" w:color="auto" w:fill="auto"/>
            <w:noWrap/>
            <w:vAlign w:val="bottom"/>
            <w:hideMark/>
          </w:tcPr>
          <w:p w14:paraId="582C809A" w14:textId="77777777" w:rsidR="00BD4745" w:rsidRPr="00104871" w:rsidRDefault="00BD4745" w:rsidP="004B0800">
            <w:pPr>
              <w:spacing w:before="40" w:after="40" w:line="220" w:lineRule="exact"/>
              <w:ind w:left="113"/>
              <w:jc w:val="right"/>
              <w:rPr>
                <w:sz w:val="18"/>
                <w:szCs w:val="18"/>
              </w:rPr>
            </w:pPr>
            <w:r w:rsidRPr="00104871">
              <w:rPr>
                <w:sz w:val="18"/>
                <w:szCs w:val="18"/>
              </w:rPr>
              <w:t>0,00</w:t>
            </w:r>
          </w:p>
        </w:tc>
        <w:tc>
          <w:tcPr>
            <w:tcW w:w="1073" w:type="dxa"/>
            <w:shd w:val="clear" w:color="auto" w:fill="auto"/>
            <w:vAlign w:val="bottom"/>
            <w:hideMark/>
          </w:tcPr>
          <w:p w14:paraId="3E4E8217" w14:textId="70E0D376" w:rsidR="00BD4745" w:rsidRPr="00104871" w:rsidRDefault="00BD4745" w:rsidP="004B0800">
            <w:pPr>
              <w:spacing w:before="40" w:after="40" w:line="220" w:lineRule="exact"/>
              <w:ind w:left="113"/>
              <w:jc w:val="right"/>
              <w:rPr>
                <w:sz w:val="18"/>
                <w:szCs w:val="18"/>
              </w:rPr>
            </w:pPr>
            <w:r w:rsidRPr="00104871">
              <w:rPr>
                <w:sz w:val="18"/>
                <w:szCs w:val="18"/>
              </w:rPr>
              <w:t>2</w:t>
            </w:r>
            <w:r w:rsidR="001471D3">
              <w:rPr>
                <w:sz w:val="18"/>
                <w:szCs w:val="18"/>
              </w:rPr>
              <w:t xml:space="preserve"> </w:t>
            </w:r>
            <w:r w:rsidRPr="00104871">
              <w:rPr>
                <w:sz w:val="18"/>
                <w:szCs w:val="18"/>
              </w:rPr>
              <w:t>544</w:t>
            </w:r>
            <w:r w:rsidR="001471D3">
              <w:rPr>
                <w:sz w:val="18"/>
                <w:szCs w:val="18"/>
              </w:rPr>
              <w:t xml:space="preserve"> </w:t>
            </w:r>
            <w:r w:rsidRPr="00104871">
              <w:rPr>
                <w:sz w:val="18"/>
                <w:szCs w:val="18"/>
              </w:rPr>
              <w:t>000</w:t>
            </w:r>
          </w:p>
        </w:tc>
        <w:tc>
          <w:tcPr>
            <w:tcW w:w="924" w:type="dxa"/>
            <w:shd w:val="clear" w:color="auto" w:fill="auto"/>
            <w:vAlign w:val="bottom"/>
            <w:hideMark/>
          </w:tcPr>
          <w:p w14:paraId="64E186A4" w14:textId="77777777" w:rsidR="00BD4745" w:rsidRPr="00104871" w:rsidRDefault="00BD4745" w:rsidP="004B0800">
            <w:pPr>
              <w:spacing w:before="40" w:after="40" w:line="220" w:lineRule="exact"/>
              <w:ind w:left="113"/>
              <w:jc w:val="right"/>
              <w:rPr>
                <w:sz w:val="18"/>
                <w:szCs w:val="18"/>
              </w:rPr>
            </w:pPr>
            <w:r w:rsidRPr="00104871">
              <w:rPr>
                <w:sz w:val="18"/>
                <w:szCs w:val="18"/>
              </w:rPr>
              <w:t>0</w:t>
            </w:r>
          </w:p>
        </w:tc>
        <w:tc>
          <w:tcPr>
            <w:tcW w:w="518" w:type="dxa"/>
            <w:shd w:val="clear" w:color="auto" w:fill="auto"/>
            <w:noWrap/>
            <w:vAlign w:val="bottom"/>
            <w:hideMark/>
          </w:tcPr>
          <w:p w14:paraId="3AF73D10" w14:textId="77777777" w:rsidR="00BD4745" w:rsidRPr="00104871" w:rsidRDefault="00BD4745" w:rsidP="004B0800">
            <w:pPr>
              <w:spacing w:before="40" w:after="40" w:line="220" w:lineRule="exact"/>
              <w:ind w:left="113"/>
              <w:jc w:val="right"/>
              <w:rPr>
                <w:sz w:val="18"/>
                <w:szCs w:val="18"/>
              </w:rPr>
            </w:pPr>
            <w:r w:rsidRPr="00104871">
              <w:rPr>
                <w:sz w:val="18"/>
                <w:szCs w:val="18"/>
              </w:rPr>
              <w:t>0,00</w:t>
            </w:r>
          </w:p>
        </w:tc>
        <w:tc>
          <w:tcPr>
            <w:tcW w:w="945" w:type="dxa"/>
            <w:shd w:val="clear" w:color="auto" w:fill="auto"/>
            <w:vAlign w:val="bottom"/>
            <w:hideMark/>
          </w:tcPr>
          <w:p w14:paraId="39EE4F7A" w14:textId="77777777" w:rsidR="00BD4745" w:rsidRPr="00104871" w:rsidRDefault="00BD4745" w:rsidP="004B0800">
            <w:pPr>
              <w:spacing w:before="40" w:after="40" w:line="220" w:lineRule="exact"/>
              <w:ind w:left="113"/>
              <w:jc w:val="right"/>
              <w:rPr>
                <w:sz w:val="18"/>
                <w:szCs w:val="18"/>
              </w:rPr>
            </w:pPr>
            <w:r w:rsidRPr="00104871">
              <w:rPr>
                <w:sz w:val="18"/>
                <w:szCs w:val="18"/>
              </w:rPr>
              <w:t>0</w:t>
            </w:r>
          </w:p>
        </w:tc>
      </w:tr>
      <w:tr w:rsidR="00104871" w:rsidRPr="00104871" w14:paraId="34003F10" w14:textId="77777777" w:rsidTr="004B0800">
        <w:trPr>
          <w:trHeight w:val="240"/>
        </w:trPr>
        <w:tc>
          <w:tcPr>
            <w:tcW w:w="956" w:type="dxa"/>
            <w:shd w:val="clear" w:color="auto" w:fill="auto"/>
            <w:hideMark/>
          </w:tcPr>
          <w:p w14:paraId="707607BB" w14:textId="77777777" w:rsidR="00BD4745" w:rsidRPr="00104871" w:rsidRDefault="00BD4745">
            <w:pPr>
              <w:spacing w:before="40" w:after="40" w:line="220" w:lineRule="exact"/>
              <w:rPr>
                <w:sz w:val="18"/>
                <w:szCs w:val="18"/>
              </w:rPr>
            </w:pPr>
            <w:r w:rsidRPr="00104871">
              <w:rPr>
                <w:sz w:val="18"/>
                <w:szCs w:val="18"/>
              </w:rPr>
              <w:t>Potosí</w:t>
            </w:r>
          </w:p>
        </w:tc>
        <w:tc>
          <w:tcPr>
            <w:tcW w:w="1116" w:type="dxa"/>
            <w:shd w:val="clear" w:color="auto" w:fill="auto"/>
            <w:vAlign w:val="bottom"/>
            <w:hideMark/>
          </w:tcPr>
          <w:p w14:paraId="7B137ABB" w14:textId="0A623A66" w:rsidR="00BD4745" w:rsidRPr="00104871" w:rsidRDefault="00BD4745" w:rsidP="004B0800">
            <w:pPr>
              <w:spacing w:before="40" w:after="40" w:line="220" w:lineRule="exact"/>
              <w:ind w:left="113"/>
              <w:jc w:val="right"/>
              <w:rPr>
                <w:sz w:val="18"/>
                <w:szCs w:val="18"/>
              </w:rPr>
            </w:pPr>
            <w:r w:rsidRPr="00104871">
              <w:rPr>
                <w:sz w:val="18"/>
                <w:szCs w:val="18"/>
              </w:rPr>
              <w:t>1</w:t>
            </w:r>
            <w:r w:rsidR="001471D3">
              <w:rPr>
                <w:sz w:val="18"/>
                <w:szCs w:val="18"/>
              </w:rPr>
              <w:t xml:space="preserve"> </w:t>
            </w:r>
            <w:r w:rsidRPr="00104871">
              <w:rPr>
                <w:sz w:val="18"/>
                <w:szCs w:val="18"/>
              </w:rPr>
              <w:t>185</w:t>
            </w:r>
            <w:r w:rsidR="001471D3">
              <w:rPr>
                <w:sz w:val="18"/>
                <w:szCs w:val="18"/>
              </w:rPr>
              <w:t xml:space="preserve"> </w:t>
            </w:r>
            <w:r w:rsidRPr="00104871">
              <w:rPr>
                <w:sz w:val="18"/>
                <w:szCs w:val="18"/>
              </w:rPr>
              <w:t>919</w:t>
            </w:r>
          </w:p>
        </w:tc>
        <w:tc>
          <w:tcPr>
            <w:tcW w:w="938" w:type="dxa"/>
            <w:shd w:val="clear" w:color="auto" w:fill="auto"/>
            <w:vAlign w:val="bottom"/>
            <w:hideMark/>
          </w:tcPr>
          <w:p w14:paraId="3558440E" w14:textId="75671186" w:rsidR="00BD4745" w:rsidRPr="00104871" w:rsidRDefault="00BD4745" w:rsidP="004B0800">
            <w:pPr>
              <w:spacing w:before="40" w:after="40" w:line="220" w:lineRule="exact"/>
              <w:ind w:left="113"/>
              <w:jc w:val="right"/>
              <w:rPr>
                <w:sz w:val="18"/>
                <w:szCs w:val="18"/>
              </w:rPr>
            </w:pPr>
            <w:r w:rsidRPr="00104871">
              <w:rPr>
                <w:sz w:val="18"/>
                <w:szCs w:val="18"/>
              </w:rPr>
              <w:t>240</w:t>
            </w:r>
            <w:r w:rsidR="001471D3">
              <w:rPr>
                <w:sz w:val="18"/>
                <w:szCs w:val="18"/>
              </w:rPr>
              <w:t xml:space="preserve"> </w:t>
            </w:r>
            <w:r w:rsidRPr="00104871">
              <w:rPr>
                <w:sz w:val="18"/>
                <w:szCs w:val="18"/>
              </w:rPr>
              <w:t>410</w:t>
            </w:r>
          </w:p>
        </w:tc>
        <w:tc>
          <w:tcPr>
            <w:tcW w:w="557" w:type="dxa"/>
            <w:shd w:val="clear" w:color="auto" w:fill="auto"/>
            <w:noWrap/>
            <w:vAlign w:val="bottom"/>
            <w:hideMark/>
          </w:tcPr>
          <w:p w14:paraId="1637AB20" w14:textId="77777777" w:rsidR="00BD4745" w:rsidRPr="00104871" w:rsidRDefault="00BD4745" w:rsidP="004B0800">
            <w:pPr>
              <w:spacing w:before="40" w:after="40" w:line="220" w:lineRule="exact"/>
              <w:ind w:left="113"/>
              <w:jc w:val="right"/>
              <w:rPr>
                <w:sz w:val="18"/>
                <w:szCs w:val="18"/>
              </w:rPr>
            </w:pPr>
            <w:r w:rsidRPr="00104871">
              <w:rPr>
                <w:sz w:val="18"/>
                <w:szCs w:val="18"/>
              </w:rPr>
              <w:t>20,27</w:t>
            </w:r>
          </w:p>
        </w:tc>
        <w:tc>
          <w:tcPr>
            <w:tcW w:w="1067" w:type="dxa"/>
            <w:shd w:val="clear" w:color="auto" w:fill="auto"/>
            <w:vAlign w:val="bottom"/>
            <w:hideMark/>
          </w:tcPr>
          <w:p w14:paraId="70AC9C86" w14:textId="0E1843E9" w:rsidR="00BD4745" w:rsidRPr="00104871" w:rsidRDefault="00BD4745" w:rsidP="004B0800">
            <w:pPr>
              <w:spacing w:before="40" w:after="40" w:line="220" w:lineRule="exact"/>
              <w:ind w:left="113"/>
              <w:jc w:val="right"/>
              <w:rPr>
                <w:sz w:val="18"/>
                <w:szCs w:val="18"/>
              </w:rPr>
            </w:pPr>
            <w:r w:rsidRPr="00104871">
              <w:rPr>
                <w:sz w:val="18"/>
                <w:szCs w:val="18"/>
              </w:rPr>
              <w:t>864</w:t>
            </w:r>
            <w:r w:rsidR="001471D3">
              <w:rPr>
                <w:sz w:val="18"/>
                <w:szCs w:val="18"/>
              </w:rPr>
              <w:t xml:space="preserve"> </w:t>
            </w:r>
            <w:r w:rsidRPr="00104871">
              <w:rPr>
                <w:sz w:val="18"/>
                <w:szCs w:val="18"/>
              </w:rPr>
              <w:t>744</w:t>
            </w:r>
          </w:p>
        </w:tc>
        <w:tc>
          <w:tcPr>
            <w:tcW w:w="924" w:type="dxa"/>
            <w:shd w:val="clear" w:color="auto" w:fill="auto"/>
            <w:vAlign w:val="bottom"/>
            <w:hideMark/>
          </w:tcPr>
          <w:p w14:paraId="28FDBFD6" w14:textId="53F1E96E" w:rsidR="00BD4745" w:rsidRPr="00104871" w:rsidRDefault="00BD4745" w:rsidP="004B0800">
            <w:pPr>
              <w:spacing w:before="40" w:after="40" w:line="220" w:lineRule="exact"/>
              <w:ind w:left="113"/>
              <w:jc w:val="right"/>
              <w:rPr>
                <w:sz w:val="18"/>
                <w:szCs w:val="18"/>
              </w:rPr>
            </w:pPr>
            <w:r w:rsidRPr="00104871">
              <w:rPr>
                <w:sz w:val="18"/>
                <w:szCs w:val="18"/>
              </w:rPr>
              <w:t>159</w:t>
            </w:r>
            <w:r w:rsidR="001471D3">
              <w:rPr>
                <w:sz w:val="18"/>
                <w:szCs w:val="18"/>
              </w:rPr>
              <w:t xml:space="preserve"> </w:t>
            </w:r>
            <w:r w:rsidRPr="00104871">
              <w:rPr>
                <w:sz w:val="18"/>
                <w:szCs w:val="18"/>
              </w:rPr>
              <w:t>443</w:t>
            </w:r>
          </w:p>
        </w:tc>
        <w:tc>
          <w:tcPr>
            <w:tcW w:w="620" w:type="dxa"/>
            <w:shd w:val="clear" w:color="auto" w:fill="auto"/>
            <w:noWrap/>
            <w:vAlign w:val="bottom"/>
            <w:hideMark/>
          </w:tcPr>
          <w:p w14:paraId="29B531A9" w14:textId="77777777" w:rsidR="00BD4745" w:rsidRPr="00104871" w:rsidRDefault="00BD4745" w:rsidP="004B0800">
            <w:pPr>
              <w:spacing w:before="40" w:after="40" w:line="220" w:lineRule="exact"/>
              <w:ind w:left="113"/>
              <w:jc w:val="right"/>
              <w:rPr>
                <w:sz w:val="18"/>
                <w:szCs w:val="18"/>
              </w:rPr>
            </w:pPr>
            <w:r w:rsidRPr="00104871">
              <w:rPr>
                <w:sz w:val="18"/>
                <w:szCs w:val="18"/>
              </w:rPr>
              <w:t>18,44</w:t>
            </w:r>
          </w:p>
        </w:tc>
        <w:tc>
          <w:tcPr>
            <w:tcW w:w="1073" w:type="dxa"/>
            <w:shd w:val="clear" w:color="auto" w:fill="auto"/>
            <w:vAlign w:val="bottom"/>
            <w:hideMark/>
          </w:tcPr>
          <w:p w14:paraId="273EEDB9" w14:textId="02950C1D" w:rsidR="00BD4745" w:rsidRPr="00104871" w:rsidRDefault="00BD4745" w:rsidP="004B0800">
            <w:pPr>
              <w:spacing w:before="40" w:after="40" w:line="220" w:lineRule="exact"/>
              <w:ind w:left="113"/>
              <w:jc w:val="right"/>
              <w:rPr>
                <w:sz w:val="18"/>
                <w:szCs w:val="18"/>
              </w:rPr>
            </w:pPr>
            <w:r w:rsidRPr="00104871">
              <w:rPr>
                <w:sz w:val="18"/>
                <w:szCs w:val="18"/>
              </w:rPr>
              <w:t>787</w:t>
            </w:r>
            <w:r w:rsidR="001471D3">
              <w:rPr>
                <w:sz w:val="18"/>
                <w:szCs w:val="18"/>
              </w:rPr>
              <w:t xml:space="preserve"> </w:t>
            </w:r>
            <w:r w:rsidRPr="00104871">
              <w:rPr>
                <w:sz w:val="18"/>
                <w:szCs w:val="18"/>
              </w:rPr>
              <w:t>561</w:t>
            </w:r>
          </w:p>
        </w:tc>
        <w:tc>
          <w:tcPr>
            <w:tcW w:w="924" w:type="dxa"/>
            <w:shd w:val="clear" w:color="auto" w:fill="auto"/>
            <w:vAlign w:val="bottom"/>
            <w:hideMark/>
          </w:tcPr>
          <w:p w14:paraId="34329711" w14:textId="2AFE5E46" w:rsidR="00BD4745" w:rsidRPr="00104871" w:rsidRDefault="00BD4745" w:rsidP="004B0800">
            <w:pPr>
              <w:spacing w:before="40" w:after="40" w:line="220" w:lineRule="exact"/>
              <w:ind w:left="113"/>
              <w:jc w:val="right"/>
              <w:rPr>
                <w:sz w:val="18"/>
                <w:szCs w:val="18"/>
              </w:rPr>
            </w:pPr>
            <w:r w:rsidRPr="00104871">
              <w:rPr>
                <w:sz w:val="18"/>
                <w:szCs w:val="18"/>
              </w:rPr>
              <w:t>391</w:t>
            </w:r>
            <w:r w:rsidR="001471D3">
              <w:rPr>
                <w:sz w:val="18"/>
                <w:szCs w:val="18"/>
              </w:rPr>
              <w:t xml:space="preserve"> </w:t>
            </w:r>
            <w:r w:rsidRPr="00104871">
              <w:rPr>
                <w:sz w:val="18"/>
                <w:szCs w:val="18"/>
              </w:rPr>
              <w:t>754</w:t>
            </w:r>
          </w:p>
        </w:tc>
        <w:tc>
          <w:tcPr>
            <w:tcW w:w="518" w:type="dxa"/>
            <w:shd w:val="clear" w:color="auto" w:fill="auto"/>
            <w:noWrap/>
            <w:vAlign w:val="bottom"/>
            <w:hideMark/>
          </w:tcPr>
          <w:p w14:paraId="13DA3E3F" w14:textId="77777777" w:rsidR="00BD4745" w:rsidRPr="00104871" w:rsidRDefault="00BD4745" w:rsidP="004B0800">
            <w:pPr>
              <w:spacing w:before="40" w:after="40" w:line="220" w:lineRule="exact"/>
              <w:ind w:left="113"/>
              <w:jc w:val="right"/>
              <w:rPr>
                <w:sz w:val="18"/>
                <w:szCs w:val="18"/>
              </w:rPr>
            </w:pPr>
            <w:r w:rsidRPr="00104871">
              <w:rPr>
                <w:sz w:val="18"/>
                <w:szCs w:val="18"/>
              </w:rPr>
              <w:t>49,74</w:t>
            </w:r>
          </w:p>
        </w:tc>
        <w:tc>
          <w:tcPr>
            <w:tcW w:w="945" w:type="dxa"/>
            <w:shd w:val="clear" w:color="auto" w:fill="auto"/>
            <w:vAlign w:val="bottom"/>
            <w:hideMark/>
          </w:tcPr>
          <w:p w14:paraId="3692ACE9" w14:textId="7B735D93" w:rsidR="00BD4745" w:rsidRPr="00104871" w:rsidRDefault="00BD4745" w:rsidP="004B0800">
            <w:pPr>
              <w:spacing w:before="40" w:after="40" w:line="220" w:lineRule="exact"/>
              <w:ind w:left="113"/>
              <w:jc w:val="right"/>
              <w:rPr>
                <w:sz w:val="18"/>
                <w:szCs w:val="18"/>
              </w:rPr>
            </w:pPr>
            <w:r w:rsidRPr="00104871">
              <w:rPr>
                <w:sz w:val="18"/>
                <w:szCs w:val="18"/>
              </w:rPr>
              <w:t>263</w:t>
            </w:r>
            <w:r w:rsidR="001471D3">
              <w:rPr>
                <w:sz w:val="18"/>
                <w:szCs w:val="18"/>
              </w:rPr>
              <w:t xml:space="preserve"> </w:t>
            </w:r>
            <w:r w:rsidRPr="00104871">
              <w:rPr>
                <w:sz w:val="18"/>
                <w:szCs w:val="18"/>
              </w:rPr>
              <w:t>869</w:t>
            </w:r>
          </w:p>
        </w:tc>
      </w:tr>
      <w:tr w:rsidR="00104871" w:rsidRPr="00104871" w14:paraId="748734A7" w14:textId="77777777" w:rsidTr="004B0800">
        <w:trPr>
          <w:trHeight w:val="240"/>
        </w:trPr>
        <w:tc>
          <w:tcPr>
            <w:tcW w:w="956" w:type="dxa"/>
            <w:shd w:val="clear" w:color="auto" w:fill="auto"/>
            <w:hideMark/>
          </w:tcPr>
          <w:p w14:paraId="0880092E" w14:textId="77777777" w:rsidR="00BD4745" w:rsidRPr="00104871" w:rsidRDefault="00BD4745">
            <w:pPr>
              <w:spacing w:before="40" w:after="40" w:line="220" w:lineRule="exact"/>
              <w:rPr>
                <w:sz w:val="18"/>
                <w:szCs w:val="18"/>
              </w:rPr>
            </w:pPr>
            <w:r w:rsidRPr="00104871">
              <w:rPr>
                <w:sz w:val="18"/>
                <w:szCs w:val="18"/>
              </w:rPr>
              <w:t>Tarija</w:t>
            </w:r>
          </w:p>
        </w:tc>
        <w:tc>
          <w:tcPr>
            <w:tcW w:w="1116" w:type="dxa"/>
            <w:shd w:val="clear" w:color="auto" w:fill="auto"/>
            <w:vAlign w:val="bottom"/>
            <w:hideMark/>
          </w:tcPr>
          <w:p w14:paraId="32ECDE50" w14:textId="239259BF" w:rsidR="00BD4745" w:rsidRPr="00104871" w:rsidRDefault="00BD4745" w:rsidP="004B0800">
            <w:pPr>
              <w:spacing w:before="40" w:after="40" w:line="220" w:lineRule="exact"/>
              <w:ind w:left="113"/>
              <w:jc w:val="right"/>
              <w:rPr>
                <w:sz w:val="18"/>
                <w:szCs w:val="18"/>
              </w:rPr>
            </w:pPr>
            <w:r w:rsidRPr="00104871">
              <w:rPr>
                <w:sz w:val="18"/>
                <w:szCs w:val="18"/>
              </w:rPr>
              <w:t>6</w:t>
            </w:r>
            <w:r w:rsidR="001471D3">
              <w:rPr>
                <w:sz w:val="18"/>
                <w:szCs w:val="18"/>
              </w:rPr>
              <w:t xml:space="preserve"> </w:t>
            </w:r>
            <w:r w:rsidRPr="00104871">
              <w:rPr>
                <w:sz w:val="18"/>
                <w:szCs w:val="18"/>
              </w:rPr>
              <w:t>695</w:t>
            </w:r>
            <w:r w:rsidR="001471D3">
              <w:rPr>
                <w:sz w:val="18"/>
                <w:szCs w:val="18"/>
              </w:rPr>
              <w:t xml:space="preserve"> </w:t>
            </w:r>
            <w:r w:rsidRPr="00104871">
              <w:rPr>
                <w:sz w:val="18"/>
                <w:szCs w:val="18"/>
              </w:rPr>
              <w:t>669</w:t>
            </w:r>
          </w:p>
        </w:tc>
        <w:tc>
          <w:tcPr>
            <w:tcW w:w="938" w:type="dxa"/>
            <w:shd w:val="clear" w:color="auto" w:fill="auto"/>
            <w:vAlign w:val="bottom"/>
            <w:hideMark/>
          </w:tcPr>
          <w:p w14:paraId="44196A2B" w14:textId="01717BFB" w:rsidR="00BD4745" w:rsidRPr="00104871" w:rsidRDefault="00BD4745" w:rsidP="004B0800">
            <w:pPr>
              <w:spacing w:before="40" w:after="40" w:line="220" w:lineRule="exact"/>
              <w:ind w:left="113"/>
              <w:jc w:val="right"/>
              <w:rPr>
                <w:sz w:val="18"/>
                <w:szCs w:val="18"/>
              </w:rPr>
            </w:pPr>
            <w:r w:rsidRPr="00104871">
              <w:rPr>
                <w:sz w:val="18"/>
                <w:szCs w:val="18"/>
              </w:rPr>
              <w:t>5</w:t>
            </w:r>
            <w:r w:rsidR="001471D3">
              <w:rPr>
                <w:sz w:val="18"/>
                <w:szCs w:val="18"/>
              </w:rPr>
              <w:t xml:space="preserve"> </w:t>
            </w:r>
            <w:r w:rsidRPr="00104871">
              <w:rPr>
                <w:sz w:val="18"/>
                <w:szCs w:val="18"/>
              </w:rPr>
              <w:t>116</w:t>
            </w:r>
            <w:r w:rsidR="001471D3">
              <w:rPr>
                <w:sz w:val="18"/>
                <w:szCs w:val="18"/>
              </w:rPr>
              <w:t xml:space="preserve"> </w:t>
            </w:r>
            <w:r w:rsidRPr="00104871">
              <w:rPr>
                <w:sz w:val="18"/>
                <w:szCs w:val="18"/>
              </w:rPr>
              <w:t>621</w:t>
            </w:r>
          </w:p>
        </w:tc>
        <w:tc>
          <w:tcPr>
            <w:tcW w:w="557" w:type="dxa"/>
            <w:shd w:val="clear" w:color="auto" w:fill="auto"/>
            <w:noWrap/>
            <w:vAlign w:val="bottom"/>
            <w:hideMark/>
          </w:tcPr>
          <w:p w14:paraId="1E0ADBEC" w14:textId="77777777" w:rsidR="00BD4745" w:rsidRPr="00104871" w:rsidRDefault="00BD4745" w:rsidP="004B0800">
            <w:pPr>
              <w:spacing w:before="40" w:after="40" w:line="220" w:lineRule="exact"/>
              <w:ind w:left="113"/>
              <w:jc w:val="right"/>
              <w:rPr>
                <w:sz w:val="18"/>
                <w:szCs w:val="18"/>
              </w:rPr>
            </w:pPr>
            <w:r w:rsidRPr="00104871">
              <w:rPr>
                <w:sz w:val="18"/>
                <w:szCs w:val="18"/>
              </w:rPr>
              <w:t>76,42</w:t>
            </w:r>
          </w:p>
        </w:tc>
        <w:tc>
          <w:tcPr>
            <w:tcW w:w="1067" w:type="dxa"/>
            <w:shd w:val="clear" w:color="auto" w:fill="auto"/>
            <w:vAlign w:val="bottom"/>
            <w:hideMark/>
          </w:tcPr>
          <w:p w14:paraId="21A3C095" w14:textId="2155BDAB" w:rsidR="00BD4745" w:rsidRPr="00104871" w:rsidRDefault="00BD4745" w:rsidP="004B0800">
            <w:pPr>
              <w:spacing w:before="40" w:after="40" w:line="220" w:lineRule="exact"/>
              <w:ind w:left="113"/>
              <w:jc w:val="right"/>
              <w:rPr>
                <w:sz w:val="18"/>
                <w:szCs w:val="18"/>
              </w:rPr>
            </w:pPr>
            <w:r w:rsidRPr="00104871">
              <w:rPr>
                <w:sz w:val="18"/>
                <w:szCs w:val="18"/>
              </w:rPr>
              <w:t>7</w:t>
            </w:r>
            <w:r w:rsidR="001471D3">
              <w:rPr>
                <w:sz w:val="18"/>
                <w:szCs w:val="18"/>
              </w:rPr>
              <w:t xml:space="preserve"> </w:t>
            </w:r>
            <w:r w:rsidRPr="00104871">
              <w:rPr>
                <w:sz w:val="18"/>
                <w:szCs w:val="18"/>
              </w:rPr>
              <w:t>551</w:t>
            </w:r>
            <w:r w:rsidR="001471D3">
              <w:rPr>
                <w:sz w:val="18"/>
                <w:szCs w:val="18"/>
              </w:rPr>
              <w:t xml:space="preserve"> </w:t>
            </w:r>
            <w:r w:rsidRPr="00104871">
              <w:rPr>
                <w:sz w:val="18"/>
                <w:szCs w:val="18"/>
              </w:rPr>
              <w:t>829</w:t>
            </w:r>
          </w:p>
        </w:tc>
        <w:tc>
          <w:tcPr>
            <w:tcW w:w="924" w:type="dxa"/>
            <w:shd w:val="clear" w:color="auto" w:fill="auto"/>
            <w:vAlign w:val="bottom"/>
            <w:hideMark/>
          </w:tcPr>
          <w:p w14:paraId="221FD16C" w14:textId="258F7BFF" w:rsidR="00BD4745" w:rsidRPr="00104871" w:rsidRDefault="00BD4745" w:rsidP="004B0800">
            <w:pPr>
              <w:spacing w:before="40" w:after="40" w:line="220" w:lineRule="exact"/>
              <w:ind w:left="113"/>
              <w:jc w:val="right"/>
              <w:rPr>
                <w:sz w:val="18"/>
                <w:szCs w:val="18"/>
              </w:rPr>
            </w:pPr>
            <w:r w:rsidRPr="00104871">
              <w:rPr>
                <w:sz w:val="18"/>
                <w:szCs w:val="18"/>
              </w:rPr>
              <w:t>4</w:t>
            </w:r>
            <w:r w:rsidR="001471D3">
              <w:rPr>
                <w:sz w:val="18"/>
                <w:szCs w:val="18"/>
              </w:rPr>
              <w:t xml:space="preserve"> </w:t>
            </w:r>
            <w:r w:rsidRPr="00104871">
              <w:rPr>
                <w:sz w:val="18"/>
                <w:szCs w:val="18"/>
              </w:rPr>
              <w:t>773</w:t>
            </w:r>
            <w:r w:rsidR="001471D3">
              <w:rPr>
                <w:sz w:val="18"/>
                <w:szCs w:val="18"/>
              </w:rPr>
              <w:t xml:space="preserve"> </w:t>
            </w:r>
            <w:r w:rsidRPr="00104871">
              <w:rPr>
                <w:sz w:val="18"/>
                <w:szCs w:val="18"/>
              </w:rPr>
              <w:t>863</w:t>
            </w:r>
          </w:p>
        </w:tc>
        <w:tc>
          <w:tcPr>
            <w:tcW w:w="620" w:type="dxa"/>
            <w:shd w:val="clear" w:color="auto" w:fill="auto"/>
            <w:noWrap/>
            <w:vAlign w:val="bottom"/>
            <w:hideMark/>
          </w:tcPr>
          <w:p w14:paraId="39B1E60A" w14:textId="77777777" w:rsidR="00BD4745" w:rsidRPr="00104871" w:rsidRDefault="00BD4745" w:rsidP="004B0800">
            <w:pPr>
              <w:spacing w:before="40" w:after="40" w:line="220" w:lineRule="exact"/>
              <w:ind w:left="113"/>
              <w:jc w:val="right"/>
              <w:rPr>
                <w:sz w:val="18"/>
                <w:szCs w:val="18"/>
              </w:rPr>
            </w:pPr>
            <w:r w:rsidRPr="00104871">
              <w:rPr>
                <w:sz w:val="18"/>
                <w:szCs w:val="18"/>
              </w:rPr>
              <w:t>63,21</w:t>
            </w:r>
          </w:p>
        </w:tc>
        <w:tc>
          <w:tcPr>
            <w:tcW w:w="1073" w:type="dxa"/>
            <w:shd w:val="clear" w:color="auto" w:fill="auto"/>
            <w:vAlign w:val="bottom"/>
            <w:hideMark/>
          </w:tcPr>
          <w:p w14:paraId="78D2E43F" w14:textId="3D8EAA84" w:rsidR="00BD4745" w:rsidRPr="00104871" w:rsidRDefault="00BD4745" w:rsidP="004B0800">
            <w:pPr>
              <w:spacing w:before="40" w:after="40" w:line="220" w:lineRule="exact"/>
              <w:ind w:left="113"/>
              <w:jc w:val="right"/>
              <w:rPr>
                <w:sz w:val="18"/>
                <w:szCs w:val="18"/>
              </w:rPr>
            </w:pPr>
            <w:r w:rsidRPr="00104871">
              <w:rPr>
                <w:sz w:val="18"/>
                <w:szCs w:val="18"/>
              </w:rPr>
              <w:t>10</w:t>
            </w:r>
            <w:r w:rsidR="001471D3">
              <w:rPr>
                <w:sz w:val="18"/>
                <w:szCs w:val="18"/>
              </w:rPr>
              <w:t xml:space="preserve"> </w:t>
            </w:r>
            <w:r w:rsidRPr="00104871">
              <w:rPr>
                <w:sz w:val="18"/>
                <w:szCs w:val="18"/>
              </w:rPr>
              <w:t>814</w:t>
            </w:r>
            <w:r w:rsidR="001471D3">
              <w:rPr>
                <w:sz w:val="18"/>
                <w:szCs w:val="18"/>
              </w:rPr>
              <w:t xml:space="preserve"> </w:t>
            </w:r>
            <w:r w:rsidRPr="00104871">
              <w:rPr>
                <w:sz w:val="18"/>
                <w:szCs w:val="18"/>
              </w:rPr>
              <w:t>962</w:t>
            </w:r>
          </w:p>
        </w:tc>
        <w:tc>
          <w:tcPr>
            <w:tcW w:w="924" w:type="dxa"/>
            <w:shd w:val="clear" w:color="auto" w:fill="auto"/>
            <w:vAlign w:val="bottom"/>
            <w:hideMark/>
          </w:tcPr>
          <w:p w14:paraId="4D8B4430" w14:textId="4B4C019C" w:rsidR="00BD4745" w:rsidRPr="00104871" w:rsidRDefault="00BD4745" w:rsidP="004B0800">
            <w:pPr>
              <w:spacing w:before="40" w:after="40" w:line="220" w:lineRule="exact"/>
              <w:ind w:left="113"/>
              <w:jc w:val="right"/>
              <w:rPr>
                <w:sz w:val="18"/>
                <w:szCs w:val="18"/>
              </w:rPr>
            </w:pPr>
            <w:r w:rsidRPr="00104871">
              <w:rPr>
                <w:sz w:val="18"/>
                <w:szCs w:val="18"/>
              </w:rPr>
              <w:t>9</w:t>
            </w:r>
            <w:r w:rsidR="001471D3">
              <w:rPr>
                <w:sz w:val="18"/>
                <w:szCs w:val="18"/>
              </w:rPr>
              <w:t xml:space="preserve"> </w:t>
            </w:r>
            <w:r w:rsidRPr="00104871">
              <w:rPr>
                <w:sz w:val="18"/>
                <w:szCs w:val="18"/>
              </w:rPr>
              <w:t>194</w:t>
            </w:r>
            <w:r w:rsidR="001471D3">
              <w:rPr>
                <w:sz w:val="18"/>
                <w:szCs w:val="18"/>
              </w:rPr>
              <w:t xml:space="preserve"> </w:t>
            </w:r>
            <w:r w:rsidRPr="00104871">
              <w:rPr>
                <w:sz w:val="18"/>
                <w:szCs w:val="18"/>
              </w:rPr>
              <w:t>299</w:t>
            </w:r>
          </w:p>
        </w:tc>
        <w:tc>
          <w:tcPr>
            <w:tcW w:w="518" w:type="dxa"/>
            <w:shd w:val="clear" w:color="auto" w:fill="auto"/>
            <w:noWrap/>
            <w:vAlign w:val="bottom"/>
            <w:hideMark/>
          </w:tcPr>
          <w:p w14:paraId="72C3D6A7" w14:textId="77777777" w:rsidR="00BD4745" w:rsidRPr="00104871" w:rsidRDefault="00BD4745" w:rsidP="004B0800">
            <w:pPr>
              <w:spacing w:before="40" w:after="40" w:line="220" w:lineRule="exact"/>
              <w:ind w:left="113"/>
              <w:jc w:val="right"/>
              <w:rPr>
                <w:sz w:val="18"/>
                <w:szCs w:val="18"/>
              </w:rPr>
            </w:pPr>
            <w:r w:rsidRPr="00104871">
              <w:rPr>
                <w:sz w:val="18"/>
                <w:szCs w:val="18"/>
              </w:rPr>
              <w:t>85,01</w:t>
            </w:r>
          </w:p>
        </w:tc>
        <w:tc>
          <w:tcPr>
            <w:tcW w:w="945" w:type="dxa"/>
            <w:shd w:val="clear" w:color="auto" w:fill="auto"/>
            <w:vAlign w:val="bottom"/>
            <w:hideMark/>
          </w:tcPr>
          <w:p w14:paraId="5E0EB01D" w14:textId="51FED1E2" w:rsidR="00BD4745" w:rsidRPr="00104871" w:rsidRDefault="00BD4745" w:rsidP="004B0800">
            <w:pPr>
              <w:spacing w:before="40" w:after="40" w:line="220" w:lineRule="exact"/>
              <w:ind w:left="113"/>
              <w:jc w:val="right"/>
              <w:rPr>
                <w:sz w:val="18"/>
                <w:szCs w:val="18"/>
              </w:rPr>
            </w:pPr>
            <w:r w:rsidRPr="00104871">
              <w:rPr>
                <w:sz w:val="18"/>
                <w:szCs w:val="18"/>
              </w:rPr>
              <w:t>6</w:t>
            </w:r>
            <w:r w:rsidR="001471D3">
              <w:rPr>
                <w:sz w:val="18"/>
                <w:szCs w:val="18"/>
              </w:rPr>
              <w:t xml:space="preserve"> </w:t>
            </w:r>
            <w:r w:rsidRPr="00104871">
              <w:rPr>
                <w:sz w:val="18"/>
                <w:szCs w:val="18"/>
              </w:rPr>
              <w:t>361</w:t>
            </w:r>
            <w:r w:rsidR="001471D3">
              <w:rPr>
                <w:sz w:val="18"/>
                <w:szCs w:val="18"/>
              </w:rPr>
              <w:t xml:space="preserve"> </w:t>
            </w:r>
            <w:r w:rsidRPr="00104871">
              <w:rPr>
                <w:sz w:val="18"/>
                <w:szCs w:val="18"/>
              </w:rPr>
              <w:t>594</w:t>
            </w:r>
          </w:p>
        </w:tc>
      </w:tr>
      <w:tr w:rsidR="00104871" w:rsidRPr="00104871" w14:paraId="4D614ADE" w14:textId="77777777" w:rsidTr="004B0800">
        <w:trPr>
          <w:trHeight w:val="240"/>
        </w:trPr>
        <w:tc>
          <w:tcPr>
            <w:tcW w:w="956" w:type="dxa"/>
            <w:shd w:val="clear" w:color="auto" w:fill="auto"/>
            <w:hideMark/>
          </w:tcPr>
          <w:p w14:paraId="01FBEEFF" w14:textId="77777777" w:rsidR="00BD4745" w:rsidRPr="00104871" w:rsidRDefault="00BD4745">
            <w:pPr>
              <w:spacing w:before="40" w:after="40" w:line="220" w:lineRule="exact"/>
              <w:rPr>
                <w:sz w:val="18"/>
                <w:szCs w:val="18"/>
              </w:rPr>
            </w:pPr>
            <w:r w:rsidRPr="00104871">
              <w:rPr>
                <w:sz w:val="18"/>
                <w:szCs w:val="18"/>
              </w:rPr>
              <w:t>Santa Cruz</w:t>
            </w:r>
          </w:p>
        </w:tc>
        <w:tc>
          <w:tcPr>
            <w:tcW w:w="1116" w:type="dxa"/>
            <w:shd w:val="clear" w:color="auto" w:fill="auto"/>
            <w:vAlign w:val="bottom"/>
            <w:hideMark/>
          </w:tcPr>
          <w:p w14:paraId="390C57B9" w14:textId="5AACC37B" w:rsidR="00BD4745" w:rsidRPr="00104871" w:rsidRDefault="00BD4745" w:rsidP="004B0800">
            <w:pPr>
              <w:spacing w:before="40" w:after="40" w:line="220" w:lineRule="exact"/>
              <w:ind w:left="113"/>
              <w:jc w:val="right"/>
              <w:rPr>
                <w:sz w:val="18"/>
                <w:szCs w:val="18"/>
              </w:rPr>
            </w:pPr>
            <w:r w:rsidRPr="00104871">
              <w:rPr>
                <w:sz w:val="18"/>
                <w:szCs w:val="18"/>
              </w:rPr>
              <w:t>8</w:t>
            </w:r>
            <w:r w:rsidR="001471D3">
              <w:rPr>
                <w:sz w:val="18"/>
                <w:szCs w:val="18"/>
              </w:rPr>
              <w:t xml:space="preserve"> </w:t>
            </w:r>
            <w:r w:rsidRPr="00104871">
              <w:rPr>
                <w:sz w:val="18"/>
                <w:szCs w:val="18"/>
              </w:rPr>
              <w:t>523</w:t>
            </w:r>
            <w:r w:rsidR="001471D3">
              <w:rPr>
                <w:sz w:val="18"/>
                <w:szCs w:val="18"/>
              </w:rPr>
              <w:t xml:space="preserve"> </w:t>
            </w:r>
            <w:r w:rsidRPr="00104871">
              <w:rPr>
                <w:sz w:val="18"/>
                <w:szCs w:val="18"/>
              </w:rPr>
              <w:t>650</w:t>
            </w:r>
          </w:p>
        </w:tc>
        <w:tc>
          <w:tcPr>
            <w:tcW w:w="938" w:type="dxa"/>
            <w:shd w:val="clear" w:color="auto" w:fill="auto"/>
            <w:vAlign w:val="bottom"/>
            <w:hideMark/>
          </w:tcPr>
          <w:p w14:paraId="298E18B2" w14:textId="55F51BE7" w:rsidR="00BD4745" w:rsidRPr="00104871" w:rsidRDefault="00BD4745" w:rsidP="004B0800">
            <w:pPr>
              <w:spacing w:before="40" w:after="40" w:line="220" w:lineRule="exact"/>
              <w:ind w:left="113"/>
              <w:jc w:val="right"/>
              <w:rPr>
                <w:sz w:val="18"/>
                <w:szCs w:val="18"/>
              </w:rPr>
            </w:pPr>
            <w:r w:rsidRPr="00104871">
              <w:rPr>
                <w:sz w:val="18"/>
                <w:szCs w:val="18"/>
              </w:rPr>
              <w:t>1</w:t>
            </w:r>
            <w:r w:rsidR="001471D3">
              <w:rPr>
                <w:sz w:val="18"/>
                <w:szCs w:val="18"/>
              </w:rPr>
              <w:t xml:space="preserve"> </w:t>
            </w:r>
            <w:r w:rsidRPr="00104871">
              <w:rPr>
                <w:sz w:val="18"/>
                <w:szCs w:val="18"/>
              </w:rPr>
              <w:t>984</w:t>
            </w:r>
            <w:r w:rsidR="001471D3">
              <w:rPr>
                <w:sz w:val="18"/>
                <w:szCs w:val="18"/>
              </w:rPr>
              <w:t xml:space="preserve"> </w:t>
            </w:r>
            <w:r w:rsidRPr="00104871">
              <w:rPr>
                <w:sz w:val="18"/>
                <w:szCs w:val="18"/>
              </w:rPr>
              <w:t>771</w:t>
            </w:r>
          </w:p>
        </w:tc>
        <w:tc>
          <w:tcPr>
            <w:tcW w:w="557" w:type="dxa"/>
            <w:shd w:val="clear" w:color="auto" w:fill="auto"/>
            <w:noWrap/>
            <w:vAlign w:val="bottom"/>
            <w:hideMark/>
          </w:tcPr>
          <w:p w14:paraId="4B562FE4" w14:textId="77777777" w:rsidR="00BD4745" w:rsidRPr="00104871" w:rsidRDefault="00BD4745" w:rsidP="004B0800">
            <w:pPr>
              <w:spacing w:before="40" w:after="40" w:line="220" w:lineRule="exact"/>
              <w:ind w:left="113"/>
              <w:jc w:val="right"/>
              <w:rPr>
                <w:sz w:val="18"/>
                <w:szCs w:val="18"/>
              </w:rPr>
            </w:pPr>
            <w:r w:rsidRPr="00104871">
              <w:rPr>
                <w:sz w:val="18"/>
                <w:szCs w:val="18"/>
              </w:rPr>
              <w:t>23,29</w:t>
            </w:r>
          </w:p>
        </w:tc>
        <w:tc>
          <w:tcPr>
            <w:tcW w:w="1067" w:type="dxa"/>
            <w:shd w:val="clear" w:color="auto" w:fill="auto"/>
            <w:vAlign w:val="bottom"/>
            <w:hideMark/>
          </w:tcPr>
          <w:p w14:paraId="447825C1" w14:textId="1D651E4F" w:rsidR="00BD4745" w:rsidRPr="00104871" w:rsidRDefault="00BD4745" w:rsidP="004B0800">
            <w:pPr>
              <w:spacing w:before="40" w:after="40" w:line="220" w:lineRule="exact"/>
              <w:ind w:left="113"/>
              <w:jc w:val="right"/>
              <w:rPr>
                <w:sz w:val="18"/>
                <w:szCs w:val="18"/>
              </w:rPr>
            </w:pPr>
            <w:r w:rsidRPr="00104871">
              <w:rPr>
                <w:sz w:val="18"/>
                <w:szCs w:val="18"/>
              </w:rPr>
              <w:t>10</w:t>
            </w:r>
            <w:r w:rsidR="001471D3">
              <w:rPr>
                <w:sz w:val="18"/>
                <w:szCs w:val="18"/>
              </w:rPr>
              <w:t xml:space="preserve"> </w:t>
            </w:r>
            <w:r w:rsidRPr="00104871">
              <w:rPr>
                <w:sz w:val="18"/>
                <w:szCs w:val="18"/>
              </w:rPr>
              <w:t>688</w:t>
            </w:r>
            <w:r w:rsidR="001471D3">
              <w:rPr>
                <w:sz w:val="18"/>
                <w:szCs w:val="18"/>
              </w:rPr>
              <w:t xml:space="preserve"> </w:t>
            </w:r>
            <w:r w:rsidRPr="00104871">
              <w:rPr>
                <w:sz w:val="18"/>
                <w:szCs w:val="18"/>
              </w:rPr>
              <w:t>969</w:t>
            </w:r>
          </w:p>
        </w:tc>
        <w:tc>
          <w:tcPr>
            <w:tcW w:w="924" w:type="dxa"/>
            <w:shd w:val="clear" w:color="auto" w:fill="auto"/>
            <w:vAlign w:val="bottom"/>
            <w:hideMark/>
          </w:tcPr>
          <w:p w14:paraId="504D347B" w14:textId="3582BA55" w:rsidR="00BD4745" w:rsidRPr="00104871" w:rsidRDefault="00BD4745" w:rsidP="004B0800">
            <w:pPr>
              <w:spacing w:before="40" w:after="40" w:line="220" w:lineRule="exact"/>
              <w:ind w:left="113"/>
              <w:jc w:val="right"/>
              <w:rPr>
                <w:sz w:val="18"/>
                <w:szCs w:val="18"/>
              </w:rPr>
            </w:pPr>
            <w:r w:rsidRPr="00104871">
              <w:rPr>
                <w:sz w:val="18"/>
                <w:szCs w:val="18"/>
              </w:rPr>
              <w:t>2</w:t>
            </w:r>
            <w:r w:rsidR="001471D3">
              <w:rPr>
                <w:sz w:val="18"/>
                <w:szCs w:val="18"/>
              </w:rPr>
              <w:t xml:space="preserve"> </w:t>
            </w:r>
            <w:r w:rsidRPr="00104871">
              <w:rPr>
                <w:sz w:val="18"/>
                <w:szCs w:val="18"/>
              </w:rPr>
              <w:t>834</w:t>
            </w:r>
            <w:r w:rsidR="001471D3">
              <w:rPr>
                <w:sz w:val="18"/>
                <w:szCs w:val="18"/>
              </w:rPr>
              <w:t xml:space="preserve"> </w:t>
            </w:r>
            <w:r w:rsidRPr="00104871">
              <w:rPr>
                <w:sz w:val="18"/>
                <w:szCs w:val="18"/>
              </w:rPr>
              <w:t>349</w:t>
            </w:r>
          </w:p>
        </w:tc>
        <w:tc>
          <w:tcPr>
            <w:tcW w:w="620" w:type="dxa"/>
            <w:shd w:val="clear" w:color="auto" w:fill="auto"/>
            <w:noWrap/>
            <w:vAlign w:val="bottom"/>
            <w:hideMark/>
          </w:tcPr>
          <w:p w14:paraId="3CE32495" w14:textId="77777777" w:rsidR="00BD4745" w:rsidRPr="00104871" w:rsidRDefault="00BD4745" w:rsidP="004B0800">
            <w:pPr>
              <w:spacing w:before="40" w:after="40" w:line="220" w:lineRule="exact"/>
              <w:ind w:left="113"/>
              <w:jc w:val="right"/>
              <w:rPr>
                <w:sz w:val="18"/>
                <w:szCs w:val="18"/>
              </w:rPr>
            </w:pPr>
            <w:r w:rsidRPr="00104871">
              <w:rPr>
                <w:sz w:val="18"/>
                <w:szCs w:val="18"/>
              </w:rPr>
              <w:t>26,52</w:t>
            </w:r>
          </w:p>
        </w:tc>
        <w:tc>
          <w:tcPr>
            <w:tcW w:w="1073" w:type="dxa"/>
            <w:shd w:val="clear" w:color="auto" w:fill="auto"/>
            <w:vAlign w:val="bottom"/>
            <w:hideMark/>
          </w:tcPr>
          <w:p w14:paraId="70FF300F" w14:textId="086F5D68" w:rsidR="00BD4745" w:rsidRPr="00104871" w:rsidRDefault="00BD4745" w:rsidP="004B0800">
            <w:pPr>
              <w:spacing w:before="40" w:after="40" w:line="220" w:lineRule="exact"/>
              <w:ind w:left="113"/>
              <w:jc w:val="right"/>
              <w:rPr>
                <w:sz w:val="18"/>
                <w:szCs w:val="18"/>
              </w:rPr>
            </w:pPr>
            <w:r w:rsidRPr="00104871">
              <w:rPr>
                <w:sz w:val="18"/>
                <w:szCs w:val="18"/>
              </w:rPr>
              <w:t>10</w:t>
            </w:r>
            <w:r w:rsidR="001471D3">
              <w:rPr>
                <w:sz w:val="18"/>
                <w:szCs w:val="18"/>
              </w:rPr>
              <w:t xml:space="preserve"> </w:t>
            </w:r>
            <w:r w:rsidRPr="00104871">
              <w:rPr>
                <w:sz w:val="18"/>
                <w:szCs w:val="18"/>
              </w:rPr>
              <w:t>242</w:t>
            </w:r>
            <w:r w:rsidR="001471D3">
              <w:rPr>
                <w:sz w:val="18"/>
                <w:szCs w:val="18"/>
              </w:rPr>
              <w:t xml:space="preserve"> </w:t>
            </w:r>
            <w:r w:rsidRPr="00104871">
              <w:rPr>
                <w:sz w:val="18"/>
                <w:szCs w:val="18"/>
              </w:rPr>
              <w:t>071</w:t>
            </w:r>
          </w:p>
        </w:tc>
        <w:tc>
          <w:tcPr>
            <w:tcW w:w="924" w:type="dxa"/>
            <w:shd w:val="clear" w:color="auto" w:fill="auto"/>
            <w:vAlign w:val="bottom"/>
            <w:hideMark/>
          </w:tcPr>
          <w:p w14:paraId="08E397AE" w14:textId="5EF65A8C" w:rsidR="00BD4745" w:rsidRPr="00104871" w:rsidRDefault="00BD4745" w:rsidP="004B0800">
            <w:pPr>
              <w:spacing w:before="40" w:after="40" w:line="220" w:lineRule="exact"/>
              <w:ind w:left="113"/>
              <w:jc w:val="right"/>
              <w:rPr>
                <w:sz w:val="18"/>
                <w:szCs w:val="18"/>
              </w:rPr>
            </w:pPr>
            <w:r w:rsidRPr="00104871">
              <w:rPr>
                <w:sz w:val="18"/>
                <w:szCs w:val="18"/>
              </w:rPr>
              <w:t>2</w:t>
            </w:r>
            <w:r w:rsidR="001471D3">
              <w:rPr>
                <w:sz w:val="18"/>
                <w:szCs w:val="18"/>
              </w:rPr>
              <w:t xml:space="preserve"> </w:t>
            </w:r>
            <w:r w:rsidRPr="00104871">
              <w:rPr>
                <w:sz w:val="18"/>
                <w:szCs w:val="18"/>
              </w:rPr>
              <w:t>239</w:t>
            </w:r>
            <w:r w:rsidR="001471D3">
              <w:rPr>
                <w:sz w:val="18"/>
                <w:szCs w:val="18"/>
              </w:rPr>
              <w:t xml:space="preserve"> </w:t>
            </w:r>
            <w:r w:rsidRPr="00104871">
              <w:rPr>
                <w:sz w:val="18"/>
                <w:szCs w:val="18"/>
              </w:rPr>
              <w:t>549</w:t>
            </w:r>
          </w:p>
        </w:tc>
        <w:tc>
          <w:tcPr>
            <w:tcW w:w="518" w:type="dxa"/>
            <w:shd w:val="clear" w:color="auto" w:fill="auto"/>
            <w:noWrap/>
            <w:vAlign w:val="bottom"/>
            <w:hideMark/>
          </w:tcPr>
          <w:p w14:paraId="1E3E94CD" w14:textId="77777777" w:rsidR="00BD4745" w:rsidRPr="00104871" w:rsidRDefault="00BD4745" w:rsidP="004B0800">
            <w:pPr>
              <w:spacing w:before="40" w:after="40" w:line="220" w:lineRule="exact"/>
              <w:ind w:left="113"/>
              <w:jc w:val="right"/>
              <w:rPr>
                <w:sz w:val="18"/>
                <w:szCs w:val="18"/>
              </w:rPr>
            </w:pPr>
            <w:r w:rsidRPr="00104871">
              <w:rPr>
                <w:sz w:val="18"/>
                <w:szCs w:val="18"/>
              </w:rPr>
              <w:t>21,87</w:t>
            </w:r>
          </w:p>
        </w:tc>
        <w:tc>
          <w:tcPr>
            <w:tcW w:w="945" w:type="dxa"/>
            <w:shd w:val="clear" w:color="auto" w:fill="auto"/>
            <w:vAlign w:val="bottom"/>
            <w:hideMark/>
          </w:tcPr>
          <w:p w14:paraId="61DF44DA" w14:textId="13B0FCB8" w:rsidR="00BD4745" w:rsidRPr="00104871" w:rsidRDefault="00BD4745" w:rsidP="004B0800">
            <w:pPr>
              <w:spacing w:before="40" w:after="40" w:line="220" w:lineRule="exact"/>
              <w:ind w:left="113"/>
              <w:jc w:val="right"/>
              <w:rPr>
                <w:sz w:val="18"/>
                <w:szCs w:val="18"/>
              </w:rPr>
            </w:pPr>
            <w:r w:rsidRPr="00104871">
              <w:rPr>
                <w:sz w:val="18"/>
                <w:szCs w:val="18"/>
              </w:rPr>
              <w:t>2</w:t>
            </w:r>
            <w:r w:rsidR="001471D3">
              <w:rPr>
                <w:sz w:val="18"/>
                <w:szCs w:val="18"/>
              </w:rPr>
              <w:t xml:space="preserve"> </w:t>
            </w:r>
            <w:r w:rsidRPr="00104871">
              <w:rPr>
                <w:sz w:val="18"/>
                <w:szCs w:val="18"/>
              </w:rPr>
              <w:t>352</w:t>
            </w:r>
            <w:r w:rsidR="001471D3">
              <w:rPr>
                <w:sz w:val="18"/>
                <w:szCs w:val="18"/>
              </w:rPr>
              <w:t xml:space="preserve"> </w:t>
            </w:r>
            <w:r w:rsidRPr="00104871">
              <w:rPr>
                <w:sz w:val="18"/>
                <w:szCs w:val="18"/>
              </w:rPr>
              <w:t>890</w:t>
            </w:r>
          </w:p>
        </w:tc>
      </w:tr>
      <w:tr w:rsidR="00104871" w:rsidRPr="00104871" w14:paraId="59887749" w14:textId="77777777" w:rsidTr="004B0800">
        <w:trPr>
          <w:trHeight w:val="240"/>
        </w:trPr>
        <w:tc>
          <w:tcPr>
            <w:tcW w:w="956" w:type="dxa"/>
            <w:shd w:val="clear" w:color="auto" w:fill="auto"/>
            <w:hideMark/>
          </w:tcPr>
          <w:p w14:paraId="2882012A" w14:textId="77777777" w:rsidR="00BD4745" w:rsidRPr="00104871" w:rsidRDefault="00BD4745">
            <w:pPr>
              <w:spacing w:before="40" w:after="40" w:line="220" w:lineRule="exact"/>
              <w:rPr>
                <w:sz w:val="18"/>
                <w:szCs w:val="18"/>
              </w:rPr>
            </w:pPr>
            <w:r w:rsidRPr="00104871">
              <w:rPr>
                <w:sz w:val="18"/>
                <w:szCs w:val="18"/>
              </w:rPr>
              <w:t>Beni</w:t>
            </w:r>
          </w:p>
        </w:tc>
        <w:tc>
          <w:tcPr>
            <w:tcW w:w="1116" w:type="dxa"/>
            <w:shd w:val="clear" w:color="auto" w:fill="auto"/>
            <w:vAlign w:val="bottom"/>
            <w:hideMark/>
          </w:tcPr>
          <w:p w14:paraId="1E736BEC" w14:textId="158DF792" w:rsidR="00BD4745" w:rsidRPr="00104871" w:rsidRDefault="00BD4745" w:rsidP="004B0800">
            <w:pPr>
              <w:spacing w:before="40" w:after="40" w:line="220" w:lineRule="exact"/>
              <w:ind w:left="113"/>
              <w:jc w:val="right"/>
              <w:rPr>
                <w:sz w:val="18"/>
                <w:szCs w:val="18"/>
              </w:rPr>
            </w:pPr>
            <w:r w:rsidRPr="00104871">
              <w:rPr>
                <w:sz w:val="18"/>
                <w:szCs w:val="18"/>
              </w:rPr>
              <w:t>3</w:t>
            </w:r>
            <w:r w:rsidR="001471D3">
              <w:rPr>
                <w:sz w:val="18"/>
                <w:szCs w:val="18"/>
              </w:rPr>
              <w:t xml:space="preserve"> </w:t>
            </w:r>
            <w:r w:rsidRPr="00104871">
              <w:rPr>
                <w:sz w:val="18"/>
                <w:szCs w:val="18"/>
              </w:rPr>
              <w:t>500</w:t>
            </w:r>
            <w:r w:rsidR="001471D3">
              <w:rPr>
                <w:sz w:val="18"/>
                <w:szCs w:val="18"/>
              </w:rPr>
              <w:t xml:space="preserve"> </w:t>
            </w:r>
            <w:r w:rsidRPr="00104871">
              <w:rPr>
                <w:sz w:val="18"/>
                <w:szCs w:val="18"/>
              </w:rPr>
              <w:t>760</w:t>
            </w:r>
          </w:p>
        </w:tc>
        <w:tc>
          <w:tcPr>
            <w:tcW w:w="938" w:type="dxa"/>
            <w:shd w:val="clear" w:color="auto" w:fill="auto"/>
            <w:vAlign w:val="bottom"/>
            <w:hideMark/>
          </w:tcPr>
          <w:p w14:paraId="4CFFF109" w14:textId="1DA28AD1" w:rsidR="00BD4745" w:rsidRPr="00104871" w:rsidRDefault="00BD4745" w:rsidP="004B0800">
            <w:pPr>
              <w:spacing w:before="40" w:after="40" w:line="220" w:lineRule="exact"/>
              <w:ind w:left="113"/>
              <w:jc w:val="right"/>
              <w:rPr>
                <w:sz w:val="18"/>
                <w:szCs w:val="18"/>
              </w:rPr>
            </w:pPr>
            <w:r w:rsidRPr="00104871">
              <w:rPr>
                <w:sz w:val="18"/>
                <w:szCs w:val="18"/>
              </w:rPr>
              <w:t>3</w:t>
            </w:r>
            <w:r w:rsidR="001471D3">
              <w:rPr>
                <w:sz w:val="18"/>
                <w:szCs w:val="18"/>
              </w:rPr>
              <w:t xml:space="preserve"> </w:t>
            </w:r>
            <w:r w:rsidRPr="00104871">
              <w:rPr>
                <w:sz w:val="18"/>
                <w:szCs w:val="18"/>
              </w:rPr>
              <w:t>327</w:t>
            </w:r>
            <w:r w:rsidR="001471D3">
              <w:rPr>
                <w:sz w:val="18"/>
                <w:szCs w:val="18"/>
              </w:rPr>
              <w:t xml:space="preserve"> </w:t>
            </w:r>
            <w:r w:rsidRPr="00104871">
              <w:rPr>
                <w:sz w:val="18"/>
                <w:szCs w:val="18"/>
              </w:rPr>
              <w:t>566</w:t>
            </w:r>
          </w:p>
        </w:tc>
        <w:tc>
          <w:tcPr>
            <w:tcW w:w="557" w:type="dxa"/>
            <w:shd w:val="clear" w:color="auto" w:fill="auto"/>
            <w:noWrap/>
            <w:vAlign w:val="bottom"/>
            <w:hideMark/>
          </w:tcPr>
          <w:p w14:paraId="11CEB7DF" w14:textId="77777777" w:rsidR="00BD4745" w:rsidRPr="00104871" w:rsidRDefault="00BD4745" w:rsidP="004B0800">
            <w:pPr>
              <w:spacing w:before="40" w:after="40" w:line="220" w:lineRule="exact"/>
              <w:ind w:left="113"/>
              <w:jc w:val="right"/>
              <w:rPr>
                <w:sz w:val="18"/>
                <w:szCs w:val="18"/>
              </w:rPr>
            </w:pPr>
            <w:r w:rsidRPr="00104871">
              <w:rPr>
                <w:sz w:val="18"/>
                <w:szCs w:val="18"/>
              </w:rPr>
              <w:t>95,05</w:t>
            </w:r>
          </w:p>
        </w:tc>
        <w:tc>
          <w:tcPr>
            <w:tcW w:w="1067" w:type="dxa"/>
            <w:shd w:val="clear" w:color="auto" w:fill="auto"/>
            <w:vAlign w:val="bottom"/>
            <w:hideMark/>
          </w:tcPr>
          <w:p w14:paraId="42709212" w14:textId="40216305" w:rsidR="00BD4745" w:rsidRPr="00104871" w:rsidRDefault="00BD4745" w:rsidP="004B0800">
            <w:pPr>
              <w:spacing w:before="40" w:after="40" w:line="220" w:lineRule="exact"/>
              <w:ind w:left="113"/>
              <w:jc w:val="right"/>
              <w:rPr>
                <w:sz w:val="18"/>
                <w:szCs w:val="18"/>
              </w:rPr>
            </w:pPr>
            <w:r w:rsidRPr="00104871">
              <w:rPr>
                <w:sz w:val="18"/>
                <w:szCs w:val="18"/>
              </w:rPr>
              <w:t>2</w:t>
            </w:r>
            <w:r w:rsidR="001471D3">
              <w:rPr>
                <w:sz w:val="18"/>
                <w:szCs w:val="18"/>
              </w:rPr>
              <w:t xml:space="preserve"> </w:t>
            </w:r>
            <w:r w:rsidRPr="00104871">
              <w:rPr>
                <w:sz w:val="18"/>
                <w:szCs w:val="18"/>
              </w:rPr>
              <w:t>416</w:t>
            </w:r>
            <w:r w:rsidR="001471D3">
              <w:rPr>
                <w:sz w:val="18"/>
                <w:szCs w:val="18"/>
              </w:rPr>
              <w:t xml:space="preserve"> </w:t>
            </w:r>
            <w:r w:rsidRPr="00104871">
              <w:rPr>
                <w:sz w:val="18"/>
                <w:szCs w:val="18"/>
              </w:rPr>
              <w:t>883</w:t>
            </w:r>
          </w:p>
        </w:tc>
        <w:tc>
          <w:tcPr>
            <w:tcW w:w="924" w:type="dxa"/>
            <w:shd w:val="clear" w:color="auto" w:fill="auto"/>
            <w:vAlign w:val="bottom"/>
            <w:hideMark/>
          </w:tcPr>
          <w:p w14:paraId="73A08EE2" w14:textId="51C10734" w:rsidR="00BD4745" w:rsidRPr="00104871" w:rsidRDefault="00BD4745" w:rsidP="004B0800">
            <w:pPr>
              <w:spacing w:before="40" w:after="40" w:line="220" w:lineRule="exact"/>
              <w:ind w:left="113"/>
              <w:jc w:val="right"/>
              <w:rPr>
                <w:sz w:val="18"/>
                <w:szCs w:val="18"/>
              </w:rPr>
            </w:pPr>
            <w:r w:rsidRPr="00104871">
              <w:rPr>
                <w:sz w:val="18"/>
                <w:szCs w:val="18"/>
              </w:rPr>
              <w:t>2</w:t>
            </w:r>
            <w:r w:rsidR="001471D3">
              <w:rPr>
                <w:sz w:val="18"/>
                <w:szCs w:val="18"/>
              </w:rPr>
              <w:t xml:space="preserve"> </w:t>
            </w:r>
            <w:r w:rsidRPr="00104871">
              <w:rPr>
                <w:sz w:val="18"/>
                <w:szCs w:val="18"/>
              </w:rPr>
              <w:t>085</w:t>
            </w:r>
            <w:r w:rsidR="001471D3">
              <w:rPr>
                <w:sz w:val="18"/>
                <w:szCs w:val="18"/>
              </w:rPr>
              <w:t xml:space="preserve"> </w:t>
            </w:r>
            <w:r w:rsidRPr="00104871">
              <w:rPr>
                <w:sz w:val="18"/>
                <w:szCs w:val="18"/>
              </w:rPr>
              <w:t>161</w:t>
            </w:r>
          </w:p>
        </w:tc>
        <w:tc>
          <w:tcPr>
            <w:tcW w:w="620" w:type="dxa"/>
            <w:shd w:val="clear" w:color="auto" w:fill="auto"/>
            <w:noWrap/>
            <w:vAlign w:val="bottom"/>
            <w:hideMark/>
          </w:tcPr>
          <w:p w14:paraId="719665D7" w14:textId="77777777" w:rsidR="00BD4745" w:rsidRPr="00104871" w:rsidRDefault="00BD4745" w:rsidP="004B0800">
            <w:pPr>
              <w:spacing w:before="40" w:after="40" w:line="220" w:lineRule="exact"/>
              <w:ind w:left="113"/>
              <w:jc w:val="right"/>
              <w:rPr>
                <w:sz w:val="18"/>
                <w:szCs w:val="18"/>
              </w:rPr>
            </w:pPr>
            <w:r w:rsidRPr="00104871">
              <w:rPr>
                <w:sz w:val="18"/>
                <w:szCs w:val="18"/>
              </w:rPr>
              <w:t>86,27</w:t>
            </w:r>
          </w:p>
        </w:tc>
        <w:tc>
          <w:tcPr>
            <w:tcW w:w="1073" w:type="dxa"/>
            <w:shd w:val="clear" w:color="auto" w:fill="auto"/>
            <w:vAlign w:val="bottom"/>
            <w:hideMark/>
          </w:tcPr>
          <w:p w14:paraId="31CDDF1E" w14:textId="6C557AA4" w:rsidR="00BD4745" w:rsidRPr="00104871" w:rsidRDefault="00BD4745" w:rsidP="004B0800">
            <w:pPr>
              <w:spacing w:before="40" w:after="40" w:line="220" w:lineRule="exact"/>
              <w:ind w:left="113"/>
              <w:jc w:val="right"/>
              <w:rPr>
                <w:sz w:val="18"/>
                <w:szCs w:val="18"/>
              </w:rPr>
            </w:pPr>
            <w:r w:rsidRPr="00104871">
              <w:rPr>
                <w:sz w:val="18"/>
                <w:szCs w:val="18"/>
              </w:rPr>
              <w:t>1</w:t>
            </w:r>
            <w:r w:rsidR="001471D3">
              <w:rPr>
                <w:sz w:val="18"/>
                <w:szCs w:val="18"/>
              </w:rPr>
              <w:t xml:space="preserve"> </w:t>
            </w:r>
            <w:r w:rsidRPr="00104871">
              <w:rPr>
                <w:sz w:val="18"/>
                <w:szCs w:val="18"/>
              </w:rPr>
              <w:t>387</w:t>
            </w:r>
            <w:r w:rsidR="001471D3">
              <w:rPr>
                <w:sz w:val="18"/>
                <w:szCs w:val="18"/>
              </w:rPr>
              <w:t xml:space="preserve"> </w:t>
            </w:r>
            <w:r w:rsidRPr="00104871">
              <w:rPr>
                <w:sz w:val="18"/>
                <w:szCs w:val="18"/>
              </w:rPr>
              <w:t>560</w:t>
            </w:r>
          </w:p>
        </w:tc>
        <w:tc>
          <w:tcPr>
            <w:tcW w:w="924" w:type="dxa"/>
            <w:shd w:val="clear" w:color="auto" w:fill="auto"/>
            <w:vAlign w:val="bottom"/>
            <w:hideMark/>
          </w:tcPr>
          <w:p w14:paraId="41F55F09" w14:textId="264ECB68" w:rsidR="00BD4745" w:rsidRPr="00104871" w:rsidRDefault="00BD4745" w:rsidP="004B0800">
            <w:pPr>
              <w:spacing w:before="40" w:after="40" w:line="220" w:lineRule="exact"/>
              <w:ind w:left="113"/>
              <w:jc w:val="right"/>
              <w:rPr>
                <w:sz w:val="18"/>
                <w:szCs w:val="18"/>
              </w:rPr>
            </w:pPr>
            <w:r w:rsidRPr="00104871">
              <w:rPr>
                <w:sz w:val="18"/>
                <w:szCs w:val="18"/>
              </w:rPr>
              <w:t>891</w:t>
            </w:r>
            <w:r w:rsidR="001471D3">
              <w:rPr>
                <w:sz w:val="18"/>
                <w:szCs w:val="18"/>
              </w:rPr>
              <w:t xml:space="preserve"> </w:t>
            </w:r>
            <w:r w:rsidRPr="00104871">
              <w:rPr>
                <w:sz w:val="18"/>
                <w:szCs w:val="18"/>
              </w:rPr>
              <w:t>330</w:t>
            </w:r>
          </w:p>
        </w:tc>
        <w:tc>
          <w:tcPr>
            <w:tcW w:w="518" w:type="dxa"/>
            <w:shd w:val="clear" w:color="auto" w:fill="auto"/>
            <w:noWrap/>
            <w:vAlign w:val="bottom"/>
            <w:hideMark/>
          </w:tcPr>
          <w:p w14:paraId="7D4BADA3" w14:textId="77777777" w:rsidR="00BD4745" w:rsidRPr="00104871" w:rsidRDefault="00BD4745" w:rsidP="004B0800">
            <w:pPr>
              <w:spacing w:before="40" w:after="40" w:line="220" w:lineRule="exact"/>
              <w:ind w:left="113"/>
              <w:jc w:val="right"/>
              <w:rPr>
                <w:sz w:val="18"/>
                <w:szCs w:val="18"/>
              </w:rPr>
            </w:pPr>
            <w:r w:rsidRPr="00104871">
              <w:rPr>
                <w:sz w:val="18"/>
                <w:szCs w:val="18"/>
              </w:rPr>
              <w:t>64,24</w:t>
            </w:r>
          </w:p>
        </w:tc>
        <w:tc>
          <w:tcPr>
            <w:tcW w:w="945" w:type="dxa"/>
            <w:shd w:val="clear" w:color="auto" w:fill="auto"/>
            <w:vAlign w:val="bottom"/>
            <w:hideMark/>
          </w:tcPr>
          <w:p w14:paraId="5B515075" w14:textId="60D4E543" w:rsidR="00BD4745" w:rsidRPr="00104871" w:rsidRDefault="00BD4745" w:rsidP="004B0800">
            <w:pPr>
              <w:spacing w:before="40" w:after="40" w:line="220" w:lineRule="exact"/>
              <w:ind w:left="113"/>
              <w:jc w:val="right"/>
              <w:rPr>
                <w:sz w:val="18"/>
                <w:szCs w:val="18"/>
              </w:rPr>
            </w:pPr>
            <w:r w:rsidRPr="00104871">
              <w:rPr>
                <w:sz w:val="18"/>
                <w:szCs w:val="18"/>
              </w:rPr>
              <w:t>2</w:t>
            </w:r>
            <w:r w:rsidR="001471D3">
              <w:rPr>
                <w:sz w:val="18"/>
                <w:szCs w:val="18"/>
              </w:rPr>
              <w:t xml:space="preserve"> </w:t>
            </w:r>
            <w:r w:rsidRPr="00104871">
              <w:rPr>
                <w:sz w:val="18"/>
                <w:szCs w:val="18"/>
              </w:rPr>
              <w:t>101</w:t>
            </w:r>
            <w:r w:rsidR="001471D3">
              <w:rPr>
                <w:sz w:val="18"/>
                <w:szCs w:val="18"/>
              </w:rPr>
              <w:t xml:space="preserve"> </w:t>
            </w:r>
            <w:r w:rsidRPr="00104871">
              <w:rPr>
                <w:sz w:val="18"/>
                <w:szCs w:val="18"/>
              </w:rPr>
              <w:t>353</w:t>
            </w:r>
          </w:p>
        </w:tc>
      </w:tr>
      <w:tr w:rsidR="00104871" w:rsidRPr="00104871" w14:paraId="42B358CF" w14:textId="77777777" w:rsidTr="004B0800">
        <w:trPr>
          <w:trHeight w:val="240"/>
        </w:trPr>
        <w:tc>
          <w:tcPr>
            <w:tcW w:w="956" w:type="dxa"/>
            <w:tcBorders>
              <w:bottom w:val="single" w:sz="4" w:space="0" w:color="auto"/>
            </w:tcBorders>
            <w:shd w:val="clear" w:color="auto" w:fill="auto"/>
            <w:hideMark/>
          </w:tcPr>
          <w:p w14:paraId="6355231A" w14:textId="77777777" w:rsidR="00BD4745" w:rsidRPr="00104871" w:rsidRDefault="00BD4745">
            <w:pPr>
              <w:spacing w:before="40" w:after="40" w:line="220" w:lineRule="exact"/>
              <w:rPr>
                <w:sz w:val="18"/>
                <w:szCs w:val="18"/>
              </w:rPr>
            </w:pPr>
            <w:r w:rsidRPr="00104871">
              <w:rPr>
                <w:sz w:val="18"/>
                <w:szCs w:val="18"/>
              </w:rPr>
              <w:t>Pando</w:t>
            </w:r>
          </w:p>
        </w:tc>
        <w:tc>
          <w:tcPr>
            <w:tcW w:w="1116" w:type="dxa"/>
            <w:tcBorders>
              <w:bottom w:val="single" w:sz="4" w:space="0" w:color="auto"/>
            </w:tcBorders>
            <w:shd w:val="clear" w:color="auto" w:fill="auto"/>
            <w:vAlign w:val="bottom"/>
            <w:hideMark/>
          </w:tcPr>
          <w:p w14:paraId="543098C0" w14:textId="626C1B06" w:rsidR="00BD4745" w:rsidRPr="00104871" w:rsidRDefault="00BD4745" w:rsidP="004B0800">
            <w:pPr>
              <w:spacing w:before="40" w:after="40" w:line="220" w:lineRule="exact"/>
              <w:ind w:left="113"/>
              <w:jc w:val="right"/>
              <w:rPr>
                <w:sz w:val="18"/>
                <w:szCs w:val="18"/>
              </w:rPr>
            </w:pPr>
            <w:r w:rsidRPr="00104871">
              <w:rPr>
                <w:sz w:val="18"/>
                <w:szCs w:val="18"/>
              </w:rPr>
              <w:t>896</w:t>
            </w:r>
            <w:r w:rsidR="001471D3">
              <w:rPr>
                <w:sz w:val="18"/>
                <w:szCs w:val="18"/>
              </w:rPr>
              <w:t xml:space="preserve"> </w:t>
            </w:r>
            <w:r w:rsidRPr="00104871">
              <w:rPr>
                <w:sz w:val="18"/>
                <w:szCs w:val="18"/>
              </w:rPr>
              <w:t>955</w:t>
            </w:r>
          </w:p>
        </w:tc>
        <w:tc>
          <w:tcPr>
            <w:tcW w:w="938" w:type="dxa"/>
            <w:tcBorders>
              <w:bottom w:val="single" w:sz="4" w:space="0" w:color="auto"/>
            </w:tcBorders>
            <w:shd w:val="clear" w:color="auto" w:fill="auto"/>
            <w:vAlign w:val="bottom"/>
            <w:hideMark/>
          </w:tcPr>
          <w:p w14:paraId="6760E4B3" w14:textId="68558D4B" w:rsidR="00BD4745" w:rsidRPr="00104871" w:rsidRDefault="00BD4745" w:rsidP="004B0800">
            <w:pPr>
              <w:spacing w:before="40" w:after="40" w:line="220" w:lineRule="exact"/>
              <w:ind w:left="113"/>
              <w:jc w:val="right"/>
              <w:rPr>
                <w:sz w:val="18"/>
                <w:szCs w:val="18"/>
              </w:rPr>
            </w:pPr>
            <w:r w:rsidRPr="00104871">
              <w:rPr>
                <w:sz w:val="18"/>
                <w:szCs w:val="18"/>
              </w:rPr>
              <w:t>692</w:t>
            </w:r>
            <w:r w:rsidR="001471D3">
              <w:rPr>
                <w:sz w:val="18"/>
                <w:szCs w:val="18"/>
              </w:rPr>
              <w:t xml:space="preserve"> </w:t>
            </w:r>
            <w:r w:rsidRPr="00104871">
              <w:rPr>
                <w:sz w:val="18"/>
                <w:szCs w:val="18"/>
              </w:rPr>
              <w:t>067</w:t>
            </w:r>
          </w:p>
        </w:tc>
        <w:tc>
          <w:tcPr>
            <w:tcW w:w="557" w:type="dxa"/>
            <w:tcBorders>
              <w:bottom w:val="single" w:sz="4" w:space="0" w:color="auto"/>
            </w:tcBorders>
            <w:shd w:val="clear" w:color="auto" w:fill="auto"/>
            <w:noWrap/>
            <w:vAlign w:val="bottom"/>
            <w:hideMark/>
          </w:tcPr>
          <w:p w14:paraId="0B3296E6" w14:textId="77777777" w:rsidR="00BD4745" w:rsidRPr="00104871" w:rsidRDefault="00BD4745" w:rsidP="004B0800">
            <w:pPr>
              <w:spacing w:before="40" w:after="40" w:line="220" w:lineRule="exact"/>
              <w:ind w:left="113"/>
              <w:jc w:val="right"/>
              <w:rPr>
                <w:sz w:val="18"/>
                <w:szCs w:val="18"/>
              </w:rPr>
            </w:pPr>
            <w:r w:rsidRPr="00104871">
              <w:rPr>
                <w:sz w:val="18"/>
                <w:szCs w:val="18"/>
              </w:rPr>
              <w:t>77,16</w:t>
            </w:r>
          </w:p>
        </w:tc>
        <w:tc>
          <w:tcPr>
            <w:tcW w:w="1067" w:type="dxa"/>
            <w:tcBorders>
              <w:bottom w:val="single" w:sz="4" w:space="0" w:color="auto"/>
            </w:tcBorders>
            <w:shd w:val="clear" w:color="auto" w:fill="auto"/>
            <w:vAlign w:val="bottom"/>
            <w:hideMark/>
          </w:tcPr>
          <w:p w14:paraId="2ED3B04D" w14:textId="351A6777" w:rsidR="00BD4745" w:rsidRPr="00104871" w:rsidRDefault="00BD4745" w:rsidP="004B0800">
            <w:pPr>
              <w:spacing w:before="40" w:after="40" w:line="220" w:lineRule="exact"/>
              <w:ind w:left="113"/>
              <w:jc w:val="right"/>
              <w:rPr>
                <w:sz w:val="18"/>
                <w:szCs w:val="18"/>
              </w:rPr>
            </w:pPr>
            <w:r w:rsidRPr="00104871">
              <w:rPr>
                <w:sz w:val="18"/>
                <w:szCs w:val="18"/>
              </w:rPr>
              <w:t>728</w:t>
            </w:r>
            <w:r w:rsidR="001471D3">
              <w:rPr>
                <w:sz w:val="18"/>
                <w:szCs w:val="18"/>
              </w:rPr>
              <w:t xml:space="preserve"> </w:t>
            </w:r>
            <w:r w:rsidRPr="00104871">
              <w:rPr>
                <w:sz w:val="18"/>
                <w:szCs w:val="18"/>
              </w:rPr>
              <w:t>488</w:t>
            </w:r>
          </w:p>
        </w:tc>
        <w:tc>
          <w:tcPr>
            <w:tcW w:w="924" w:type="dxa"/>
            <w:tcBorders>
              <w:bottom w:val="single" w:sz="4" w:space="0" w:color="auto"/>
            </w:tcBorders>
            <w:shd w:val="clear" w:color="auto" w:fill="auto"/>
            <w:vAlign w:val="bottom"/>
            <w:hideMark/>
          </w:tcPr>
          <w:p w14:paraId="0A1F3D09" w14:textId="51000550" w:rsidR="00BD4745" w:rsidRPr="00104871" w:rsidRDefault="00BD4745" w:rsidP="004B0800">
            <w:pPr>
              <w:spacing w:before="40" w:after="40" w:line="220" w:lineRule="exact"/>
              <w:ind w:left="113"/>
              <w:jc w:val="right"/>
              <w:rPr>
                <w:sz w:val="18"/>
                <w:szCs w:val="18"/>
              </w:rPr>
            </w:pPr>
            <w:r w:rsidRPr="00104871">
              <w:rPr>
                <w:sz w:val="18"/>
                <w:szCs w:val="18"/>
              </w:rPr>
              <w:t>620</w:t>
            </w:r>
            <w:r w:rsidR="001471D3">
              <w:rPr>
                <w:sz w:val="18"/>
                <w:szCs w:val="18"/>
              </w:rPr>
              <w:t xml:space="preserve"> </w:t>
            </w:r>
            <w:r w:rsidRPr="00104871">
              <w:rPr>
                <w:sz w:val="18"/>
                <w:szCs w:val="18"/>
              </w:rPr>
              <w:t>664</w:t>
            </w:r>
          </w:p>
        </w:tc>
        <w:tc>
          <w:tcPr>
            <w:tcW w:w="620" w:type="dxa"/>
            <w:tcBorders>
              <w:bottom w:val="single" w:sz="4" w:space="0" w:color="auto"/>
            </w:tcBorders>
            <w:shd w:val="clear" w:color="auto" w:fill="auto"/>
            <w:noWrap/>
            <w:vAlign w:val="bottom"/>
            <w:hideMark/>
          </w:tcPr>
          <w:p w14:paraId="6B754B8C" w14:textId="77777777" w:rsidR="00BD4745" w:rsidRPr="00104871" w:rsidRDefault="00BD4745" w:rsidP="004B0800">
            <w:pPr>
              <w:spacing w:before="40" w:after="40" w:line="220" w:lineRule="exact"/>
              <w:ind w:left="113"/>
              <w:jc w:val="right"/>
              <w:rPr>
                <w:sz w:val="18"/>
                <w:szCs w:val="18"/>
              </w:rPr>
            </w:pPr>
            <w:r w:rsidRPr="00104871">
              <w:rPr>
                <w:sz w:val="18"/>
                <w:szCs w:val="18"/>
              </w:rPr>
              <w:t>85,20</w:t>
            </w:r>
          </w:p>
        </w:tc>
        <w:tc>
          <w:tcPr>
            <w:tcW w:w="1073" w:type="dxa"/>
            <w:tcBorders>
              <w:bottom w:val="single" w:sz="4" w:space="0" w:color="auto"/>
            </w:tcBorders>
            <w:shd w:val="clear" w:color="auto" w:fill="auto"/>
            <w:vAlign w:val="bottom"/>
            <w:hideMark/>
          </w:tcPr>
          <w:p w14:paraId="0DE02C6E" w14:textId="08D8BA0A" w:rsidR="00BD4745" w:rsidRPr="00104871" w:rsidRDefault="00BD4745" w:rsidP="004B0800">
            <w:pPr>
              <w:spacing w:before="40" w:after="40" w:line="220" w:lineRule="exact"/>
              <w:ind w:left="113"/>
              <w:jc w:val="right"/>
              <w:rPr>
                <w:sz w:val="18"/>
                <w:szCs w:val="18"/>
              </w:rPr>
            </w:pPr>
            <w:r w:rsidRPr="00104871">
              <w:rPr>
                <w:sz w:val="18"/>
                <w:szCs w:val="18"/>
              </w:rPr>
              <w:t>881</w:t>
            </w:r>
            <w:r w:rsidR="001471D3">
              <w:rPr>
                <w:sz w:val="18"/>
                <w:szCs w:val="18"/>
              </w:rPr>
              <w:t xml:space="preserve"> </w:t>
            </w:r>
            <w:r w:rsidRPr="00104871">
              <w:rPr>
                <w:sz w:val="18"/>
                <w:szCs w:val="18"/>
              </w:rPr>
              <w:t>341</w:t>
            </w:r>
          </w:p>
        </w:tc>
        <w:tc>
          <w:tcPr>
            <w:tcW w:w="924" w:type="dxa"/>
            <w:tcBorders>
              <w:bottom w:val="single" w:sz="4" w:space="0" w:color="auto"/>
            </w:tcBorders>
            <w:shd w:val="clear" w:color="auto" w:fill="auto"/>
            <w:vAlign w:val="bottom"/>
            <w:hideMark/>
          </w:tcPr>
          <w:p w14:paraId="6C152118" w14:textId="7D65BB4A" w:rsidR="00BD4745" w:rsidRPr="00104871" w:rsidRDefault="00BD4745" w:rsidP="004B0800">
            <w:pPr>
              <w:spacing w:before="40" w:after="40" w:line="220" w:lineRule="exact"/>
              <w:ind w:left="113"/>
              <w:jc w:val="right"/>
              <w:rPr>
                <w:sz w:val="18"/>
                <w:szCs w:val="18"/>
              </w:rPr>
            </w:pPr>
            <w:r w:rsidRPr="00104871">
              <w:rPr>
                <w:sz w:val="18"/>
                <w:szCs w:val="18"/>
              </w:rPr>
              <w:t>422</w:t>
            </w:r>
            <w:r w:rsidR="001471D3">
              <w:rPr>
                <w:sz w:val="18"/>
                <w:szCs w:val="18"/>
              </w:rPr>
              <w:t xml:space="preserve"> </w:t>
            </w:r>
            <w:r w:rsidRPr="00104871">
              <w:rPr>
                <w:sz w:val="18"/>
                <w:szCs w:val="18"/>
              </w:rPr>
              <w:t>542</w:t>
            </w:r>
          </w:p>
        </w:tc>
        <w:tc>
          <w:tcPr>
            <w:tcW w:w="518" w:type="dxa"/>
            <w:tcBorders>
              <w:bottom w:val="single" w:sz="4" w:space="0" w:color="auto"/>
            </w:tcBorders>
            <w:shd w:val="clear" w:color="auto" w:fill="auto"/>
            <w:noWrap/>
            <w:vAlign w:val="bottom"/>
            <w:hideMark/>
          </w:tcPr>
          <w:p w14:paraId="01A38B36" w14:textId="77777777" w:rsidR="00BD4745" w:rsidRPr="00104871" w:rsidRDefault="00BD4745" w:rsidP="004B0800">
            <w:pPr>
              <w:spacing w:before="40" w:after="40" w:line="220" w:lineRule="exact"/>
              <w:ind w:left="113"/>
              <w:jc w:val="right"/>
              <w:rPr>
                <w:sz w:val="18"/>
                <w:szCs w:val="18"/>
              </w:rPr>
            </w:pPr>
            <w:r w:rsidRPr="00104871">
              <w:rPr>
                <w:sz w:val="18"/>
                <w:szCs w:val="18"/>
              </w:rPr>
              <w:t>47,94</w:t>
            </w:r>
          </w:p>
        </w:tc>
        <w:tc>
          <w:tcPr>
            <w:tcW w:w="945" w:type="dxa"/>
            <w:tcBorders>
              <w:bottom w:val="single" w:sz="4" w:space="0" w:color="auto"/>
            </w:tcBorders>
            <w:shd w:val="clear" w:color="auto" w:fill="auto"/>
            <w:vAlign w:val="bottom"/>
            <w:hideMark/>
          </w:tcPr>
          <w:p w14:paraId="7A2042E6" w14:textId="42CF05C9" w:rsidR="00BD4745" w:rsidRPr="00104871" w:rsidRDefault="00BD4745" w:rsidP="004B0800">
            <w:pPr>
              <w:spacing w:before="40" w:after="40" w:line="220" w:lineRule="exact"/>
              <w:ind w:left="113"/>
              <w:jc w:val="right"/>
              <w:rPr>
                <w:sz w:val="18"/>
                <w:szCs w:val="18"/>
              </w:rPr>
            </w:pPr>
            <w:r w:rsidRPr="00104871">
              <w:rPr>
                <w:sz w:val="18"/>
                <w:szCs w:val="18"/>
              </w:rPr>
              <w:t>578</w:t>
            </w:r>
            <w:r w:rsidR="001471D3">
              <w:rPr>
                <w:sz w:val="18"/>
                <w:szCs w:val="18"/>
              </w:rPr>
              <w:t xml:space="preserve"> </w:t>
            </w:r>
            <w:r w:rsidRPr="00104871">
              <w:rPr>
                <w:sz w:val="18"/>
                <w:szCs w:val="18"/>
              </w:rPr>
              <w:t>424</w:t>
            </w:r>
          </w:p>
        </w:tc>
      </w:tr>
      <w:tr w:rsidR="00104871" w:rsidRPr="00104871" w14:paraId="6279922D" w14:textId="77777777" w:rsidTr="004B0800">
        <w:trPr>
          <w:trHeight w:val="240"/>
        </w:trPr>
        <w:tc>
          <w:tcPr>
            <w:tcW w:w="956" w:type="dxa"/>
            <w:tcBorders>
              <w:top w:val="single" w:sz="4" w:space="0" w:color="auto"/>
              <w:bottom w:val="single" w:sz="12" w:space="0" w:color="auto"/>
            </w:tcBorders>
            <w:shd w:val="clear" w:color="auto" w:fill="auto"/>
            <w:hideMark/>
          </w:tcPr>
          <w:p w14:paraId="7562C7C0" w14:textId="6131CA74" w:rsidR="00BD4745" w:rsidRPr="004B0800" w:rsidRDefault="00BD4745" w:rsidP="004B0800">
            <w:pPr>
              <w:spacing w:before="80" w:after="80" w:line="220" w:lineRule="exact"/>
              <w:ind w:left="283"/>
              <w:rPr>
                <w:b/>
                <w:sz w:val="18"/>
                <w:szCs w:val="18"/>
              </w:rPr>
            </w:pPr>
            <w:r w:rsidRPr="004B0800">
              <w:rPr>
                <w:b/>
                <w:sz w:val="18"/>
                <w:szCs w:val="18"/>
              </w:rPr>
              <w:t>T</w:t>
            </w:r>
            <w:r w:rsidR="001471D3">
              <w:rPr>
                <w:b/>
                <w:sz w:val="18"/>
                <w:szCs w:val="18"/>
              </w:rPr>
              <w:t>otal</w:t>
            </w:r>
          </w:p>
        </w:tc>
        <w:tc>
          <w:tcPr>
            <w:tcW w:w="1116" w:type="dxa"/>
            <w:tcBorders>
              <w:top w:val="single" w:sz="4" w:space="0" w:color="auto"/>
              <w:bottom w:val="single" w:sz="12" w:space="0" w:color="auto"/>
            </w:tcBorders>
            <w:shd w:val="clear" w:color="auto" w:fill="auto"/>
            <w:vAlign w:val="bottom"/>
            <w:hideMark/>
          </w:tcPr>
          <w:p w14:paraId="699606AF" w14:textId="3D541363" w:rsidR="00BD4745" w:rsidRPr="004B0800" w:rsidRDefault="00BD4745" w:rsidP="004B0800">
            <w:pPr>
              <w:spacing w:before="80" w:after="80" w:line="220" w:lineRule="exact"/>
              <w:jc w:val="right"/>
              <w:rPr>
                <w:b/>
                <w:sz w:val="18"/>
                <w:szCs w:val="18"/>
              </w:rPr>
            </w:pPr>
            <w:r w:rsidRPr="004B0800">
              <w:rPr>
                <w:b/>
                <w:sz w:val="18"/>
                <w:szCs w:val="18"/>
              </w:rPr>
              <w:t>22</w:t>
            </w:r>
            <w:r w:rsidR="001471D3">
              <w:rPr>
                <w:b/>
                <w:sz w:val="18"/>
                <w:szCs w:val="18"/>
              </w:rPr>
              <w:t xml:space="preserve"> </w:t>
            </w:r>
            <w:r w:rsidRPr="004B0800">
              <w:rPr>
                <w:b/>
                <w:sz w:val="18"/>
                <w:szCs w:val="18"/>
              </w:rPr>
              <w:t>888</w:t>
            </w:r>
            <w:r w:rsidR="001471D3">
              <w:rPr>
                <w:b/>
                <w:sz w:val="18"/>
                <w:szCs w:val="18"/>
              </w:rPr>
              <w:t xml:space="preserve"> </w:t>
            </w:r>
            <w:r w:rsidRPr="004B0800">
              <w:rPr>
                <w:b/>
                <w:sz w:val="18"/>
                <w:szCs w:val="18"/>
              </w:rPr>
              <w:t>491</w:t>
            </w:r>
          </w:p>
        </w:tc>
        <w:tc>
          <w:tcPr>
            <w:tcW w:w="938" w:type="dxa"/>
            <w:tcBorders>
              <w:top w:val="single" w:sz="4" w:space="0" w:color="auto"/>
              <w:bottom w:val="single" w:sz="12" w:space="0" w:color="auto"/>
            </w:tcBorders>
            <w:shd w:val="clear" w:color="auto" w:fill="auto"/>
            <w:vAlign w:val="bottom"/>
            <w:hideMark/>
          </w:tcPr>
          <w:p w14:paraId="3B8B642E" w14:textId="747DC2AE" w:rsidR="00BD4745" w:rsidRPr="004B0800" w:rsidRDefault="00BD4745" w:rsidP="004B0800">
            <w:pPr>
              <w:spacing w:before="80" w:after="80" w:line="220" w:lineRule="exact"/>
              <w:jc w:val="right"/>
              <w:rPr>
                <w:b/>
                <w:sz w:val="18"/>
                <w:szCs w:val="18"/>
              </w:rPr>
            </w:pPr>
            <w:r w:rsidRPr="004B0800">
              <w:rPr>
                <w:b/>
                <w:sz w:val="18"/>
                <w:szCs w:val="18"/>
              </w:rPr>
              <w:t>12</w:t>
            </w:r>
            <w:r w:rsidR="001471D3">
              <w:rPr>
                <w:b/>
                <w:sz w:val="18"/>
                <w:szCs w:val="18"/>
              </w:rPr>
              <w:t xml:space="preserve"> </w:t>
            </w:r>
            <w:r w:rsidRPr="004B0800">
              <w:rPr>
                <w:b/>
                <w:sz w:val="18"/>
                <w:szCs w:val="18"/>
              </w:rPr>
              <w:t>836</w:t>
            </w:r>
            <w:r w:rsidR="001471D3">
              <w:rPr>
                <w:b/>
                <w:sz w:val="18"/>
                <w:szCs w:val="18"/>
              </w:rPr>
              <w:t xml:space="preserve"> </w:t>
            </w:r>
            <w:r w:rsidRPr="004B0800">
              <w:rPr>
                <w:b/>
                <w:sz w:val="18"/>
                <w:szCs w:val="18"/>
              </w:rPr>
              <w:t>760</w:t>
            </w:r>
          </w:p>
        </w:tc>
        <w:tc>
          <w:tcPr>
            <w:tcW w:w="557" w:type="dxa"/>
            <w:tcBorders>
              <w:top w:val="single" w:sz="4" w:space="0" w:color="auto"/>
              <w:bottom w:val="single" w:sz="12" w:space="0" w:color="auto"/>
            </w:tcBorders>
            <w:shd w:val="clear" w:color="auto" w:fill="auto"/>
            <w:noWrap/>
            <w:vAlign w:val="bottom"/>
            <w:hideMark/>
          </w:tcPr>
          <w:p w14:paraId="6D8F152C" w14:textId="77777777" w:rsidR="00BD4745" w:rsidRPr="004B0800" w:rsidRDefault="00BD4745" w:rsidP="004B0800">
            <w:pPr>
              <w:spacing w:before="80" w:after="80" w:line="220" w:lineRule="exact"/>
              <w:jc w:val="right"/>
              <w:rPr>
                <w:b/>
                <w:sz w:val="18"/>
                <w:szCs w:val="18"/>
              </w:rPr>
            </w:pPr>
            <w:r w:rsidRPr="004B0800">
              <w:rPr>
                <w:b/>
                <w:sz w:val="18"/>
                <w:szCs w:val="18"/>
              </w:rPr>
              <w:t>56,08</w:t>
            </w:r>
          </w:p>
        </w:tc>
        <w:tc>
          <w:tcPr>
            <w:tcW w:w="1067" w:type="dxa"/>
            <w:tcBorders>
              <w:top w:val="single" w:sz="4" w:space="0" w:color="auto"/>
              <w:bottom w:val="single" w:sz="12" w:space="0" w:color="auto"/>
            </w:tcBorders>
            <w:shd w:val="clear" w:color="auto" w:fill="auto"/>
            <w:vAlign w:val="bottom"/>
            <w:hideMark/>
          </w:tcPr>
          <w:p w14:paraId="252C185F" w14:textId="50A23E11" w:rsidR="00BD4745" w:rsidRPr="004B0800" w:rsidRDefault="00BD4745" w:rsidP="004B0800">
            <w:pPr>
              <w:spacing w:before="80" w:after="80" w:line="220" w:lineRule="exact"/>
              <w:jc w:val="right"/>
              <w:rPr>
                <w:b/>
                <w:sz w:val="18"/>
                <w:szCs w:val="18"/>
              </w:rPr>
            </w:pPr>
            <w:r w:rsidRPr="004B0800">
              <w:rPr>
                <w:b/>
                <w:sz w:val="18"/>
                <w:szCs w:val="18"/>
              </w:rPr>
              <w:t>27</w:t>
            </w:r>
            <w:r w:rsidR="001471D3">
              <w:rPr>
                <w:b/>
                <w:sz w:val="18"/>
                <w:szCs w:val="18"/>
              </w:rPr>
              <w:t xml:space="preserve"> </w:t>
            </w:r>
            <w:r w:rsidRPr="004B0800">
              <w:rPr>
                <w:b/>
                <w:sz w:val="18"/>
                <w:szCs w:val="18"/>
              </w:rPr>
              <w:t>283</w:t>
            </w:r>
            <w:r w:rsidR="001471D3">
              <w:rPr>
                <w:b/>
                <w:sz w:val="18"/>
                <w:szCs w:val="18"/>
              </w:rPr>
              <w:t xml:space="preserve"> </w:t>
            </w:r>
            <w:r w:rsidRPr="004B0800">
              <w:rPr>
                <w:b/>
                <w:sz w:val="18"/>
                <w:szCs w:val="18"/>
              </w:rPr>
              <w:t>477</w:t>
            </w:r>
          </w:p>
        </w:tc>
        <w:tc>
          <w:tcPr>
            <w:tcW w:w="924" w:type="dxa"/>
            <w:tcBorders>
              <w:top w:val="single" w:sz="4" w:space="0" w:color="auto"/>
              <w:bottom w:val="single" w:sz="12" w:space="0" w:color="auto"/>
            </w:tcBorders>
            <w:shd w:val="clear" w:color="auto" w:fill="auto"/>
            <w:vAlign w:val="bottom"/>
            <w:hideMark/>
          </w:tcPr>
          <w:p w14:paraId="27AFB0D5" w14:textId="12B87E34" w:rsidR="00BD4745" w:rsidRPr="004B0800" w:rsidRDefault="00BD4745" w:rsidP="004B0800">
            <w:pPr>
              <w:spacing w:before="80" w:after="80" w:line="220" w:lineRule="exact"/>
              <w:jc w:val="right"/>
              <w:rPr>
                <w:b/>
                <w:sz w:val="18"/>
                <w:szCs w:val="18"/>
              </w:rPr>
            </w:pPr>
            <w:r w:rsidRPr="004B0800">
              <w:rPr>
                <w:b/>
                <w:sz w:val="18"/>
                <w:szCs w:val="18"/>
              </w:rPr>
              <w:t>12</w:t>
            </w:r>
            <w:r w:rsidR="001471D3">
              <w:rPr>
                <w:b/>
                <w:sz w:val="18"/>
                <w:szCs w:val="18"/>
              </w:rPr>
              <w:t xml:space="preserve"> </w:t>
            </w:r>
            <w:r w:rsidRPr="004B0800">
              <w:rPr>
                <w:b/>
                <w:sz w:val="18"/>
                <w:szCs w:val="18"/>
              </w:rPr>
              <w:t>269</w:t>
            </w:r>
            <w:r w:rsidR="001471D3">
              <w:rPr>
                <w:b/>
                <w:sz w:val="18"/>
                <w:szCs w:val="18"/>
              </w:rPr>
              <w:t xml:space="preserve"> </w:t>
            </w:r>
            <w:r w:rsidRPr="004B0800">
              <w:rPr>
                <w:b/>
                <w:sz w:val="18"/>
                <w:szCs w:val="18"/>
              </w:rPr>
              <w:t>753</w:t>
            </w:r>
          </w:p>
        </w:tc>
        <w:tc>
          <w:tcPr>
            <w:tcW w:w="620" w:type="dxa"/>
            <w:tcBorders>
              <w:top w:val="single" w:sz="4" w:space="0" w:color="auto"/>
              <w:bottom w:val="single" w:sz="12" w:space="0" w:color="auto"/>
            </w:tcBorders>
            <w:shd w:val="clear" w:color="auto" w:fill="auto"/>
            <w:noWrap/>
            <w:vAlign w:val="bottom"/>
            <w:hideMark/>
          </w:tcPr>
          <w:p w14:paraId="1A1F9753" w14:textId="77777777" w:rsidR="00BD4745" w:rsidRPr="004B0800" w:rsidRDefault="00BD4745" w:rsidP="004B0800">
            <w:pPr>
              <w:spacing w:before="80" w:after="80" w:line="220" w:lineRule="exact"/>
              <w:jc w:val="right"/>
              <w:rPr>
                <w:b/>
                <w:sz w:val="18"/>
                <w:szCs w:val="18"/>
              </w:rPr>
            </w:pPr>
            <w:r w:rsidRPr="004B0800">
              <w:rPr>
                <w:b/>
                <w:sz w:val="18"/>
                <w:szCs w:val="18"/>
              </w:rPr>
              <w:t>44,97</w:t>
            </w:r>
          </w:p>
        </w:tc>
        <w:tc>
          <w:tcPr>
            <w:tcW w:w="1073" w:type="dxa"/>
            <w:tcBorders>
              <w:top w:val="single" w:sz="4" w:space="0" w:color="auto"/>
              <w:bottom w:val="single" w:sz="12" w:space="0" w:color="auto"/>
            </w:tcBorders>
            <w:shd w:val="clear" w:color="auto" w:fill="auto"/>
            <w:vAlign w:val="bottom"/>
            <w:hideMark/>
          </w:tcPr>
          <w:p w14:paraId="48FD0A9E" w14:textId="6974758A" w:rsidR="00BD4745" w:rsidRPr="004B0800" w:rsidRDefault="00BD4745" w:rsidP="004B0800">
            <w:pPr>
              <w:spacing w:before="80" w:after="80" w:line="220" w:lineRule="exact"/>
              <w:jc w:val="right"/>
              <w:rPr>
                <w:b/>
                <w:sz w:val="18"/>
                <w:szCs w:val="18"/>
              </w:rPr>
            </w:pPr>
            <w:r w:rsidRPr="004B0800">
              <w:rPr>
                <w:b/>
                <w:sz w:val="18"/>
                <w:szCs w:val="18"/>
              </w:rPr>
              <w:t>29</w:t>
            </w:r>
            <w:r w:rsidR="001471D3">
              <w:rPr>
                <w:b/>
                <w:sz w:val="18"/>
                <w:szCs w:val="18"/>
              </w:rPr>
              <w:t xml:space="preserve"> </w:t>
            </w:r>
            <w:r w:rsidRPr="004B0800">
              <w:rPr>
                <w:b/>
                <w:sz w:val="18"/>
                <w:szCs w:val="18"/>
              </w:rPr>
              <w:t>007</w:t>
            </w:r>
            <w:r w:rsidR="001471D3">
              <w:rPr>
                <w:b/>
                <w:sz w:val="18"/>
                <w:szCs w:val="18"/>
              </w:rPr>
              <w:t xml:space="preserve"> </w:t>
            </w:r>
            <w:r w:rsidRPr="004B0800">
              <w:rPr>
                <w:b/>
                <w:sz w:val="18"/>
                <w:szCs w:val="18"/>
              </w:rPr>
              <w:t>738</w:t>
            </w:r>
          </w:p>
        </w:tc>
        <w:tc>
          <w:tcPr>
            <w:tcW w:w="924" w:type="dxa"/>
            <w:tcBorders>
              <w:top w:val="single" w:sz="4" w:space="0" w:color="auto"/>
              <w:bottom w:val="single" w:sz="12" w:space="0" w:color="auto"/>
            </w:tcBorders>
            <w:shd w:val="clear" w:color="auto" w:fill="auto"/>
            <w:vAlign w:val="bottom"/>
            <w:hideMark/>
          </w:tcPr>
          <w:p w14:paraId="2E8D2378" w14:textId="0354BD75" w:rsidR="00BD4745" w:rsidRPr="004B0800" w:rsidRDefault="00BD4745" w:rsidP="004B0800">
            <w:pPr>
              <w:spacing w:before="80" w:after="80" w:line="220" w:lineRule="exact"/>
              <w:jc w:val="right"/>
              <w:rPr>
                <w:b/>
                <w:sz w:val="18"/>
                <w:szCs w:val="18"/>
              </w:rPr>
            </w:pPr>
            <w:r w:rsidRPr="004B0800">
              <w:rPr>
                <w:b/>
                <w:sz w:val="18"/>
                <w:szCs w:val="18"/>
              </w:rPr>
              <w:t>15</w:t>
            </w:r>
            <w:r w:rsidR="001471D3">
              <w:rPr>
                <w:b/>
                <w:sz w:val="18"/>
                <w:szCs w:val="18"/>
              </w:rPr>
              <w:t xml:space="preserve"> </w:t>
            </w:r>
            <w:r w:rsidRPr="004B0800">
              <w:rPr>
                <w:b/>
                <w:sz w:val="18"/>
                <w:szCs w:val="18"/>
              </w:rPr>
              <w:t>264</w:t>
            </w:r>
            <w:r w:rsidR="001471D3">
              <w:rPr>
                <w:b/>
                <w:sz w:val="18"/>
                <w:szCs w:val="18"/>
              </w:rPr>
              <w:t xml:space="preserve"> </w:t>
            </w:r>
            <w:r w:rsidRPr="004B0800">
              <w:rPr>
                <w:b/>
                <w:sz w:val="18"/>
                <w:szCs w:val="18"/>
              </w:rPr>
              <w:t>775</w:t>
            </w:r>
          </w:p>
        </w:tc>
        <w:tc>
          <w:tcPr>
            <w:tcW w:w="518" w:type="dxa"/>
            <w:tcBorders>
              <w:top w:val="single" w:sz="4" w:space="0" w:color="auto"/>
              <w:bottom w:val="single" w:sz="12" w:space="0" w:color="auto"/>
            </w:tcBorders>
            <w:shd w:val="clear" w:color="auto" w:fill="auto"/>
            <w:noWrap/>
            <w:vAlign w:val="bottom"/>
            <w:hideMark/>
          </w:tcPr>
          <w:p w14:paraId="779684C9" w14:textId="77777777" w:rsidR="00BD4745" w:rsidRPr="004B0800" w:rsidRDefault="00BD4745" w:rsidP="004B0800">
            <w:pPr>
              <w:spacing w:before="80" w:after="80" w:line="220" w:lineRule="exact"/>
              <w:jc w:val="right"/>
              <w:rPr>
                <w:b/>
                <w:sz w:val="18"/>
                <w:szCs w:val="18"/>
              </w:rPr>
            </w:pPr>
            <w:r w:rsidRPr="004B0800">
              <w:rPr>
                <w:b/>
                <w:sz w:val="18"/>
                <w:szCs w:val="18"/>
              </w:rPr>
              <w:t>52,62</w:t>
            </w:r>
          </w:p>
        </w:tc>
        <w:tc>
          <w:tcPr>
            <w:tcW w:w="945" w:type="dxa"/>
            <w:tcBorders>
              <w:top w:val="single" w:sz="4" w:space="0" w:color="auto"/>
              <w:bottom w:val="single" w:sz="12" w:space="0" w:color="auto"/>
            </w:tcBorders>
            <w:shd w:val="clear" w:color="auto" w:fill="auto"/>
            <w:vAlign w:val="bottom"/>
            <w:hideMark/>
          </w:tcPr>
          <w:p w14:paraId="64711D2F" w14:textId="24A7A457" w:rsidR="00BD4745" w:rsidRPr="004B0800" w:rsidRDefault="00BD4745" w:rsidP="004B0800">
            <w:pPr>
              <w:spacing w:before="80" w:after="80" w:line="220" w:lineRule="exact"/>
              <w:jc w:val="right"/>
              <w:rPr>
                <w:b/>
                <w:sz w:val="18"/>
                <w:szCs w:val="18"/>
              </w:rPr>
            </w:pPr>
            <w:r w:rsidRPr="004B0800">
              <w:rPr>
                <w:b/>
                <w:sz w:val="18"/>
                <w:szCs w:val="18"/>
              </w:rPr>
              <w:t>13</w:t>
            </w:r>
            <w:r w:rsidR="001471D3">
              <w:rPr>
                <w:b/>
                <w:sz w:val="18"/>
                <w:szCs w:val="18"/>
              </w:rPr>
              <w:t xml:space="preserve"> </w:t>
            </w:r>
            <w:r w:rsidRPr="004B0800">
              <w:rPr>
                <w:b/>
                <w:sz w:val="18"/>
                <w:szCs w:val="18"/>
              </w:rPr>
              <w:t>457</w:t>
            </w:r>
            <w:r w:rsidR="001471D3">
              <w:rPr>
                <w:b/>
                <w:sz w:val="18"/>
                <w:szCs w:val="18"/>
              </w:rPr>
              <w:t xml:space="preserve"> </w:t>
            </w:r>
            <w:r w:rsidRPr="004B0800">
              <w:rPr>
                <w:b/>
                <w:sz w:val="18"/>
                <w:szCs w:val="18"/>
              </w:rPr>
              <w:t>096</w:t>
            </w:r>
          </w:p>
        </w:tc>
      </w:tr>
    </w:tbl>
    <w:p w14:paraId="6CE9BD15" w14:textId="1DA67090" w:rsidR="00BD4745" w:rsidRDefault="00BD4745" w:rsidP="004B0800">
      <w:pPr>
        <w:pStyle w:val="SingleTxtG"/>
        <w:spacing w:before="120"/>
        <w:ind w:left="0" w:right="0" w:firstLine="170"/>
        <w:rPr>
          <w:rFonts w:eastAsia="Calibri"/>
          <w:sz w:val="18"/>
          <w:szCs w:val="18"/>
          <w:lang w:val="es-ES_tradnl"/>
        </w:rPr>
      </w:pPr>
      <w:r w:rsidRPr="004B0800">
        <w:rPr>
          <w:rFonts w:eastAsia="Calibri"/>
          <w:bCs/>
          <w:i/>
          <w:sz w:val="18"/>
          <w:szCs w:val="18"/>
          <w:lang w:val="es-ES_tradnl"/>
        </w:rPr>
        <w:t xml:space="preserve">Fuente: </w:t>
      </w:r>
      <w:r w:rsidRPr="00397866">
        <w:rPr>
          <w:rFonts w:eastAsia="Calibri"/>
          <w:sz w:val="18"/>
          <w:szCs w:val="18"/>
          <w:lang w:val="es-ES_tradnl"/>
        </w:rPr>
        <w:t xml:space="preserve">elaboración propia con base en datos del </w:t>
      </w:r>
      <w:proofErr w:type="spellStart"/>
      <w:r w:rsidRPr="00397866">
        <w:rPr>
          <w:rFonts w:eastAsia="Calibri"/>
          <w:sz w:val="18"/>
          <w:szCs w:val="18"/>
          <w:lang w:val="es-ES_tradnl"/>
        </w:rPr>
        <w:t>MEFP</w:t>
      </w:r>
      <w:proofErr w:type="spellEnd"/>
      <w:r w:rsidR="00945B27">
        <w:rPr>
          <w:rFonts w:eastAsia="Calibri"/>
          <w:sz w:val="18"/>
          <w:szCs w:val="18"/>
          <w:lang w:val="es-ES_tradnl"/>
        </w:rPr>
        <w:t>.</w:t>
      </w:r>
    </w:p>
    <w:p w14:paraId="655550C6" w14:textId="4E585A26" w:rsidR="00945B27" w:rsidRDefault="00AA6A62" w:rsidP="004B0800">
      <w:pPr>
        <w:pStyle w:val="Heading1"/>
      </w:pPr>
      <w:bookmarkStart w:id="0" w:name="_Toc68097276"/>
      <w:proofErr w:type="spellStart"/>
      <w:r>
        <w:lastRenderedPageBreak/>
        <w:t>Gráfico</w:t>
      </w:r>
      <w:proofErr w:type="spellEnd"/>
      <w:r>
        <w:t xml:space="preserve"> </w:t>
      </w:r>
      <w:r w:rsidR="007C7DB6">
        <w:t>1</w:t>
      </w:r>
    </w:p>
    <w:p w14:paraId="0CEA0B37" w14:textId="70494697" w:rsidR="007C7DB6" w:rsidRPr="003B1C61" w:rsidRDefault="00945B27" w:rsidP="004B0800">
      <w:pPr>
        <w:pStyle w:val="H23G"/>
        <w:spacing w:before="0"/>
        <w:rPr>
          <w:noProof/>
          <w:sz w:val="22"/>
          <w:lang w:eastAsia="es-BO"/>
        </w:rPr>
      </w:pPr>
      <w:r>
        <w:tab/>
      </w:r>
      <w:r>
        <w:tab/>
      </w:r>
      <w:r w:rsidR="007C7DB6" w:rsidRPr="007C7DB6">
        <w:t>Montos y porcentajes promedio de ejecución presupuestaria (2018-2020)</w:t>
      </w:r>
      <w:r>
        <w:br/>
      </w:r>
      <w:r w:rsidR="007C7DB6" w:rsidRPr="007C7DB6">
        <w:t>de los GAD en el programa 25</w:t>
      </w:r>
      <w:bookmarkEnd w:id="0"/>
    </w:p>
    <w:p w14:paraId="0B0A3F34" w14:textId="611FC3AA" w:rsidR="00BD4745" w:rsidRPr="002014CD" w:rsidRDefault="00BD4745" w:rsidP="001A1E5D">
      <w:pPr>
        <w:keepNext/>
        <w:keepLines/>
        <w:ind w:right="49"/>
      </w:pPr>
      <w:r w:rsidRPr="002014CD">
        <w:rPr>
          <w:noProof/>
          <w:lang w:val="en-GB" w:eastAsia="en-GB"/>
        </w:rPr>
        <w:drawing>
          <wp:anchor distT="0" distB="0" distL="114300" distR="114300" simplePos="0" relativeHeight="251659264" behindDoc="1" locked="0" layoutInCell="1" allowOverlap="1" wp14:anchorId="775B8208" wp14:editId="532CD71F">
            <wp:simplePos x="0" y="0"/>
            <wp:positionH relativeFrom="column">
              <wp:posOffset>1426255</wp:posOffset>
            </wp:positionH>
            <wp:positionV relativeFrom="paragraph">
              <wp:posOffset>43180</wp:posOffset>
            </wp:positionV>
            <wp:extent cx="3593930" cy="2188564"/>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93930" cy="2188564"/>
                    </a:xfrm>
                    <a:prstGeom prst="rect">
                      <a:avLst/>
                    </a:prstGeom>
                  </pic:spPr>
                </pic:pic>
              </a:graphicData>
            </a:graphic>
            <wp14:sizeRelH relativeFrom="page">
              <wp14:pctWidth>0</wp14:pctWidth>
            </wp14:sizeRelH>
            <wp14:sizeRelV relativeFrom="page">
              <wp14:pctHeight>0</wp14:pctHeight>
            </wp14:sizeRelV>
          </wp:anchor>
        </w:drawing>
      </w:r>
    </w:p>
    <w:p w14:paraId="2327773F" w14:textId="7B3A7C27" w:rsidR="00BD4745" w:rsidRPr="002014CD" w:rsidRDefault="00BD4745" w:rsidP="001A1E5D">
      <w:pPr>
        <w:keepNext/>
        <w:keepLines/>
        <w:ind w:right="49"/>
        <w:jc w:val="both"/>
      </w:pPr>
    </w:p>
    <w:p w14:paraId="2B484B8F" w14:textId="77777777" w:rsidR="00BD4745" w:rsidRPr="002014CD" w:rsidRDefault="00BD4745" w:rsidP="001A1E5D">
      <w:pPr>
        <w:keepNext/>
        <w:keepLines/>
        <w:ind w:right="49"/>
        <w:rPr>
          <w:rFonts w:eastAsia="Calibri"/>
          <w:b/>
          <w:sz w:val="16"/>
          <w:szCs w:val="16"/>
          <w:lang w:val="es-ES_tradnl"/>
        </w:rPr>
      </w:pPr>
    </w:p>
    <w:p w14:paraId="333C641A" w14:textId="521D0A42" w:rsidR="001A1E5D" w:rsidRDefault="001A1E5D" w:rsidP="001A1E5D">
      <w:pPr>
        <w:pStyle w:val="SingleTxtG"/>
        <w:keepNext/>
        <w:keepLines/>
        <w:rPr>
          <w:rFonts w:eastAsia="Calibri"/>
          <w:b/>
          <w:sz w:val="18"/>
          <w:szCs w:val="18"/>
          <w:lang w:val="es-ES_tradnl"/>
        </w:rPr>
      </w:pPr>
      <w:r>
        <w:rPr>
          <w:rFonts w:eastAsia="Calibri"/>
          <w:b/>
          <w:sz w:val="18"/>
          <w:szCs w:val="18"/>
          <w:lang w:val="es-ES_tradnl"/>
        </w:rPr>
        <w:t xml:space="preserve"> </w:t>
      </w:r>
    </w:p>
    <w:p w14:paraId="286C4073" w14:textId="77777777" w:rsidR="001A1E5D" w:rsidRDefault="001A1E5D" w:rsidP="001A1E5D">
      <w:pPr>
        <w:pStyle w:val="SingleTxtG"/>
        <w:keepNext/>
        <w:keepLines/>
        <w:rPr>
          <w:rFonts w:eastAsia="Calibri"/>
          <w:b/>
          <w:sz w:val="18"/>
          <w:szCs w:val="18"/>
          <w:lang w:val="es-ES_tradnl"/>
        </w:rPr>
      </w:pPr>
    </w:p>
    <w:p w14:paraId="440ED991" w14:textId="77777777" w:rsidR="001A1E5D" w:rsidRDefault="001A1E5D" w:rsidP="001A1E5D">
      <w:pPr>
        <w:pStyle w:val="SingleTxtG"/>
        <w:keepNext/>
        <w:keepLines/>
        <w:rPr>
          <w:rFonts w:eastAsia="Calibri"/>
          <w:b/>
          <w:sz w:val="18"/>
          <w:szCs w:val="18"/>
          <w:lang w:val="es-ES_tradnl"/>
        </w:rPr>
      </w:pPr>
    </w:p>
    <w:p w14:paraId="376FF7DB" w14:textId="77777777" w:rsidR="001A1E5D" w:rsidRDefault="001A1E5D" w:rsidP="001A1E5D">
      <w:pPr>
        <w:pStyle w:val="SingleTxtG"/>
        <w:keepNext/>
        <w:keepLines/>
        <w:rPr>
          <w:rFonts w:eastAsia="Calibri"/>
          <w:b/>
          <w:sz w:val="18"/>
          <w:szCs w:val="18"/>
          <w:lang w:val="es-ES_tradnl"/>
        </w:rPr>
      </w:pPr>
    </w:p>
    <w:p w14:paraId="2E831BC2" w14:textId="483DF0D2" w:rsidR="001A1E5D" w:rsidRDefault="004E11E7" w:rsidP="004E11E7">
      <w:pPr>
        <w:pStyle w:val="SingleTxtG"/>
        <w:keepNext/>
        <w:keepLines/>
        <w:tabs>
          <w:tab w:val="clear" w:pos="1701"/>
          <w:tab w:val="clear" w:pos="2268"/>
          <w:tab w:val="clear" w:pos="2835"/>
          <w:tab w:val="left" w:pos="3816"/>
        </w:tabs>
        <w:rPr>
          <w:rFonts w:eastAsia="Calibri"/>
          <w:b/>
          <w:sz w:val="18"/>
          <w:szCs w:val="18"/>
          <w:lang w:val="es-ES_tradnl"/>
        </w:rPr>
      </w:pPr>
      <w:r>
        <w:rPr>
          <w:rFonts w:eastAsia="Calibri"/>
          <w:b/>
          <w:sz w:val="18"/>
          <w:szCs w:val="18"/>
          <w:lang w:val="es-ES_tradnl"/>
        </w:rPr>
        <w:tab/>
      </w:r>
    </w:p>
    <w:p w14:paraId="10313FF3" w14:textId="77777777" w:rsidR="001A1E5D" w:rsidRDefault="001A1E5D" w:rsidP="001A1E5D">
      <w:pPr>
        <w:pStyle w:val="SingleTxtG"/>
        <w:keepNext/>
        <w:keepLines/>
        <w:rPr>
          <w:rFonts w:eastAsia="Calibri"/>
          <w:b/>
          <w:sz w:val="18"/>
          <w:szCs w:val="18"/>
          <w:lang w:val="es-ES_tradnl"/>
        </w:rPr>
      </w:pPr>
    </w:p>
    <w:p w14:paraId="2710E430" w14:textId="77777777" w:rsidR="001A1E5D" w:rsidRDefault="001A1E5D" w:rsidP="001A1E5D">
      <w:pPr>
        <w:pStyle w:val="SingleTxtG"/>
        <w:keepNext/>
        <w:keepLines/>
        <w:rPr>
          <w:rFonts w:eastAsia="Calibri"/>
          <w:b/>
          <w:sz w:val="18"/>
          <w:szCs w:val="18"/>
          <w:lang w:val="es-ES_tradnl"/>
        </w:rPr>
      </w:pPr>
    </w:p>
    <w:p w14:paraId="6A5E8540" w14:textId="77777777" w:rsidR="001A1E5D" w:rsidRDefault="007C7DB6" w:rsidP="001A1E5D">
      <w:pPr>
        <w:pStyle w:val="SingleTxtG"/>
        <w:keepNext/>
        <w:keepLines/>
        <w:rPr>
          <w:rFonts w:eastAsia="Calibri"/>
          <w:b/>
          <w:sz w:val="18"/>
          <w:szCs w:val="18"/>
          <w:lang w:val="es-ES_tradnl"/>
        </w:rPr>
      </w:pPr>
      <w:r>
        <w:rPr>
          <w:rFonts w:eastAsia="Calibri"/>
          <w:b/>
          <w:sz w:val="18"/>
          <w:szCs w:val="18"/>
          <w:lang w:val="es-ES_tradnl"/>
        </w:rPr>
        <w:tab/>
      </w:r>
    </w:p>
    <w:p w14:paraId="0F877568" w14:textId="3A790283" w:rsidR="00BD4745" w:rsidRPr="007C7DB6" w:rsidRDefault="00945B27" w:rsidP="004B0800">
      <w:pPr>
        <w:pStyle w:val="SingleTxtG"/>
        <w:keepNext/>
        <w:keepLines/>
        <w:spacing w:before="120" w:after="240"/>
        <w:ind w:firstLine="170"/>
        <w:rPr>
          <w:rFonts w:eastAsia="Calibri"/>
          <w:sz w:val="18"/>
          <w:szCs w:val="18"/>
          <w:lang w:val="es-ES_tradnl"/>
        </w:rPr>
      </w:pPr>
      <w:r w:rsidRPr="004B0800">
        <w:rPr>
          <w:rFonts w:eastAsia="Calibri"/>
          <w:bCs/>
          <w:i/>
          <w:sz w:val="18"/>
          <w:szCs w:val="18"/>
          <w:lang w:val="es-ES_tradnl"/>
        </w:rPr>
        <w:t>F</w:t>
      </w:r>
      <w:r w:rsidR="00BD4745" w:rsidRPr="004B0800">
        <w:rPr>
          <w:rFonts w:eastAsia="Calibri"/>
          <w:bCs/>
          <w:i/>
          <w:sz w:val="18"/>
          <w:szCs w:val="18"/>
          <w:lang w:val="es-ES_tradnl"/>
        </w:rPr>
        <w:t>uente:</w:t>
      </w:r>
      <w:r w:rsidR="00BD4745" w:rsidRPr="007C7DB6">
        <w:rPr>
          <w:rFonts w:eastAsia="Calibri"/>
          <w:b/>
          <w:sz w:val="18"/>
          <w:szCs w:val="18"/>
          <w:lang w:val="es-ES_tradnl"/>
        </w:rPr>
        <w:t xml:space="preserve"> </w:t>
      </w:r>
      <w:r w:rsidR="00BD4745" w:rsidRPr="007C7DB6">
        <w:rPr>
          <w:rFonts w:eastAsia="Calibri"/>
          <w:sz w:val="18"/>
          <w:szCs w:val="18"/>
          <w:lang w:val="es-ES_tradnl"/>
        </w:rPr>
        <w:t xml:space="preserve">Elaboración propia con base en datos del </w:t>
      </w:r>
      <w:proofErr w:type="spellStart"/>
      <w:r w:rsidR="00BD4745" w:rsidRPr="007C7DB6">
        <w:rPr>
          <w:rFonts w:eastAsia="Calibri"/>
          <w:sz w:val="18"/>
          <w:szCs w:val="18"/>
          <w:lang w:val="es-ES_tradnl"/>
        </w:rPr>
        <w:t>MEFP</w:t>
      </w:r>
      <w:proofErr w:type="spellEnd"/>
      <w:r w:rsidR="00BD4745" w:rsidRPr="007C7DB6">
        <w:rPr>
          <w:rFonts w:eastAsia="Calibri"/>
          <w:sz w:val="18"/>
          <w:szCs w:val="18"/>
          <w:lang w:val="es-ES_tradnl"/>
        </w:rPr>
        <w:t>.</w:t>
      </w:r>
    </w:p>
    <w:p w14:paraId="33A389A9" w14:textId="4F623E58" w:rsidR="00942482" w:rsidRDefault="00BD4745" w:rsidP="004B0800">
      <w:pPr>
        <w:pStyle w:val="Heading1"/>
        <w:ind w:left="1134"/>
        <w:rPr>
          <w:rFonts w:eastAsia="Calibri"/>
          <w:lang w:val="es-ES_tradnl"/>
        </w:rPr>
      </w:pPr>
      <w:bookmarkStart w:id="1" w:name="_Toc68097269"/>
      <w:r w:rsidRPr="004B0800">
        <w:t>Tabla</w:t>
      </w:r>
      <w:r w:rsidRPr="002014CD">
        <w:rPr>
          <w:rFonts w:eastAsia="Calibri"/>
          <w:lang w:val="es-ES_tradnl"/>
        </w:rPr>
        <w:t xml:space="preserve"> 2</w:t>
      </w:r>
    </w:p>
    <w:p w14:paraId="28A68CD8" w14:textId="342A45ED" w:rsidR="00BD4745" w:rsidRPr="002014CD" w:rsidRDefault="00064F24" w:rsidP="004B0800">
      <w:pPr>
        <w:pStyle w:val="H23G"/>
        <w:spacing w:before="0"/>
        <w:rPr>
          <w:rFonts w:eastAsia="Calibri"/>
          <w:lang w:val="es-ES_tradnl"/>
        </w:rPr>
      </w:pPr>
      <w:r>
        <w:rPr>
          <w:rFonts w:eastAsia="Calibri"/>
          <w:lang w:val="es-ES_tradnl"/>
        </w:rPr>
        <w:tab/>
      </w:r>
      <w:r>
        <w:rPr>
          <w:rFonts w:eastAsia="Calibri"/>
          <w:lang w:val="es-ES_tradnl"/>
        </w:rPr>
        <w:tab/>
      </w:r>
      <w:r w:rsidR="00BD4745" w:rsidRPr="007C7DB6">
        <w:rPr>
          <w:rFonts w:eastAsia="Calibri"/>
          <w:lang w:val="es-ES_tradnl"/>
        </w:rPr>
        <w:t>Presupuesto de los gobiernos autónomos municipales categoría D</w:t>
      </w:r>
      <w:r w:rsidR="00942482">
        <w:rPr>
          <w:rFonts w:eastAsia="Calibri"/>
          <w:lang w:val="es-ES_tradnl"/>
        </w:rPr>
        <w:br/>
      </w:r>
      <w:r w:rsidR="00BD4745" w:rsidRPr="007C7DB6">
        <w:rPr>
          <w:rFonts w:eastAsia="Calibri"/>
          <w:lang w:val="es-ES_tradnl"/>
        </w:rPr>
        <w:t>(que son los que tienen más de 50.000 habitantes) dentro del programa 25</w:t>
      </w:r>
      <w:r w:rsidR="00942482">
        <w:rPr>
          <w:rFonts w:eastAsia="Calibri"/>
          <w:lang w:val="es-ES_tradnl"/>
        </w:rPr>
        <w:br/>
        <w:t>“</w:t>
      </w:r>
      <w:r w:rsidR="00BD4745" w:rsidRPr="007C7DB6">
        <w:rPr>
          <w:rFonts w:eastAsia="Calibri"/>
          <w:lang w:val="es-ES_tradnl"/>
        </w:rPr>
        <w:t>Promoción y Políticas para grupos Vulnerables y de la Mujer</w:t>
      </w:r>
      <w:r w:rsidR="00942482">
        <w:rPr>
          <w:rFonts w:eastAsia="Calibri"/>
          <w:lang w:val="es-ES_tradnl"/>
        </w:rPr>
        <w:t>”</w:t>
      </w:r>
      <w:r w:rsidR="00BD4745" w:rsidRPr="007C7DB6">
        <w:rPr>
          <w:rFonts w:eastAsia="Calibri"/>
          <w:lang w:val="es-ES_tradnl"/>
        </w:rPr>
        <w:t xml:space="preserve"> gestiones 2018-2020</w:t>
      </w:r>
      <w:bookmarkEnd w:id="1"/>
    </w:p>
    <w:tbl>
      <w:tblPr>
        <w:tblW w:w="9638" w:type="dxa"/>
        <w:tblBorders>
          <w:top w:val="single" w:sz="4" w:space="0" w:color="auto"/>
        </w:tblBorders>
        <w:tblLayout w:type="fixed"/>
        <w:tblCellMar>
          <w:left w:w="0" w:type="dxa"/>
          <w:right w:w="0" w:type="dxa"/>
        </w:tblCellMar>
        <w:tblLook w:val="04A0" w:firstRow="1" w:lastRow="0" w:firstColumn="1" w:lastColumn="0" w:noHBand="0" w:noVBand="1"/>
      </w:tblPr>
      <w:tblGrid>
        <w:gridCol w:w="1092"/>
        <w:gridCol w:w="952"/>
        <w:gridCol w:w="896"/>
        <w:gridCol w:w="447"/>
        <w:gridCol w:w="924"/>
        <w:gridCol w:w="939"/>
        <w:gridCol w:w="447"/>
        <w:gridCol w:w="1022"/>
        <w:gridCol w:w="924"/>
        <w:gridCol w:w="574"/>
        <w:gridCol w:w="952"/>
        <w:gridCol w:w="469"/>
      </w:tblGrid>
      <w:tr w:rsidR="00347EF9" w:rsidRPr="00347EF9" w14:paraId="57E8D1BF" w14:textId="77777777" w:rsidTr="004B0800">
        <w:trPr>
          <w:trHeight w:val="240"/>
          <w:tblHeader/>
        </w:trPr>
        <w:tc>
          <w:tcPr>
            <w:tcW w:w="1092" w:type="dxa"/>
            <w:tcBorders>
              <w:top w:val="single" w:sz="4" w:space="0" w:color="auto"/>
              <w:bottom w:val="single" w:sz="12" w:space="0" w:color="auto"/>
            </w:tcBorders>
            <w:shd w:val="clear" w:color="auto" w:fill="auto"/>
            <w:noWrap/>
            <w:vAlign w:val="bottom"/>
            <w:hideMark/>
          </w:tcPr>
          <w:p w14:paraId="1875FE82" w14:textId="073AF6DC" w:rsidR="00BD4745" w:rsidRPr="00347EF9" w:rsidRDefault="00347EF9">
            <w:pPr>
              <w:spacing w:before="80" w:after="80" w:line="200" w:lineRule="exact"/>
              <w:rPr>
                <w:i/>
                <w:sz w:val="16"/>
                <w:szCs w:val="14"/>
              </w:rPr>
            </w:pPr>
            <w:r w:rsidRPr="00347EF9">
              <w:rPr>
                <w:i/>
                <w:sz w:val="16"/>
                <w:szCs w:val="14"/>
              </w:rPr>
              <w:t>Municipio</w:t>
            </w:r>
          </w:p>
        </w:tc>
        <w:tc>
          <w:tcPr>
            <w:tcW w:w="952" w:type="dxa"/>
            <w:tcBorders>
              <w:top w:val="single" w:sz="4" w:space="0" w:color="auto"/>
              <w:bottom w:val="single" w:sz="12" w:space="0" w:color="auto"/>
            </w:tcBorders>
            <w:shd w:val="clear" w:color="auto" w:fill="auto"/>
            <w:vAlign w:val="bottom"/>
            <w:hideMark/>
          </w:tcPr>
          <w:p w14:paraId="01B17202" w14:textId="77777777" w:rsidR="00BD4745" w:rsidRPr="00347EF9" w:rsidRDefault="00BD4745" w:rsidP="004B0800">
            <w:pPr>
              <w:spacing w:before="80" w:after="80" w:line="200" w:lineRule="exact"/>
              <w:ind w:left="113"/>
              <w:jc w:val="right"/>
              <w:rPr>
                <w:i/>
                <w:sz w:val="16"/>
                <w:szCs w:val="14"/>
              </w:rPr>
            </w:pPr>
            <w:r w:rsidRPr="00347EF9">
              <w:rPr>
                <w:i/>
                <w:sz w:val="16"/>
                <w:szCs w:val="14"/>
              </w:rPr>
              <w:t>Presupuesto 2018 (Bs)</w:t>
            </w:r>
          </w:p>
        </w:tc>
        <w:tc>
          <w:tcPr>
            <w:tcW w:w="896" w:type="dxa"/>
            <w:tcBorders>
              <w:top w:val="single" w:sz="4" w:space="0" w:color="auto"/>
              <w:bottom w:val="single" w:sz="12" w:space="0" w:color="auto"/>
            </w:tcBorders>
            <w:shd w:val="clear" w:color="auto" w:fill="auto"/>
            <w:vAlign w:val="bottom"/>
            <w:hideMark/>
          </w:tcPr>
          <w:p w14:paraId="0F6F73B9" w14:textId="77777777" w:rsidR="00BD4745" w:rsidRPr="00347EF9" w:rsidRDefault="00BD4745" w:rsidP="004B0800">
            <w:pPr>
              <w:spacing w:before="80" w:after="80" w:line="200" w:lineRule="exact"/>
              <w:ind w:left="113"/>
              <w:jc w:val="right"/>
              <w:rPr>
                <w:i/>
                <w:sz w:val="16"/>
                <w:szCs w:val="14"/>
              </w:rPr>
            </w:pPr>
            <w:r w:rsidRPr="00347EF9">
              <w:rPr>
                <w:i/>
                <w:sz w:val="16"/>
                <w:szCs w:val="14"/>
              </w:rPr>
              <w:t>Ejecutado 2018 (Bs)</w:t>
            </w:r>
          </w:p>
        </w:tc>
        <w:tc>
          <w:tcPr>
            <w:tcW w:w="447" w:type="dxa"/>
            <w:tcBorders>
              <w:top w:val="single" w:sz="4" w:space="0" w:color="auto"/>
              <w:bottom w:val="single" w:sz="12" w:space="0" w:color="auto"/>
            </w:tcBorders>
            <w:shd w:val="clear" w:color="auto" w:fill="auto"/>
            <w:vAlign w:val="bottom"/>
            <w:hideMark/>
          </w:tcPr>
          <w:p w14:paraId="41B72E24" w14:textId="77777777" w:rsidR="00BD4745" w:rsidRPr="00347EF9" w:rsidRDefault="00BD4745" w:rsidP="004B0800">
            <w:pPr>
              <w:spacing w:before="80" w:after="80" w:line="200" w:lineRule="exact"/>
              <w:ind w:left="113"/>
              <w:jc w:val="right"/>
              <w:rPr>
                <w:i/>
                <w:sz w:val="16"/>
                <w:szCs w:val="14"/>
              </w:rPr>
            </w:pPr>
            <w:r w:rsidRPr="00347EF9">
              <w:rPr>
                <w:i/>
                <w:sz w:val="16"/>
                <w:szCs w:val="14"/>
              </w:rPr>
              <w:t>%</w:t>
            </w:r>
          </w:p>
        </w:tc>
        <w:tc>
          <w:tcPr>
            <w:tcW w:w="924" w:type="dxa"/>
            <w:tcBorders>
              <w:top w:val="single" w:sz="4" w:space="0" w:color="auto"/>
              <w:bottom w:val="single" w:sz="12" w:space="0" w:color="auto"/>
            </w:tcBorders>
            <w:shd w:val="clear" w:color="auto" w:fill="auto"/>
            <w:vAlign w:val="bottom"/>
            <w:hideMark/>
          </w:tcPr>
          <w:p w14:paraId="2B71F2D2" w14:textId="77777777" w:rsidR="00BD4745" w:rsidRPr="00347EF9" w:rsidRDefault="00BD4745" w:rsidP="004B0800">
            <w:pPr>
              <w:spacing w:before="80" w:after="80" w:line="200" w:lineRule="exact"/>
              <w:ind w:left="113"/>
              <w:jc w:val="right"/>
              <w:rPr>
                <w:i/>
                <w:sz w:val="16"/>
                <w:szCs w:val="14"/>
              </w:rPr>
            </w:pPr>
            <w:r w:rsidRPr="00347EF9">
              <w:rPr>
                <w:i/>
                <w:sz w:val="16"/>
                <w:szCs w:val="14"/>
              </w:rPr>
              <w:t>Presupuesto 2019 (Bs)</w:t>
            </w:r>
          </w:p>
        </w:tc>
        <w:tc>
          <w:tcPr>
            <w:tcW w:w="939" w:type="dxa"/>
            <w:tcBorders>
              <w:top w:val="single" w:sz="4" w:space="0" w:color="auto"/>
              <w:bottom w:val="single" w:sz="12" w:space="0" w:color="auto"/>
            </w:tcBorders>
            <w:shd w:val="clear" w:color="auto" w:fill="auto"/>
            <w:vAlign w:val="bottom"/>
            <w:hideMark/>
          </w:tcPr>
          <w:p w14:paraId="4D7D30AA" w14:textId="77777777" w:rsidR="00BD4745" w:rsidRPr="00347EF9" w:rsidRDefault="00BD4745" w:rsidP="004B0800">
            <w:pPr>
              <w:spacing w:before="80" w:after="80" w:line="200" w:lineRule="exact"/>
              <w:ind w:left="113"/>
              <w:jc w:val="right"/>
              <w:rPr>
                <w:i/>
                <w:sz w:val="16"/>
                <w:szCs w:val="14"/>
              </w:rPr>
            </w:pPr>
            <w:r w:rsidRPr="00347EF9">
              <w:rPr>
                <w:i/>
                <w:sz w:val="16"/>
                <w:szCs w:val="14"/>
              </w:rPr>
              <w:t>Ejecutado 2019 (Bs)</w:t>
            </w:r>
          </w:p>
        </w:tc>
        <w:tc>
          <w:tcPr>
            <w:tcW w:w="447" w:type="dxa"/>
            <w:tcBorders>
              <w:top w:val="single" w:sz="4" w:space="0" w:color="auto"/>
              <w:bottom w:val="single" w:sz="12" w:space="0" w:color="auto"/>
            </w:tcBorders>
            <w:shd w:val="clear" w:color="auto" w:fill="auto"/>
            <w:vAlign w:val="bottom"/>
            <w:hideMark/>
          </w:tcPr>
          <w:p w14:paraId="56C0C372" w14:textId="77777777" w:rsidR="00BD4745" w:rsidRPr="00347EF9" w:rsidRDefault="00BD4745" w:rsidP="004B0800">
            <w:pPr>
              <w:spacing w:before="80" w:after="80" w:line="200" w:lineRule="exact"/>
              <w:ind w:left="113"/>
              <w:jc w:val="right"/>
              <w:rPr>
                <w:i/>
                <w:sz w:val="16"/>
                <w:szCs w:val="14"/>
              </w:rPr>
            </w:pPr>
            <w:r w:rsidRPr="00347EF9">
              <w:rPr>
                <w:i/>
                <w:sz w:val="16"/>
                <w:szCs w:val="14"/>
              </w:rPr>
              <w:t>%</w:t>
            </w:r>
          </w:p>
        </w:tc>
        <w:tc>
          <w:tcPr>
            <w:tcW w:w="1022" w:type="dxa"/>
            <w:tcBorders>
              <w:top w:val="single" w:sz="4" w:space="0" w:color="auto"/>
              <w:bottom w:val="single" w:sz="12" w:space="0" w:color="auto"/>
            </w:tcBorders>
            <w:shd w:val="clear" w:color="auto" w:fill="auto"/>
            <w:vAlign w:val="bottom"/>
            <w:hideMark/>
          </w:tcPr>
          <w:p w14:paraId="3C16D683" w14:textId="77777777" w:rsidR="00BD4745" w:rsidRPr="00347EF9" w:rsidRDefault="00BD4745" w:rsidP="004B0800">
            <w:pPr>
              <w:spacing w:before="80" w:after="80" w:line="200" w:lineRule="exact"/>
              <w:ind w:left="113"/>
              <w:jc w:val="right"/>
              <w:rPr>
                <w:i/>
                <w:sz w:val="16"/>
                <w:szCs w:val="14"/>
              </w:rPr>
            </w:pPr>
            <w:r w:rsidRPr="00347EF9">
              <w:rPr>
                <w:i/>
                <w:sz w:val="16"/>
                <w:szCs w:val="14"/>
              </w:rPr>
              <w:t>Presupuesto 2020 (Bs)</w:t>
            </w:r>
          </w:p>
        </w:tc>
        <w:tc>
          <w:tcPr>
            <w:tcW w:w="924" w:type="dxa"/>
            <w:tcBorders>
              <w:top w:val="single" w:sz="4" w:space="0" w:color="auto"/>
              <w:bottom w:val="single" w:sz="12" w:space="0" w:color="auto"/>
            </w:tcBorders>
            <w:shd w:val="clear" w:color="auto" w:fill="auto"/>
            <w:vAlign w:val="bottom"/>
            <w:hideMark/>
          </w:tcPr>
          <w:p w14:paraId="53304138" w14:textId="77777777" w:rsidR="00BD4745" w:rsidRPr="00347EF9" w:rsidRDefault="00BD4745" w:rsidP="004B0800">
            <w:pPr>
              <w:spacing w:before="80" w:after="80" w:line="200" w:lineRule="exact"/>
              <w:ind w:left="113"/>
              <w:jc w:val="right"/>
              <w:rPr>
                <w:i/>
                <w:sz w:val="16"/>
                <w:szCs w:val="14"/>
              </w:rPr>
            </w:pPr>
            <w:r w:rsidRPr="00347EF9">
              <w:rPr>
                <w:i/>
                <w:sz w:val="16"/>
                <w:szCs w:val="14"/>
              </w:rPr>
              <w:t>Ejecutado 2020 (Bs)</w:t>
            </w:r>
          </w:p>
        </w:tc>
        <w:tc>
          <w:tcPr>
            <w:tcW w:w="574" w:type="dxa"/>
            <w:tcBorders>
              <w:top w:val="single" w:sz="4" w:space="0" w:color="auto"/>
              <w:bottom w:val="single" w:sz="12" w:space="0" w:color="auto"/>
            </w:tcBorders>
            <w:shd w:val="clear" w:color="auto" w:fill="auto"/>
            <w:vAlign w:val="bottom"/>
            <w:hideMark/>
          </w:tcPr>
          <w:p w14:paraId="7D42F52E" w14:textId="77777777" w:rsidR="00BD4745" w:rsidRPr="00347EF9" w:rsidRDefault="00BD4745" w:rsidP="004B0800">
            <w:pPr>
              <w:spacing w:before="80" w:after="80" w:line="200" w:lineRule="exact"/>
              <w:ind w:left="113"/>
              <w:jc w:val="right"/>
              <w:rPr>
                <w:i/>
                <w:sz w:val="16"/>
                <w:szCs w:val="14"/>
              </w:rPr>
            </w:pPr>
            <w:r w:rsidRPr="00347EF9">
              <w:rPr>
                <w:i/>
                <w:sz w:val="16"/>
                <w:szCs w:val="14"/>
              </w:rPr>
              <w:t>%</w:t>
            </w:r>
          </w:p>
        </w:tc>
        <w:tc>
          <w:tcPr>
            <w:tcW w:w="952" w:type="dxa"/>
            <w:tcBorders>
              <w:top w:val="single" w:sz="4" w:space="0" w:color="auto"/>
              <w:bottom w:val="single" w:sz="12" w:space="0" w:color="auto"/>
            </w:tcBorders>
            <w:shd w:val="clear" w:color="auto" w:fill="auto"/>
            <w:vAlign w:val="bottom"/>
            <w:hideMark/>
          </w:tcPr>
          <w:p w14:paraId="0CC4DEE0" w14:textId="77777777" w:rsidR="00BD4745" w:rsidRPr="00347EF9" w:rsidRDefault="00BD4745" w:rsidP="004B0800">
            <w:pPr>
              <w:spacing w:before="80" w:after="80" w:line="200" w:lineRule="exact"/>
              <w:ind w:left="113"/>
              <w:jc w:val="right"/>
              <w:rPr>
                <w:i/>
                <w:sz w:val="16"/>
                <w:szCs w:val="14"/>
              </w:rPr>
            </w:pPr>
            <w:r w:rsidRPr="00347EF9">
              <w:rPr>
                <w:i/>
                <w:sz w:val="16"/>
                <w:szCs w:val="14"/>
              </w:rPr>
              <w:t>Promedio ejecución (Bs)</w:t>
            </w:r>
          </w:p>
        </w:tc>
        <w:tc>
          <w:tcPr>
            <w:tcW w:w="469" w:type="dxa"/>
            <w:tcBorders>
              <w:top w:val="single" w:sz="4" w:space="0" w:color="auto"/>
              <w:bottom w:val="single" w:sz="12" w:space="0" w:color="auto"/>
            </w:tcBorders>
            <w:shd w:val="clear" w:color="auto" w:fill="auto"/>
            <w:vAlign w:val="bottom"/>
            <w:hideMark/>
          </w:tcPr>
          <w:p w14:paraId="77A6DFE8" w14:textId="77777777" w:rsidR="00BD4745" w:rsidRPr="00347EF9" w:rsidRDefault="00BD4745" w:rsidP="004B0800">
            <w:pPr>
              <w:spacing w:before="80" w:after="80" w:line="200" w:lineRule="exact"/>
              <w:ind w:left="113"/>
              <w:jc w:val="right"/>
              <w:rPr>
                <w:i/>
                <w:sz w:val="16"/>
                <w:szCs w:val="14"/>
              </w:rPr>
            </w:pPr>
            <w:r w:rsidRPr="00347EF9">
              <w:rPr>
                <w:i/>
                <w:sz w:val="16"/>
                <w:szCs w:val="14"/>
              </w:rPr>
              <w:t xml:space="preserve">% </w:t>
            </w:r>
            <w:proofErr w:type="spellStart"/>
            <w:r w:rsidRPr="00347EF9">
              <w:rPr>
                <w:i/>
                <w:sz w:val="16"/>
                <w:szCs w:val="14"/>
              </w:rPr>
              <w:t>Prom</w:t>
            </w:r>
            <w:proofErr w:type="spellEnd"/>
          </w:p>
        </w:tc>
      </w:tr>
      <w:tr w:rsidR="00347EF9" w:rsidRPr="00347EF9" w14:paraId="56DCC7BE" w14:textId="77777777" w:rsidTr="004B0800">
        <w:trPr>
          <w:trHeight w:val="240"/>
        </w:trPr>
        <w:tc>
          <w:tcPr>
            <w:tcW w:w="1092" w:type="dxa"/>
            <w:tcBorders>
              <w:top w:val="single" w:sz="12" w:space="0" w:color="auto"/>
            </w:tcBorders>
            <w:shd w:val="clear" w:color="auto" w:fill="auto"/>
            <w:noWrap/>
            <w:hideMark/>
          </w:tcPr>
          <w:p w14:paraId="19C38001" w14:textId="54C95A41" w:rsidR="00BD4745" w:rsidRPr="00347EF9" w:rsidRDefault="00BD4745">
            <w:pPr>
              <w:spacing w:before="40" w:after="40" w:line="220" w:lineRule="exact"/>
              <w:rPr>
                <w:sz w:val="18"/>
                <w:szCs w:val="14"/>
              </w:rPr>
            </w:pPr>
            <w:r w:rsidRPr="00347EF9">
              <w:rPr>
                <w:sz w:val="18"/>
                <w:szCs w:val="14"/>
              </w:rPr>
              <w:t>Santa Cruz</w:t>
            </w:r>
            <w:r w:rsidR="00347EF9">
              <w:rPr>
                <w:sz w:val="18"/>
                <w:szCs w:val="14"/>
              </w:rPr>
              <w:br/>
            </w:r>
            <w:r w:rsidRPr="00347EF9">
              <w:rPr>
                <w:sz w:val="18"/>
                <w:szCs w:val="14"/>
              </w:rPr>
              <w:t>de la Sierra</w:t>
            </w:r>
          </w:p>
        </w:tc>
        <w:tc>
          <w:tcPr>
            <w:tcW w:w="952" w:type="dxa"/>
            <w:tcBorders>
              <w:top w:val="single" w:sz="12" w:space="0" w:color="auto"/>
            </w:tcBorders>
            <w:shd w:val="clear" w:color="auto" w:fill="auto"/>
            <w:noWrap/>
            <w:vAlign w:val="bottom"/>
            <w:hideMark/>
          </w:tcPr>
          <w:p w14:paraId="7C126440" w14:textId="3009AD7D" w:rsidR="00BD4745" w:rsidRPr="00347EF9" w:rsidRDefault="00BD4745" w:rsidP="004B0800">
            <w:pPr>
              <w:spacing w:before="40" w:after="40" w:line="220" w:lineRule="exact"/>
              <w:ind w:left="113"/>
              <w:jc w:val="right"/>
              <w:rPr>
                <w:sz w:val="18"/>
                <w:szCs w:val="14"/>
              </w:rPr>
            </w:pPr>
            <w:r w:rsidRPr="00347EF9">
              <w:rPr>
                <w:sz w:val="18"/>
                <w:szCs w:val="14"/>
              </w:rPr>
              <w:t>10</w:t>
            </w:r>
            <w:r w:rsidR="00347EF9">
              <w:rPr>
                <w:sz w:val="18"/>
                <w:szCs w:val="14"/>
              </w:rPr>
              <w:t xml:space="preserve"> </w:t>
            </w:r>
            <w:r w:rsidRPr="00347EF9">
              <w:rPr>
                <w:sz w:val="18"/>
                <w:szCs w:val="14"/>
              </w:rPr>
              <w:t>315</w:t>
            </w:r>
            <w:r w:rsidR="00347EF9">
              <w:rPr>
                <w:sz w:val="18"/>
                <w:szCs w:val="14"/>
              </w:rPr>
              <w:t xml:space="preserve"> </w:t>
            </w:r>
            <w:r w:rsidRPr="00347EF9">
              <w:rPr>
                <w:sz w:val="18"/>
                <w:szCs w:val="14"/>
              </w:rPr>
              <w:t>028</w:t>
            </w:r>
          </w:p>
        </w:tc>
        <w:tc>
          <w:tcPr>
            <w:tcW w:w="896" w:type="dxa"/>
            <w:tcBorders>
              <w:top w:val="single" w:sz="12" w:space="0" w:color="auto"/>
            </w:tcBorders>
            <w:shd w:val="clear" w:color="auto" w:fill="auto"/>
            <w:noWrap/>
            <w:vAlign w:val="bottom"/>
            <w:hideMark/>
          </w:tcPr>
          <w:p w14:paraId="689CECCD" w14:textId="15023ECC" w:rsidR="00BD4745" w:rsidRPr="00347EF9" w:rsidRDefault="00BD4745" w:rsidP="004B0800">
            <w:pPr>
              <w:spacing w:before="40" w:after="40" w:line="220" w:lineRule="exact"/>
              <w:ind w:left="113"/>
              <w:jc w:val="right"/>
              <w:rPr>
                <w:sz w:val="18"/>
                <w:szCs w:val="14"/>
              </w:rPr>
            </w:pPr>
            <w:r w:rsidRPr="00347EF9">
              <w:rPr>
                <w:sz w:val="18"/>
                <w:szCs w:val="14"/>
              </w:rPr>
              <w:t>6</w:t>
            </w:r>
            <w:r w:rsidR="00347EF9">
              <w:rPr>
                <w:sz w:val="18"/>
                <w:szCs w:val="14"/>
              </w:rPr>
              <w:t xml:space="preserve"> </w:t>
            </w:r>
            <w:r w:rsidRPr="00347EF9">
              <w:rPr>
                <w:sz w:val="18"/>
                <w:szCs w:val="14"/>
              </w:rPr>
              <w:t>966</w:t>
            </w:r>
            <w:r w:rsidR="00347EF9">
              <w:rPr>
                <w:sz w:val="18"/>
                <w:szCs w:val="14"/>
              </w:rPr>
              <w:t xml:space="preserve"> </w:t>
            </w:r>
            <w:r w:rsidRPr="00347EF9">
              <w:rPr>
                <w:sz w:val="18"/>
                <w:szCs w:val="14"/>
              </w:rPr>
              <w:t>576</w:t>
            </w:r>
          </w:p>
        </w:tc>
        <w:tc>
          <w:tcPr>
            <w:tcW w:w="447" w:type="dxa"/>
            <w:tcBorders>
              <w:top w:val="single" w:sz="12" w:space="0" w:color="auto"/>
            </w:tcBorders>
            <w:shd w:val="clear" w:color="auto" w:fill="auto"/>
            <w:noWrap/>
            <w:vAlign w:val="bottom"/>
            <w:hideMark/>
          </w:tcPr>
          <w:p w14:paraId="6735508F" w14:textId="77777777" w:rsidR="00BD4745" w:rsidRPr="00347EF9" w:rsidRDefault="00BD4745" w:rsidP="004B0800">
            <w:pPr>
              <w:spacing w:before="40" w:after="40" w:line="220" w:lineRule="exact"/>
              <w:ind w:left="113"/>
              <w:jc w:val="right"/>
              <w:rPr>
                <w:sz w:val="18"/>
                <w:szCs w:val="14"/>
              </w:rPr>
            </w:pPr>
            <w:r w:rsidRPr="00347EF9">
              <w:rPr>
                <w:sz w:val="18"/>
                <w:szCs w:val="14"/>
              </w:rPr>
              <w:t>67,5</w:t>
            </w:r>
          </w:p>
        </w:tc>
        <w:tc>
          <w:tcPr>
            <w:tcW w:w="924" w:type="dxa"/>
            <w:tcBorders>
              <w:top w:val="single" w:sz="12" w:space="0" w:color="auto"/>
            </w:tcBorders>
            <w:shd w:val="clear" w:color="auto" w:fill="auto"/>
            <w:noWrap/>
            <w:vAlign w:val="bottom"/>
            <w:hideMark/>
          </w:tcPr>
          <w:p w14:paraId="036060DC" w14:textId="4DF592EC" w:rsidR="00BD4745" w:rsidRPr="00347EF9" w:rsidRDefault="00BD4745" w:rsidP="004B0800">
            <w:pPr>
              <w:spacing w:before="40" w:after="40" w:line="220" w:lineRule="exact"/>
              <w:ind w:left="113"/>
              <w:jc w:val="right"/>
              <w:rPr>
                <w:sz w:val="18"/>
                <w:szCs w:val="14"/>
              </w:rPr>
            </w:pPr>
            <w:r w:rsidRPr="00347EF9">
              <w:rPr>
                <w:sz w:val="18"/>
                <w:szCs w:val="14"/>
              </w:rPr>
              <w:t>13</w:t>
            </w:r>
            <w:r w:rsidR="00347EF9">
              <w:rPr>
                <w:sz w:val="18"/>
                <w:szCs w:val="14"/>
              </w:rPr>
              <w:t xml:space="preserve"> </w:t>
            </w:r>
            <w:r w:rsidRPr="00347EF9">
              <w:rPr>
                <w:sz w:val="18"/>
                <w:szCs w:val="14"/>
              </w:rPr>
              <w:t>016</w:t>
            </w:r>
            <w:r w:rsidR="00347EF9">
              <w:rPr>
                <w:sz w:val="18"/>
                <w:szCs w:val="14"/>
              </w:rPr>
              <w:t xml:space="preserve"> </w:t>
            </w:r>
            <w:r w:rsidRPr="00347EF9">
              <w:rPr>
                <w:sz w:val="18"/>
                <w:szCs w:val="14"/>
              </w:rPr>
              <w:t>708</w:t>
            </w:r>
          </w:p>
        </w:tc>
        <w:tc>
          <w:tcPr>
            <w:tcW w:w="939" w:type="dxa"/>
            <w:tcBorders>
              <w:top w:val="single" w:sz="12" w:space="0" w:color="auto"/>
            </w:tcBorders>
            <w:shd w:val="clear" w:color="auto" w:fill="auto"/>
            <w:noWrap/>
            <w:vAlign w:val="bottom"/>
            <w:hideMark/>
          </w:tcPr>
          <w:p w14:paraId="23708269" w14:textId="16E8995E" w:rsidR="00BD4745" w:rsidRPr="00347EF9" w:rsidRDefault="00BD4745" w:rsidP="004B0800">
            <w:pPr>
              <w:spacing w:before="40" w:after="40" w:line="220" w:lineRule="exact"/>
              <w:ind w:left="113"/>
              <w:jc w:val="right"/>
              <w:rPr>
                <w:sz w:val="18"/>
                <w:szCs w:val="14"/>
              </w:rPr>
            </w:pPr>
            <w:r w:rsidRPr="00347EF9">
              <w:rPr>
                <w:sz w:val="18"/>
                <w:szCs w:val="14"/>
              </w:rPr>
              <w:t>9</w:t>
            </w:r>
            <w:r w:rsidR="00347EF9">
              <w:rPr>
                <w:sz w:val="18"/>
                <w:szCs w:val="14"/>
              </w:rPr>
              <w:t xml:space="preserve"> </w:t>
            </w:r>
            <w:r w:rsidRPr="00347EF9">
              <w:rPr>
                <w:sz w:val="18"/>
                <w:szCs w:val="14"/>
              </w:rPr>
              <w:t>355</w:t>
            </w:r>
            <w:r w:rsidR="00347EF9">
              <w:rPr>
                <w:sz w:val="18"/>
                <w:szCs w:val="14"/>
              </w:rPr>
              <w:t xml:space="preserve"> </w:t>
            </w:r>
            <w:r w:rsidRPr="00347EF9">
              <w:rPr>
                <w:sz w:val="18"/>
                <w:szCs w:val="14"/>
              </w:rPr>
              <w:t>471</w:t>
            </w:r>
          </w:p>
        </w:tc>
        <w:tc>
          <w:tcPr>
            <w:tcW w:w="447" w:type="dxa"/>
            <w:tcBorders>
              <w:top w:val="single" w:sz="12" w:space="0" w:color="auto"/>
            </w:tcBorders>
            <w:shd w:val="clear" w:color="auto" w:fill="auto"/>
            <w:noWrap/>
            <w:vAlign w:val="bottom"/>
            <w:hideMark/>
          </w:tcPr>
          <w:p w14:paraId="2E47A93F" w14:textId="77777777" w:rsidR="00BD4745" w:rsidRPr="00347EF9" w:rsidRDefault="00BD4745" w:rsidP="004B0800">
            <w:pPr>
              <w:spacing w:before="40" w:after="40" w:line="220" w:lineRule="exact"/>
              <w:ind w:left="113"/>
              <w:jc w:val="right"/>
              <w:rPr>
                <w:sz w:val="18"/>
                <w:szCs w:val="14"/>
              </w:rPr>
            </w:pPr>
            <w:r w:rsidRPr="00347EF9">
              <w:rPr>
                <w:sz w:val="18"/>
                <w:szCs w:val="14"/>
              </w:rPr>
              <w:t>71,9</w:t>
            </w:r>
          </w:p>
        </w:tc>
        <w:tc>
          <w:tcPr>
            <w:tcW w:w="1022" w:type="dxa"/>
            <w:tcBorders>
              <w:top w:val="single" w:sz="12" w:space="0" w:color="auto"/>
            </w:tcBorders>
            <w:shd w:val="clear" w:color="auto" w:fill="auto"/>
            <w:noWrap/>
            <w:vAlign w:val="bottom"/>
            <w:hideMark/>
          </w:tcPr>
          <w:p w14:paraId="0E34AB15" w14:textId="4B19E87C" w:rsidR="00BD4745" w:rsidRPr="00347EF9" w:rsidRDefault="00BD4745" w:rsidP="004B0800">
            <w:pPr>
              <w:spacing w:before="40" w:after="40" w:line="220" w:lineRule="exact"/>
              <w:ind w:left="113"/>
              <w:jc w:val="right"/>
              <w:rPr>
                <w:sz w:val="18"/>
                <w:szCs w:val="14"/>
              </w:rPr>
            </w:pPr>
            <w:r w:rsidRPr="00347EF9">
              <w:rPr>
                <w:sz w:val="18"/>
                <w:szCs w:val="14"/>
              </w:rPr>
              <w:t>11</w:t>
            </w:r>
            <w:r w:rsidR="00347EF9">
              <w:rPr>
                <w:sz w:val="18"/>
                <w:szCs w:val="14"/>
              </w:rPr>
              <w:t xml:space="preserve"> </w:t>
            </w:r>
            <w:r w:rsidRPr="00347EF9">
              <w:rPr>
                <w:sz w:val="18"/>
                <w:szCs w:val="14"/>
              </w:rPr>
              <w:t>999</w:t>
            </w:r>
            <w:r w:rsidR="00347EF9">
              <w:rPr>
                <w:sz w:val="18"/>
                <w:szCs w:val="14"/>
              </w:rPr>
              <w:t xml:space="preserve"> </w:t>
            </w:r>
            <w:r w:rsidRPr="00347EF9">
              <w:rPr>
                <w:sz w:val="18"/>
                <w:szCs w:val="14"/>
              </w:rPr>
              <w:t>190</w:t>
            </w:r>
          </w:p>
        </w:tc>
        <w:tc>
          <w:tcPr>
            <w:tcW w:w="924" w:type="dxa"/>
            <w:tcBorders>
              <w:top w:val="single" w:sz="12" w:space="0" w:color="auto"/>
            </w:tcBorders>
            <w:shd w:val="clear" w:color="auto" w:fill="auto"/>
            <w:noWrap/>
            <w:vAlign w:val="bottom"/>
            <w:hideMark/>
          </w:tcPr>
          <w:p w14:paraId="15940C43" w14:textId="51086311" w:rsidR="00BD4745" w:rsidRPr="00347EF9" w:rsidRDefault="00BD4745" w:rsidP="004B0800">
            <w:pPr>
              <w:spacing w:before="40" w:after="40" w:line="220" w:lineRule="exact"/>
              <w:ind w:left="113"/>
              <w:jc w:val="right"/>
              <w:rPr>
                <w:sz w:val="18"/>
                <w:szCs w:val="14"/>
              </w:rPr>
            </w:pPr>
            <w:r w:rsidRPr="00347EF9">
              <w:rPr>
                <w:sz w:val="18"/>
                <w:szCs w:val="14"/>
              </w:rPr>
              <w:t>4</w:t>
            </w:r>
            <w:r w:rsidR="00347EF9">
              <w:rPr>
                <w:sz w:val="18"/>
                <w:szCs w:val="14"/>
              </w:rPr>
              <w:t xml:space="preserve"> </w:t>
            </w:r>
            <w:r w:rsidRPr="00347EF9">
              <w:rPr>
                <w:sz w:val="18"/>
                <w:szCs w:val="14"/>
              </w:rPr>
              <w:t>992</w:t>
            </w:r>
            <w:r w:rsidR="00347EF9">
              <w:rPr>
                <w:sz w:val="18"/>
                <w:szCs w:val="14"/>
              </w:rPr>
              <w:t xml:space="preserve"> </w:t>
            </w:r>
            <w:r w:rsidRPr="00347EF9">
              <w:rPr>
                <w:sz w:val="18"/>
                <w:szCs w:val="14"/>
              </w:rPr>
              <w:t>497</w:t>
            </w:r>
          </w:p>
        </w:tc>
        <w:tc>
          <w:tcPr>
            <w:tcW w:w="574" w:type="dxa"/>
            <w:tcBorders>
              <w:top w:val="single" w:sz="12" w:space="0" w:color="auto"/>
            </w:tcBorders>
            <w:shd w:val="clear" w:color="auto" w:fill="auto"/>
            <w:noWrap/>
            <w:vAlign w:val="bottom"/>
            <w:hideMark/>
          </w:tcPr>
          <w:p w14:paraId="6BA732B0" w14:textId="77777777" w:rsidR="00BD4745" w:rsidRPr="00347EF9" w:rsidRDefault="00BD4745" w:rsidP="004B0800">
            <w:pPr>
              <w:spacing w:before="40" w:after="40" w:line="220" w:lineRule="exact"/>
              <w:ind w:left="113"/>
              <w:jc w:val="right"/>
              <w:rPr>
                <w:sz w:val="18"/>
                <w:szCs w:val="14"/>
              </w:rPr>
            </w:pPr>
            <w:r w:rsidRPr="00347EF9">
              <w:rPr>
                <w:sz w:val="18"/>
                <w:szCs w:val="14"/>
              </w:rPr>
              <w:t>41,6</w:t>
            </w:r>
          </w:p>
        </w:tc>
        <w:tc>
          <w:tcPr>
            <w:tcW w:w="952" w:type="dxa"/>
            <w:tcBorders>
              <w:top w:val="single" w:sz="12" w:space="0" w:color="auto"/>
            </w:tcBorders>
            <w:shd w:val="clear" w:color="auto" w:fill="auto"/>
            <w:noWrap/>
            <w:vAlign w:val="bottom"/>
            <w:hideMark/>
          </w:tcPr>
          <w:p w14:paraId="08508DAA" w14:textId="655C80CC" w:rsidR="00BD4745" w:rsidRPr="00347EF9" w:rsidRDefault="00BD4745" w:rsidP="004B0800">
            <w:pPr>
              <w:spacing w:before="40" w:after="40" w:line="220" w:lineRule="exact"/>
              <w:ind w:left="113"/>
              <w:jc w:val="right"/>
              <w:rPr>
                <w:sz w:val="18"/>
                <w:szCs w:val="14"/>
              </w:rPr>
            </w:pPr>
            <w:r w:rsidRPr="00347EF9">
              <w:rPr>
                <w:sz w:val="18"/>
                <w:szCs w:val="14"/>
              </w:rPr>
              <w:t>7</w:t>
            </w:r>
            <w:r w:rsidR="00347EF9">
              <w:rPr>
                <w:sz w:val="18"/>
                <w:szCs w:val="14"/>
              </w:rPr>
              <w:t xml:space="preserve"> </w:t>
            </w:r>
            <w:r w:rsidRPr="00347EF9">
              <w:rPr>
                <w:sz w:val="18"/>
                <w:szCs w:val="14"/>
              </w:rPr>
              <w:t>104</w:t>
            </w:r>
            <w:r w:rsidR="00347EF9">
              <w:rPr>
                <w:sz w:val="18"/>
                <w:szCs w:val="14"/>
              </w:rPr>
              <w:t xml:space="preserve"> </w:t>
            </w:r>
            <w:r w:rsidRPr="00347EF9">
              <w:rPr>
                <w:sz w:val="18"/>
                <w:szCs w:val="14"/>
              </w:rPr>
              <w:t>848</w:t>
            </w:r>
          </w:p>
        </w:tc>
        <w:tc>
          <w:tcPr>
            <w:tcW w:w="469" w:type="dxa"/>
            <w:tcBorders>
              <w:top w:val="single" w:sz="12" w:space="0" w:color="auto"/>
            </w:tcBorders>
            <w:shd w:val="clear" w:color="auto" w:fill="auto"/>
            <w:noWrap/>
            <w:vAlign w:val="bottom"/>
            <w:hideMark/>
          </w:tcPr>
          <w:p w14:paraId="155772D3" w14:textId="77777777" w:rsidR="00BD4745" w:rsidRPr="00347EF9" w:rsidRDefault="00BD4745" w:rsidP="004B0800">
            <w:pPr>
              <w:spacing w:before="40" w:after="40" w:line="220" w:lineRule="exact"/>
              <w:ind w:left="113"/>
              <w:jc w:val="right"/>
              <w:rPr>
                <w:sz w:val="18"/>
                <w:szCs w:val="14"/>
              </w:rPr>
            </w:pPr>
            <w:r w:rsidRPr="00347EF9">
              <w:rPr>
                <w:sz w:val="18"/>
                <w:szCs w:val="14"/>
              </w:rPr>
              <w:t>60,3</w:t>
            </w:r>
          </w:p>
        </w:tc>
      </w:tr>
      <w:tr w:rsidR="00347EF9" w:rsidRPr="00347EF9" w14:paraId="53F862D1" w14:textId="77777777" w:rsidTr="004B0800">
        <w:trPr>
          <w:trHeight w:val="240"/>
        </w:trPr>
        <w:tc>
          <w:tcPr>
            <w:tcW w:w="1092" w:type="dxa"/>
            <w:shd w:val="clear" w:color="auto" w:fill="auto"/>
            <w:noWrap/>
            <w:hideMark/>
          </w:tcPr>
          <w:p w14:paraId="6EE79B9D" w14:textId="77777777" w:rsidR="00BD4745" w:rsidRPr="00347EF9" w:rsidRDefault="00BD4745">
            <w:pPr>
              <w:spacing w:before="40" w:after="40" w:line="220" w:lineRule="exact"/>
              <w:rPr>
                <w:sz w:val="18"/>
                <w:szCs w:val="14"/>
              </w:rPr>
            </w:pPr>
            <w:r w:rsidRPr="00347EF9">
              <w:rPr>
                <w:sz w:val="18"/>
                <w:szCs w:val="14"/>
              </w:rPr>
              <w:t>El Alto</w:t>
            </w:r>
          </w:p>
        </w:tc>
        <w:tc>
          <w:tcPr>
            <w:tcW w:w="952" w:type="dxa"/>
            <w:shd w:val="clear" w:color="auto" w:fill="auto"/>
            <w:noWrap/>
            <w:vAlign w:val="bottom"/>
            <w:hideMark/>
          </w:tcPr>
          <w:p w14:paraId="4649BCD6" w14:textId="4EF078CE" w:rsidR="00BD4745" w:rsidRPr="00347EF9" w:rsidRDefault="00BD4745" w:rsidP="004B0800">
            <w:pPr>
              <w:spacing w:before="40" w:after="40" w:line="220" w:lineRule="exact"/>
              <w:ind w:left="113"/>
              <w:jc w:val="right"/>
              <w:rPr>
                <w:sz w:val="18"/>
                <w:szCs w:val="14"/>
              </w:rPr>
            </w:pPr>
            <w:r w:rsidRPr="00347EF9">
              <w:rPr>
                <w:sz w:val="18"/>
                <w:szCs w:val="14"/>
              </w:rPr>
              <w:t>3</w:t>
            </w:r>
            <w:r w:rsidR="00347EF9">
              <w:rPr>
                <w:sz w:val="18"/>
                <w:szCs w:val="14"/>
              </w:rPr>
              <w:t xml:space="preserve"> </w:t>
            </w:r>
            <w:r w:rsidRPr="00347EF9">
              <w:rPr>
                <w:sz w:val="18"/>
                <w:szCs w:val="14"/>
              </w:rPr>
              <w:t>283</w:t>
            </w:r>
            <w:r w:rsidR="00347EF9">
              <w:rPr>
                <w:sz w:val="18"/>
                <w:szCs w:val="14"/>
              </w:rPr>
              <w:t xml:space="preserve"> </w:t>
            </w:r>
            <w:r w:rsidRPr="00347EF9">
              <w:rPr>
                <w:sz w:val="18"/>
                <w:szCs w:val="14"/>
              </w:rPr>
              <w:t>387</w:t>
            </w:r>
          </w:p>
        </w:tc>
        <w:tc>
          <w:tcPr>
            <w:tcW w:w="896" w:type="dxa"/>
            <w:shd w:val="clear" w:color="auto" w:fill="auto"/>
            <w:noWrap/>
            <w:vAlign w:val="bottom"/>
            <w:hideMark/>
          </w:tcPr>
          <w:p w14:paraId="15DE3FAD" w14:textId="065C64E1"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771</w:t>
            </w:r>
            <w:r w:rsidR="00347EF9">
              <w:rPr>
                <w:sz w:val="18"/>
                <w:szCs w:val="14"/>
              </w:rPr>
              <w:t xml:space="preserve"> </w:t>
            </w:r>
            <w:r w:rsidRPr="00347EF9">
              <w:rPr>
                <w:sz w:val="18"/>
                <w:szCs w:val="14"/>
              </w:rPr>
              <w:t>413</w:t>
            </w:r>
          </w:p>
        </w:tc>
        <w:tc>
          <w:tcPr>
            <w:tcW w:w="447" w:type="dxa"/>
            <w:shd w:val="clear" w:color="auto" w:fill="auto"/>
            <w:noWrap/>
            <w:vAlign w:val="bottom"/>
            <w:hideMark/>
          </w:tcPr>
          <w:p w14:paraId="0A3D92D6" w14:textId="77777777" w:rsidR="00BD4745" w:rsidRPr="00347EF9" w:rsidRDefault="00BD4745" w:rsidP="004B0800">
            <w:pPr>
              <w:spacing w:before="40" w:after="40" w:line="220" w:lineRule="exact"/>
              <w:ind w:left="113"/>
              <w:jc w:val="right"/>
              <w:rPr>
                <w:sz w:val="18"/>
                <w:szCs w:val="14"/>
              </w:rPr>
            </w:pPr>
            <w:r w:rsidRPr="00347EF9">
              <w:rPr>
                <w:sz w:val="18"/>
                <w:szCs w:val="14"/>
              </w:rPr>
              <w:t>84,4</w:t>
            </w:r>
          </w:p>
        </w:tc>
        <w:tc>
          <w:tcPr>
            <w:tcW w:w="924" w:type="dxa"/>
            <w:shd w:val="clear" w:color="auto" w:fill="auto"/>
            <w:noWrap/>
            <w:vAlign w:val="bottom"/>
            <w:hideMark/>
          </w:tcPr>
          <w:p w14:paraId="7736DE0D" w14:textId="317CD845" w:rsidR="00BD4745" w:rsidRPr="00347EF9" w:rsidRDefault="00BD4745" w:rsidP="004B0800">
            <w:pPr>
              <w:spacing w:before="40" w:after="40" w:line="220" w:lineRule="exact"/>
              <w:ind w:left="113"/>
              <w:jc w:val="right"/>
              <w:rPr>
                <w:sz w:val="18"/>
                <w:szCs w:val="14"/>
              </w:rPr>
            </w:pPr>
            <w:r w:rsidRPr="00347EF9">
              <w:rPr>
                <w:sz w:val="18"/>
                <w:szCs w:val="14"/>
              </w:rPr>
              <w:t>9</w:t>
            </w:r>
            <w:r w:rsidR="00347EF9">
              <w:rPr>
                <w:sz w:val="18"/>
                <w:szCs w:val="14"/>
              </w:rPr>
              <w:t xml:space="preserve"> </w:t>
            </w:r>
            <w:r w:rsidRPr="00347EF9">
              <w:rPr>
                <w:sz w:val="18"/>
                <w:szCs w:val="14"/>
              </w:rPr>
              <w:t>977</w:t>
            </w:r>
            <w:r w:rsidR="00347EF9">
              <w:rPr>
                <w:sz w:val="18"/>
                <w:szCs w:val="14"/>
              </w:rPr>
              <w:t xml:space="preserve"> </w:t>
            </w:r>
            <w:r w:rsidRPr="00347EF9">
              <w:rPr>
                <w:sz w:val="18"/>
                <w:szCs w:val="14"/>
              </w:rPr>
              <w:t>150</w:t>
            </w:r>
          </w:p>
        </w:tc>
        <w:tc>
          <w:tcPr>
            <w:tcW w:w="939" w:type="dxa"/>
            <w:shd w:val="clear" w:color="auto" w:fill="auto"/>
            <w:noWrap/>
            <w:vAlign w:val="bottom"/>
            <w:hideMark/>
          </w:tcPr>
          <w:p w14:paraId="0EF18F6A" w14:textId="12A6D90B" w:rsidR="00BD4745" w:rsidRPr="00347EF9" w:rsidRDefault="00BD4745" w:rsidP="004B0800">
            <w:pPr>
              <w:spacing w:before="40" w:after="40" w:line="220" w:lineRule="exact"/>
              <w:ind w:left="113"/>
              <w:jc w:val="right"/>
              <w:rPr>
                <w:sz w:val="18"/>
                <w:szCs w:val="14"/>
              </w:rPr>
            </w:pPr>
            <w:r w:rsidRPr="00347EF9">
              <w:rPr>
                <w:sz w:val="18"/>
                <w:szCs w:val="14"/>
              </w:rPr>
              <w:t>5</w:t>
            </w:r>
            <w:r w:rsidR="00347EF9">
              <w:rPr>
                <w:sz w:val="18"/>
                <w:szCs w:val="14"/>
              </w:rPr>
              <w:t xml:space="preserve"> </w:t>
            </w:r>
            <w:r w:rsidRPr="00347EF9">
              <w:rPr>
                <w:sz w:val="18"/>
                <w:szCs w:val="14"/>
              </w:rPr>
              <w:t>691</w:t>
            </w:r>
            <w:r w:rsidR="00347EF9">
              <w:rPr>
                <w:sz w:val="18"/>
                <w:szCs w:val="14"/>
              </w:rPr>
              <w:t xml:space="preserve"> </w:t>
            </w:r>
            <w:r w:rsidRPr="00347EF9">
              <w:rPr>
                <w:sz w:val="18"/>
                <w:szCs w:val="14"/>
              </w:rPr>
              <w:t>148</w:t>
            </w:r>
          </w:p>
        </w:tc>
        <w:tc>
          <w:tcPr>
            <w:tcW w:w="447" w:type="dxa"/>
            <w:shd w:val="clear" w:color="auto" w:fill="auto"/>
            <w:noWrap/>
            <w:vAlign w:val="bottom"/>
            <w:hideMark/>
          </w:tcPr>
          <w:p w14:paraId="64177E31" w14:textId="77777777" w:rsidR="00BD4745" w:rsidRPr="00347EF9" w:rsidRDefault="00BD4745" w:rsidP="004B0800">
            <w:pPr>
              <w:spacing w:before="40" w:after="40" w:line="220" w:lineRule="exact"/>
              <w:ind w:left="113"/>
              <w:jc w:val="right"/>
              <w:rPr>
                <w:sz w:val="18"/>
                <w:szCs w:val="14"/>
              </w:rPr>
            </w:pPr>
            <w:r w:rsidRPr="00347EF9">
              <w:rPr>
                <w:sz w:val="18"/>
                <w:szCs w:val="14"/>
              </w:rPr>
              <w:t>57,0</w:t>
            </w:r>
          </w:p>
        </w:tc>
        <w:tc>
          <w:tcPr>
            <w:tcW w:w="1022" w:type="dxa"/>
            <w:shd w:val="clear" w:color="auto" w:fill="auto"/>
            <w:noWrap/>
            <w:vAlign w:val="bottom"/>
            <w:hideMark/>
          </w:tcPr>
          <w:p w14:paraId="74510FD7" w14:textId="4A36AFD6" w:rsidR="00BD4745" w:rsidRPr="00347EF9" w:rsidRDefault="00BD4745" w:rsidP="004B0800">
            <w:pPr>
              <w:spacing w:before="40" w:after="40" w:line="220" w:lineRule="exact"/>
              <w:ind w:left="113"/>
              <w:jc w:val="right"/>
              <w:rPr>
                <w:sz w:val="18"/>
                <w:szCs w:val="14"/>
              </w:rPr>
            </w:pPr>
            <w:r w:rsidRPr="00347EF9">
              <w:rPr>
                <w:sz w:val="18"/>
                <w:szCs w:val="14"/>
              </w:rPr>
              <w:t>8</w:t>
            </w:r>
            <w:r w:rsidR="00347EF9">
              <w:rPr>
                <w:sz w:val="18"/>
                <w:szCs w:val="14"/>
              </w:rPr>
              <w:t xml:space="preserve"> </w:t>
            </w:r>
            <w:r w:rsidRPr="00347EF9">
              <w:rPr>
                <w:sz w:val="18"/>
                <w:szCs w:val="14"/>
              </w:rPr>
              <w:t>736</w:t>
            </w:r>
            <w:r w:rsidR="00347EF9">
              <w:rPr>
                <w:sz w:val="18"/>
                <w:szCs w:val="14"/>
              </w:rPr>
              <w:t xml:space="preserve"> </w:t>
            </w:r>
            <w:r w:rsidRPr="00347EF9">
              <w:rPr>
                <w:sz w:val="18"/>
                <w:szCs w:val="14"/>
              </w:rPr>
              <w:t>820</w:t>
            </w:r>
          </w:p>
        </w:tc>
        <w:tc>
          <w:tcPr>
            <w:tcW w:w="924" w:type="dxa"/>
            <w:shd w:val="clear" w:color="auto" w:fill="auto"/>
            <w:noWrap/>
            <w:vAlign w:val="bottom"/>
            <w:hideMark/>
          </w:tcPr>
          <w:p w14:paraId="64D9967A" w14:textId="5B4DA23B" w:rsidR="00BD4745" w:rsidRPr="00347EF9" w:rsidRDefault="00BD4745" w:rsidP="004B0800">
            <w:pPr>
              <w:spacing w:before="40" w:after="40" w:line="220" w:lineRule="exact"/>
              <w:ind w:left="113"/>
              <w:jc w:val="right"/>
              <w:rPr>
                <w:sz w:val="18"/>
                <w:szCs w:val="14"/>
              </w:rPr>
            </w:pPr>
            <w:r w:rsidRPr="00347EF9">
              <w:rPr>
                <w:sz w:val="18"/>
                <w:szCs w:val="14"/>
              </w:rPr>
              <w:t>6</w:t>
            </w:r>
            <w:r w:rsidR="00347EF9">
              <w:rPr>
                <w:sz w:val="18"/>
                <w:szCs w:val="14"/>
              </w:rPr>
              <w:t xml:space="preserve"> </w:t>
            </w:r>
            <w:r w:rsidRPr="00347EF9">
              <w:rPr>
                <w:sz w:val="18"/>
                <w:szCs w:val="14"/>
              </w:rPr>
              <w:t>820</w:t>
            </w:r>
            <w:r w:rsidR="00347EF9">
              <w:rPr>
                <w:sz w:val="18"/>
                <w:szCs w:val="14"/>
              </w:rPr>
              <w:t xml:space="preserve"> </w:t>
            </w:r>
            <w:r w:rsidRPr="00347EF9">
              <w:rPr>
                <w:sz w:val="18"/>
                <w:szCs w:val="14"/>
              </w:rPr>
              <w:t>607</w:t>
            </w:r>
          </w:p>
        </w:tc>
        <w:tc>
          <w:tcPr>
            <w:tcW w:w="574" w:type="dxa"/>
            <w:shd w:val="clear" w:color="auto" w:fill="auto"/>
            <w:noWrap/>
            <w:vAlign w:val="bottom"/>
            <w:hideMark/>
          </w:tcPr>
          <w:p w14:paraId="0A6EAB67" w14:textId="77777777" w:rsidR="00BD4745" w:rsidRPr="00347EF9" w:rsidRDefault="00BD4745" w:rsidP="004B0800">
            <w:pPr>
              <w:spacing w:before="40" w:after="40" w:line="220" w:lineRule="exact"/>
              <w:ind w:left="113"/>
              <w:jc w:val="right"/>
              <w:rPr>
                <w:sz w:val="18"/>
                <w:szCs w:val="14"/>
              </w:rPr>
            </w:pPr>
            <w:r w:rsidRPr="00347EF9">
              <w:rPr>
                <w:sz w:val="18"/>
                <w:szCs w:val="14"/>
              </w:rPr>
              <w:t>78,1</w:t>
            </w:r>
          </w:p>
        </w:tc>
        <w:tc>
          <w:tcPr>
            <w:tcW w:w="952" w:type="dxa"/>
            <w:shd w:val="clear" w:color="auto" w:fill="auto"/>
            <w:noWrap/>
            <w:vAlign w:val="bottom"/>
            <w:hideMark/>
          </w:tcPr>
          <w:p w14:paraId="52B2432B" w14:textId="09064B85" w:rsidR="00BD4745" w:rsidRPr="00347EF9" w:rsidRDefault="00BD4745" w:rsidP="004B0800">
            <w:pPr>
              <w:spacing w:before="40" w:after="40" w:line="220" w:lineRule="exact"/>
              <w:ind w:left="113"/>
              <w:jc w:val="right"/>
              <w:rPr>
                <w:sz w:val="18"/>
                <w:szCs w:val="14"/>
              </w:rPr>
            </w:pPr>
            <w:r w:rsidRPr="00347EF9">
              <w:rPr>
                <w:sz w:val="18"/>
                <w:szCs w:val="14"/>
              </w:rPr>
              <w:t>5</w:t>
            </w:r>
            <w:r w:rsidR="00347EF9">
              <w:rPr>
                <w:sz w:val="18"/>
                <w:szCs w:val="14"/>
              </w:rPr>
              <w:t xml:space="preserve"> </w:t>
            </w:r>
            <w:r w:rsidRPr="00347EF9">
              <w:rPr>
                <w:sz w:val="18"/>
                <w:szCs w:val="14"/>
              </w:rPr>
              <w:t>094</w:t>
            </w:r>
            <w:r w:rsidR="00347EF9">
              <w:rPr>
                <w:sz w:val="18"/>
                <w:szCs w:val="14"/>
              </w:rPr>
              <w:t xml:space="preserve"> </w:t>
            </w:r>
            <w:r w:rsidRPr="00347EF9">
              <w:rPr>
                <w:sz w:val="18"/>
                <w:szCs w:val="14"/>
              </w:rPr>
              <w:t>390</w:t>
            </w:r>
          </w:p>
        </w:tc>
        <w:tc>
          <w:tcPr>
            <w:tcW w:w="469" w:type="dxa"/>
            <w:shd w:val="clear" w:color="auto" w:fill="auto"/>
            <w:noWrap/>
            <w:vAlign w:val="bottom"/>
            <w:hideMark/>
          </w:tcPr>
          <w:p w14:paraId="1BC79DAB" w14:textId="77777777" w:rsidR="00BD4745" w:rsidRPr="00347EF9" w:rsidRDefault="00BD4745" w:rsidP="004B0800">
            <w:pPr>
              <w:spacing w:before="40" w:after="40" w:line="220" w:lineRule="exact"/>
              <w:ind w:left="113"/>
              <w:jc w:val="right"/>
              <w:rPr>
                <w:sz w:val="18"/>
                <w:szCs w:val="14"/>
              </w:rPr>
            </w:pPr>
            <w:r w:rsidRPr="00347EF9">
              <w:rPr>
                <w:sz w:val="18"/>
                <w:szCs w:val="14"/>
              </w:rPr>
              <w:t>73,2</w:t>
            </w:r>
          </w:p>
        </w:tc>
      </w:tr>
      <w:tr w:rsidR="00347EF9" w:rsidRPr="00347EF9" w14:paraId="14792032" w14:textId="77777777" w:rsidTr="004B0800">
        <w:trPr>
          <w:trHeight w:val="240"/>
        </w:trPr>
        <w:tc>
          <w:tcPr>
            <w:tcW w:w="1092" w:type="dxa"/>
            <w:shd w:val="clear" w:color="auto" w:fill="auto"/>
            <w:noWrap/>
            <w:hideMark/>
          </w:tcPr>
          <w:p w14:paraId="7AF3C084" w14:textId="518BDAA6" w:rsidR="00BD4745" w:rsidRPr="00347EF9" w:rsidRDefault="00BD4745">
            <w:pPr>
              <w:spacing w:before="40" w:after="40" w:line="220" w:lineRule="exact"/>
              <w:rPr>
                <w:sz w:val="18"/>
                <w:szCs w:val="14"/>
              </w:rPr>
            </w:pPr>
            <w:r w:rsidRPr="00347EF9">
              <w:rPr>
                <w:sz w:val="18"/>
                <w:szCs w:val="14"/>
              </w:rPr>
              <w:t>Nuestra Señora</w:t>
            </w:r>
            <w:r w:rsidR="00347EF9">
              <w:rPr>
                <w:sz w:val="18"/>
                <w:szCs w:val="14"/>
              </w:rPr>
              <w:br/>
            </w:r>
            <w:r w:rsidRPr="00347EF9">
              <w:rPr>
                <w:sz w:val="18"/>
                <w:szCs w:val="14"/>
              </w:rPr>
              <w:t>de La Paz</w:t>
            </w:r>
          </w:p>
        </w:tc>
        <w:tc>
          <w:tcPr>
            <w:tcW w:w="952" w:type="dxa"/>
            <w:shd w:val="clear" w:color="auto" w:fill="auto"/>
            <w:noWrap/>
            <w:vAlign w:val="bottom"/>
            <w:hideMark/>
          </w:tcPr>
          <w:p w14:paraId="742D8AED" w14:textId="7D850039"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597</w:t>
            </w:r>
            <w:r w:rsidR="00347EF9">
              <w:rPr>
                <w:sz w:val="18"/>
                <w:szCs w:val="14"/>
              </w:rPr>
              <w:t xml:space="preserve"> </w:t>
            </w:r>
            <w:r w:rsidRPr="00347EF9">
              <w:rPr>
                <w:sz w:val="18"/>
                <w:szCs w:val="14"/>
              </w:rPr>
              <w:t>968</w:t>
            </w:r>
          </w:p>
        </w:tc>
        <w:tc>
          <w:tcPr>
            <w:tcW w:w="896" w:type="dxa"/>
            <w:shd w:val="clear" w:color="auto" w:fill="auto"/>
            <w:noWrap/>
            <w:vAlign w:val="bottom"/>
            <w:hideMark/>
          </w:tcPr>
          <w:p w14:paraId="1237936C" w14:textId="6256651D"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042</w:t>
            </w:r>
            <w:r w:rsidR="00347EF9">
              <w:rPr>
                <w:sz w:val="18"/>
                <w:szCs w:val="14"/>
              </w:rPr>
              <w:t xml:space="preserve"> </w:t>
            </w:r>
            <w:r w:rsidRPr="00347EF9">
              <w:rPr>
                <w:sz w:val="18"/>
                <w:szCs w:val="14"/>
              </w:rPr>
              <w:t>737</w:t>
            </w:r>
          </w:p>
        </w:tc>
        <w:tc>
          <w:tcPr>
            <w:tcW w:w="447" w:type="dxa"/>
            <w:shd w:val="clear" w:color="auto" w:fill="auto"/>
            <w:noWrap/>
            <w:vAlign w:val="bottom"/>
            <w:hideMark/>
          </w:tcPr>
          <w:p w14:paraId="791F4A4E" w14:textId="77777777" w:rsidR="00BD4745" w:rsidRPr="00347EF9" w:rsidRDefault="00BD4745" w:rsidP="004B0800">
            <w:pPr>
              <w:spacing w:before="40" w:after="40" w:line="220" w:lineRule="exact"/>
              <w:ind w:left="113"/>
              <w:jc w:val="right"/>
              <w:rPr>
                <w:sz w:val="18"/>
                <w:szCs w:val="14"/>
              </w:rPr>
            </w:pPr>
            <w:r w:rsidRPr="00347EF9">
              <w:rPr>
                <w:sz w:val="18"/>
                <w:szCs w:val="14"/>
              </w:rPr>
              <w:t>78,6</w:t>
            </w:r>
          </w:p>
        </w:tc>
        <w:tc>
          <w:tcPr>
            <w:tcW w:w="924" w:type="dxa"/>
            <w:shd w:val="clear" w:color="auto" w:fill="auto"/>
            <w:noWrap/>
            <w:vAlign w:val="bottom"/>
            <w:hideMark/>
          </w:tcPr>
          <w:p w14:paraId="40729BC1" w14:textId="5B87F95E" w:rsidR="00BD4745" w:rsidRPr="00347EF9" w:rsidRDefault="00BD4745" w:rsidP="004B0800">
            <w:pPr>
              <w:spacing w:before="40" w:after="40" w:line="220" w:lineRule="exact"/>
              <w:ind w:left="113"/>
              <w:jc w:val="right"/>
              <w:rPr>
                <w:sz w:val="18"/>
                <w:szCs w:val="14"/>
              </w:rPr>
            </w:pPr>
            <w:r w:rsidRPr="00347EF9">
              <w:rPr>
                <w:sz w:val="18"/>
                <w:szCs w:val="14"/>
              </w:rPr>
              <w:t>6</w:t>
            </w:r>
            <w:r w:rsidR="00347EF9">
              <w:rPr>
                <w:sz w:val="18"/>
                <w:szCs w:val="14"/>
              </w:rPr>
              <w:t xml:space="preserve"> </w:t>
            </w:r>
            <w:r w:rsidRPr="00347EF9">
              <w:rPr>
                <w:sz w:val="18"/>
                <w:szCs w:val="14"/>
              </w:rPr>
              <w:t>332</w:t>
            </w:r>
            <w:r w:rsidR="00347EF9">
              <w:rPr>
                <w:sz w:val="18"/>
                <w:szCs w:val="14"/>
              </w:rPr>
              <w:t xml:space="preserve"> </w:t>
            </w:r>
            <w:r w:rsidRPr="00347EF9">
              <w:rPr>
                <w:sz w:val="18"/>
                <w:szCs w:val="14"/>
              </w:rPr>
              <w:t>152</w:t>
            </w:r>
          </w:p>
        </w:tc>
        <w:tc>
          <w:tcPr>
            <w:tcW w:w="939" w:type="dxa"/>
            <w:shd w:val="clear" w:color="auto" w:fill="auto"/>
            <w:noWrap/>
            <w:vAlign w:val="bottom"/>
            <w:hideMark/>
          </w:tcPr>
          <w:p w14:paraId="07CE1A0D" w14:textId="7CD33B25" w:rsidR="00BD4745" w:rsidRPr="00347EF9" w:rsidRDefault="00BD4745" w:rsidP="004B0800">
            <w:pPr>
              <w:spacing w:before="40" w:after="40" w:line="220" w:lineRule="exact"/>
              <w:ind w:left="113"/>
              <w:jc w:val="right"/>
              <w:rPr>
                <w:sz w:val="18"/>
                <w:szCs w:val="14"/>
              </w:rPr>
            </w:pPr>
            <w:r w:rsidRPr="00347EF9">
              <w:rPr>
                <w:sz w:val="18"/>
                <w:szCs w:val="14"/>
              </w:rPr>
              <w:t>5</w:t>
            </w:r>
            <w:r w:rsidR="00347EF9">
              <w:rPr>
                <w:sz w:val="18"/>
                <w:szCs w:val="14"/>
              </w:rPr>
              <w:t xml:space="preserve"> </w:t>
            </w:r>
            <w:r w:rsidRPr="00347EF9">
              <w:rPr>
                <w:sz w:val="18"/>
                <w:szCs w:val="14"/>
              </w:rPr>
              <w:t>964</w:t>
            </w:r>
            <w:r w:rsidR="00347EF9">
              <w:rPr>
                <w:sz w:val="18"/>
                <w:szCs w:val="14"/>
              </w:rPr>
              <w:t xml:space="preserve"> </w:t>
            </w:r>
            <w:r w:rsidRPr="00347EF9">
              <w:rPr>
                <w:sz w:val="18"/>
                <w:szCs w:val="14"/>
              </w:rPr>
              <w:t>185</w:t>
            </w:r>
          </w:p>
        </w:tc>
        <w:tc>
          <w:tcPr>
            <w:tcW w:w="447" w:type="dxa"/>
            <w:shd w:val="clear" w:color="auto" w:fill="auto"/>
            <w:noWrap/>
            <w:vAlign w:val="bottom"/>
            <w:hideMark/>
          </w:tcPr>
          <w:p w14:paraId="08CA1D86" w14:textId="77777777" w:rsidR="00BD4745" w:rsidRPr="00347EF9" w:rsidRDefault="00BD4745" w:rsidP="004B0800">
            <w:pPr>
              <w:spacing w:before="40" w:after="40" w:line="220" w:lineRule="exact"/>
              <w:ind w:left="113"/>
              <w:jc w:val="right"/>
              <w:rPr>
                <w:sz w:val="18"/>
                <w:szCs w:val="14"/>
              </w:rPr>
            </w:pPr>
            <w:r w:rsidRPr="00347EF9">
              <w:rPr>
                <w:sz w:val="18"/>
                <w:szCs w:val="14"/>
              </w:rPr>
              <w:t>94,2</w:t>
            </w:r>
          </w:p>
        </w:tc>
        <w:tc>
          <w:tcPr>
            <w:tcW w:w="1022" w:type="dxa"/>
            <w:shd w:val="clear" w:color="auto" w:fill="auto"/>
            <w:noWrap/>
            <w:vAlign w:val="bottom"/>
            <w:hideMark/>
          </w:tcPr>
          <w:p w14:paraId="4CDB4504" w14:textId="2B035CA8" w:rsidR="00BD4745" w:rsidRPr="00347EF9" w:rsidRDefault="00BD4745" w:rsidP="004B0800">
            <w:pPr>
              <w:spacing w:before="40" w:after="40" w:line="220" w:lineRule="exact"/>
              <w:ind w:left="113"/>
              <w:jc w:val="right"/>
              <w:rPr>
                <w:sz w:val="18"/>
                <w:szCs w:val="14"/>
              </w:rPr>
            </w:pPr>
            <w:r w:rsidRPr="00347EF9">
              <w:rPr>
                <w:sz w:val="18"/>
                <w:szCs w:val="14"/>
              </w:rPr>
              <w:t>5</w:t>
            </w:r>
            <w:r w:rsidR="00347EF9">
              <w:rPr>
                <w:sz w:val="18"/>
                <w:szCs w:val="14"/>
              </w:rPr>
              <w:t xml:space="preserve"> </w:t>
            </w:r>
            <w:r w:rsidRPr="00347EF9">
              <w:rPr>
                <w:sz w:val="18"/>
                <w:szCs w:val="14"/>
              </w:rPr>
              <w:t>628</w:t>
            </w:r>
            <w:r w:rsidR="00347EF9">
              <w:rPr>
                <w:sz w:val="18"/>
                <w:szCs w:val="14"/>
              </w:rPr>
              <w:t xml:space="preserve"> </w:t>
            </w:r>
            <w:r w:rsidRPr="00347EF9">
              <w:rPr>
                <w:sz w:val="18"/>
                <w:szCs w:val="14"/>
              </w:rPr>
              <w:t>163</w:t>
            </w:r>
          </w:p>
        </w:tc>
        <w:tc>
          <w:tcPr>
            <w:tcW w:w="924" w:type="dxa"/>
            <w:shd w:val="clear" w:color="auto" w:fill="auto"/>
            <w:noWrap/>
            <w:vAlign w:val="bottom"/>
            <w:hideMark/>
          </w:tcPr>
          <w:p w14:paraId="12F39228" w14:textId="7D7AF455" w:rsidR="00BD4745" w:rsidRPr="00347EF9" w:rsidRDefault="00BD4745" w:rsidP="004B0800">
            <w:pPr>
              <w:spacing w:before="40" w:after="40" w:line="220" w:lineRule="exact"/>
              <w:ind w:left="113"/>
              <w:jc w:val="right"/>
              <w:rPr>
                <w:sz w:val="18"/>
                <w:szCs w:val="14"/>
              </w:rPr>
            </w:pPr>
            <w:r w:rsidRPr="00347EF9">
              <w:rPr>
                <w:sz w:val="18"/>
                <w:szCs w:val="14"/>
              </w:rPr>
              <w:t>4</w:t>
            </w:r>
            <w:r w:rsidR="00347EF9">
              <w:rPr>
                <w:sz w:val="18"/>
                <w:szCs w:val="14"/>
              </w:rPr>
              <w:t xml:space="preserve"> </w:t>
            </w:r>
            <w:r w:rsidRPr="00347EF9">
              <w:rPr>
                <w:sz w:val="18"/>
                <w:szCs w:val="14"/>
              </w:rPr>
              <w:t>599</w:t>
            </w:r>
            <w:r w:rsidR="00347EF9">
              <w:rPr>
                <w:sz w:val="18"/>
                <w:szCs w:val="14"/>
              </w:rPr>
              <w:t xml:space="preserve"> </w:t>
            </w:r>
            <w:r w:rsidRPr="00347EF9">
              <w:rPr>
                <w:sz w:val="18"/>
                <w:szCs w:val="14"/>
              </w:rPr>
              <w:t>642</w:t>
            </w:r>
          </w:p>
        </w:tc>
        <w:tc>
          <w:tcPr>
            <w:tcW w:w="574" w:type="dxa"/>
            <w:shd w:val="clear" w:color="auto" w:fill="auto"/>
            <w:noWrap/>
            <w:vAlign w:val="bottom"/>
            <w:hideMark/>
          </w:tcPr>
          <w:p w14:paraId="253ACAFF" w14:textId="77777777" w:rsidR="00BD4745" w:rsidRPr="00347EF9" w:rsidRDefault="00BD4745" w:rsidP="004B0800">
            <w:pPr>
              <w:spacing w:before="40" w:after="40" w:line="220" w:lineRule="exact"/>
              <w:ind w:left="113"/>
              <w:jc w:val="right"/>
              <w:rPr>
                <w:sz w:val="18"/>
                <w:szCs w:val="14"/>
              </w:rPr>
            </w:pPr>
            <w:r w:rsidRPr="00347EF9">
              <w:rPr>
                <w:sz w:val="18"/>
                <w:szCs w:val="14"/>
              </w:rPr>
              <w:t>81,7</w:t>
            </w:r>
          </w:p>
        </w:tc>
        <w:tc>
          <w:tcPr>
            <w:tcW w:w="952" w:type="dxa"/>
            <w:shd w:val="clear" w:color="auto" w:fill="auto"/>
            <w:noWrap/>
            <w:vAlign w:val="bottom"/>
            <w:hideMark/>
          </w:tcPr>
          <w:p w14:paraId="5B8A5088" w14:textId="1C9E1A62" w:rsidR="00BD4745" w:rsidRPr="00347EF9" w:rsidRDefault="00BD4745" w:rsidP="004B0800">
            <w:pPr>
              <w:spacing w:before="40" w:after="40" w:line="220" w:lineRule="exact"/>
              <w:ind w:left="113"/>
              <w:jc w:val="right"/>
              <w:rPr>
                <w:sz w:val="18"/>
                <w:szCs w:val="14"/>
              </w:rPr>
            </w:pPr>
            <w:r w:rsidRPr="00347EF9">
              <w:rPr>
                <w:sz w:val="18"/>
                <w:szCs w:val="14"/>
              </w:rPr>
              <w:t>4</w:t>
            </w:r>
            <w:r w:rsidR="00347EF9">
              <w:rPr>
                <w:sz w:val="18"/>
                <w:szCs w:val="14"/>
              </w:rPr>
              <w:t xml:space="preserve"> </w:t>
            </w:r>
            <w:r w:rsidRPr="00347EF9">
              <w:rPr>
                <w:sz w:val="18"/>
                <w:szCs w:val="14"/>
              </w:rPr>
              <w:t>202</w:t>
            </w:r>
            <w:r w:rsidR="00347EF9">
              <w:rPr>
                <w:sz w:val="18"/>
                <w:szCs w:val="14"/>
              </w:rPr>
              <w:t xml:space="preserve"> </w:t>
            </w:r>
            <w:r w:rsidRPr="00347EF9">
              <w:rPr>
                <w:sz w:val="18"/>
                <w:szCs w:val="14"/>
              </w:rPr>
              <w:t>188</w:t>
            </w:r>
          </w:p>
        </w:tc>
        <w:tc>
          <w:tcPr>
            <w:tcW w:w="469" w:type="dxa"/>
            <w:shd w:val="clear" w:color="auto" w:fill="auto"/>
            <w:noWrap/>
            <w:vAlign w:val="bottom"/>
            <w:hideMark/>
          </w:tcPr>
          <w:p w14:paraId="64405E93" w14:textId="77777777" w:rsidR="00BD4745" w:rsidRPr="00347EF9" w:rsidRDefault="00BD4745" w:rsidP="004B0800">
            <w:pPr>
              <w:spacing w:before="40" w:after="40" w:line="220" w:lineRule="exact"/>
              <w:ind w:left="113"/>
              <w:jc w:val="right"/>
              <w:rPr>
                <w:sz w:val="18"/>
                <w:szCs w:val="14"/>
              </w:rPr>
            </w:pPr>
            <w:r w:rsidRPr="00347EF9">
              <w:rPr>
                <w:sz w:val="18"/>
                <w:szCs w:val="14"/>
              </w:rPr>
              <w:t>84,8</w:t>
            </w:r>
          </w:p>
        </w:tc>
      </w:tr>
      <w:tr w:rsidR="00347EF9" w:rsidRPr="00347EF9" w14:paraId="5D279021" w14:textId="77777777" w:rsidTr="004B0800">
        <w:trPr>
          <w:trHeight w:val="240"/>
        </w:trPr>
        <w:tc>
          <w:tcPr>
            <w:tcW w:w="1092" w:type="dxa"/>
            <w:shd w:val="clear" w:color="auto" w:fill="auto"/>
            <w:noWrap/>
            <w:hideMark/>
          </w:tcPr>
          <w:p w14:paraId="05D4DC22" w14:textId="77777777" w:rsidR="00BD4745" w:rsidRPr="00347EF9" w:rsidRDefault="00BD4745">
            <w:pPr>
              <w:spacing w:before="40" w:after="40" w:line="220" w:lineRule="exact"/>
              <w:rPr>
                <w:sz w:val="18"/>
                <w:szCs w:val="14"/>
              </w:rPr>
            </w:pPr>
            <w:r w:rsidRPr="00347EF9">
              <w:rPr>
                <w:sz w:val="18"/>
                <w:szCs w:val="14"/>
              </w:rPr>
              <w:t>Cochabamba</w:t>
            </w:r>
          </w:p>
        </w:tc>
        <w:tc>
          <w:tcPr>
            <w:tcW w:w="952" w:type="dxa"/>
            <w:shd w:val="clear" w:color="auto" w:fill="auto"/>
            <w:noWrap/>
            <w:vAlign w:val="bottom"/>
            <w:hideMark/>
          </w:tcPr>
          <w:p w14:paraId="520DC025" w14:textId="1C42AF5A" w:rsidR="00BD4745" w:rsidRPr="00347EF9" w:rsidRDefault="00BD4745" w:rsidP="004B0800">
            <w:pPr>
              <w:spacing w:before="40" w:after="40" w:line="220" w:lineRule="exact"/>
              <w:ind w:left="113"/>
              <w:jc w:val="right"/>
              <w:rPr>
                <w:sz w:val="18"/>
                <w:szCs w:val="14"/>
              </w:rPr>
            </w:pPr>
            <w:r w:rsidRPr="00347EF9">
              <w:rPr>
                <w:sz w:val="18"/>
                <w:szCs w:val="14"/>
              </w:rPr>
              <w:t>8</w:t>
            </w:r>
            <w:r w:rsidR="00347EF9">
              <w:rPr>
                <w:sz w:val="18"/>
                <w:szCs w:val="14"/>
              </w:rPr>
              <w:t xml:space="preserve"> </w:t>
            </w:r>
            <w:r w:rsidRPr="00347EF9">
              <w:rPr>
                <w:sz w:val="18"/>
                <w:szCs w:val="14"/>
              </w:rPr>
              <w:t>230</w:t>
            </w:r>
            <w:r w:rsidR="00347EF9">
              <w:rPr>
                <w:sz w:val="18"/>
                <w:szCs w:val="14"/>
              </w:rPr>
              <w:t xml:space="preserve"> </w:t>
            </w:r>
            <w:r w:rsidRPr="00347EF9">
              <w:rPr>
                <w:sz w:val="18"/>
                <w:szCs w:val="14"/>
              </w:rPr>
              <w:t>451</w:t>
            </w:r>
          </w:p>
        </w:tc>
        <w:tc>
          <w:tcPr>
            <w:tcW w:w="896" w:type="dxa"/>
            <w:shd w:val="clear" w:color="auto" w:fill="auto"/>
            <w:noWrap/>
            <w:vAlign w:val="bottom"/>
            <w:hideMark/>
          </w:tcPr>
          <w:p w14:paraId="74912354" w14:textId="581F08C9" w:rsidR="00BD4745" w:rsidRPr="00347EF9" w:rsidRDefault="00BD4745" w:rsidP="004B0800">
            <w:pPr>
              <w:spacing w:before="40" w:after="40" w:line="220" w:lineRule="exact"/>
              <w:ind w:left="113"/>
              <w:jc w:val="right"/>
              <w:rPr>
                <w:sz w:val="18"/>
                <w:szCs w:val="14"/>
              </w:rPr>
            </w:pPr>
            <w:r w:rsidRPr="00347EF9">
              <w:rPr>
                <w:sz w:val="18"/>
                <w:szCs w:val="14"/>
              </w:rPr>
              <w:t>6</w:t>
            </w:r>
            <w:r w:rsidR="00347EF9">
              <w:rPr>
                <w:sz w:val="18"/>
                <w:szCs w:val="14"/>
              </w:rPr>
              <w:t xml:space="preserve"> </w:t>
            </w:r>
            <w:r w:rsidRPr="00347EF9">
              <w:rPr>
                <w:sz w:val="18"/>
                <w:szCs w:val="14"/>
              </w:rPr>
              <w:t>098</w:t>
            </w:r>
            <w:r w:rsidR="00347EF9">
              <w:rPr>
                <w:sz w:val="18"/>
                <w:szCs w:val="14"/>
              </w:rPr>
              <w:t xml:space="preserve"> </w:t>
            </w:r>
            <w:r w:rsidRPr="00347EF9">
              <w:rPr>
                <w:sz w:val="18"/>
                <w:szCs w:val="14"/>
              </w:rPr>
              <w:t>358</w:t>
            </w:r>
          </w:p>
        </w:tc>
        <w:tc>
          <w:tcPr>
            <w:tcW w:w="447" w:type="dxa"/>
            <w:shd w:val="clear" w:color="auto" w:fill="auto"/>
            <w:noWrap/>
            <w:vAlign w:val="bottom"/>
            <w:hideMark/>
          </w:tcPr>
          <w:p w14:paraId="7F055030" w14:textId="77777777" w:rsidR="00BD4745" w:rsidRPr="00347EF9" w:rsidRDefault="00BD4745" w:rsidP="004B0800">
            <w:pPr>
              <w:spacing w:before="40" w:after="40" w:line="220" w:lineRule="exact"/>
              <w:ind w:left="113"/>
              <w:jc w:val="right"/>
              <w:rPr>
                <w:sz w:val="18"/>
                <w:szCs w:val="14"/>
              </w:rPr>
            </w:pPr>
            <w:r w:rsidRPr="00347EF9">
              <w:rPr>
                <w:sz w:val="18"/>
                <w:szCs w:val="14"/>
              </w:rPr>
              <w:t>74,1</w:t>
            </w:r>
          </w:p>
        </w:tc>
        <w:tc>
          <w:tcPr>
            <w:tcW w:w="924" w:type="dxa"/>
            <w:shd w:val="clear" w:color="auto" w:fill="auto"/>
            <w:noWrap/>
            <w:vAlign w:val="bottom"/>
            <w:hideMark/>
          </w:tcPr>
          <w:p w14:paraId="09E23940" w14:textId="6F37C30D" w:rsidR="00BD4745" w:rsidRPr="00347EF9" w:rsidRDefault="00BD4745" w:rsidP="004B0800">
            <w:pPr>
              <w:spacing w:before="40" w:after="40" w:line="220" w:lineRule="exact"/>
              <w:ind w:left="113"/>
              <w:jc w:val="right"/>
              <w:rPr>
                <w:sz w:val="18"/>
                <w:szCs w:val="14"/>
              </w:rPr>
            </w:pPr>
            <w:r w:rsidRPr="00347EF9">
              <w:rPr>
                <w:sz w:val="18"/>
                <w:szCs w:val="14"/>
              </w:rPr>
              <w:t>13</w:t>
            </w:r>
            <w:r w:rsidR="00347EF9">
              <w:rPr>
                <w:sz w:val="18"/>
                <w:szCs w:val="14"/>
              </w:rPr>
              <w:t xml:space="preserve"> </w:t>
            </w:r>
            <w:r w:rsidRPr="00347EF9">
              <w:rPr>
                <w:sz w:val="18"/>
                <w:szCs w:val="14"/>
              </w:rPr>
              <w:t>815</w:t>
            </w:r>
            <w:r w:rsidR="00347EF9">
              <w:rPr>
                <w:sz w:val="18"/>
                <w:szCs w:val="14"/>
              </w:rPr>
              <w:t xml:space="preserve"> </w:t>
            </w:r>
            <w:r w:rsidRPr="00347EF9">
              <w:rPr>
                <w:sz w:val="18"/>
                <w:szCs w:val="14"/>
              </w:rPr>
              <w:t>650</w:t>
            </w:r>
          </w:p>
        </w:tc>
        <w:tc>
          <w:tcPr>
            <w:tcW w:w="939" w:type="dxa"/>
            <w:shd w:val="clear" w:color="auto" w:fill="auto"/>
            <w:noWrap/>
            <w:vAlign w:val="bottom"/>
            <w:hideMark/>
          </w:tcPr>
          <w:p w14:paraId="46BB10CF" w14:textId="2226DC66" w:rsidR="00BD4745" w:rsidRPr="00347EF9" w:rsidRDefault="00BD4745" w:rsidP="004B0800">
            <w:pPr>
              <w:spacing w:before="40" w:after="40" w:line="220" w:lineRule="exact"/>
              <w:ind w:left="113"/>
              <w:jc w:val="right"/>
              <w:rPr>
                <w:sz w:val="18"/>
                <w:szCs w:val="14"/>
              </w:rPr>
            </w:pPr>
            <w:r w:rsidRPr="00347EF9">
              <w:rPr>
                <w:sz w:val="18"/>
                <w:szCs w:val="14"/>
              </w:rPr>
              <w:t>10</w:t>
            </w:r>
            <w:r w:rsidR="00347EF9">
              <w:rPr>
                <w:sz w:val="18"/>
                <w:szCs w:val="14"/>
              </w:rPr>
              <w:t xml:space="preserve"> </w:t>
            </w:r>
            <w:r w:rsidRPr="00347EF9">
              <w:rPr>
                <w:sz w:val="18"/>
                <w:szCs w:val="14"/>
              </w:rPr>
              <w:t>688</w:t>
            </w:r>
            <w:r w:rsidR="00347EF9">
              <w:rPr>
                <w:sz w:val="18"/>
                <w:szCs w:val="14"/>
              </w:rPr>
              <w:t xml:space="preserve"> </w:t>
            </w:r>
            <w:r w:rsidRPr="00347EF9">
              <w:rPr>
                <w:sz w:val="18"/>
                <w:szCs w:val="14"/>
              </w:rPr>
              <w:t>940</w:t>
            </w:r>
          </w:p>
        </w:tc>
        <w:tc>
          <w:tcPr>
            <w:tcW w:w="447" w:type="dxa"/>
            <w:shd w:val="clear" w:color="auto" w:fill="auto"/>
            <w:noWrap/>
            <w:vAlign w:val="bottom"/>
            <w:hideMark/>
          </w:tcPr>
          <w:p w14:paraId="1180B6C2" w14:textId="77777777" w:rsidR="00BD4745" w:rsidRPr="00347EF9" w:rsidRDefault="00BD4745" w:rsidP="004B0800">
            <w:pPr>
              <w:spacing w:before="40" w:after="40" w:line="220" w:lineRule="exact"/>
              <w:ind w:left="113"/>
              <w:jc w:val="right"/>
              <w:rPr>
                <w:sz w:val="18"/>
                <w:szCs w:val="14"/>
              </w:rPr>
            </w:pPr>
            <w:r w:rsidRPr="00347EF9">
              <w:rPr>
                <w:sz w:val="18"/>
                <w:szCs w:val="14"/>
              </w:rPr>
              <w:t>77,4</w:t>
            </w:r>
          </w:p>
        </w:tc>
        <w:tc>
          <w:tcPr>
            <w:tcW w:w="1022" w:type="dxa"/>
            <w:shd w:val="clear" w:color="auto" w:fill="auto"/>
            <w:noWrap/>
            <w:vAlign w:val="bottom"/>
            <w:hideMark/>
          </w:tcPr>
          <w:p w14:paraId="11EFF6FD" w14:textId="4345FCB0" w:rsidR="00BD4745" w:rsidRPr="00347EF9" w:rsidRDefault="00BD4745" w:rsidP="004B0800">
            <w:pPr>
              <w:spacing w:before="40" w:after="40" w:line="220" w:lineRule="exact"/>
              <w:ind w:left="113"/>
              <w:jc w:val="right"/>
              <w:rPr>
                <w:sz w:val="18"/>
                <w:szCs w:val="14"/>
              </w:rPr>
            </w:pPr>
            <w:r w:rsidRPr="00347EF9">
              <w:rPr>
                <w:sz w:val="18"/>
                <w:szCs w:val="14"/>
              </w:rPr>
              <w:t>13</w:t>
            </w:r>
            <w:r w:rsidR="00347EF9">
              <w:rPr>
                <w:sz w:val="18"/>
                <w:szCs w:val="14"/>
              </w:rPr>
              <w:t xml:space="preserve"> </w:t>
            </w:r>
            <w:r w:rsidRPr="00347EF9">
              <w:rPr>
                <w:sz w:val="18"/>
                <w:szCs w:val="14"/>
              </w:rPr>
              <w:t>725</w:t>
            </w:r>
            <w:r w:rsidR="00347EF9">
              <w:rPr>
                <w:sz w:val="18"/>
                <w:szCs w:val="14"/>
              </w:rPr>
              <w:t xml:space="preserve"> </w:t>
            </w:r>
            <w:r w:rsidRPr="00347EF9">
              <w:rPr>
                <w:sz w:val="18"/>
                <w:szCs w:val="14"/>
              </w:rPr>
              <w:t>724</w:t>
            </w:r>
          </w:p>
        </w:tc>
        <w:tc>
          <w:tcPr>
            <w:tcW w:w="924" w:type="dxa"/>
            <w:shd w:val="clear" w:color="auto" w:fill="auto"/>
            <w:noWrap/>
            <w:vAlign w:val="bottom"/>
            <w:hideMark/>
          </w:tcPr>
          <w:p w14:paraId="3DE2F877" w14:textId="4A66A5E8" w:rsidR="00BD4745" w:rsidRPr="00347EF9" w:rsidRDefault="00BD4745" w:rsidP="004B0800">
            <w:pPr>
              <w:spacing w:before="40" w:after="40" w:line="220" w:lineRule="exact"/>
              <w:ind w:left="113"/>
              <w:jc w:val="right"/>
              <w:rPr>
                <w:sz w:val="18"/>
                <w:szCs w:val="14"/>
              </w:rPr>
            </w:pPr>
            <w:r w:rsidRPr="00347EF9">
              <w:rPr>
                <w:sz w:val="18"/>
                <w:szCs w:val="14"/>
              </w:rPr>
              <w:t>9</w:t>
            </w:r>
            <w:r w:rsidR="00347EF9">
              <w:rPr>
                <w:sz w:val="18"/>
                <w:szCs w:val="14"/>
              </w:rPr>
              <w:t xml:space="preserve"> </w:t>
            </w:r>
            <w:r w:rsidRPr="00347EF9">
              <w:rPr>
                <w:sz w:val="18"/>
                <w:szCs w:val="14"/>
              </w:rPr>
              <w:t>116</w:t>
            </w:r>
            <w:r w:rsidR="00347EF9">
              <w:rPr>
                <w:sz w:val="18"/>
                <w:szCs w:val="14"/>
              </w:rPr>
              <w:t xml:space="preserve"> </w:t>
            </w:r>
            <w:r w:rsidRPr="00347EF9">
              <w:rPr>
                <w:sz w:val="18"/>
                <w:szCs w:val="14"/>
              </w:rPr>
              <w:t>387</w:t>
            </w:r>
          </w:p>
        </w:tc>
        <w:tc>
          <w:tcPr>
            <w:tcW w:w="574" w:type="dxa"/>
            <w:shd w:val="clear" w:color="auto" w:fill="auto"/>
            <w:noWrap/>
            <w:vAlign w:val="bottom"/>
            <w:hideMark/>
          </w:tcPr>
          <w:p w14:paraId="4762BBAE" w14:textId="77777777" w:rsidR="00BD4745" w:rsidRPr="00347EF9" w:rsidRDefault="00BD4745" w:rsidP="004B0800">
            <w:pPr>
              <w:spacing w:before="40" w:after="40" w:line="220" w:lineRule="exact"/>
              <w:ind w:left="113"/>
              <w:jc w:val="right"/>
              <w:rPr>
                <w:sz w:val="18"/>
                <w:szCs w:val="14"/>
              </w:rPr>
            </w:pPr>
            <w:r w:rsidRPr="00347EF9">
              <w:rPr>
                <w:sz w:val="18"/>
                <w:szCs w:val="14"/>
              </w:rPr>
              <w:t>66,4</w:t>
            </w:r>
          </w:p>
        </w:tc>
        <w:tc>
          <w:tcPr>
            <w:tcW w:w="952" w:type="dxa"/>
            <w:shd w:val="clear" w:color="auto" w:fill="auto"/>
            <w:noWrap/>
            <w:vAlign w:val="bottom"/>
            <w:hideMark/>
          </w:tcPr>
          <w:p w14:paraId="31C6E2DF" w14:textId="5A9665CB" w:rsidR="00BD4745" w:rsidRPr="00347EF9" w:rsidRDefault="00BD4745" w:rsidP="004B0800">
            <w:pPr>
              <w:spacing w:before="40" w:after="40" w:line="220" w:lineRule="exact"/>
              <w:ind w:left="113"/>
              <w:jc w:val="right"/>
              <w:rPr>
                <w:sz w:val="18"/>
                <w:szCs w:val="14"/>
              </w:rPr>
            </w:pPr>
            <w:r w:rsidRPr="00347EF9">
              <w:rPr>
                <w:sz w:val="18"/>
                <w:szCs w:val="14"/>
              </w:rPr>
              <w:t>8</w:t>
            </w:r>
            <w:r w:rsidR="00347EF9">
              <w:rPr>
                <w:sz w:val="18"/>
                <w:szCs w:val="14"/>
              </w:rPr>
              <w:t xml:space="preserve"> </w:t>
            </w:r>
            <w:r w:rsidRPr="00347EF9">
              <w:rPr>
                <w:sz w:val="18"/>
                <w:szCs w:val="14"/>
              </w:rPr>
              <w:t>634</w:t>
            </w:r>
            <w:r w:rsidR="00347EF9">
              <w:rPr>
                <w:sz w:val="18"/>
                <w:szCs w:val="14"/>
              </w:rPr>
              <w:t xml:space="preserve"> </w:t>
            </w:r>
            <w:r w:rsidRPr="00347EF9">
              <w:rPr>
                <w:sz w:val="18"/>
                <w:szCs w:val="14"/>
              </w:rPr>
              <w:t>561</w:t>
            </w:r>
          </w:p>
        </w:tc>
        <w:tc>
          <w:tcPr>
            <w:tcW w:w="469" w:type="dxa"/>
            <w:shd w:val="clear" w:color="auto" w:fill="auto"/>
            <w:noWrap/>
            <w:vAlign w:val="bottom"/>
            <w:hideMark/>
          </w:tcPr>
          <w:p w14:paraId="35FA44A0" w14:textId="77777777" w:rsidR="00BD4745" w:rsidRPr="00347EF9" w:rsidRDefault="00BD4745" w:rsidP="004B0800">
            <w:pPr>
              <w:spacing w:before="40" w:after="40" w:line="220" w:lineRule="exact"/>
              <w:ind w:left="113"/>
              <w:jc w:val="right"/>
              <w:rPr>
                <w:sz w:val="18"/>
                <w:szCs w:val="14"/>
              </w:rPr>
            </w:pPr>
            <w:r w:rsidRPr="00347EF9">
              <w:rPr>
                <w:sz w:val="18"/>
                <w:szCs w:val="14"/>
              </w:rPr>
              <w:t>72,6</w:t>
            </w:r>
          </w:p>
        </w:tc>
      </w:tr>
      <w:tr w:rsidR="00347EF9" w:rsidRPr="00347EF9" w14:paraId="3AFAE181" w14:textId="77777777" w:rsidTr="004B0800">
        <w:trPr>
          <w:trHeight w:val="240"/>
        </w:trPr>
        <w:tc>
          <w:tcPr>
            <w:tcW w:w="1092" w:type="dxa"/>
            <w:shd w:val="clear" w:color="auto" w:fill="auto"/>
            <w:noWrap/>
            <w:hideMark/>
          </w:tcPr>
          <w:p w14:paraId="51D1324E" w14:textId="77777777" w:rsidR="00BD4745" w:rsidRPr="00347EF9" w:rsidRDefault="00BD4745">
            <w:pPr>
              <w:spacing w:before="40" w:after="40" w:line="220" w:lineRule="exact"/>
              <w:rPr>
                <w:sz w:val="18"/>
                <w:szCs w:val="14"/>
              </w:rPr>
            </w:pPr>
            <w:r w:rsidRPr="00347EF9">
              <w:rPr>
                <w:sz w:val="18"/>
                <w:szCs w:val="14"/>
              </w:rPr>
              <w:t>Oruro</w:t>
            </w:r>
          </w:p>
        </w:tc>
        <w:tc>
          <w:tcPr>
            <w:tcW w:w="952" w:type="dxa"/>
            <w:shd w:val="clear" w:color="auto" w:fill="auto"/>
            <w:noWrap/>
            <w:vAlign w:val="bottom"/>
            <w:hideMark/>
          </w:tcPr>
          <w:p w14:paraId="6183BEE3" w14:textId="6CEA45B1"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948</w:t>
            </w:r>
            <w:r w:rsidR="00347EF9">
              <w:rPr>
                <w:sz w:val="18"/>
                <w:szCs w:val="14"/>
              </w:rPr>
              <w:t xml:space="preserve"> </w:t>
            </w:r>
            <w:r w:rsidRPr="00347EF9">
              <w:rPr>
                <w:sz w:val="18"/>
                <w:szCs w:val="14"/>
              </w:rPr>
              <w:t>107</w:t>
            </w:r>
          </w:p>
        </w:tc>
        <w:tc>
          <w:tcPr>
            <w:tcW w:w="896" w:type="dxa"/>
            <w:shd w:val="clear" w:color="auto" w:fill="auto"/>
            <w:noWrap/>
            <w:vAlign w:val="bottom"/>
            <w:hideMark/>
          </w:tcPr>
          <w:p w14:paraId="163F0187" w14:textId="72808BD0" w:rsidR="00BD4745" w:rsidRPr="00347EF9" w:rsidRDefault="00BD4745" w:rsidP="004B0800">
            <w:pPr>
              <w:spacing w:before="40" w:after="40" w:line="220" w:lineRule="exact"/>
              <w:ind w:left="113"/>
              <w:jc w:val="right"/>
              <w:rPr>
                <w:sz w:val="18"/>
                <w:szCs w:val="14"/>
              </w:rPr>
            </w:pPr>
            <w:r w:rsidRPr="00347EF9">
              <w:rPr>
                <w:sz w:val="18"/>
                <w:szCs w:val="14"/>
              </w:rPr>
              <w:t>780</w:t>
            </w:r>
            <w:r w:rsidR="00347EF9">
              <w:rPr>
                <w:sz w:val="18"/>
                <w:szCs w:val="14"/>
              </w:rPr>
              <w:t xml:space="preserve"> </w:t>
            </w:r>
            <w:r w:rsidRPr="00347EF9">
              <w:rPr>
                <w:sz w:val="18"/>
                <w:szCs w:val="14"/>
              </w:rPr>
              <w:t>122</w:t>
            </w:r>
          </w:p>
        </w:tc>
        <w:tc>
          <w:tcPr>
            <w:tcW w:w="447" w:type="dxa"/>
            <w:shd w:val="clear" w:color="auto" w:fill="auto"/>
            <w:noWrap/>
            <w:vAlign w:val="bottom"/>
            <w:hideMark/>
          </w:tcPr>
          <w:p w14:paraId="0A2A6393" w14:textId="77777777" w:rsidR="00BD4745" w:rsidRPr="00347EF9" w:rsidRDefault="00BD4745" w:rsidP="004B0800">
            <w:pPr>
              <w:spacing w:before="40" w:after="40" w:line="220" w:lineRule="exact"/>
              <w:ind w:left="113"/>
              <w:jc w:val="right"/>
              <w:rPr>
                <w:sz w:val="18"/>
                <w:szCs w:val="14"/>
              </w:rPr>
            </w:pPr>
            <w:r w:rsidRPr="00347EF9">
              <w:rPr>
                <w:sz w:val="18"/>
                <w:szCs w:val="14"/>
              </w:rPr>
              <w:t>40,0</w:t>
            </w:r>
          </w:p>
        </w:tc>
        <w:tc>
          <w:tcPr>
            <w:tcW w:w="924" w:type="dxa"/>
            <w:shd w:val="clear" w:color="auto" w:fill="auto"/>
            <w:noWrap/>
            <w:vAlign w:val="bottom"/>
            <w:hideMark/>
          </w:tcPr>
          <w:p w14:paraId="173AB57A" w14:textId="07FF172A" w:rsidR="00BD4745" w:rsidRPr="00347EF9" w:rsidRDefault="00BD4745" w:rsidP="004B0800">
            <w:pPr>
              <w:spacing w:before="40" w:after="40" w:line="220" w:lineRule="exact"/>
              <w:ind w:left="113"/>
              <w:jc w:val="right"/>
              <w:rPr>
                <w:sz w:val="18"/>
                <w:szCs w:val="14"/>
              </w:rPr>
            </w:pPr>
            <w:r w:rsidRPr="00347EF9">
              <w:rPr>
                <w:sz w:val="18"/>
                <w:szCs w:val="14"/>
              </w:rPr>
              <w:t>4</w:t>
            </w:r>
            <w:r w:rsidR="00347EF9">
              <w:rPr>
                <w:sz w:val="18"/>
                <w:szCs w:val="14"/>
              </w:rPr>
              <w:t xml:space="preserve"> </w:t>
            </w:r>
            <w:r w:rsidRPr="00347EF9">
              <w:rPr>
                <w:sz w:val="18"/>
                <w:szCs w:val="14"/>
              </w:rPr>
              <w:t>020</w:t>
            </w:r>
            <w:r w:rsidR="00347EF9">
              <w:rPr>
                <w:sz w:val="18"/>
                <w:szCs w:val="14"/>
              </w:rPr>
              <w:t xml:space="preserve"> </w:t>
            </w:r>
            <w:r w:rsidRPr="00347EF9">
              <w:rPr>
                <w:sz w:val="18"/>
                <w:szCs w:val="14"/>
              </w:rPr>
              <w:t>827</w:t>
            </w:r>
          </w:p>
        </w:tc>
        <w:tc>
          <w:tcPr>
            <w:tcW w:w="939" w:type="dxa"/>
            <w:shd w:val="clear" w:color="auto" w:fill="auto"/>
            <w:noWrap/>
            <w:vAlign w:val="bottom"/>
            <w:hideMark/>
          </w:tcPr>
          <w:p w14:paraId="4250D034" w14:textId="0874628C"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851</w:t>
            </w:r>
            <w:r w:rsidR="00347EF9">
              <w:rPr>
                <w:sz w:val="18"/>
                <w:szCs w:val="14"/>
              </w:rPr>
              <w:t xml:space="preserve"> </w:t>
            </w:r>
            <w:r w:rsidRPr="00347EF9">
              <w:rPr>
                <w:sz w:val="18"/>
                <w:szCs w:val="14"/>
              </w:rPr>
              <w:t>619</w:t>
            </w:r>
          </w:p>
        </w:tc>
        <w:tc>
          <w:tcPr>
            <w:tcW w:w="447" w:type="dxa"/>
            <w:shd w:val="clear" w:color="auto" w:fill="auto"/>
            <w:noWrap/>
            <w:vAlign w:val="bottom"/>
            <w:hideMark/>
          </w:tcPr>
          <w:p w14:paraId="31502E49" w14:textId="77777777" w:rsidR="00BD4745" w:rsidRPr="00347EF9" w:rsidRDefault="00BD4745" w:rsidP="004B0800">
            <w:pPr>
              <w:spacing w:before="40" w:after="40" w:line="220" w:lineRule="exact"/>
              <w:ind w:left="113"/>
              <w:jc w:val="right"/>
              <w:rPr>
                <w:sz w:val="18"/>
                <w:szCs w:val="14"/>
              </w:rPr>
            </w:pPr>
            <w:r w:rsidRPr="00347EF9">
              <w:rPr>
                <w:sz w:val="18"/>
                <w:szCs w:val="14"/>
              </w:rPr>
              <w:t>46,1</w:t>
            </w:r>
          </w:p>
        </w:tc>
        <w:tc>
          <w:tcPr>
            <w:tcW w:w="1022" w:type="dxa"/>
            <w:shd w:val="clear" w:color="auto" w:fill="auto"/>
            <w:noWrap/>
            <w:vAlign w:val="bottom"/>
            <w:hideMark/>
          </w:tcPr>
          <w:p w14:paraId="6C0C86BA" w14:textId="25E1A606" w:rsidR="00BD4745" w:rsidRPr="00347EF9" w:rsidRDefault="00BD4745" w:rsidP="004B0800">
            <w:pPr>
              <w:spacing w:before="40" w:after="40" w:line="220" w:lineRule="exact"/>
              <w:ind w:left="113"/>
              <w:jc w:val="right"/>
              <w:rPr>
                <w:sz w:val="18"/>
                <w:szCs w:val="14"/>
              </w:rPr>
            </w:pPr>
            <w:r w:rsidRPr="00347EF9">
              <w:rPr>
                <w:sz w:val="18"/>
                <w:szCs w:val="14"/>
              </w:rPr>
              <w:t>3</w:t>
            </w:r>
            <w:r w:rsidR="00347EF9">
              <w:rPr>
                <w:sz w:val="18"/>
                <w:szCs w:val="14"/>
              </w:rPr>
              <w:t xml:space="preserve"> </w:t>
            </w:r>
            <w:r w:rsidRPr="00347EF9">
              <w:rPr>
                <w:sz w:val="18"/>
                <w:szCs w:val="14"/>
              </w:rPr>
              <w:t>950</w:t>
            </w:r>
            <w:r w:rsidR="00347EF9">
              <w:rPr>
                <w:sz w:val="18"/>
                <w:szCs w:val="14"/>
              </w:rPr>
              <w:t xml:space="preserve"> </w:t>
            </w:r>
            <w:r w:rsidRPr="00347EF9">
              <w:rPr>
                <w:sz w:val="18"/>
                <w:szCs w:val="14"/>
              </w:rPr>
              <w:t>249</w:t>
            </w:r>
          </w:p>
        </w:tc>
        <w:tc>
          <w:tcPr>
            <w:tcW w:w="924" w:type="dxa"/>
            <w:shd w:val="clear" w:color="auto" w:fill="auto"/>
            <w:noWrap/>
            <w:vAlign w:val="bottom"/>
            <w:hideMark/>
          </w:tcPr>
          <w:p w14:paraId="3799701A" w14:textId="5CAB0D1E" w:rsidR="00BD4745" w:rsidRPr="00347EF9" w:rsidRDefault="00BD4745" w:rsidP="004B0800">
            <w:pPr>
              <w:spacing w:before="40" w:after="40" w:line="220" w:lineRule="exact"/>
              <w:ind w:left="113"/>
              <w:jc w:val="right"/>
              <w:rPr>
                <w:sz w:val="18"/>
                <w:szCs w:val="14"/>
              </w:rPr>
            </w:pPr>
            <w:r w:rsidRPr="00347EF9">
              <w:rPr>
                <w:sz w:val="18"/>
                <w:szCs w:val="14"/>
              </w:rPr>
              <w:t>617</w:t>
            </w:r>
            <w:r w:rsidR="00347EF9">
              <w:rPr>
                <w:sz w:val="18"/>
                <w:szCs w:val="14"/>
              </w:rPr>
              <w:t xml:space="preserve"> </w:t>
            </w:r>
            <w:r w:rsidRPr="00347EF9">
              <w:rPr>
                <w:sz w:val="18"/>
                <w:szCs w:val="14"/>
              </w:rPr>
              <w:t>407</w:t>
            </w:r>
          </w:p>
        </w:tc>
        <w:tc>
          <w:tcPr>
            <w:tcW w:w="574" w:type="dxa"/>
            <w:shd w:val="clear" w:color="auto" w:fill="auto"/>
            <w:noWrap/>
            <w:vAlign w:val="bottom"/>
            <w:hideMark/>
          </w:tcPr>
          <w:p w14:paraId="146E69E4" w14:textId="77777777" w:rsidR="00BD4745" w:rsidRPr="00347EF9" w:rsidRDefault="00BD4745" w:rsidP="004B0800">
            <w:pPr>
              <w:spacing w:before="40" w:after="40" w:line="220" w:lineRule="exact"/>
              <w:ind w:left="113"/>
              <w:jc w:val="right"/>
              <w:rPr>
                <w:sz w:val="18"/>
                <w:szCs w:val="14"/>
              </w:rPr>
            </w:pPr>
            <w:r w:rsidRPr="00347EF9">
              <w:rPr>
                <w:sz w:val="18"/>
                <w:szCs w:val="14"/>
              </w:rPr>
              <w:t>15,6</w:t>
            </w:r>
          </w:p>
        </w:tc>
        <w:tc>
          <w:tcPr>
            <w:tcW w:w="952" w:type="dxa"/>
            <w:shd w:val="clear" w:color="auto" w:fill="auto"/>
            <w:noWrap/>
            <w:vAlign w:val="bottom"/>
            <w:hideMark/>
          </w:tcPr>
          <w:p w14:paraId="6AE11E80" w14:textId="44EA491D"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083</w:t>
            </w:r>
            <w:r w:rsidR="00347EF9">
              <w:rPr>
                <w:sz w:val="18"/>
                <w:szCs w:val="14"/>
              </w:rPr>
              <w:t xml:space="preserve"> </w:t>
            </w:r>
            <w:r w:rsidRPr="00347EF9">
              <w:rPr>
                <w:sz w:val="18"/>
                <w:szCs w:val="14"/>
              </w:rPr>
              <w:t>049</w:t>
            </w:r>
          </w:p>
        </w:tc>
        <w:tc>
          <w:tcPr>
            <w:tcW w:w="469" w:type="dxa"/>
            <w:shd w:val="clear" w:color="auto" w:fill="auto"/>
            <w:noWrap/>
            <w:vAlign w:val="bottom"/>
            <w:hideMark/>
          </w:tcPr>
          <w:p w14:paraId="595C0A10" w14:textId="77777777" w:rsidR="00BD4745" w:rsidRPr="00347EF9" w:rsidRDefault="00BD4745" w:rsidP="004B0800">
            <w:pPr>
              <w:spacing w:before="40" w:after="40" w:line="220" w:lineRule="exact"/>
              <w:ind w:left="113"/>
              <w:jc w:val="right"/>
              <w:rPr>
                <w:sz w:val="18"/>
                <w:szCs w:val="14"/>
              </w:rPr>
            </w:pPr>
            <w:r w:rsidRPr="00347EF9">
              <w:rPr>
                <w:sz w:val="18"/>
                <w:szCs w:val="14"/>
              </w:rPr>
              <w:t>33,9</w:t>
            </w:r>
          </w:p>
        </w:tc>
      </w:tr>
      <w:tr w:rsidR="00347EF9" w:rsidRPr="00347EF9" w14:paraId="3FEDB81C" w14:textId="77777777" w:rsidTr="004B0800">
        <w:trPr>
          <w:trHeight w:val="240"/>
        </w:trPr>
        <w:tc>
          <w:tcPr>
            <w:tcW w:w="1092" w:type="dxa"/>
            <w:shd w:val="clear" w:color="auto" w:fill="auto"/>
            <w:noWrap/>
            <w:hideMark/>
          </w:tcPr>
          <w:p w14:paraId="45A9D599" w14:textId="77777777" w:rsidR="00BD4745" w:rsidRPr="00347EF9" w:rsidRDefault="00BD4745">
            <w:pPr>
              <w:spacing w:before="40" w:after="40" w:line="220" w:lineRule="exact"/>
              <w:rPr>
                <w:sz w:val="18"/>
                <w:szCs w:val="14"/>
              </w:rPr>
            </w:pPr>
            <w:r w:rsidRPr="00347EF9">
              <w:rPr>
                <w:sz w:val="18"/>
                <w:szCs w:val="14"/>
              </w:rPr>
              <w:t>Sucre</w:t>
            </w:r>
          </w:p>
        </w:tc>
        <w:tc>
          <w:tcPr>
            <w:tcW w:w="952" w:type="dxa"/>
            <w:shd w:val="clear" w:color="auto" w:fill="auto"/>
            <w:noWrap/>
            <w:vAlign w:val="bottom"/>
            <w:hideMark/>
          </w:tcPr>
          <w:p w14:paraId="1F743037" w14:textId="0634AB5B"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987</w:t>
            </w:r>
            <w:r w:rsidR="00347EF9">
              <w:rPr>
                <w:sz w:val="18"/>
                <w:szCs w:val="14"/>
              </w:rPr>
              <w:t xml:space="preserve"> </w:t>
            </w:r>
            <w:r w:rsidRPr="00347EF9">
              <w:rPr>
                <w:sz w:val="18"/>
                <w:szCs w:val="14"/>
              </w:rPr>
              <w:t>313</w:t>
            </w:r>
          </w:p>
        </w:tc>
        <w:tc>
          <w:tcPr>
            <w:tcW w:w="896" w:type="dxa"/>
            <w:shd w:val="clear" w:color="auto" w:fill="auto"/>
            <w:noWrap/>
            <w:vAlign w:val="bottom"/>
            <w:hideMark/>
          </w:tcPr>
          <w:p w14:paraId="476A7B75" w14:textId="338E54C1"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720</w:t>
            </w:r>
            <w:r w:rsidR="00347EF9">
              <w:rPr>
                <w:sz w:val="18"/>
                <w:szCs w:val="14"/>
              </w:rPr>
              <w:t xml:space="preserve"> </w:t>
            </w:r>
            <w:r w:rsidRPr="00347EF9">
              <w:rPr>
                <w:sz w:val="18"/>
                <w:szCs w:val="14"/>
              </w:rPr>
              <w:t>099</w:t>
            </w:r>
          </w:p>
        </w:tc>
        <w:tc>
          <w:tcPr>
            <w:tcW w:w="447" w:type="dxa"/>
            <w:shd w:val="clear" w:color="auto" w:fill="auto"/>
            <w:noWrap/>
            <w:vAlign w:val="bottom"/>
            <w:hideMark/>
          </w:tcPr>
          <w:p w14:paraId="5B0F0A4C" w14:textId="77777777" w:rsidR="00BD4745" w:rsidRPr="00347EF9" w:rsidRDefault="00BD4745" w:rsidP="004B0800">
            <w:pPr>
              <w:spacing w:before="40" w:after="40" w:line="220" w:lineRule="exact"/>
              <w:ind w:left="113"/>
              <w:jc w:val="right"/>
              <w:rPr>
                <w:sz w:val="18"/>
                <w:szCs w:val="14"/>
              </w:rPr>
            </w:pPr>
            <w:r w:rsidRPr="00347EF9">
              <w:rPr>
                <w:sz w:val="18"/>
                <w:szCs w:val="14"/>
              </w:rPr>
              <w:t>86,6</w:t>
            </w:r>
          </w:p>
        </w:tc>
        <w:tc>
          <w:tcPr>
            <w:tcW w:w="924" w:type="dxa"/>
            <w:shd w:val="clear" w:color="auto" w:fill="auto"/>
            <w:noWrap/>
            <w:vAlign w:val="bottom"/>
            <w:hideMark/>
          </w:tcPr>
          <w:p w14:paraId="6B0AFACB" w14:textId="63215832" w:rsidR="00BD4745" w:rsidRPr="00347EF9" w:rsidRDefault="00BD4745" w:rsidP="004B0800">
            <w:pPr>
              <w:spacing w:before="40" w:after="40" w:line="220" w:lineRule="exact"/>
              <w:ind w:left="113"/>
              <w:jc w:val="right"/>
              <w:rPr>
                <w:sz w:val="18"/>
                <w:szCs w:val="14"/>
              </w:rPr>
            </w:pPr>
            <w:r w:rsidRPr="00347EF9">
              <w:rPr>
                <w:sz w:val="18"/>
                <w:szCs w:val="14"/>
              </w:rPr>
              <w:t>9</w:t>
            </w:r>
            <w:r w:rsidR="00347EF9">
              <w:rPr>
                <w:sz w:val="18"/>
                <w:szCs w:val="14"/>
              </w:rPr>
              <w:t xml:space="preserve"> </w:t>
            </w:r>
            <w:r w:rsidRPr="00347EF9">
              <w:rPr>
                <w:sz w:val="18"/>
                <w:szCs w:val="14"/>
              </w:rPr>
              <w:t>283</w:t>
            </w:r>
            <w:r w:rsidR="00347EF9">
              <w:rPr>
                <w:sz w:val="18"/>
                <w:szCs w:val="14"/>
              </w:rPr>
              <w:t xml:space="preserve"> </w:t>
            </w:r>
            <w:r w:rsidRPr="00347EF9">
              <w:rPr>
                <w:sz w:val="18"/>
                <w:szCs w:val="14"/>
              </w:rPr>
              <w:t>131</w:t>
            </w:r>
          </w:p>
        </w:tc>
        <w:tc>
          <w:tcPr>
            <w:tcW w:w="939" w:type="dxa"/>
            <w:shd w:val="clear" w:color="auto" w:fill="auto"/>
            <w:noWrap/>
            <w:vAlign w:val="bottom"/>
            <w:hideMark/>
          </w:tcPr>
          <w:p w14:paraId="1F44413F" w14:textId="1510E0B9" w:rsidR="00BD4745" w:rsidRPr="00347EF9" w:rsidRDefault="00BD4745" w:rsidP="004B0800">
            <w:pPr>
              <w:spacing w:before="40" w:after="40" w:line="220" w:lineRule="exact"/>
              <w:ind w:left="113"/>
              <w:jc w:val="right"/>
              <w:rPr>
                <w:sz w:val="18"/>
                <w:szCs w:val="14"/>
              </w:rPr>
            </w:pPr>
            <w:r w:rsidRPr="00347EF9">
              <w:rPr>
                <w:sz w:val="18"/>
                <w:szCs w:val="14"/>
              </w:rPr>
              <w:t>8</w:t>
            </w:r>
            <w:r w:rsidR="00347EF9">
              <w:rPr>
                <w:sz w:val="18"/>
                <w:szCs w:val="14"/>
              </w:rPr>
              <w:t xml:space="preserve"> </w:t>
            </w:r>
            <w:r w:rsidRPr="00347EF9">
              <w:rPr>
                <w:sz w:val="18"/>
                <w:szCs w:val="14"/>
              </w:rPr>
              <w:t>716</w:t>
            </w:r>
            <w:r w:rsidR="00347EF9">
              <w:rPr>
                <w:sz w:val="18"/>
                <w:szCs w:val="14"/>
              </w:rPr>
              <w:t xml:space="preserve"> </w:t>
            </w:r>
            <w:r w:rsidRPr="00347EF9">
              <w:rPr>
                <w:sz w:val="18"/>
                <w:szCs w:val="14"/>
              </w:rPr>
              <w:t>514</w:t>
            </w:r>
          </w:p>
        </w:tc>
        <w:tc>
          <w:tcPr>
            <w:tcW w:w="447" w:type="dxa"/>
            <w:shd w:val="clear" w:color="auto" w:fill="auto"/>
            <w:noWrap/>
            <w:vAlign w:val="bottom"/>
            <w:hideMark/>
          </w:tcPr>
          <w:p w14:paraId="1887DF56" w14:textId="77777777" w:rsidR="00BD4745" w:rsidRPr="00347EF9" w:rsidRDefault="00BD4745" w:rsidP="004B0800">
            <w:pPr>
              <w:spacing w:before="40" w:after="40" w:line="220" w:lineRule="exact"/>
              <w:ind w:left="113"/>
              <w:jc w:val="right"/>
              <w:rPr>
                <w:sz w:val="18"/>
                <w:szCs w:val="14"/>
              </w:rPr>
            </w:pPr>
            <w:r w:rsidRPr="00347EF9">
              <w:rPr>
                <w:sz w:val="18"/>
                <w:szCs w:val="14"/>
              </w:rPr>
              <w:t>93,9</w:t>
            </w:r>
          </w:p>
        </w:tc>
        <w:tc>
          <w:tcPr>
            <w:tcW w:w="1022" w:type="dxa"/>
            <w:shd w:val="clear" w:color="auto" w:fill="auto"/>
            <w:noWrap/>
            <w:vAlign w:val="bottom"/>
            <w:hideMark/>
          </w:tcPr>
          <w:p w14:paraId="2F8FAABA" w14:textId="1A66D143" w:rsidR="00BD4745" w:rsidRPr="00347EF9" w:rsidRDefault="00BD4745" w:rsidP="004B0800">
            <w:pPr>
              <w:spacing w:before="40" w:after="40" w:line="220" w:lineRule="exact"/>
              <w:ind w:left="113"/>
              <w:jc w:val="right"/>
              <w:rPr>
                <w:sz w:val="18"/>
                <w:szCs w:val="14"/>
              </w:rPr>
            </w:pPr>
            <w:r w:rsidRPr="00347EF9">
              <w:rPr>
                <w:sz w:val="18"/>
                <w:szCs w:val="14"/>
              </w:rPr>
              <w:t>19</w:t>
            </w:r>
            <w:r w:rsidR="00347EF9">
              <w:rPr>
                <w:sz w:val="18"/>
                <w:szCs w:val="14"/>
              </w:rPr>
              <w:t xml:space="preserve"> </w:t>
            </w:r>
            <w:r w:rsidRPr="00347EF9">
              <w:rPr>
                <w:sz w:val="18"/>
                <w:szCs w:val="14"/>
              </w:rPr>
              <w:t>943</w:t>
            </w:r>
            <w:r w:rsidR="00347EF9">
              <w:rPr>
                <w:sz w:val="18"/>
                <w:szCs w:val="14"/>
              </w:rPr>
              <w:t xml:space="preserve"> </w:t>
            </w:r>
            <w:r w:rsidRPr="00347EF9">
              <w:rPr>
                <w:sz w:val="18"/>
                <w:szCs w:val="14"/>
              </w:rPr>
              <w:t>464</w:t>
            </w:r>
          </w:p>
        </w:tc>
        <w:tc>
          <w:tcPr>
            <w:tcW w:w="924" w:type="dxa"/>
            <w:shd w:val="clear" w:color="auto" w:fill="auto"/>
            <w:noWrap/>
            <w:vAlign w:val="bottom"/>
            <w:hideMark/>
          </w:tcPr>
          <w:p w14:paraId="35957C29" w14:textId="68B1357C" w:rsidR="00BD4745" w:rsidRPr="00347EF9" w:rsidRDefault="00BD4745" w:rsidP="004B0800">
            <w:pPr>
              <w:spacing w:before="40" w:after="40" w:line="220" w:lineRule="exact"/>
              <w:ind w:left="113"/>
              <w:jc w:val="right"/>
              <w:rPr>
                <w:sz w:val="18"/>
                <w:szCs w:val="14"/>
              </w:rPr>
            </w:pPr>
            <w:r w:rsidRPr="00347EF9">
              <w:rPr>
                <w:sz w:val="18"/>
                <w:szCs w:val="14"/>
              </w:rPr>
              <w:t>14</w:t>
            </w:r>
            <w:r w:rsidR="00347EF9">
              <w:rPr>
                <w:sz w:val="18"/>
                <w:szCs w:val="14"/>
              </w:rPr>
              <w:t xml:space="preserve"> </w:t>
            </w:r>
            <w:r w:rsidRPr="00347EF9">
              <w:rPr>
                <w:sz w:val="18"/>
                <w:szCs w:val="14"/>
              </w:rPr>
              <w:t>167</w:t>
            </w:r>
            <w:r w:rsidR="00347EF9">
              <w:rPr>
                <w:sz w:val="18"/>
                <w:szCs w:val="14"/>
              </w:rPr>
              <w:t xml:space="preserve"> </w:t>
            </w:r>
            <w:r w:rsidRPr="00347EF9">
              <w:rPr>
                <w:sz w:val="18"/>
                <w:szCs w:val="14"/>
              </w:rPr>
              <w:t>638</w:t>
            </w:r>
          </w:p>
        </w:tc>
        <w:tc>
          <w:tcPr>
            <w:tcW w:w="574" w:type="dxa"/>
            <w:shd w:val="clear" w:color="auto" w:fill="auto"/>
            <w:noWrap/>
            <w:vAlign w:val="bottom"/>
            <w:hideMark/>
          </w:tcPr>
          <w:p w14:paraId="42C8FB86" w14:textId="77777777" w:rsidR="00BD4745" w:rsidRPr="00347EF9" w:rsidRDefault="00BD4745" w:rsidP="004B0800">
            <w:pPr>
              <w:spacing w:before="40" w:after="40" w:line="220" w:lineRule="exact"/>
              <w:ind w:left="113"/>
              <w:jc w:val="right"/>
              <w:rPr>
                <w:sz w:val="18"/>
                <w:szCs w:val="14"/>
              </w:rPr>
            </w:pPr>
            <w:r w:rsidRPr="00347EF9">
              <w:rPr>
                <w:sz w:val="18"/>
                <w:szCs w:val="14"/>
              </w:rPr>
              <w:t>71,0</w:t>
            </w:r>
          </w:p>
        </w:tc>
        <w:tc>
          <w:tcPr>
            <w:tcW w:w="952" w:type="dxa"/>
            <w:shd w:val="clear" w:color="auto" w:fill="auto"/>
            <w:noWrap/>
            <w:vAlign w:val="bottom"/>
            <w:hideMark/>
          </w:tcPr>
          <w:p w14:paraId="33661A39" w14:textId="381F24DA" w:rsidR="00BD4745" w:rsidRPr="00347EF9" w:rsidRDefault="00BD4745" w:rsidP="004B0800">
            <w:pPr>
              <w:spacing w:before="40" w:after="40" w:line="220" w:lineRule="exact"/>
              <w:ind w:left="113"/>
              <w:jc w:val="right"/>
              <w:rPr>
                <w:sz w:val="18"/>
                <w:szCs w:val="14"/>
              </w:rPr>
            </w:pPr>
            <w:r w:rsidRPr="00347EF9">
              <w:rPr>
                <w:sz w:val="18"/>
                <w:szCs w:val="14"/>
              </w:rPr>
              <w:t>8</w:t>
            </w:r>
            <w:r w:rsidR="00347EF9">
              <w:rPr>
                <w:sz w:val="18"/>
                <w:szCs w:val="14"/>
              </w:rPr>
              <w:t xml:space="preserve"> </w:t>
            </w:r>
            <w:r w:rsidRPr="00347EF9">
              <w:rPr>
                <w:sz w:val="18"/>
                <w:szCs w:val="14"/>
              </w:rPr>
              <w:t>201</w:t>
            </w:r>
            <w:r w:rsidR="00347EF9">
              <w:rPr>
                <w:sz w:val="18"/>
                <w:szCs w:val="14"/>
              </w:rPr>
              <w:t xml:space="preserve"> </w:t>
            </w:r>
            <w:r w:rsidRPr="00347EF9">
              <w:rPr>
                <w:sz w:val="18"/>
                <w:szCs w:val="14"/>
              </w:rPr>
              <w:t>417</w:t>
            </w:r>
          </w:p>
        </w:tc>
        <w:tc>
          <w:tcPr>
            <w:tcW w:w="469" w:type="dxa"/>
            <w:shd w:val="clear" w:color="auto" w:fill="auto"/>
            <w:noWrap/>
            <w:vAlign w:val="bottom"/>
            <w:hideMark/>
          </w:tcPr>
          <w:p w14:paraId="6F08CEAD" w14:textId="77777777" w:rsidR="00BD4745" w:rsidRPr="00347EF9" w:rsidRDefault="00BD4745" w:rsidP="004B0800">
            <w:pPr>
              <w:spacing w:before="40" w:after="40" w:line="220" w:lineRule="exact"/>
              <w:ind w:left="113"/>
              <w:jc w:val="right"/>
              <w:rPr>
                <w:sz w:val="18"/>
                <w:szCs w:val="14"/>
              </w:rPr>
            </w:pPr>
            <w:r w:rsidRPr="00347EF9">
              <w:rPr>
                <w:sz w:val="18"/>
                <w:szCs w:val="14"/>
              </w:rPr>
              <w:t>83,8</w:t>
            </w:r>
          </w:p>
        </w:tc>
      </w:tr>
      <w:tr w:rsidR="00347EF9" w:rsidRPr="00347EF9" w14:paraId="348237D5" w14:textId="77777777" w:rsidTr="004B0800">
        <w:trPr>
          <w:trHeight w:val="240"/>
        </w:trPr>
        <w:tc>
          <w:tcPr>
            <w:tcW w:w="1092" w:type="dxa"/>
            <w:shd w:val="clear" w:color="auto" w:fill="auto"/>
            <w:noWrap/>
            <w:hideMark/>
          </w:tcPr>
          <w:p w14:paraId="1DBCEE5A" w14:textId="77777777" w:rsidR="00BD4745" w:rsidRPr="00347EF9" w:rsidRDefault="00BD4745">
            <w:pPr>
              <w:spacing w:before="40" w:after="40" w:line="220" w:lineRule="exact"/>
              <w:rPr>
                <w:sz w:val="18"/>
                <w:szCs w:val="14"/>
              </w:rPr>
            </w:pPr>
            <w:r w:rsidRPr="00347EF9">
              <w:rPr>
                <w:sz w:val="18"/>
                <w:szCs w:val="14"/>
              </w:rPr>
              <w:t>Tarija</w:t>
            </w:r>
          </w:p>
        </w:tc>
        <w:tc>
          <w:tcPr>
            <w:tcW w:w="952" w:type="dxa"/>
            <w:shd w:val="clear" w:color="auto" w:fill="auto"/>
            <w:noWrap/>
            <w:vAlign w:val="bottom"/>
            <w:hideMark/>
          </w:tcPr>
          <w:p w14:paraId="7410C6E9" w14:textId="27EF2DD6"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982</w:t>
            </w:r>
            <w:r w:rsidR="00347EF9">
              <w:rPr>
                <w:sz w:val="18"/>
                <w:szCs w:val="14"/>
              </w:rPr>
              <w:t xml:space="preserve"> </w:t>
            </w:r>
            <w:r w:rsidRPr="00347EF9">
              <w:rPr>
                <w:sz w:val="18"/>
                <w:szCs w:val="14"/>
              </w:rPr>
              <w:t>397</w:t>
            </w:r>
          </w:p>
        </w:tc>
        <w:tc>
          <w:tcPr>
            <w:tcW w:w="896" w:type="dxa"/>
            <w:shd w:val="clear" w:color="auto" w:fill="auto"/>
            <w:noWrap/>
            <w:vAlign w:val="bottom"/>
            <w:hideMark/>
          </w:tcPr>
          <w:p w14:paraId="42ABDF24" w14:textId="270F1D2A"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310</w:t>
            </w:r>
            <w:r w:rsidR="00347EF9">
              <w:rPr>
                <w:sz w:val="18"/>
                <w:szCs w:val="14"/>
              </w:rPr>
              <w:t xml:space="preserve"> </w:t>
            </w:r>
            <w:r w:rsidRPr="00347EF9">
              <w:rPr>
                <w:sz w:val="18"/>
                <w:szCs w:val="14"/>
              </w:rPr>
              <w:t>949</w:t>
            </w:r>
          </w:p>
        </w:tc>
        <w:tc>
          <w:tcPr>
            <w:tcW w:w="447" w:type="dxa"/>
            <w:shd w:val="clear" w:color="auto" w:fill="auto"/>
            <w:noWrap/>
            <w:vAlign w:val="bottom"/>
            <w:hideMark/>
          </w:tcPr>
          <w:p w14:paraId="569C43B7" w14:textId="77777777" w:rsidR="00BD4745" w:rsidRPr="00347EF9" w:rsidRDefault="00BD4745" w:rsidP="004B0800">
            <w:pPr>
              <w:spacing w:before="40" w:after="40" w:line="220" w:lineRule="exact"/>
              <w:ind w:left="113"/>
              <w:jc w:val="right"/>
              <w:rPr>
                <w:sz w:val="18"/>
                <w:szCs w:val="14"/>
              </w:rPr>
            </w:pPr>
            <w:r w:rsidRPr="00347EF9">
              <w:rPr>
                <w:sz w:val="18"/>
                <w:szCs w:val="14"/>
              </w:rPr>
              <w:t>66,1</w:t>
            </w:r>
          </w:p>
        </w:tc>
        <w:tc>
          <w:tcPr>
            <w:tcW w:w="924" w:type="dxa"/>
            <w:shd w:val="clear" w:color="auto" w:fill="auto"/>
            <w:noWrap/>
            <w:vAlign w:val="bottom"/>
            <w:hideMark/>
          </w:tcPr>
          <w:p w14:paraId="43DEA2F0" w14:textId="3D87D53D"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917</w:t>
            </w:r>
            <w:r w:rsidR="00347EF9">
              <w:rPr>
                <w:sz w:val="18"/>
                <w:szCs w:val="14"/>
              </w:rPr>
              <w:t xml:space="preserve"> </w:t>
            </w:r>
            <w:r w:rsidRPr="00347EF9">
              <w:rPr>
                <w:sz w:val="18"/>
                <w:szCs w:val="14"/>
              </w:rPr>
              <w:t>675</w:t>
            </w:r>
          </w:p>
        </w:tc>
        <w:tc>
          <w:tcPr>
            <w:tcW w:w="939" w:type="dxa"/>
            <w:shd w:val="clear" w:color="auto" w:fill="auto"/>
            <w:noWrap/>
            <w:vAlign w:val="bottom"/>
            <w:hideMark/>
          </w:tcPr>
          <w:p w14:paraId="4F1DBAC3" w14:textId="38C21361"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009</w:t>
            </w:r>
            <w:r w:rsidR="00347EF9">
              <w:rPr>
                <w:sz w:val="18"/>
                <w:szCs w:val="14"/>
              </w:rPr>
              <w:t xml:space="preserve"> </w:t>
            </w:r>
            <w:r w:rsidRPr="00347EF9">
              <w:rPr>
                <w:sz w:val="18"/>
                <w:szCs w:val="14"/>
              </w:rPr>
              <w:t>093</w:t>
            </w:r>
          </w:p>
        </w:tc>
        <w:tc>
          <w:tcPr>
            <w:tcW w:w="447" w:type="dxa"/>
            <w:shd w:val="clear" w:color="auto" w:fill="auto"/>
            <w:noWrap/>
            <w:vAlign w:val="bottom"/>
            <w:hideMark/>
          </w:tcPr>
          <w:p w14:paraId="4292A20E" w14:textId="77777777" w:rsidR="00BD4745" w:rsidRPr="00347EF9" w:rsidRDefault="00BD4745" w:rsidP="004B0800">
            <w:pPr>
              <w:spacing w:before="40" w:after="40" w:line="220" w:lineRule="exact"/>
              <w:ind w:left="113"/>
              <w:jc w:val="right"/>
              <w:rPr>
                <w:sz w:val="18"/>
                <w:szCs w:val="14"/>
              </w:rPr>
            </w:pPr>
            <w:r w:rsidRPr="00347EF9">
              <w:rPr>
                <w:sz w:val="18"/>
                <w:szCs w:val="14"/>
              </w:rPr>
              <w:t>68,9</w:t>
            </w:r>
          </w:p>
        </w:tc>
        <w:tc>
          <w:tcPr>
            <w:tcW w:w="1022" w:type="dxa"/>
            <w:shd w:val="clear" w:color="auto" w:fill="auto"/>
            <w:noWrap/>
            <w:vAlign w:val="bottom"/>
            <w:hideMark/>
          </w:tcPr>
          <w:p w14:paraId="0E5FDD6A" w14:textId="099E38A2" w:rsidR="00BD4745" w:rsidRPr="00347EF9" w:rsidRDefault="00BD4745" w:rsidP="004B0800">
            <w:pPr>
              <w:spacing w:before="40" w:after="40" w:line="220" w:lineRule="exact"/>
              <w:ind w:left="113"/>
              <w:jc w:val="right"/>
              <w:rPr>
                <w:sz w:val="18"/>
                <w:szCs w:val="14"/>
              </w:rPr>
            </w:pPr>
            <w:r w:rsidRPr="00347EF9">
              <w:rPr>
                <w:sz w:val="18"/>
                <w:szCs w:val="14"/>
              </w:rPr>
              <w:t>3</w:t>
            </w:r>
            <w:r w:rsidR="00347EF9">
              <w:rPr>
                <w:sz w:val="18"/>
                <w:szCs w:val="14"/>
              </w:rPr>
              <w:t xml:space="preserve"> </w:t>
            </w:r>
            <w:r w:rsidRPr="00347EF9">
              <w:rPr>
                <w:sz w:val="18"/>
                <w:szCs w:val="14"/>
              </w:rPr>
              <w:t>104</w:t>
            </w:r>
            <w:r w:rsidR="00347EF9">
              <w:rPr>
                <w:sz w:val="18"/>
                <w:szCs w:val="14"/>
              </w:rPr>
              <w:t xml:space="preserve"> </w:t>
            </w:r>
            <w:r w:rsidRPr="00347EF9">
              <w:rPr>
                <w:sz w:val="18"/>
                <w:szCs w:val="14"/>
              </w:rPr>
              <w:t>454</w:t>
            </w:r>
          </w:p>
        </w:tc>
        <w:tc>
          <w:tcPr>
            <w:tcW w:w="924" w:type="dxa"/>
            <w:shd w:val="clear" w:color="auto" w:fill="auto"/>
            <w:noWrap/>
            <w:vAlign w:val="bottom"/>
            <w:hideMark/>
          </w:tcPr>
          <w:p w14:paraId="0EBDD552" w14:textId="17928512"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266</w:t>
            </w:r>
            <w:r w:rsidR="00347EF9">
              <w:rPr>
                <w:sz w:val="18"/>
                <w:szCs w:val="14"/>
              </w:rPr>
              <w:t xml:space="preserve"> </w:t>
            </w:r>
            <w:r w:rsidRPr="00347EF9">
              <w:rPr>
                <w:sz w:val="18"/>
                <w:szCs w:val="14"/>
              </w:rPr>
              <w:t>792</w:t>
            </w:r>
          </w:p>
        </w:tc>
        <w:tc>
          <w:tcPr>
            <w:tcW w:w="574" w:type="dxa"/>
            <w:shd w:val="clear" w:color="auto" w:fill="auto"/>
            <w:noWrap/>
            <w:vAlign w:val="bottom"/>
            <w:hideMark/>
          </w:tcPr>
          <w:p w14:paraId="23AD6BE7" w14:textId="77777777" w:rsidR="00BD4745" w:rsidRPr="00347EF9" w:rsidRDefault="00BD4745" w:rsidP="004B0800">
            <w:pPr>
              <w:spacing w:before="40" w:after="40" w:line="220" w:lineRule="exact"/>
              <w:ind w:left="113"/>
              <w:jc w:val="right"/>
              <w:rPr>
                <w:sz w:val="18"/>
                <w:szCs w:val="14"/>
              </w:rPr>
            </w:pPr>
            <w:r w:rsidRPr="00347EF9">
              <w:rPr>
                <w:sz w:val="18"/>
                <w:szCs w:val="14"/>
              </w:rPr>
              <w:t>40,8</w:t>
            </w:r>
          </w:p>
        </w:tc>
        <w:tc>
          <w:tcPr>
            <w:tcW w:w="952" w:type="dxa"/>
            <w:shd w:val="clear" w:color="auto" w:fill="auto"/>
            <w:noWrap/>
            <w:vAlign w:val="bottom"/>
            <w:hideMark/>
          </w:tcPr>
          <w:p w14:paraId="4F1150D6" w14:textId="25E1B9A4"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528</w:t>
            </w:r>
            <w:r w:rsidR="00347EF9">
              <w:rPr>
                <w:sz w:val="18"/>
                <w:szCs w:val="14"/>
              </w:rPr>
              <w:t xml:space="preserve"> </w:t>
            </w:r>
            <w:r w:rsidRPr="00347EF9">
              <w:rPr>
                <w:sz w:val="18"/>
                <w:szCs w:val="14"/>
              </w:rPr>
              <w:t>945</w:t>
            </w:r>
          </w:p>
        </w:tc>
        <w:tc>
          <w:tcPr>
            <w:tcW w:w="469" w:type="dxa"/>
            <w:shd w:val="clear" w:color="auto" w:fill="auto"/>
            <w:noWrap/>
            <w:vAlign w:val="bottom"/>
            <w:hideMark/>
          </w:tcPr>
          <w:p w14:paraId="66570C5D" w14:textId="77777777" w:rsidR="00BD4745" w:rsidRPr="00347EF9" w:rsidRDefault="00BD4745" w:rsidP="004B0800">
            <w:pPr>
              <w:spacing w:before="40" w:after="40" w:line="220" w:lineRule="exact"/>
              <w:ind w:left="113"/>
              <w:jc w:val="right"/>
              <w:rPr>
                <w:sz w:val="18"/>
                <w:szCs w:val="14"/>
              </w:rPr>
            </w:pPr>
            <w:r w:rsidRPr="00347EF9">
              <w:rPr>
                <w:sz w:val="18"/>
                <w:szCs w:val="14"/>
              </w:rPr>
              <w:t>58,6</w:t>
            </w:r>
          </w:p>
        </w:tc>
      </w:tr>
      <w:tr w:rsidR="00347EF9" w:rsidRPr="00347EF9" w14:paraId="2C2DC4D6" w14:textId="77777777" w:rsidTr="004B0800">
        <w:trPr>
          <w:trHeight w:val="240"/>
        </w:trPr>
        <w:tc>
          <w:tcPr>
            <w:tcW w:w="1092" w:type="dxa"/>
            <w:shd w:val="clear" w:color="auto" w:fill="auto"/>
            <w:noWrap/>
            <w:hideMark/>
          </w:tcPr>
          <w:p w14:paraId="02A4BD60" w14:textId="77777777" w:rsidR="00BD4745" w:rsidRPr="00347EF9" w:rsidRDefault="00BD4745">
            <w:pPr>
              <w:spacing w:before="40" w:after="40" w:line="220" w:lineRule="exact"/>
              <w:rPr>
                <w:sz w:val="18"/>
                <w:szCs w:val="14"/>
              </w:rPr>
            </w:pPr>
            <w:r w:rsidRPr="00347EF9">
              <w:rPr>
                <w:sz w:val="18"/>
                <w:szCs w:val="14"/>
              </w:rPr>
              <w:t>Potosí</w:t>
            </w:r>
          </w:p>
        </w:tc>
        <w:tc>
          <w:tcPr>
            <w:tcW w:w="952" w:type="dxa"/>
            <w:shd w:val="clear" w:color="auto" w:fill="auto"/>
            <w:noWrap/>
            <w:vAlign w:val="bottom"/>
            <w:hideMark/>
          </w:tcPr>
          <w:p w14:paraId="0501BAEF" w14:textId="5F9B7D8D" w:rsidR="00BD4745" w:rsidRPr="00347EF9" w:rsidRDefault="00BD4745" w:rsidP="004B0800">
            <w:pPr>
              <w:spacing w:before="40" w:after="40" w:line="220" w:lineRule="exact"/>
              <w:ind w:left="113"/>
              <w:jc w:val="right"/>
              <w:rPr>
                <w:sz w:val="18"/>
                <w:szCs w:val="14"/>
              </w:rPr>
            </w:pPr>
            <w:r w:rsidRPr="00347EF9">
              <w:rPr>
                <w:sz w:val="18"/>
                <w:szCs w:val="14"/>
              </w:rPr>
              <w:t>754</w:t>
            </w:r>
            <w:r w:rsidR="00347EF9">
              <w:rPr>
                <w:sz w:val="18"/>
                <w:szCs w:val="14"/>
              </w:rPr>
              <w:t xml:space="preserve"> </w:t>
            </w:r>
            <w:r w:rsidRPr="00347EF9">
              <w:rPr>
                <w:sz w:val="18"/>
                <w:szCs w:val="14"/>
              </w:rPr>
              <w:t>943</w:t>
            </w:r>
          </w:p>
        </w:tc>
        <w:tc>
          <w:tcPr>
            <w:tcW w:w="896" w:type="dxa"/>
            <w:shd w:val="clear" w:color="auto" w:fill="auto"/>
            <w:noWrap/>
            <w:vAlign w:val="bottom"/>
            <w:hideMark/>
          </w:tcPr>
          <w:p w14:paraId="2E6D1900" w14:textId="6B2C742B" w:rsidR="00BD4745" w:rsidRPr="00347EF9" w:rsidRDefault="00BD4745" w:rsidP="004B0800">
            <w:pPr>
              <w:spacing w:before="40" w:after="40" w:line="220" w:lineRule="exact"/>
              <w:ind w:left="113"/>
              <w:jc w:val="right"/>
              <w:rPr>
                <w:sz w:val="18"/>
                <w:szCs w:val="14"/>
              </w:rPr>
            </w:pPr>
            <w:r w:rsidRPr="00347EF9">
              <w:rPr>
                <w:sz w:val="18"/>
                <w:szCs w:val="14"/>
              </w:rPr>
              <w:t>581</w:t>
            </w:r>
            <w:r w:rsidR="00347EF9">
              <w:rPr>
                <w:sz w:val="18"/>
                <w:szCs w:val="14"/>
              </w:rPr>
              <w:t xml:space="preserve"> </w:t>
            </w:r>
            <w:r w:rsidRPr="00347EF9">
              <w:rPr>
                <w:sz w:val="18"/>
                <w:szCs w:val="14"/>
              </w:rPr>
              <w:t>009</w:t>
            </w:r>
          </w:p>
        </w:tc>
        <w:tc>
          <w:tcPr>
            <w:tcW w:w="447" w:type="dxa"/>
            <w:shd w:val="clear" w:color="auto" w:fill="auto"/>
            <w:noWrap/>
            <w:vAlign w:val="bottom"/>
            <w:hideMark/>
          </w:tcPr>
          <w:p w14:paraId="2A64EBFC" w14:textId="77777777" w:rsidR="00BD4745" w:rsidRPr="00347EF9" w:rsidRDefault="00BD4745" w:rsidP="004B0800">
            <w:pPr>
              <w:spacing w:before="40" w:after="40" w:line="220" w:lineRule="exact"/>
              <w:ind w:left="113"/>
              <w:jc w:val="right"/>
              <w:rPr>
                <w:sz w:val="18"/>
                <w:szCs w:val="14"/>
              </w:rPr>
            </w:pPr>
            <w:r w:rsidRPr="00347EF9">
              <w:rPr>
                <w:sz w:val="18"/>
                <w:szCs w:val="14"/>
              </w:rPr>
              <w:t>77,0</w:t>
            </w:r>
          </w:p>
        </w:tc>
        <w:tc>
          <w:tcPr>
            <w:tcW w:w="924" w:type="dxa"/>
            <w:shd w:val="clear" w:color="auto" w:fill="auto"/>
            <w:noWrap/>
            <w:vAlign w:val="bottom"/>
            <w:hideMark/>
          </w:tcPr>
          <w:p w14:paraId="7CBDE8B7" w14:textId="56A1DC01"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391</w:t>
            </w:r>
            <w:r w:rsidR="00347EF9">
              <w:rPr>
                <w:sz w:val="18"/>
                <w:szCs w:val="14"/>
              </w:rPr>
              <w:t xml:space="preserve"> </w:t>
            </w:r>
            <w:r w:rsidRPr="00347EF9">
              <w:rPr>
                <w:sz w:val="18"/>
                <w:szCs w:val="14"/>
              </w:rPr>
              <w:t>796</w:t>
            </w:r>
          </w:p>
        </w:tc>
        <w:tc>
          <w:tcPr>
            <w:tcW w:w="939" w:type="dxa"/>
            <w:shd w:val="clear" w:color="auto" w:fill="auto"/>
            <w:noWrap/>
            <w:vAlign w:val="bottom"/>
            <w:hideMark/>
          </w:tcPr>
          <w:p w14:paraId="1C95A596" w14:textId="052FB9FD"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957</w:t>
            </w:r>
            <w:r w:rsidR="00347EF9">
              <w:rPr>
                <w:sz w:val="18"/>
                <w:szCs w:val="14"/>
              </w:rPr>
              <w:t xml:space="preserve"> </w:t>
            </w:r>
            <w:r w:rsidRPr="00347EF9">
              <w:rPr>
                <w:sz w:val="18"/>
                <w:szCs w:val="14"/>
              </w:rPr>
              <w:t>005</w:t>
            </w:r>
          </w:p>
        </w:tc>
        <w:tc>
          <w:tcPr>
            <w:tcW w:w="447" w:type="dxa"/>
            <w:shd w:val="clear" w:color="auto" w:fill="auto"/>
            <w:noWrap/>
            <w:vAlign w:val="bottom"/>
            <w:hideMark/>
          </w:tcPr>
          <w:p w14:paraId="33FE3958" w14:textId="77777777" w:rsidR="00BD4745" w:rsidRPr="00347EF9" w:rsidRDefault="00BD4745" w:rsidP="004B0800">
            <w:pPr>
              <w:spacing w:before="40" w:after="40" w:line="220" w:lineRule="exact"/>
              <w:ind w:left="113"/>
              <w:jc w:val="right"/>
              <w:rPr>
                <w:sz w:val="18"/>
                <w:szCs w:val="14"/>
              </w:rPr>
            </w:pPr>
            <w:r w:rsidRPr="00347EF9">
              <w:rPr>
                <w:sz w:val="18"/>
                <w:szCs w:val="14"/>
              </w:rPr>
              <w:t>81,8</w:t>
            </w:r>
          </w:p>
        </w:tc>
        <w:tc>
          <w:tcPr>
            <w:tcW w:w="1022" w:type="dxa"/>
            <w:shd w:val="clear" w:color="auto" w:fill="auto"/>
            <w:noWrap/>
            <w:vAlign w:val="bottom"/>
            <w:hideMark/>
          </w:tcPr>
          <w:p w14:paraId="3AEAB43E" w14:textId="55D40662" w:rsidR="00BD4745" w:rsidRPr="00347EF9" w:rsidRDefault="00BD4745" w:rsidP="004B0800">
            <w:pPr>
              <w:spacing w:before="40" w:after="40" w:line="220" w:lineRule="exact"/>
              <w:ind w:left="113"/>
              <w:jc w:val="right"/>
              <w:rPr>
                <w:sz w:val="18"/>
                <w:szCs w:val="14"/>
              </w:rPr>
            </w:pPr>
            <w:r w:rsidRPr="00347EF9">
              <w:rPr>
                <w:sz w:val="18"/>
                <w:szCs w:val="14"/>
              </w:rPr>
              <w:t>3</w:t>
            </w:r>
            <w:r w:rsidR="00347EF9">
              <w:rPr>
                <w:sz w:val="18"/>
                <w:szCs w:val="14"/>
              </w:rPr>
              <w:t xml:space="preserve"> </w:t>
            </w:r>
            <w:r w:rsidRPr="00347EF9">
              <w:rPr>
                <w:sz w:val="18"/>
                <w:szCs w:val="14"/>
              </w:rPr>
              <w:t>728</w:t>
            </w:r>
            <w:r w:rsidR="00347EF9">
              <w:rPr>
                <w:sz w:val="18"/>
                <w:szCs w:val="14"/>
              </w:rPr>
              <w:t xml:space="preserve"> </w:t>
            </w:r>
            <w:r w:rsidRPr="00347EF9">
              <w:rPr>
                <w:sz w:val="18"/>
                <w:szCs w:val="14"/>
              </w:rPr>
              <w:t>827</w:t>
            </w:r>
          </w:p>
        </w:tc>
        <w:tc>
          <w:tcPr>
            <w:tcW w:w="924" w:type="dxa"/>
            <w:shd w:val="clear" w:color="auto" w:fill="auto"/>
            <w:noWrap/>
            <w:vAlign w:val="bottom"/>
            <w:hideMark/>
          </w:tcPr>
          <w:p w14:paraId="59118F1B" w14:textId="740CF12C"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966</w:t>
            </w:r>
            <w:r w:rsidR="00347EF9">
              <w:rPr>
                <w:sz w:val="18"/>
                <w:szCs w:val="14"/>
              </w:rPr>
              <w:t xml:space="preserve"> </w:t>
            </w:r>
            <w:r w:rsidRPr="00347EF9">
              <w:rPr>
                <w:sz w:val="18"/>
                <w:szCs w:val="14"/>
              </w:rPr>
              <w:t>263</w:t>
            </w:r>
          </w:p>
        </w:tc>
        <w:tc>
          <w:tcPr>
            <w:tcW w:w="574" w:type="dxa"/>
            <w:shd w:val="clear" w:color="auto" w:fill="auto"/>
            <w:noWrap/>
            <w:vAlign w:val="bottom"/>
            <w:hideMark/>
          </w:tcPr>
          <w:p w14:paraId="11ABDDD2" w14:textId="77777777" w:rsidR="00BD4745" w:rsidRPr="00347EF9" w:rsidRDefault="00BD4745" w:rsidP="004B0800">
            <w:pPr>
              <w:spacing w:before="40" w:after="40" w:line="220" w:lineRule="exact"/>
              <w:ind w:left="113"/>
              <w:jc w:val="right"/>
              <w:rPr>
                <w:sz w:val="18"/>
                <w:szCs w:val="14"/>
              </w:rPr>
            </w:pPr>
            <w:r w:rsidRPr="00347EF9">
              <w:rPr>
                <w:sz w:val="18"/>
                <w:szCs w:val="14"/>
              </w:rPr>
              <w:t>79,5</w:t>
            </w:r>
          </w:p>
        </w:tc>
        <w:tc>
          <w:tcPr>
            <w:tcW w:w="952" w:type="dxa"/>
            <w:shd w:val="clear" w:color="auto" w:fill="auto"/>
            <w:noWrap/>
            <w:vAlign w:val="bottom"/>
            <w:hideMark/>
          </w:tcPr>
          <w:p w14:paraId="0969810F" w14:textId="52D02BAB"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834</w:t>
            </w:r>
            <w:r w:rsidR="00347EF9">
              <w:rPr>
                <w:sz w:val="18"/>
                <w:szCs w:val="14"/>
              </w:rPr>
              <w:t xml:space="preserve"> </w:t>
            </w:r>
            <w:r w:rsidRPr="00347EF9">
              <w:rPr>
                <w:sz w:val="18"/>
                <w:szCs w:val="14"/>
              </w:rPr>
              <w:t>759</w:t>
            </w:r>
          </w:p>
        </w:tc>
        <w:tc>
          <w:tcPr>
            <w:tcW w:w="469" w:type="dxa"/>
            <w:shd w:val="clear" w:color="auto" w:fill="auto"/>
            <w:noWrap/>
            <w:vAlign w:val="bottom"/>
            <w:hideMark/>
          </w:tcPr>
          <w:p w14:paraId="2F88BFAB" w14:textId="77777777" w:rsidR="00BD4745" w:rsidRPr="00347EF9" w:rsidRDefault="00BD4745" w:rsidP="004B0800">
            <w:pPr>
              <w:spacing w:before="40" w:after="40" w:line="220" w:lineRule="exact"/>
              <w:ind w:left="113"/>
              <w:jc w:val="right"/>
              <w:rPr>
                <w:sz w:val="18"/>
                <w:szCs w:val="14"/>
              </w:rPr>
            </w:pPr>
            <w:r w:rsidRPr="00347EF9">
              <w:rPr>
                <w:sz w:val="18"/>
                <w:szCs w:val="14"/>
              </w:rPr>
              <w:t>79,4</w:t>
            </w:r>
          </w:p>
        </w:tc>
      </w:tr>
      <w:tr w:rsidR="00347EF9" w:rsidRPr="00347EF9" w14:paraId="5B12CD39" w14:textId="77777777" w:rsidTr="004B0800">
        <w:trPr>
          <w:trHeight w:val="240"/>
        </w:trPr>
        <w:tc>
          <w:tcPr>
            <w:tcW w:w="1092" w:type="dxa"/>
            <w:shd w:val="clear" w:color="auto" w:fill="auto"/>
            <w:noWrap/>
            <w:hideMark/>
          </w:tcPr>
          <w:p w14:paraId="72E504AE" w14:textId="77777777" w:rsidR="00BD4745" w:rsidRPr="00347EF9" w:rsidRDefault="00BD4745">
            <w:pPr>
              <w:spacing w:before="40" w:after="40" w:line="220" w:lineRule="exact"/>
              <w:rPr>
                <w:sz w:val="18"/>
                <w:szCs w:val="14"/>
              </w:rPr>
            </w:pPr>
            <w:r w:rsidRPr="00347EF9">
              <w:rPr>
                <w:sz w:val="18"/>
                <w:szCs w:val="14"/>
              </w:rPr>
              <w:t>Sacaba</w:t>
            </w:r>
          </w:p>
        </w:tc>
        <w:tc>
          <w:tcPr>
            <w:tcW w:w="952" w:type="dxa"/>
            <w:shd w:val="clear" w:color="auto" w:fill="auto"/>
            <w:noWrap/>
            <w:vAlign w:val="bottom"/>
            <w:hideMark/>
          </w:tcPr>
          <w:p w14:paraId="56F1773A" w14:textId="17281118" w:rsidR="00BD4745" w:rsidRPr="00347EF9" w:rsidRDefault="00BD4745" w:rsidP="004B0800">
            <w:pPr>
              <w:spacing w:before="40" w:after="40" w:line="220" w:lineRule="exact"/>
              <w:ind w:left="113"/>
              <w:jc w:val="right"/>
              <w:rPr>
                <w:sz w:val="18"/>
                <w:szCs w:val="14"/>
              </w:rPr>
            </w:pPr>
            <w:r w:rsidRPr="00347EF9">
              <w:rPr>
                <w:sz w:val="18"/>
                <w:szCs w:val="14"/>
              </w:rPr>
              <w:t>486</w:t>
            </w:r>
            <w:r w:rsidR="00347EF9">
              <w:rPr>
                <w:sz w:val="18"/>
                <w:szCs w:val="14"/>
              </w:rPr>
              <w:t xml:space="preserve"> </w:t>
            </w:r>
            <w:r w:rsidRPr="00347EF9">
              <w:rPr>
                <w:sz w:val="18"/>
                <w:szCs w:val="14"/>
              </w:rPr>
              <w:t>440</w:t>
            </w:r>
          </w:p>
        </w:tc>
        <w:tc>
          <w:tcPr>
            <w:tcW w:w="896" w:type="dxa"/>
            <w:shd w:val="clear" w:color="auto" w:fill="auto"/>
            <w:noWrap/>
            <w:vAlign w:val="bottom"/>
            <w:hideMark/>
          </w:tcPr>
          <w:p w14:paraId="0877DB31" w14:textId="7724949D" w:rsidR="00BD4745" w:rsidRPr="00347EF9" w:rsidRDefault="00BD4745" w:rsidP="004B0800">
            <w:pPr>
              <w:spacing w:before="40" w:after="40" w:line="220" w:lineRule="exact"/>
              <w:ind w:left="113"/>
              <w:jc w:val="right"/>
              <w:rPr>
                <w:sz w:val="18"/>
                <w:szCs w:val="14"/>
              </w:rPr>
            </w:pPr>
            <w:r w:rsidRPr="00347EF9">
              <w:rPr>
                <w:sz w:val="18"/>
                <w:szCs w:val="14"/>
              </w:rPr>
              <w:t>339</w:t>
            </w:r>
            <w:r w:rsidR="00347EF9">
              <w:rPr>
                <w:sz w:val="18"/>
                <w:szCs w:val="14"/>
              </w:rPr>
              <w:t xml:space="preserve"> </w:t>
            </w:r>
            <w:r w:rsidRPr="00347EF9">
              <w:rPr>
                <w:sz w:val="18"/>
                <w:szCs w:val="14"/>
              </w:rPr>
              <w:t>325</w:t>
            </w:r>
          </w:p>
        </w:tc>
        <w:tc>
          <w:tcPr>
            <w:tcW w:w="447" w:type="dxa"/>
            <w:shd w:val="clear" w:color="auto" w:fill="auto"/>
            <w:noWrap/>
            <w:vAlign w:val="bottom"/>
            <w:hideMark/>
          </w:tcPr>
          <w:p w14:paraId="7920A896" w14:textId="77777777" w:rsidR="00BD4745" w:rsidRPr="00347EF9" w:rsidRDefault="00BD4745" w:rsidP="004B0800">
            <w:pPr>
              <w:spacing w:before="40" w:after="40" w:line="220" w:lineRule="exact"/>
              <w:ind w:left="113"/>
              <w:jc w:val="right"/>
              <w:rPr>
                <w:sz w:val="18"/>
                <w:szCs w:val="14"/>
              </w:rPr>
            </w:pPr>
            <w:r w:rsidRPr="00347EF9">
              <w:rPr>
                <w:sz w:val="18"/>
                <w:szCs w:val="14"/>
              </w:rPr>
              <w:t>69,8</w:t>
            </w:r>
          </w:p>
        </w:tc>
        <w:tc>
          <w:tcPr>
            <w:tcW w:w="924" w:type="dxa"/>
            <w:shd w:val="clear" w:color="auto" w:fill="auto"/>
            <w:noWrap/>
            <w:vAlign w:val="bottom"/>
            <w:hideMark/>
          </w:tcPr>
          <w:p w14:paraId="74F06EC3" w14:textId="5DEB031D"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384</w:t>
            </w:r>
            <w:r w:rsidR="00347EF9">
              <w:rPr>
                <w:sz w:val="18"/>
                <w:szCs w:val="14"/>
              </w:rPr>
              <w:t xml:space="preserve"> </w:t>
            </w:r>
            <w:r w:rsidRPr="00347EF9">
              <w:rPr>
                <w:sz w:val="18"/>
                <w:szCs w:val="14"/>
              </w:rPr>
              <w:t>629</w:t>
            </w:r>
          </w:p>
        </w:tc>
        <w:tc>
          <w:tcPr>
            <w:tcW w:w="939" w:type="dxa"/>
            <w:shd w:val="clear" w:color="auto" w:fill="auto"/>
            <w:noWrap/>
            <w:vAlign w:val="bottom"/>
            <w:hideMark/>
          </w:tcPr>
          <w:p w14:paraId="46D61AD0" w14:textId="7B124791"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122</w:t>
            </w:r>
            <w:r w:rsidR="00347EF9">
              <w:rPr>
                <w:sz w:val="18"/>
                <w:szCs w:val="14"/>
              </w:rPr>
              <w:t xml:space="preserve"> </w:t>
            </w:r>
            <w:r w:rsidRPr="00347EF9">
              <w:rPr>
                <w:sz w:val="18"/>
                <w:szCs w:val="14"/>
              </w:rPr>
              <w:t>582</w:t>
            </w:r>
          </w:p>
        </w:tc>
        <w:tc>
          <w:tcPr>
            <w:tcW w:w="447" w:type="dxa"/>
            <w:shd w:val="clear" w:color="auto" w:fill="auto"/>
            <w:noWrap/>
            <w:vAlign w:val="bottom"/>
            <w:hideMark/>
          </w:tcPr>
          <w:p w14:paraId="1ECF6DAA" w14:textId="77777777" w:rsidR="00BD4745" w:rsidRPr="00347EF9" w:rsidRDefault="00BD4745" w:rsidP="004B0800">
            <w:pPr>
              <w:spacing w:before="40" w:after="40" w:line="220" w:lineRule="exact"/>
              <w:ind w:left="113"/>
              <w:jc w:val="right"/>
              <w:rPr>
                <w:sz w:val="18"/>
                <w:szCs w:val="14"/>
              </w:rPr>
            </w:pPr>
            <w:r w:rsidRPr="00347EF9">
              <w:rPr>
                <w:sz w:val="18"/>
                <w:szCs w:val="14"/>
              </w:rPr>
              <w:t>89,0</w:t>
            </w:r>
          </w:p>
        </w:tc>
        <w:tc>
          <w:tcPr>
            <w:tcW w:w="1022" w:type="dxa"/>
            <w:shd w:val="clear" w:color="auto" w:fill="auto"/>
            <w:noWrap/>
            <w:vAlign w:val="bottom"/>
            <w:hideMark/>
          </w:tcPr>
          <w:p w14:paraId="16AECCE8" w14:textId="378036A9" w:rsidR="00BD4745" w:rsidRPr="00347EF9" w:rsidRDefault="00BD4745" w:rsidP="004B0800">
            <w:pPr>
              <w:spacing w:before="40" w:after="40" w:line="220" w:lineRule="exact"/>
              <w:ind w:left="113"/>
              <w:jc w:val="right"/>
              <w:rPr>
                <w:sz w:val="18"/>
                <w:szCs w:val="14"/>
              </w:rPr>
            </w:pPr>
            <w:r w:rsidRPr="00347EF9">
              <w:rPr>
                <w:sz w:val="18"/>
                <w:szCs w:val="14"/>
              </w:rPr>
              <w:t>3</w:t>
            </w:r>
            <w:r w:rsidR="00347EF9">
              <w:rPr>
                <w:sz w:val="18"/>
                <w:szCs w:val="14"/>
              </w:rPr>
              <w:t xml:space="preserve"> </w:t>
            </w:r>
            <w:r w:rsidRPr="00347EF9">
              <w:rPr>
                <w:sz w:val="18"/>
                <w:szCs w:val="14"/>
              </w:rPr>
              <w:t>170</w:t>
            </w:r>
            <w:r w:rsidR="00347EF9">
              <w:rPr>
                <w:sz w:val="18"/>
                <w:szCs w:val="14"/>
              </w:rPr>
              <w:t xml:space="preserve"> </w:t>
            </w:r>
            <w:r w:rsidRPr="00347EF9">
              <w:rPr>
                <w:sz w:val="18"/>
                <w:szCs w:val="14"/>
              </w:rPr>
              <w:t>063</w:t>
            </w:r>
          </w:p>
        </w:tc>
        <w:tc>
          <w:tcPr>
            <w:tcW w:w="924" w:type="dxa"/>
            <w:shd w:val="clear" w:color="auto" w:fill="auto"/>
            <w:noWrap/>
            <w:vAlign w:val="bottom"/>
            <w:hideMark/>
          </w:tcPr>
          <w:p w14:paraId="4AF791F5" w14:textId="276FB6E0"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700</w:t>
            </w:r>
            <w:r w:rsidR="00347EF9">
              <w:rPr>
                <w:sz w:val="18"/>
                <w:szCs w:val="14"/>
              </w:rPr>
              <w:t xml:space="preserve"> </w:t>
            </w:r>
            <w:r w:rsidRPr="00347EF9">
              <w:rPr>
                <w:sz w:val="18"/>
                <w:szCs w:val="14"/>
              </w:rPr>
              <w:t>141</w:t>
            </w:r>
          </w:p>
        </w:tc>
        <w:tc>
          <w:tcPr>
            <w:tcW w:w="574" w:type="dxa"/>
            <w:shd w:val="clear" w:color="auto" w:fill="auto"/>
            <w:noWrap/>
            <w:vAlign w:val="bottom"/>
            <w:hideMark/>
          </w:tcPr>
          <w:p w14:paraId="16A74E41" w14:textId="77777777" w:rsidR="00BD4745" w:rsidRPr="00347EF9" w:rsidRDefault="00BD4745" w:rsidP="004B0800">
            <w:pPr>
              <w:spacing w:before="40" w:after="40" w:line="220" w:lineRule="exact"/>
              <w:ind w:left="113"/>
              <w:jc w:val="right"/>
              <w:rPr>
                <w:sz w:val="18"/>
                <w:szCs w:val="14"/>
              </w:rPr>
            </w:pPr>
            <w:r w:rsidRPr="00347EF9">
              <w:rPr>
                <w:sz w:val="18"/>
                <w:szCs w:val="14"/>
              </w:rPr>
              <w:t>53,6</w:t>
            </w:r>
          </w:p>
        </w:tc>
        <w:tc>
          <w:tcPr>
            <w:tcW w:w="952" w:type="dxa"/>
            <w:shd w:val="clear" w:color="auto" w:fill="auto"/>
            <w:noWrap/>
            <w:vAlign w:val="bottom"/>
            <w:hideMark/>
          </w:tcPr>
          <w:p w14:paraId="2B71DCD2" w14:textId="18BCB698"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387</w:t>
            </w:r>
            <w:r w:rsidR="00347EF9">
              <w:rPr>
                <w:sz w:val="18"/>
                <w:szCs w:val="14"/>
              </w:rPr>
              <w:t xml:space="preserve"> </w:t>
            </w:r>
            <w:r w:rsidRPr="00347EF9">
              <w:rPr>
                <w:sz w:val="18"/>
                <w:szCs w:val="14"/>
              </w:rPr>
              <w:t>350</w:t>
            </w:r>
          </w:p>
        </w:tc>
        <w:tc>
          <w:tcPr>
            <w:tcW w:w="469" w:type="dxa"/>
            <w:shd w:val="clear" w:color="auto" w:fill="auto"/>
            <w:noWrap/>
            <w:vAlign w:val="bottom"/>
            <w:hideMark/>
          </w:tcPr>
          <w:p w14:paraId="4A312986" w14:textId="77777777" w:rsidR="00BD4745" w:rsidRPr="00347EF9" w:rsidRDefault="00BD4745" w:rsidP="004B0800">
            <w:pPr>
              <w:spacing w:before="40" w:after="40" w:line="220" w:lineRule="exact"/>
              <w:ind w:left="113"/>
              <w:jc w:val="right"/>
              <w:rPr>
                <w:sz w:val="18"/>
                <w:szCs w:val="14"/>
              </w:rPr>
            </w:pPr>
            <w:r w:rsidRPr="00347EF9">
              <w:rPr>
                <w:sz w:val="18"/>
                <w:szCs w:val="14"/>
              </w:rPr>
              <w:t>70,8</w:t>
            </w:r>
          </w:p>
        </w:tc>
      </w:tr>
      <w:tr w:rsidR="00347EF9" w:rsidRPr="00347EF9" w14:paraId="1E74170A" w14:textId="77777777" w:rsidTr="004B0800">
        <w:trPr>
          <w:trHeight w:val="240"/>
        </w:trPr>
        <w:tc>
          <w:tcPr>
            <w:tcW w:w="1092" w:type="dxa"/>
            <w:shd w:val="clear" w:color="auto" w:fill="auto"/>
            <w:noWrap/>
            <w:hideMark/>
          </w:tcPr>
          <w:p w14:paraId="7B57F1D9" w14:textId="77777777" w:rsidR="00BD4745" w:rsidRPr="00347EF9" w:rsidRDefault="00BD4745">
            <w:pPr>
              <w:spacing w:before="40" w:after="40" w:line="220" w:lineRule="exact"/>
              <w:rPr>
                <w:sz w:val="18"/>
                <w:szCs w:val="14"/>
              </w:rPr>
            </w:pPr>
            <w:r w:rsidRPr="00347EF9">
              <w:rPr>
                <w:sz w:val="18"/>
                <w:szCs w:val="14"/>
              </w:rPr>
              <w:t>Quillacollo</w:t>
            </w:r>
          </w:p>
        </w:tc>
        <w:tc>
          <w:tcPr>
            <w:tcW w:w="952" w:type="dxa"/>
            <w:shd w:val="clear" w:color="auto" w:fill="auto"/>
            <w:noWrap/>
            <w:vAlign w:val="bottom"/>
            <w:hideMark/>
          </w:tcPr>
          <w:p w14:paraId="77E6127B" w14:textId="47222EA2"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368</w:t>
            </w:r>
            <w:r w:rsidR="00347EF9">
              <w:rPr>
                <w:sz w:val="18"/>
                <w:szCs w:val="14"/>
              </w:rPr>
              <w:t xml:space="preserve"> </w:t>
            </w:r>
            <w:r w:rsidRPr="00347EF9">
              <w:rPr>
                <w:sz w:val="18"/>
                <w:szCs w:val="14"/>
              </w:rPr>
              <w:t>752</w:t>
            </w:r>
          </w:p>
        </w:tc>
        <w:tc>
          <w:tcPr>
            <w:tcW w:w="896" w:type="dxa"/>
            <w:shd w:val="clear" w:color="auto" w:fill="auto"/>
            <w:noWrap/>
            <w:vAlign w:val="bottom"/>
            <w:hideMark/>
          </w:tcPr>
          <w:p w14:paraId="505FF43D" w14:textId="623E7553"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206</w:t>
            </w:r>
            <w:r w:rsidR="00347EF9">
              <w:rPr>
                <w:sz w:val="18"/>
                <w:szCs w:val="14"/>
              </w:rPr>
              <w:t xml:space="preserve"> </w:t>
            </w:r>
            <w:r w:rsidRPr="00347EF9">
              <w:rPr>
                <w:sz w:val="18"/>
                <w:szCs w:val="14"/>
              </w:rPr>
              <w:t>347</w:t>
            </w:r>
          </w:p>
        </w:tc>
        <w:tc>
          <w:tcPr>
            <w:tcW w:w="447" w:type="dxa"/>
            <w:shd w:val="clear" w:color="auto" w:fill="auto"/>
            <w:noWrap/>
            <w:vAlign w:val="bottom"/>
            <w:hideMark/>
          </w:tcPr>
          <w:p w14:paraId="0C29B63C" w14:textId="77777777" w:rsidR="00BD4745" w:rsidRPr="00347EF9" w:rsidRDefault="00BD4745" w:rsidP="004B0800">
            <w:pPr>
              <w:spacing w:before="40" w:after="40" w:line="220" w:lineRule="exact"/>
              <w:ind w:left="113"/>
              <w:jc w:val="right"/>
              <w:rPr>
                <w:sz w:val="18"/>
                <w:szCs w:val="14"/>
              </w:rPr>
            </w:pPr>
            <w:r w:rsidRPr="00347EF9">
              <w:rPr>
                <w:sz w:val="18"/>
                <w:szCs w:val="14"/>
              </w:rPr>
              <w:t>88,1</w:t>
            </w:r>
          </w:p>
        </w:tc>
        <w:tc>
          <w:tcPr>
            <w:tcW w:w="924" w:type="dxa"/>
            <w:shd w:val="clear" w:color="auto" w:fill="auto"/>
            <w:noWrap/>
            <w:vAlign w:val="bottom"/>
            <w:hideMark/>
          </w:tcPr>
          <w:p w14:paraId="3740C8C1" w14:textId="413B4612"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827</w:t>
            </w:r>
            <w:r w:rsidR="00347EF9">
              <w:rPr>
                <w:sz w:val="18"/>
                <w:szCs w:val="14"/>
              </w:rPr>
              <w:t xml:space="preserve"> </w:t>
            </w:r>
            <w:r w:rsidRPr="00347EF9">
              <w:rPr>
                <w:sz w:val="18"/>
                <w:szCs w:val="14"/>
              </w:rPr>
              <w:t>763</w:t>
            </w:r>
          </w:p>
        </w:tc>
        <w:tc>
          <w:tcPr>
            <w:tcW w:w="939" w:type="dxa"/>
            <w:shd w:val="clear" w:color="auto" w:fill="auto"/>
            <w:noWrap/>
            <w:vAlign w:val="bottom"/>
            <w:hideMark/>
          </w:tcPr>
          <w:p w14:paraId="4B626D5A" w14:textId="73C10166"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150</w:t>
            </w:r>
            <w:r w:rsidR="00347EF9">
              <w:rPr>
                <w:sz w:val="18"/>
                <w:szCs w:val="14"/>
              </w:rPr>
              <w:t xml:space="preserve"> </w:t>
            </w:r>
            <w:r w:rsidRPr="00347EF9">
              <w:rPr>
                <w:sz w:val="18"/>
                <w:szCs w:val="14"/>
              </w:rPr>
              <w:t>864</w:t>
            </w:r>
          </w:p>
        </w:tc>
        <w:tc>
          <w:tcPr>
            <w:tcW w:w="447" w:type="dxa"/>
            <w:shd w:val="clear" w:color="auto" w:fill="auto"/>
            <w:noWrap/>
            <w:vAlign w:val="bottom"/>
            <w:hideMark/>
          </w:tcPr>
          <w:p w14:paraId="1A09FC5A" w14:textId="77777777" w:rsidR="00BD4745" w:rsidRPr="00347EF9" w:rsidRDefault="00BD4745" w:rsidP="004B0800">
            <w:pPr>
              <w:spacing w:before="40" w:after="40" w:line="220" w:lineRule="exact"/>
              <w:ind w:left="113"/>
              <w:jc w:val="right"/>
              <w:rPr>
                <w:sz w:val="18"/>
                <w:szCs w:val="14"/>
              </w:rPr>
            </w:pPr>
            <w:r w:rsidRPr="00347EF9">
              <w:rPr>
                <w:sz w:val="18"/>
                <w:szCs w:val="14"/>
              </w:rPr>
              <w:t>76,1</w:t>
            </w:r>
          </w:p>
        </w:tc>
        <w:tc>
          <w:tcPr>
            <w:tcW w:w="1022" w:type="dxa"/>
            <w:shd w:val="clear" w:color="auto" w:fill="auto"/>
            <w:noWrap/>
            <w:vAlign w:val="bottom"/>
            <w:hideMark/>
          </w:tcPr>
          <w:p w14:paraId="0C22B655" w14:textId="432FC9B1"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535</w:t>
            </w:r>
            <w:r w:rsidR="00347EF9">
              <w:rPr>
                <w:sz w:val="18"/>
                <w:szCs w:val="14"/>
              </w:rPr>
              <w:t xml:space="preserve"> </w:t>
            </w:r>
            <w:r w:rsidRPr="00347EF9">
              <w:rPr>
                <w:sz w:val="18"/>
                <w:szCs w:val="14"/>
              </w:rPr>
              <w:t>241</w:t>
            </w:r>
          </w:p>
        </w:tc>
        <w:tc>
          <w:tcPr>
            <w:tcW w:w="924" w:type="dxa"/>
            <w:shd w:val="clear" w:color="auto" w:fill="auto"/>
            <w:noWrap/>
            <w:vAlign w:val="bottom"/>
            <w:hideMark/>
          </w:tcPr>
          <w:p w14:paraId="2AB97FBF" w14:textId="4E8A1342"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271</w:t>
            </w:r>
            <w:r w:rsidR="00347EF9">
              <w:rPr>
                <w:sz w:val="18"/>
                <w:szCs w:val="14"/>
              </w:rPr>
              <w:t xml:space="preserve"> </w:t>
            </w:r>
            <w:r w:rsidRPr="00347EF9">
              <w:rPr>
                <w:sz w:val="18"/>
                <w:szCs w:val="14"/>
              </w:rPr>
              <w:t>429</w:t>
            </w:r>
          </w:p>
        </w:tc>
        <w:tc>
          <w:tcPr>
            <w:tcW w:w="574" w:type="dxa"/>
            <w:shd w:val="clear" w:color="auto" w:fill="auto"/>
            <w:noWrap/>
            <w:vAlign w:val="bottom"/>
            <w:hideMark/>
          </w:tcPr>
          <w:p w14:paraId="296683F3" w14:textId="77777777" w:rsidR="00BD4745" w:rsidRPr="00347EF9" w:rsidRDefault="00BD4745" w:rsidP="004B0800">
            <w:pPr>
              <w:spacing w:before="40" w:after="40" w:line="220" w:lineRule="exact"/>
              <w:ind w:left="113"/>
              <w:jc w:val="right"/>
              <w:rPr>
                <w:sz w:val="18"/>
                <w:szCs w:val="14"/>
              </w:rPr>
            </w:pPr>
            <w:r w:rsidRPr="00347EF9">
              <w:rPr>
                <w:sz w:val="18"/>
                <w:szCs w:val="14"/>
              </w:rPr>
              <w:t>50,2</w:t>
            </w:r>
          </w:p>
        </w:tc>
        <w:tc>
          <w:tcPr>
            <w:tcW w:w="952" w:type="dxa"/>
            <w:shd w:val="clear" w:color="auto" w:fill="auto"/>
            <w:noWrap/>
            <w:vAlign w:val="bottom"/>
            <w:hideMark/>
          </w:tcPr>
          <w:p w14:paraId="5CE0D8A4" w14:textId="1D147342"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542</w:t>
            </w:r>
            <w:r w:rsidR="00347EF9">
              <w:rPr>
                <w:sz w:val="18"/>
                <w:szCs w:val="14"/>
              </w:rPr>
              <w:t xml:space="preserve"> </w:t>
            </w:r>
            <w:r w:rsidRPr="00347EF9">
              <w:rPr>
                <w:sz w:val="18"/>
                <w:szCs w:val="14"/>
              </w:rPr>
              <w:t>880</w:t>
            </w:r>
          </w:p>
        </w:tc>
        <w:tc>
          <w:tcPr>
            <w:tcW w:w="469" w:type="dxa"/>
            <w:shd w:val="clear" w:color="auto" w:fill="auto"/>
            <w:noWrap/>
            <w:vAlign w:val="bottom"/>
            <w:hideMark/>
          </w:tcPr>
          <w:p w14:paraId="38E403D7" w14:textId="77777777" w:rsidR="00BD4745" w:rsidRPr="00347EF9" w:rsidRDefault="00BD4745" w:rsidP="004B0800">
            <w:pPr>
              <w:spacing w:before="40" w:after="40" w:line="220" w:lineRule="exact"/>
              <w:ind w:left="113"/>
              <w:jc w:val="right"/>
              <w:rPr>
                <w:sz w:val="18"/>
                <w:szCs w:val="14"/>
              </w:rPr>
            </w:pPr>
            <w:r w:rsidRPr="00347EF9">
              <w:rPr>
                <w:sz w:val="18"/>
                <w:szCs w:val="14"/>
              </w:rPr>
              <w:t>71,4</w:t>
            </w:r>
          </w:p>
        </w:tc>
      </w:tr>
      <w:tr w:rsidR="00347EF9" w:rsidRPr="00347EF9" w14:paraId="76361298" w14:textId="77777777" w:rsidTr="004B0800">
        <w:trPr>
          <w:trHeight w:val="240"/>
        </w:trPr>
        <w:tc>
          <w:tcPr>
            <w:tcW w:w="1092" w:type="dxa"/>
            <w:shd w:val="clear" w:color="auto" w:fill="auto"/>
            <w:noWrap/>
            <w:hideMark/>
          </w:tcPr>
          <w:p w14:paraId="66A49C7E" w14:textId="77777777" w:rsidR="00BD4745" w:rsidRPr="00347EF9" w:rsidRDefault="00BD4745">
            <w:pPr>
              <w:spacing w:before="40" w:after="40" w:line="220" w:lineRule="exact"/>
              <w:rPr>
                <w:sz w:val="18"/>
                <w:szCs w:val="14"/>
              </w:rPr>
            </w:pPr>
            <w:r w:rsidRPr="00347EF9">
              <w:rPr>
                <w:sz w:val="18"/>
                <w:szCs w:val="14"/>
              </w:rPr>
              <w:t>Warnes</w:t>
            </w:r>
          </w:p>
        </w:tc>
        <w:tc>
          <w:tcPr>
            <w:tcW w:w="952" w:type="dxa"/>
            <w:shd w:val="clear" w:color="auto" w:fill="auto"/>
            <w:noWrap/>
            <w:vAlign w:val="bottom"/>
            <w:hideMark/>
          </w:tcPr>
          <w:p w14:paraId="54148103" w14:textId="34967D40" w:rsidR="00BD4745" w:rsidRPr="00347EF9" w:rsidRDefault="00BD4745" w:rsidP="004B0800">
            <w:pPr>
              <w:spacing w:before="40" w:after="40" w:line="220" w:lineRule="exact"/>
              <w:ind w:left="113"/>
              <w:jc w:val="right"/>
              <w:rPr>
                <w:sz w:val="18"/>
                <w:szCs w:val="14"/>
              </w:rPr>
            </w:pPr>
            <w:r w:rsidRPr="00347EF9">
              <w:rPr>
                <w:sz w:val="18"/>
                <w:szCs w:val="14"/>
              </w:rPr>
              <w:t>216</w:t>
            </w:r>
            <w:r w:rsidR="00347EF9">
              <w:rPr>
                <w:sz w:val="18"/>
                <w:szCs w:val="14"/>
              </w:rPr>
              <w:t xml:space="preserve"> </w:t>
            </w:r>
            <w:r w:rsidRPr="00347EF9">
              <w:rPr>
                <w:sz w:val="18"/>
                <w:szCs w:val="14"/>
              </w:rPr>
              <w:t>436</w:t>
            </w:r>
          </w:p>
        </w:tc>
        <w:tc>
          <w:tcPr>
            <w:tcW w:w="896" w:type="dxa"/>
            <w:shd w:val="clear" w:color="auto" w:fill="auto"/>
            <w:noWrap/>
            <w:vAlign w:val="bottom"/>
            <w:hideMark/>
          </w:tcPr>
          <w:p w14:paraId="31A637DE" w14:textId="0C4FC4AA" w:rsidR="00BD4745" w:rsidRPr="00347EF9" w:rsidRDefault="00BD4745" w:rsidP="004B0800">
            <w:pPr>
              <w:spacing w:before="40" w:after="40" w:line="220" w:lineRule="exact"/>
              <w:ind w:left="113"/>
              <w:jc w:val="right"/>
              <w:rPr>
                <w:sz w:val="18"/>
                <w:szCs w:val="14"/>
              </w:rPr>
            </w:pPr>
            <w:r w:rsidRPr="00347EF9">
              <w:rPr>
                <w:sz w:val="18"/>
                <w:szCs w:val="14"/>
              </w:rPr>
              <w:t>30</w:t>
            </w:r>
            <w:r w:rsidR="00347EF9">
              <w:rPr>
                <w:sz w:val="18"/>
                <w:szCs w:val="14"/>
              </w:rPr>
              <w:t xml:space="preserve"> </w:t>
            </w:r>
            <w:r w:rsidRPr="00347EF9">
              <w:rPr>
                <w:sz w:val="18"/>
                <w:szCs w:val="14"/>
              </w:rPr>
              <w:t>000</w:t>
            </w:r>
          </w:p>
        </w:tc>
        <w:tc>
          <w:tcPr>
            <w:tcW w:w="447" w:type="dxa"/>
            <w:shd w:val="clear" w:color="auto" w:fill="auto"/>
            <w:noWrap/>
            <w:vAlign w:val="bottom"/>
            <w:hideMark/>
          </w:tcPr>
          <w:p w14:paraId="50BA0914" w14:textId="77777777" w:rsidR="00BD4745" w:rsidRPr="00347EF9" w:rsidRDefault="00BD4745" w:rsidP="004B0800">
            <w:pPr>
              <w:spacing w:before="40" w:after="40" w:line="220" w:lineRule="exact"/>
              <w:ind w:left="113"/>
              <w:jc w:val="right"/>
              <w:rPr>
                <w:sz w:val="18"/>
                <w:szCs w:val="14"/>
              </w:rPr>
            </w:pPr>
            <w:r w:rsidRPr="00347EF9">
              <w:rPr>
                <w:sz w:val="18"/>
                <w:szCs w:val="14"/>
              </w:rPr>
              <w:t>13,9</w:t>
            </w:r>
          </w:p>
        </w:tc>
        <w:tc>
          <w:tcPr>
            <w:tcW w:w="924" w:type="dxa"/>
            <w:shd w:val="clear" w:color="auto" w:fill="auto"/>
            <w:noWrap/>
            <w:vAlign w:val="bottom"/>
            <w:hideMark/>
          </w:tcPr>
          <w:p w14:paraId="0BFB1E68" w14:textId="6B385B03" w:rsidR="00BD4745" w:rsidRPr="00347EF9" w:rsidRDefault="00BD4745" w:rsidP="004B0800">
            <w:pPr>
              <w:spacing w:before="40" w:after="40" w:line="220" w:lineRule="exact"/>
              <w:ind w:left="113"/>
              <w:jc w:val="right"/>
              <w:rPr>
                <w:sz w:val="18"/>
                <w:szCs w:val="14"/>
              </w:rPr>
            </w:pPr>
            <w:r w:rsidRPr="00347EF9">
              <w:rPr>
                <w:sz w:val="18"/>
                <w:szCs w:val="14"/>
              </w:rPr>
              <w:t>413</w:t>
            </w:r>
            <w:r w:rsidR="00347EF9">
              <w:rPr>
                <w:sz w:val="18"/>
                <w:szCs w:val="14"/>
              </w:rPr>
              <w:t xml:space="preserve"> </w:t>
            </w:r>
            <w:r w:rsidRPr="00347EF9">
              <w:rPr>
                <w:sz w:val="18"/>
                <w:szCs w:val="14"/>
              </w:rPr>
              <w:t>579</w:t>
            </w:r>
          </w:p>
        </w:tc>
        <w:tc>
          <w:tcPr>
            <w:tcW w:w="939" w:type="dxa"/>
            <w:shd w:val="clear" w:color="auto" w:fill="auto"/>
            <w:noWrap/>
            <w:vAlign w:val="bottom"/>
            <w:hideMark/>
          </w:tcPr>
          <w:p w14:paraId="3BCA42F7" w14:textId="6C087733" w:rsidR="00BD4745" w:rsidRPr="00347EF9" w:rsidRDefault="00BD4745" w:rsidP="004B0800">
            <w:pPr>
              <w:spacing w:before="40" w:after="40" w:line="220" w:lineRule="exact"/>
              <w:ind w:left="113"/>
              <w:jc w:val="right"/>
              <w:rPr>
                <w:sz w:val="18"/>
                <w:szCs w:val="14"/>
              </w:rPr>
            </w:pPr>
            <w:r w:rsidRPr="00347EF9">
              <w:rPr>
                <w:sz w:val="18"/>
                <w:szCs w:val="14"/>
              </w:rPr>
              <w:t>65</w:t>
            </w:r>
            <w:r w:rsidR="00347EF9">
              <w:rPr>
                <w:sz w:val="18"/>
                <w:szCs w:val="14"/>
              </w:rPr>
              <w:t xml:space="preserve"> </w:t>
            </w:r>
            <w:r w:rsidRPr="00347EF9">
              <w:rPr>
                <w:sz w:val="18"/>
                <w:szCs w:val="14"/>
              </w:rPr>
              <w:t>300</w:t>
            </w:r>
          </w:p>
        </w:tc>
        <w:tc>
          <w:tcPr>
            <w:tcW w:w="447" w:type="dxa"/>
            <w:shd w:val="clear" w:color="auto" w:fill="auto"/>
            <w:noWrap/>
            <w:vAlign w:val="bottom"/>
            <w:hideMark/>
          </w:tcPr>
          <w:p w14:paraId="5977C6A2" w14:textId="77777777" w:rsidR="00BD4745" w:rsidRPr="00347EF9" w:rsidRDefault="00BD4745" w:rsidP="004B0800">
            <w:pPr>
              <w:spacing w:before="40" w:after="40" w:line="220" w:lineRule="exact"/>
              <w:ind w:left="113"/>
              <w:jc w:val="right"/>
              <w:rPr>
                <w:sz w:val="18"/>
                <w:szCs w:val="14"/>
              </w:rPr>
            </w:pPr>
            <w:r w:rsidRPr="00347EF9">
              <w:rPr>
                <w:sz w:val="18"/>
                <w:szCs w:val="14"/>
              </w:rPr>
              <w:t>15,8</w:t>
            </w:r>
          </w:p>
        </w:tc>
        <w:tc>
          <w:tcPr>
            <w:tcW w:w="1022" w:type="dxa"/>
            <w:shd w:val="clear" w:color="auto" w:fill="auto"/>
            <w:noWrap/>
            <w:vAlign w:val="bottom"/>
            <w:hideMark/>
          </w:tcPr>
          <w:p w14:paraId="630C2AF0" w14:textId="1BD1DC23" w:rsidR="00BD4745" w:rsidRPr="00347EF9" w:rsidRDefault="00BD4745" w:rsidP="004B0800">
            <w:pPr>
              <w:spacing w:before="40" w:after="40" w:line="220" w:lineRule="exact"/>
              <w:ind w:left="113"/>
              <w:jc w:val="right"/>
              <w:rPr>
                <w:sz w:val="18"/>
                <w:szCs w:val="14"/>
              </w:rPr>
            </w:pPr>
            <w:r w:rsidRPr="00347EF9">
              <w:rPr>
                <w:sz w:val="18"/>
                <w:szCs w:val="14"/>
              </w:rPr>
              <w:t>905</w:t>
            </w:r>
            <w:r w:rsidR="00347EF9">
              <w:rPr>
                <w:sz w:val="18"/>
                <w:szCs w:val="14"/>
              </w:rPr>
              <w:t xml:space="preserve"> </w:t>
            </w:r>
            <w:r w:rsidRPr="00347EF9">
              <w:rPr>
                <w:sz w:val="18"/>
                <w:szCs w:val="14"/>
              </w:rPr>
              <w:t>542</w:t>
            </w:r>
          </w:p>
        </w:tc>
        <w:tc>
          <w:tcPr>
            <w:tcW w:w="924" w:type="dxa"/>
            <w:shd w:val="clear" w:color="auto" w:fill="auto"/>
            <w:noWrap/>
            <w:vAlign w:val="bottom"/>
            <w:hideMark/>
          </w:tcPr>
          <w:p w14:paraId="64D81D37" w14:textId="5CF6E0E3" w:rsidR="00BD4745" w:rsidRPr="00347EF9" w:rsidRDefault="00BD4745" w:rsidP="004B0800">
            <w:pPr>
              <w:spacing w:before="40" w:after="40" w:line="220" w:lineRule="exact"/>
              <w:ind w:left="113"/>
              <w:jc w:val="right"/>
              <w:rPr>
                <w:sz w:val="18"/>
                <w:szCs w:val="14"/>
              </w:rPr>
            </w:pPr>
            <w:r w:rsidRPr="00347EF9">
              <w:rPr>
                <w:sz w:val="18"/>
                <w:szCs w:val="14"/>
              </w:rPr>
              <w:t>219</w:t>
            </w:r>
            <w:r w:rsidR="00347EF9">
              <w:rPr>
                <w:sz w:val="18"/>
                <w:szCs w:val="14"/>
              </w:rPr>
              <w:t xml:space="preserve"> </w:t>
            </w:r>
            <w:r w:rsidRPr="00347EF9">
              <w:rPr>
                <w:sz w:val="18"/>
                <w:szCs w:val="14"/>
              </w:rPr>
              <w:t>644</w:t>
            </w:r>
          </w:p>
        </w:tc>
        <w:tc>
          <w:tcPr>
            <w:tcW w:w="574" w:type="dxa"/>
            <w:shd w:val="clear" w:color="auto" w:fill="auto"/>
            <w:noWrap/>
            <w:vAlign w:val="bottom"/>
            <w:hideMark/>
          </w:tcPr>
          <w:p w14:paraId="51E5B3A0" w14:textId="77777777" w:rsidR="00BD4745" w:rsidRPr="00347EF9" w:rsidRDefault="00BD4745" w:rsidP="004B0800">
            <w:pPr>
              <w:spacing w:before="40" w:after="40" w:line="220" w:lineRule="exact"/>
              <w:ind w:left="113"/>
              <w:jc w:val="right"/>
              <w:rPr>
                <w:sz w:val="18"/>
                <w:szCs w:val="14"/>
              </w:rPr>
            </w:pPr>
            <w:r w:rsidRPr="00347EF9">
              <w:rPr>
                <w:sz w:val="18"/>
                <w:szCs w:val="14"/>
              </w:rPr>
              <w:t>24,3</w:t>
            </w:r>
          </w:p>
        </w:tc>
        <w:tc>
          <w:tcPr>
            <w:tcW w:w="952" w:type="dxa"/>
            <w:shd w:val="clear" w:color="auto" w:fill="auto"/>
            <w:noWrap/>
            <w:vAlign w:val="bottom"/>
            <w:hideMark/>
          </w:tcPr>
          <w:p w14:paraId="7428E97F" w14:textId="061E4AD2" w:rsidR="00BD4745" w:rsidRPr="00347EF9" w:rsidRDefault="00BD4745" w:rsidP="004B0800">
            <w:pPr>
              <w:spacing w:before="40" w:after="40" w:line="220" w:lineRule="exact"/>
              <w:ind w:left="113"/>
              <w:jc w:val="right"/>
              <w:rPr>
                <w:sz w:val="18"/>
                <w:szCs w:val="14"/>
              </w:rPr>
            </w:pPr>
            <w:r w:rsidRPr="00347EF9">
              <w:rPr>
                <w:sz w:val="18"/>
                <w:szCs w:val="14"/>
              </w:rPr>
              <w:t>104</w:t>
            </w:r>
            <w:r w:rsidR="00347EF9">
              <w:rPr>
                <w:sz w:val="18"/>
                <w:szCs w:val="14"/>
              </w:rPr>
              <w:t xml:space="preserve"> </w:t>
            </w:r>
            <w:r w:rsidRPr="00347EF9">
              <w:rPr>
                <w:sz w:val="18"/>
                <w:szCs w:val="14"/>
              </w:rPr>
              <w:t>981</w:t>
            </w:r>
          </w:p>
        </w:tc>
        <w:tc>
          <w:tcPr>
            <w:tcW w:w="469" w:type="dxa"/>
            <w:shd w:val="clear" w:color="auto" w:fill="auto"/>
            <w:noWrap/>
            <w:vAlign w:val="bottom"/>
            <w:hideMark/>
          </w:tcPr>
          <w:p w14:paraId="6092AE50" w14:textId="77777777" w:rsidR="00BD4745" w:rsidRPr="00347EF9" w:rsidRDefault="00BD4745" w:rsidP="004B0800">
            <w:pPr>
              <w:spacing w:before="40" w:after="40" w:line="220" w:lineRule="exact"/>
              <w:ind w:left="113"/>
              <w:jc w:val="right"/>
              <w:rPr>
                <w:sz w:val="18"/>
                <w:szCs w:val="14"/>
              </w:rPr>
            </w:pPr>
            <w:r w:rsidRPr="00347EF9">
              <w:rPr>
                <w:sz w:val="18"/>
                <w:szCs w:val="14"/>
              </w:rPr>
              <w:t>18,0</w:t>
            </w:r>
          </w:p>
        </w:tc>
      </w:tr>
      <w:tr w:rsidR="00347EF9" w:rsidRPr="00347EF9" w14:paraId="754450BB" w14:textId="77777777" w:rsidTr="004B0800">
        <w:trPr>
          <w:trHeight w:val="240"/>
        </w:trPr>
        <w:tc>
          <w:tcPr>
            <w:tcW w:w="1092" w:type="dxa"/>
            <w:shd w:val="clear" w:color="auto" w:fill="auto"/>
            <w:noWrap/>
            <w:hideMark/>
          </w:tcPr>
          <w:p w14:paraId="137441C4" w14:textId="77777777" w:rsidR="00BD4745" w:rsidRPr="00347EF9" w:rsidRDefault="00BD4745">
            <w:pPr>
              <w:spacing w:before="40" w:after="40" w:line="220" w:lineRule="exact"/>
              <w:rPr>
                <w:sz w:val="18"/>
                <w:szCs w:val="14"/>
              </w:rPr>
            </w:pPr>
            <w:r w:rsidRPr="00347EF9">
              <w:rPr>
                <w:sz w:val="18"/>
                <w:szCs w:val="14"/>
              </w:rPr>
              <w:t>La Guardia</w:t>
            </w:r>
          </w:p>
        </w:tc>
        <w:tc>
          <w:tcPr>
            <w:tcW w:w="952" w:type="dxa"/>
            <w:shd w:val="clear" w:color="auto" w:fill="auto"/>
            <w:noWrap/>
            <w:vAlign w:val="bottom"/>
            <w:hideMark/>
          </w:tcPr>
          <w:p w14:paraId="6E0BA915" w14:textId="53291269" w:rsidR="00BD4745" w:rsidRPr="00347EF9" w:rsidRDefault="00BD4745" w:rsidP="004B0800">
            <w:pPr>
              <w:spacing w:before="40" w:after="40" w:line="220" w:lineRule="exact"/>
              <w:ind w:left="113"/>
              <w:jc w:val="right"/>
              <w:rPr>
                <w:sz w:val="18"/>
                <w:szCs w:val="14"/>
              </w:rPr>
            </w:pPr>
            <w:r w:rsidRPr="00347EF9">
              <w:rPr>
                <w:sz w:val="18"/>
                <w:szCs w:val="14"/>
              </w:rPr>
              <w:t>343</w:t>
            </w:r>
            <w:r w:rsidR="00347EF9">
              <w:rPr>
                <w:sz w:val="18"/>
                <w:szCs w:val="14"/>
              </w:rPr>
              <w:t xml:space="preserve"> </w:t>
            </w:r>
            <w:r w:rsidRPr="00347EF9">
              <w:rPr>
                <w:sz w:val="18"/>
                <w:szCs w:val="14"/>
              </w:rPr>
              <w:t>636</w:t>
            </w:r>
          </w:p>
        </w:tc>
        <w:tc>
          <w:tcPr>
            <w:tcW w:w="896" w:type="dxa"/>
            <w:shd w:val="clear" w:color="auto" w:fill="auto"/>
            <w:noWrap/>
            <w:vAlign w:val="bottom"/>
            <w:hideMark/>
          </w:tcPr>
          <w:p w14:paraId="50628343" w14:textId="69B421DB" w:rsidR="00BD4745" w:rsidRPr="00347EF9" w:rsidRDefault="00BD4745" w:rsidP="004B0800">
            <w:pPr>
              <w:spacing w:before="40" w:after="40" w:line="220" w:lineRule="exact"/>
              <w:ind w:left="113"/>
              <w:jc w:val="right"/>
              <w:rPr>
                <w:sz w:val="18"/>
                <w:szCs w:val="14"/>
              </w:rPr>
            </w:pPr>
            <w:r w:rsidRPr="00347EF9">
              <w:rPr>
                <w:sz w:val="18"/>
                <w:szCs w:val="14"/>
              </w:rPr>
              <w:t>230</w:t>
            </w:r>
            <w:r w:rsidR="00347EF9">
              <w:rPr>
                <w:sz w:val="18"/>
                <w:szCs w:val="14"/>
              </w:rPr>
              <w:t xml:space="preserve"> </w:t>
            </w:r>
            <w:r w:rsidRPr="00347EF9">
              <w:rPr>
                <w:sz w:val="18"/>
                <w:szCs w:val="14"/>
              </w:rPr>
              <w:t>939</w:t>
            </w:r>
          </w:p>
        </w:tc>
        <w:tc>
          <w:tcPr>
            <w:tcW w:w="447" w:type="dxa"/>
            <w:shd w:val="clear" w:color="auto" w:fill="auto"/>
            <w:noWrap/>
            <w:vAlign w:val="bottom"/>
            <w:hideMark/>
          </w:tcPr>
          <w:p w14:paraId="6E528C43" w14:textId="77777777" w:rsidR="00BD4745" w:rsidRPr="00347EF9" w:rsidRDefault="00BD4745" w:rsidP="004B0800">
            <w:pPr>
              <w:spacing w:before="40" w:after="40" w:line="220" w:lineRule="exact"/>
              <w:ind w:left="113"/>
              <w:jc w:val="right"/>
              <w:rPr>
                <w:sz w:val="18"/>
                <w:szCs w:val="14"/>
              </w:rPr>
            </w:pPr>
            <w:r w:rsidRPr="00347EF9">
              <w:rPr>
                <w:sz w:val="18"/>
                <w:szCs w:val="14"/>
              </w:rPr>
              <w:t>67,2</w:t>
            </w:r>
          </w:p>
        </w:tc>
        <w:tc>
          <w:tcPr>
            <w:tcW w:w="924" w:type="dxa"/>
            <w:shd w:val="clear" w:color="auto" w:fill="auto"/>
            <w:noWrap/>
            <w:vAlign w:val="bottom"/>
            <w:hideMark/>
          </w:tcPr>
          <w:p w14:paraId="6FDBC7E5" w14:textId="5DC30D00" w:rsidR="00BD4745" w:rsidRPr="00347EF9" w:rsidRDefault="00BD4745" w:rsidP="004B0800">
            <w:pPr>
              <w:spacing w:before="40" w:after="40" w:line="220" w:lineRule="exact"/>
              <w:ind w:left="113"/>
              <w:jc w:val="right"/>
              <w:rPr>
                <w:sz w:val="18"/>
                <w:szCs w:val="14"/>
              </w:rPr>
            </w:pPr>
            <w:r w:rsidRPr="00347EF9">
              <w:rPr>
                <w:sz w:val="18"/>
                <w:szCs w:val="14"/>
              </w:rPr>
              <w:t>3</w:t>
            </w:r>
            <w:r w:rsidR="00347EF9">
              <w:rPr>
                <w:sz w:val="18"/>
                <w:szCs w:val="14"/>
              </w:rPr>
              <w:t xml:space="preserve"> </w:t>
            </w:r>
            <w:r w:rsidRPr="00347EF9">
              <w:rPr>
                <w:sz w:val="18"/>
                <w:szCs w:val="14"/>
              </w:rPr>
              <w:t>281</w:t>
            </w:r>
            <w:r w:rsidR="00347EF9">
              <w:rPr>
                <w:sz w:val="18"/>
                <w:szCs w:val="14"/>
              </w:rPr>
              <w:t xml:space="preserve"> </w:t>
            </w:r>
            <w:r w:rsidRPr="00347EF9">
              <w:rPr>
                <w:sz w:val="18"/>
                <w:szCs w:val="14"/>
              </w:rPr>
              <w:t>639</w:t>
            </w:r>
          </w:p>
        </w:tc>
        <w:tc>
          <w:tcPr>
            <w:tcW w:w="939" w:type="dxa"/>
            <w:shd w:val="clear" w:color="auto" w:fill="auto"/>
            <w:noWrap/>
            <w:vAlign w:val="bottom"/>
            <w:hideMark/>
          </w:tcPr>
          <w:p w14:paraId="5D908936" w14:textId="2875D7A9"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702</w:t>
            </w:r>
            <w:r w:rsidR="00347EF9">
              <w:rPr>
                <w:sz w:val="18"/>
                <w:szCs w:val="14"/>
              </w:rPr>
              <w:t xml:space="preserve"> </w:t>
            </w:r>
            <w:r w:rsidRPr="00347EF9">
              <w:rPr>
                <w:sz w:val="18"/>
                <w:szCs w:val="14"/>
              </w:rPr>
              <w:t>262</w:t>
            </w:r>
          </w:p>
        </w:tc>
        <w:tc>
          <w:tcPr>
            <w:tcW w:w="447" w:type="dxa"/>
            <w:shd w:val="clear" w:color="auto" w:fill="auto"/>
            <w:noWrap/>
            <w:vAlign w:val="bottom"/>
            <w:hideMark/>
          </w:tcPr>
          <w:p w14:paraId="0CECC18D" w14:textId="77777777" w:rsidR="00BD4745" w:rsidRPr="00347EF9" w:rsidRDefault="00BD4745" w:rsidP="004B0800">
            <w:pPr>
              <w:spacing w:before="40" w:after="40" w:line="220" w:lineRule="exact"/>
              <w:ind w:left="113"/>
              <w:jc w:val="right"/>
              <w:rPr>
                <w:sz w:val="18"/>
                <w:szCs w:val="14"/>
              </w:rPr>
            </w:pPr>
            <w:r w:rsidRPr="00347EF9">
              <w:rPr>
                <w:sz w:val="18"/>
                <w:szCs w:val="14"/>
              </w:rPr>
              <w:t>51,9</w:t>
            </w:r>
          </w:p>
        </w:tc>
        <w:tc>
          <w:tcPr>
            <w:tcW w:w="1022" w:type="dxa"/>
            <w:shd w:val="clear" w:color="auto" w:fill="auto"/>
            <w:noWrap/>
            <w:vAlign w:val="bottom"/>
            <w:hideMark/>
          </w:tcPr>
          <w:p w14:paraId="71C9E508" w14:textId="4B59ABB7" w:rsidR="00BD4745" w:rsidRPr="00347EF9" w:rsidRDefault="00BD4745" w:rsidP="004B0800">
            <w:pPr>
              <w:spacing w:before="40" w:after="40" w:line="220" w:lineRule="exact"/>
              <w:ind w:left="113"/>
              <w:jc w:val="right"/>
              <w:rPr>
                <w:sz w:val="18"/>
                <w:szCs w:val="14"/>
              </w:rPr>
            </w:pPr>
            <w:r w:rsidRPr="00347EF9">
              <w:rPr>
                <w:sz w:val="18"/>
                <w:szCs w:val="14"/>
              </w:rPr>
              <w:t>3</w:t>
            </w:r>
            <w:r w:rsidR="00347EF9">
              <w:rPr>
                <w:sz w:val="18"/>
                <w:szCs w:val="14"/>
              </w:rPr>
              <w:t xml:space="preserve"> </w:t>
            </w:r>
            <w:r w:rsidRPr="00347EF9">
              <w:rPr>
                <w:sz w:val="18"/>
                <w:szCs w:val="14"/>
              </w:rPr>
              <w:t>535</w:t>
            </w:r>
            <w:r w:rsidR="00347EF9">
              <w:rPr>
                <w:sz w:val="18"/>
                <w:szCs w:val="14"/>
              </w:rPr>
              <w:t xml:space="preserve"> </w:t>
            </w:r>
            <w:r w:rsidRPr="00347EF9">
              <w:rPr>
                <w:sz w:val="18"/>
                <w:szCs w:val="14"/>
              </w:rPr>
              <w:t>843</w:t>
            </w:r>
          </w:p>
        </w:tc>
        <w:tc>
          <w:tcPr>
            <w:tcW w:w="924" w:type="dxa"/>
            <w:shd w:val="clear" w:color="auto" w:fill="auto"/>
            <w:noWrap/>
            <w:vAlign w:val="bottom"/>
            <w:hideMark/>
          </w:tcPr>
          <w:p w14:paraId="6964678E" w14:textId="66FDF2DA"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680</w:t>
            </w:r>
            <w:r w:rsidR="00347EF9">
              <w:rPr>
                <w:sz w:val="18"/>
                <w:szCs w:val="14"/>
              </w:rPr>
              <w:t xml:space="preserve"> </w:t>
            </w:r>
            <w:r w:rsidRPr="00347EF9">
              <w:rPr>
                <w:sz w:val="18"/>
                <w:szCs w:val="14"/>
              </w:rPr>
              <w:t>100</w:t>
            </w:r>
          </w:p>
        </w:tc>
        <w:tc>
          <w:tcPr>
            <w:tcW w:w="574" w:type="dxa"/>
            <w:shd w:val="clear" w:color="auto" w:fill="auto"/>
            <w:noWrap/>
            <w:vAlign w:val="bottom"/>
            <w:hideMark/>
          </w:tcPr>
          <w:p w14:paraId="4BE591F8" w14:textId="77777777" w:rsidR="00BD4745" w:rsidRPr="00347EF9" w:rsidRDefault="00BD4745" w:rsidP="004B0800">
            <w:pPr>
              <w:spacing w:before="40" w:after="40" w:line="220" w:lineRule="exact"/>
              <w:ind w:left="113"/>
              <w:jc w:val="right"/>
              <w:rPr>
                <w:sz w:val="18"/>
                <w:szCs w:val="14"/>
              </w:rPr>
            </w:pPr>
            <w:r w:rsidRPr="00347EF9">
              <w:rPr>
                <w:sz w:val="18"/>
                <w:szCs w:val="14"/>
              </w:rPr>
              <w:t>47,5</w:t>
            </w:r>
          </w:p>
        </w:tc>
        <w:tc>
          <w:tcPr>
            <w:tcW w:w="952" w:type="dxa"/>
            <w:shd w:val="clear" w:color="auto" w:fill="auto"/>
            <w:noWrap/>
            <w:vAlign w:val="bottom"/>
            <w:hideMark/>
          </w:tcPr>
          <w:p w14:paraId="411DB9B3" w14:textId="27844E5A"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204</w:t>
            </w:r>
            <w:r w:rsidR="00347EF9">
              <w:rPr>
                <w:sz w:val="18"/>
                <w:szCs w:val="14"/>
              </w:rPr>
              <w:t xml:space="preserve"> </w:t>
            </w:r>
            <w:r w:rsidRPr="00347EF9">
              <w:rPr>
                <w:sz w:val="18"/>
                <w:szCs w:val="14"/>
              </w:rPr>
              <w:t>434</w:t>
            </w:r>
          </w:p>
        </w:tc>
        <w:tc>
          <w:tcPr>
            <w:tcW w:w="469" w:type="dxa"/>
            <w:shd w:val="clear" w:color="auto" w:fill="auto"/>
            <w:noWrap/>
            <w:vAlign w:val="bottom"/>
            <w:hideMark/>
          </w:tcPr>
          <w:p w14:paraId="2C69E35E" w14:textId="77777777" w:rsidR="00BD4745" w:rsidRPr="00347EF9" w:rsidRDefault="00BD4745" w:rsidP="004B0800">
            <w:pPr>
              <w:spacing w:before="40" w:after="40" w:line="220" w:lineRule="exact"/>
              <w:ind w:left="113"/>
              <w:jc w:val="right"/>
              <w:rPr>
                <w:sz w:val="18"/>
                <w:szCs w:val="14"/>
              </w:rPr>
            </w:pPr>
            <w:r w:rsidRPr="00347EF9">
              <w:rPr>
                <w:sz w:val="18"/>
                <w:szCs w:val="14"/>
              </w:rPr>
              <w:t>55,5</w:t>
            </w:r>
          </w:p>
        </w:tc>
      </w:tr>
      <w:tr w:rsidR="00347EF9" w:rsidRPr="00347EF9" w14:paraId="08475E85" w14:textId="77777777" w:rsidTr="004B0800">
        <w:trPr>
          <w:trHeight w:val="240"/>
        </w:trPr>
        <w:tc>
          <w:tcPr>
            <w:tcW w:w="1092" w:type="dxa"/>
            <w:shd w:val="clear" w:color="auto" w:fill="auto"/>
            <w:noWrap/>
            <w:hideMark/>
          </w:tcPr>
          <w:p w14:paraId="58DA0FFE" w14:textId="77777777" w:rsidR="00BD4745" w:rsidRPr="00347EF9" w:rsidRDefault="00BD4745">
            <w:pPr>
              <w:spacing w:before="40" w:after="40" w:line="220" w:lineRule="exact"/>
              <w:rPr>
                <w:sz w:val="18"/>
                <w:szCs w:val="14"/>
              </w:rPr>
            </w:pPr>
            <w:r w:rsidRPr="00347EF9">
              <w:rPr>
                <w:sz w:val="18"/>
                <w:szCs w:val="14"/>
              </w:rPr>
              <w:t>Montero</w:t>
            </w:r>
          </w:p>
        </w:tc>
        <w:tc>
          <w:tcPr>
            <w:tcW w:w="952" w:type="dxa"/>
            <w:shd w:val="clear" w:color="auto" w:fill="auto"/>
            <w:noWrap/>
            <w:vAlign w:val="bottom"/>
            <w:hideMark/>
          </w:tcPr>
          <w:p w14:paraId="40A45911" w14:textId="19BE97B5" w:rsidR="00BD4745" w:rsidRPr="00347EF9" w:rsidRDefault="00BD4745" w:rsidP="004B0800">
            <w:pPr>
              <w:spacing w:before="40" w:after="40" w:line="220" w:lineRule="exact"/>
              <w:ind w:left="113"/>
              <w:jc w:val="right"/>
              <w:rPr>
                <w:sz w:val="18"/>
                <w:szCs w:val="14"/>
              </w:rPr>
            </w:pPr>
            <w:r w:rsidRPr="00347EF9">
              <w:rPr>
                <w:sz w:val="18"/>
                <w:szCs w:val="14"/>
              </w:rPr>
              <w:t>120</w:t>
            </w:r>
            <w:r w:rsidR="00347EF9">
              <w:rPr>
                <w:sz w:val="18"/>
                <w:szCs w:val="14"/>
              </w:rPr>
              <w:t xml:space="preserve"> </w:t>
            </w:r>
            <w:r w:rsidRPr="00347EF9">
              <w:rPr>
                <w:sz w:val="18"/>
                <w:szCs w:val="14"/>
              </w:rPr>
              <w:t>752</w:t>
            </w:r>
          </w:p>
        </w:tc>
        <w:tc>
          <w:tcPr>
            <w:tcW w:w="896" w:type="dxa"/>
            <w:shd w:val="clear" w:color="auto" w:fill="auto"/>
            <w:noWrap/>
            <w:vAlign w:val="bottom"/>
            <w:hideMark/>
          </w:tcPr>
          <w:p w14:paraId="7BF9BA30" w14:textId="3FCEB965" w:rsidR="00BD4745" w:rsidRPr="00347EF9" w:rsidRDefault="00BD4745" w:rsidP="004B0800">
            <w:pPr>
              <w:spacing w:before="40" w:after="40" w:line="220" w:lineRule="exact"/>
              <w:ind w:left="113"/>
              <w:jc w:val="right"/>
              <w:rPr>
                <w:sz w:val="18"/>
                <w:szCs w:val="14"/>
              </w:rPr>
            </w:pPr>
            <w:r w:rsidRPr="00347EF9">
              <w:rPr>
                <w:sz w:val="18"/>
                <w:szCs w:val="14"/>
              </w:rPr>
              <w:t>101</w:t>
            </w:r>
            <w:r w:rsidR="00347EF9">
              <w:rPr>
                <w:sz w:val="18"/>
                <w:szCs w:val="14"/>
              </w:rPr>
              <w:t xml:space="preserve"> </w:t>
            </w:r>
            <w:r w:rsidRPr="00347EF9">
              <w:rPr>
                <w:sz w:val="18"/>
                <w:szCs w:val="14"/>
              </w:rPr>
              <w:t>195</w:t>
            </w:r>
          </w:p>
        </w:tc>
        <w:tc>
          <w:tcPr>
            <w:tcW w:w="447" w:type="dxa"/>
            <w:shd w:val="clear" w:color="auto" w:fill="auto"/>
            <w:noWrap/>
            <w:vAlign w:val="bottom"/>
            <w:hideMark/>
          </w:tcPr>
          <w:p w14:paraId="3668BB8C" w14:textId="77777777" w:rsidR="00BD4745" w:rsidRPr="00347EF9" w:rsidRDefault="00BD4745" w:rsidP="004B0800">
            <w:pPr>
              <w:spacing w:before="40" w:after="40" w:line="220" w:lineRule="exact"/>
              <w:ind w:left="113"/>
              <w:jc w:val="right"/>
              <w:rPr>
                <w:sz w:val="18"/>
                <w:szCs w:val="14"/>
              </w:rPr>
            </w:pPr>
            <w:r w:rsidRPr="00347EF9">
              <w:rPr>
                <w:sz w:val="18"/>
                <w:szCs w:val="14"/>
              </w:rPr>
              <w:t>83,8</w:t>
            </w:r>
          </w:p>
        </w:tc>
        <w:tc>
          <w:tcPr>
            <w:tcW w:w="924" w:type="dxa"/>
            <w:shd w:val="clear" w:color="auto" w:fill="auto"/>
            <w:noWrap/>
            <w:vAlign w:val="bottom"/>
            <w:hideMark/>
          </w:tcPr>
          <w:p w14:paraId="6AEFCA4A" w14:textId="59BD89E8" w:rsidR="00BD4745" w:rsidRPr="00347EF9" w:rsidRDefault="00BD4745" w:rsidP="004B0800">
            <w:pPr>
              <w:spacing w:before="40" w:after="40" w:line="220" w:lineRule="exact"/>
              <w:ind w:left="113"/>
              <w:jc w:val="right"/>
              <w:rPr>
                <w:sz w:val="18"/>
                <w:szCs w:val="14"/>
              </w:rPr>
            </w:pPr>
            <w:r w:rsidRPr="00347EF9">
              <w:rPr>
                <w:sz w:val="18"/>
                <w:szCs w:val="14"/>
              </w:rPr>
              <w:t>3</w:t>
            </w:r>
            <w:r w:rsidR="00347EF9">
              <w:rPr>
                <w:sz w:val="18"/>
                <w:szCs w:val="14"/>
              </w:rPr>
              <w:t xml:space="preserve"> </w:t>
            </w:r>
            <w:r w:rsidRPr="00347EF9">
              <w:rPr>
                <w:sz w:val="18"/>
                <w:szCs w:val="14"/>
              </w:rPr>
              <w:t>531</w:t>
            </w:r>
            <w:r w:rsidR="00347EF9">
              <w:rPr>
                <w:sz w:val="18"/>
                <w:szCs w:val="14"/>
              </w:rPr>
              <w:t xml:space="preserve"> </w:t>
            </w:r>
            <w:r w:rsidRPr="00347EF9">
              <w:rPr>
                <w:sz w:val="18"/>
                <w:szCs w:val="14"/>
              </w:rPr>
              <w:t>469</w:t>
            </w:r>
          </w:p>
        </w:tc>
        <w:tc>
          <w:tcPr>
            <w:tcW w:w="939" w:type="dxa"/>
            <w:shd w:val="clear" w:color="auto" w:fill="auto"/>
            <w:noWrap/>
            <w:vAlign w:val="bottom"/>
            <w:hideMark/>
          </w:tcPr>
          <w:p w14:paraId="0C307052" w14:textId="28AD6397" w:rsidR="00BD4745" w:rsidRPr="00347EF9" w:rsidRDefault="00BD4745" w:rsidP="004B0800">
            <w:pPr>
              <w:spacing w:before="40" w:after="40" w:line="220" w:lineRule="exact"/>
              <w:ind w:left="113"/>
              <w:jc w:val="right"/>
              <w:rPr>
                <w:sz w:val="18"/>
                <w:szCs w:val="14"/>
              </w:rPr>
            </w:pPr>
            <w:r w:rsidRPr="00347EF9">
              <w:rPr>
                <w:sz w:val="18"/>
                <w:szCs w:val="14"/>
              </w:rPr>
              <w:t>3</w:t>
            </w:r>
            <w:r w:rsidR="00347EF9">
              <w:rPr>
                <w:sz w:val="18"/>
                <w:szCs w:val="14"/>
              </w:rPr>
              <w:t xml:space="preserve"> </w:t>
            </w:r>
            <w:r w:rsidRPr="00347EF9">
              <w:rPr>
                <w:sz w:val="18"/>
                <w:szCs w:val="14"/>
              </w:rPr>
              <w:t>181</w:t>
            </w:r>
            <w:r w:rsidR="00347EF9">
              <w:rPr>
                <w:sz w:val="18"/>
                <w:szCs w:val="14"/>
              </w:rPr>
              <w:t xml:space="preserve"> </w:t>
            </w:r>
            <w:r w:rsidRPr="00347EF9">
              <w:rPr>
                <w:sz w:val="18"/>
                <w:szCs w:val="14"/>
              </w:rPr>
              <w:t>056</w:t>
            </w:r>
          </w:p>
        </w:tc>
        <w:tc>
          <w:tcPr>
            <w:tcW w:w="447" w:type="dxa"/>
            <w:shd w:val="clear" w:color="auto" w:fill="auto"/>
            <w:noWrap/>
            <w:vAlign w:val="bottom"/>
            <w:hideMark/>
          </w:tcPr>
          <w:p w14:paraId="3951C1F2" w14:textId="77777777" w:rsidR="00BD4745" w:rsidRPr="00347EF9" w:rsidRDefault="00BD4745" w:rsidP="004B0800">
            <w:pPr>
              <w:spacing w:before="40" w:after="40" w:line="220" w:lineRule="exact"/>
              <w:ind w:left="113"/>
              <w:jc w:val="right"/>
              <w:rPr>
                <w:sz w:val="18"/>
                <w:szCs w:val="14"/>
              </w:rPr>
            </w:pPr>
            <w:r w:rsidRPr="00347EF9">
              <w:rPr>
                <w:sz w:val="18"/>
                <w:szCs w:val="14"/>
              </w:rPr>
              <w:t>90,1</w:t>
            </w:r>
          </w:p>
        </w:tc>
        <w:tc>
          <w:tcPr>
            <w:tcW w:w="1022" w:type="dxa"/>
            <w:shd w:val="clear" w:color="auto" w:fill="auto"/>
            <w:noWrap/>
            <w:vAlign w:val="bottom"/>
            <w:hideMark/>
          </w:tcPr>
          <w:p w14:paraId="108A37AF" w14:textId="06E5736E"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954</w:t>
            </w:r>
            <w:r w:rsidR="00347EF9">
              <w:rPr>
                <w:sz w:val="18"/>
                <w:szCs w:val="14"/>
              </w:rPr>
              <w:t xml:space="preserve"> </w:t>
            </w:r>
            <w:r w:rsidRPr="00347EF9">
              <w:rPr>
                <w:sz w:val="18"/>
                <w:szCs w:val="14"/>
              </w:rPr>
              <w:t>104</w:t>
            </w:r>
          </w:p>
        </w:tc>
        <w:tc>
          <w:tcPr>
            <w:tcW w:w="924" w:type="dxa"/>
            <w:shd w:val="clear" w:color="auto" w:fill="auto"/>
            <w:noWrap/>
            <w:vAlign w:val="bottom"/>
            <w:hideMark/>
          </w:tcPr>
          <w:p w14:paraId="2186F517" w14:textId="2B8A0187" w:rsidR="00BD4745" w:rsidRPr="00347EF9" w:rsidRDefault="00BD4745" w:rsidP="004B0800">
            <w:pPr>
              <w:spacing w:before="40" w:after="40" w:line="220" w:lineRule="exact"/>
              <w:ind w:left="113"/>
              <w:jc w:val="right"/>
              <w:rPr>
                <w:sz w:val="18"/>
                <w:szCs w:val="14"/>
              </w:rPr>
            </w:pPr>
            <w:r w:rsidRPr="00347EF9">
              <w:rPr>
                <w:sz w:val="18"/>
                <w:szCs w:val="14"/>
              </w:rPr>
              <w:t>465</w:t>
            </w:r>
            <w:r w:rsidR="00347EF9">
              <w:rPr>
                <w:sz w:val="18"/>
                <w:szCs w:val="14"/>
              </w:rPr>
              <w:t xml:space="preserve"> </w:t>
            </w:r>
            <w:r w:rsidRPr="00347EF9">
              <w:rPr>
                <w:sz w:val="18"/>
                <w:szCs w:val="14"/>
              </w:rPr>
              <w:t>853</w:t>
            </w:r>
          </w:p>
        </w:tc>
        <w:tc>
          <w:tcPr>
            <w:tcW w:w="574" w:type="dxa"/>
            <w:shd w:val="clear" w:color="auto" w:fill="auto"/>
            <w:noWrap/>
            <w:vAlign w:val="bottom"/>
            <w:hideMark/>
          </w:tcPr>
          <w:p w14:paraId="517535E4" w14:textId="77777777" w:rsidR="00BD4745" w:rsidRPr="00347EF9" w:rsidRDefault="00BD4745" w:rsidP="004B0800">
            <w:pPr>
              <w:spacing w:before="40" w:after="40" w:line="220" w:lineRule="exact"/>
              <w:ind w:left="113"/>
              <w:jc w:val="right"/>
              <w:rPr>
                <w:sz w:val="18"/>
                <w:szCs w:val="14"/>
              </w:rPr>
            </w:pPr>
            <w:r w:rsidRPr="00347EF9">
              <w:rPr>
                <w:sz w:val="18"/>
                <w:szCs w:val="14"/>
              </w:rPr>
              <w:t>15,8</w:t>
            </w:r>
          </w:p>
        </w:tc>
        <w:tc>
          <w:tcPr>
            <w:tcW w:w="952" w:type="dxa"/>
            <w:shd w:val="clear" w:color="auto" w:fill="auto"/>
            <w:noWrap/>
            <w:vAlign w:val="bottom"/>
            <w:hideMark/>
          </w:tcPr>
          <w:p w14:paraId="18A1510F" w14:textId="2E5CF2A2"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249</w:t>
            </w:r>
            <w:r w:rsidR="00347EF9">
              <w:rPr>
                <w:sz w:val="18"/>
                <w:szCs w:val="14"/>
              </w:rPr>
              <w:t xml:space="preserve"> </w:t>
            </w:r>
            <w:r w:rsidRPr="00347EF9">
              <w:rPr>
                <w:sz w:val="18"/>
                <w:szCs w:val="14"/>
              </w:rPr>
              <w:t>368</w:t>
            </w:r>
          </w:p>
        </w:tc>
        <w:tc>
          <w:tcPr>
            <w:tcW w:w="469" w:type="dxa"/>
            <w:shd w:val="clear" w:color="auto" w:fill="auto"/>
            <w:noWrap/>
            <w:vAlign w:val="bottom"/>
            <w:hideMark/>
          </w:tcPr>
          <w:p w14:paraId="7FAF6F22" w14:textId="77777777" w:rsidR="00BD4745" w:rsidRPr="00347EF9" w:rsidRDefault="00BD4745" w:rsidP="004B0800">
            <w:pPr>
              <w:spacing w:before="40" w:after="40" w:line="220" w:lineRule="exact"/>
              <w:ind w:left="113"/>
              <w:jc w:val="right"/>
              <w:rPr>
                <w:sz w:val="18"/>
                <w:szCs w:val="14"/>
              </w:rPr>
            </w:pPr>
            <w:r w:rsidRPr="00347EF9">
              <w:rPr>
                <w:sz w:val="18"/>
                <w:szCs w:val="14"/>
              </w:rPr>
              <w:t>63,2</w:t>
            </w:r>
          </w:p>
        </w:tc>
      </w:tr>
      <w:tr w:rsidR="00347EF9" w:rsidRPr="00347EF9" w14:paraId="440A3F82" w14:textId="77777777" w:rsidTr="004B0800">
        <w:trPr>
          <w:trHeight w:val="240"/>
        </w:trPr>
        <w:tc>
          <w:tcPr>
            <w:tcW w:w="1092" w:type="dxa"/>
            <w:shd w:val="clear" w:color="auto" w:fill="auto"/>
            <w:noWrap/>
            <w:hideMark/>
          </w:tcPr>
          <w:p w14:paraId="3501CED6" w14:textId="77777777" w:rsidR="00BD4745" w:rsidRPr="00347EF9" w:rsidRDefault="00BD4745">
            <w:pPr>
              <w:spacing w:before="40" w:after="40" w:line="220" w:lineRule="exact"/>
              <w:rPr>
                <w:sz w:val="18"/>
                <w:szCs w:val="14"/>
              </w:rPr>
            </w:pPr>
            <w:r w:rsidRPr="00347EF9">
              <w:rPr>
                <w:sz w:val="18"/>
                <w:szCs w:val="14"/>
              </w:rPr>
              <w:t>Trinidad</w:t>
            </w:r>
          </w:p>
        </w:tc>
        <w:tc>
          <w:tcPr>
            <w:tcW w:w="952" w:type="dxa"/>
            <w:shd w:val="clear" w:color="auto" w:fill="auto"/>
            <w:noWrap/>
            <w:vAlign w:val="bottom"/>
            <w:hideMark/>
          </w:tcPr>
          <w:p w14:paraId="2168BC43" w14:textId="091A12C0"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401</w:t>
            </w:r>
            <w:r w:rsidR="00347EF9">
              <w:rPr>
                <w:sz w:val="18"/>
                <w:szCs w:val="14"/>
              </w:rPr>
              <w:t xml:space="preserve"> </w:t>
            </w:r>
            <w:r w:rsidRPr="00347EF9">
              <w:rPr>
                <w:sz w:val="18"/>
                <w:szCs w:val="14"/>
              </w:rPr>
              <w:t>463</w:t>
            </w:r>
          </w:p>
        </w:tc>
        <w:tc>
          <w:tcPr>
            <w:tcW w:w="896" w:type="dxa"/>
            <w:shd w:val="clear" w:color="auto" w:fill="auto"/>
            <w:noWrap/>
            <w:vAlign w:val="bottom"/>
            <w:hideMark/>
          </w:tcPr>
          <w:p w14:paraId="4A0B2BFC" w14:textId="74B6300A"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269</w:t>
            </w:r>
            <w:r w:rsidR="00347EF9">
              <w:rPr>
                <w:sz w:val="18"/>
                <w:szCs w:val="14"/>
              </w:rPr>
              <w:t xml:space="preserve"> </w:t>
            </w:r>
            <w:r w:rsidRPr="00347EF9">
              <w:rPr>
                <w:sz w:val="18"/>
                <w:szCs w:val="14"/>
              </w:rPr>
              <w:t>049</w:t>
            </w:r>
          </w:p>
        </w:tc>
        <w:tc>
          <w:tcPr>
            <w:tcW w:w="447" w:type="dxa"/>
            <w:shd w:val="clear" w:color="auto" w:fill="auto"/>
            <w:noWrap/>
            <w:vAlign w:val="bottom"/>
            <w:hideMark/>
          </w:tcPr>
          <w:p w14:paraId="29A32DA0" w14:textId="77777777" w:rsidR="00BD4745" w:rsidRPr="00347EF9" w:rsidRDefault="00BD4745" w:rsidP="004B0800">
            <w:pPr>
              <w:spacing w:before="40" w:after="40" w:line="220" w:lineRule="exact"/>
              <w:ind w:left="113"/>
              <w:jc w:val="right"/>
              <w:rPr>
                <w:sz w:val="18"/>
                <w:szCs w:val="14"/>
              </w:rPr>
            </w:pPr>
            <w:r w:rsidRPr="00347EF9">
              <w:rPr>
                <w:sz w:val="18"/>
                <w:szCs w:val="14"/>
              </w:rPr>
              <w:t>90,6</w:t>
            </w:r>
          </w:p>
        </w:tc>
        <w:tc>
          <w:tcPr>
            <w:tcW w:w="924" w:type="dxa"/>
            <w:shd w:val="clear" w:color="auto" w:fill="auto"/>
            <w:noWrap/>
            <w:vAlign w:val="bottom"/>
            <w:hideMark/>
          </w:tcPr>
          <w:p w14:paraId="741A2D1C" w14:textId="0A621AF2"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942</w:t>
            </w:r>
            <w:r w:rsidR="00347EF9">
              <w:rPr>
                <w:sz w:val="18"/>
                <w:szCs w:val="14"/>
              </w:rPr>
              <w:t xml:space="preserve"> </w:t>
            </w:r>
            <w:r w:rsidRPr="00347EF9">
              <w:rPr>
                <w:sz w:val="18"/>
                <w:szCs w:val="14"/>
              </w:rPr>
              <w:t>801</w:t>
            </w:r>
          </w:p>
        </w:tc>
        <w:tc>
          <w:tcPr>
            <w:tcW w:w="939" w:type="dxa"/>
            <w:shd w:val="clear" w:color="auto" w:fill="auto"/>
            <w:noWrap/>
            <w:vAlign w:val="bottom"/>
            <w:hideMark/>
          </w:tcPr>
          <w:p w14:paraId="2B419125" w14:textId="395523AF"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819</w:t>
            </w:r>
            <w:r w:rsidR="00347EF9">
              <w:rPr>
                <w:sz w:val="18"/>
                <w:szCs w:val="14"/>
              </w:rPr>
              <w:t xml:space="preserve"> </w:t>
            </w:r>
            <w:r w:rsidRPr="00347EF9">
              <w:rPr>
                <w:sz w:val="18"/>
                <w:szCs w:val="14"/>
              </w:rPr>
              <w:t>888</w:t>
            </w:r>
          </w:p>
        </w:tc>
        <w:tc>
          <w:tcPr>
            <w:tcW w:w="447" w:type="dxa"/>
            <w:shd w:val="clear" w:color="auto" w:fill="auto"/>
            <w:noWrap/>
            <w:vAlign w:val="bottom"/>
            <w:hideMark/>
          </w:tcPr>
          <w:p w14:paraId="0D6A0998" w14:textId="77777777" w:rsidR="00BD4745" w:rsidRPr="00347EF9" w:rsidRDefault="00BD4745" w:rsidP="004B0800">
            <w:pPr>
              <w:spacing w:before="40" w:after="40" w:line="220" w:lineRule="exact"/>
              <w:ind w:left="113"/>
              <w:jc w:val="right"/>
              <w:rPr>
                <w:sz w:val="18"/>
                <w:szCs w:val="14"/>
              </w:rPr>
            </w:pPr>
            <w:r w:rsidRPr="00347EF9">
              <w:rPr>
                <w:sz w:val="18"/>
                <w:szCs w:val="14"/>
              </w:rPr>
              <w:t>93,7</w:t>
            </w:r>
          </w:p>
        </w:tc>
        <w:tc>
          <w:tcPr>
            <w:tcW w:w="1022" w:type="dxa"/>
            <w:shd w:val="clear" w:color="auto" w:fill="auto"/>
            <w:noWrap/>
            <w:vAlign w:val="bottom"/>
            <w:hideMark/>
          </w:tcPr>
          <w:p w14:paraId="37FEB4D5" w14:textId="3FEFE044"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598</w:t>
            </w:r>
            <w:r w:rsidR="00347EF9">
              <w:rPr>
                <w:sz w:val="18"/>
                <w:szCs w:val="14"/>
              </w:rPr>
              <w:t xml:space="preserve"> </w:t>
            </w:r>
            <w:r w:rsidRPr="00347EF9">
              <w:rPr>
                <w:sz w:val="18"/>
                <w:szCs w:val="14"/>
              </w:rPr>
              <w:t>455</w:t>
            </w:r>
          </w:p>
        </w:tc>
        <w:tc>
          <w:tcPr>
            <w:tcW w:w="924" w:type="dxa"/>
            <w:shd w:val="clear" w:color="auto" w:fill="auto"/>
            <w:noWrap/>
            <w:vAlign w:val="bottom"/>
            <w:hideMark/>
          </w:tcPr>
          <w:p w14:paraId="416C1417" w14:textId="4BCF8FDB"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300</w:t>
            </w:r>
            <w:r w:rsidR="00347EF9">
              <w:rPr>
                <w:sz w:val="18"/>
                <w:szCs w:val="14"/>
              </w:rPr>
              <w:t xml:space="preserve"> </w:t>
            </w:r>
            <w:r w:rsidRPr="00347EF9">
              <w:rPr>
                <w:sz w:val="18"/>
                <w:szCs w:val="14"/>
              </w:rPr>
              <w:t>639</w:t>
            </w:r>
          </w:p>
        </w:tc>
        <w:tc>
          <w:tcPr>
            <w:tcW w:w="574" w:type="dxa"/>
            <w:shd w:val="clear" w:color="auto" w:fill="auto"/>
            <w:noWrap/>
            <w:vAlign w:val="bottom"/>
            <w:hideMark/>
          </w:tcPr>
          <w:p w14:paraId="6A4B7F7C" w14:textId="77777777" w:rsidR="00BD4745" w:rsidRPr="00347EF9" w:rsidRDefault="00BD4745" w:rsidP="004B0800">
            <w:pPr>
              <w:spacing w:before="40" w:after="40" w:line="220" w:lineRule="exact"/>
              <w:ind w:left="113"/>
              <w:jc w:val="right"/>
              <w:rPr>
                <w:sz w:val="18"/>
                <w:szCs w:val="14"/>
              </w:rPr>
            </w:pPr>
            <w:r w:rsidRPr="00347EF9">
              <w:rPr>
                <w:sz w:val="18"/>
                <w:szCs w:val="14"/>
              </w:rPr>
              <w:t>81,4</w:t>
            </w:r>
          </w:p>
        </w:tc>
        <w:tc>
          <w:tcPr>
            <w:tcW w:w="952" w:type="dxa"/>
            <w:shd w:val="clear" w:color="auto" w:fill="auto"/>
            <w:noWrap/>
            <w:vAlign w:val="bottom"/>
            <w:hideMark/>
          </w:tcPr>
          <w:p w14:paraId="6D669CAC" w14:textId="34748E2D"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463</w:t>
            </w:r>
            <w:r w:rsidR="00347EF9">
              <w:rPr>
                <w:sz w:val="18"/>
                <w:szCs w:val="14"/>
              </w:rPr>
              <w:t xml:space="preserve"> </w:t>
            </w:r>
            <w:r w:rsidRPr="00347EF9">
              <w:rPr>
                <w:sz w:val="18"/>
                <w:szCs w:val="14"/>
              </w:rPr>
              <w:t>192</w:t>
            </w:r>
          </w:p>
        </w:tc>
        <w:tc>
          <w:tcPr>
            <w:tcW w:w="469" w:type="dxa"/>
            <w:shd w:val="clear" w:color="auto" w:fill="auto"/>
            <w:noWrap/>
            <w:vAlign w:val="bottom"/>
            <w:hideMark/>
          </w:tcPr>
          <w:p w14:paraId="14957084" w14:textId="77777777" w:rsidR="00BD4745" w:rsidRPr="00347EF9" w:rsidRDefault="00BD4745" w:rsidP="004B0800">
            <w:pPr>
              <w:spacing w:before="40" w:after="40" w:line="220" w:lineRule="exact"/>
              <w:ind w:left="113"/>
              <w:jc w:val="right"/>
              <w:rPr>
                <w:sz w:val="18"/>
                <w:szCs w:val="14"/>
              </w:rPr>
            </w:pPr>
            <w:r w:rsidRPr="00347EF9">
              <w:rPr>
                <w:sz w:val="18"/>
                <w:szCs w:val="14"/>
              </w:rPr>
              <w:t>88,5</w:t>
            </w:r>
          </w:p>
        </w:tc>
      </w:tr>
      <w:tr w:rsidR="00347EF9" w:rsidRPr="00347EF9" w14:paraId="50CFCB11" w14:textId="77777777" w:rsidTr="004B0800">
        <w:trPr>
          <w:trHeight w:val="240"/>
        </w:trPr>
        <w:tc>
          <w:tcPr>
            <w:tcW w:w="1092" w:type="dxa"/>
            <w:shd w:val="clear" w:color="auto" w:fill="auto"/>
            <w:noWrap/>
            <w:hideMark/>
          </w:tcPr>
          <w:p w14:paraId="583349F9" w14:textId="77777777" w:rsidR="00BD4745" w:rsidRPr="00347EF9" w:rsidRDefault="00BD4745">
            <w:pPr>
              <w:spacing w:before="40" w:after="40" w:line="220" w:lineRule="exact"/>
              <w:rPr>
                <w:sz w:val="18"/>
                <w:szCs w:val="14"/>
              </w:rPr>
            </w:pPr>
            <w:bookmarkStart w:id="2" w:name="OLE_LINK1"/>
            <w:r w:rsidRPr="00347EF9">
              <w:rPr>
                <w:sz w:val="18"/>
                <w:szCs w:val="14"/>
              </w:rPr>
              <w:t>Yacuiba</w:t>
            </w:r>
          </w:p>
        </w:tc>
        <w:tc>
          <w:tcPr>
            <w:tcW w:w="952" w:type="dxa"/>
            <w:shd w:val="clear" w:color="auto" w:fill="auto"/>
            <w:noWrap/>
            <w:vAlign w:val="bottom"/>
            <w:hideMark/>
          </w:tcPr>
          <w:p w14:paraId="42A9B6F0" w14:textId="77777777" w:rsidR="00BD4745" w:rsidRPr="00347EF9" w:rsidRDefault="00BD4745" w:rsidP="004B0800">
            <w:pPr>
              <w:spacing w:before="40" w:after="40" w:line="220" w:lineRule="exact"/>
              <w:ind w:left="113"/>
              <w:jc w:val="right"/>
              <w:rPr>
                <w:sz w:val="18"/>
                <w:szCs w:val="14"/>
              </w:rPr>
            </w:pPr>
            <w:r w:rsidRPr="00347EF9">
              <w:rPr>
                <w:sz w:val="18"/>
                <w:szCs w:val="14"/>
              </w:rPr>
              <w:t>-</w:t>
            </w:r>
          </w:p>
        </w:tc>
        <w:tc>
          <w:tcPr>
            <w:tcW w:w="896" w:type="dxa"/>
            <w:shd w:val="clear" w:color="auto" w:fill="auto"/>
            <w:noWrap/>
            <w:vAlign w:val="bottom"/>
            <w:hideMark/>
          </w:tcPr>
          <w:p w14:paraId="03DBFB18" w14:textId="77777777" w:rsidR="00BD4745" w:rsidRPr="00347EF9" w:rsidRDefault="00BD4745" w:rsidP="004B0800">
            <w:pPr>
              <w:spacing w:before="40" w:after="40" w:line="220" w:lineRule="exact"/>
              <w:ind w:left="113"/>
              <w:jc w:val="right"/>
              <w:rPr>
                <w:sz w:val="18"/>
                <w:szCs w:val="14"/>
              </w:rPr>
            </w:pPr>
            <w:r w:rsidRPr="00347EF9">
              <w:rPr>
                <w:sz w:val="18"/>
                <w:szCs w:val="14"/>
              </w:rPr>
              <w:t>-</w:t>
            </w:r>
          </w:p>
        </w:tc>
        <w:tc>
          <w:tcPr>
            <w:tcW w:w="447" w:type="dxa"/>
            <w:shd w:val="clear" w:color="auto" w:fill="auto"/>
            <w:noWrap/>
            <w:vAlign w:val="bottom"/>
            <w:hideMark/>
          </w:tcPr>
          <w:p w14:paraId="293C7C65" w14:textId="77777777" w:rsidR="00BD4745" w:rsidRPr="00347EF9" w:rsidRDefault="00BD4745" w:rsidP="004B0800">
            <w:pPr>
              <w:spacing w:before="40" w:after="40" w:line="220" w:lineRule="exact"/>
              <w:ind w:left="113"/>
              <w:jc w:val="right"/>
              <w:rPr>
                <w:sz w:val="18"/>
                <w:szCs w:val="14"/>
              </w:rPr>
            </w:pPr>
            <w:r w:rsidRPr="00347EF9">
              <w:rPr>
                <w:sz w:val="18"/>
                <w:szCs w:val="14"/>
              </w:rPr>
              <w:t>-</w:t>
            </w:r>
          </w:p>
        </w:tc>
        <w:tc>
          <w:tcPr>
            <w:tcW w:w="924" w:type="dxa"/>
            <w:shd w:val="clear" w:color="auto" w:fill="auto"/>
            <w:noWrap/>
            <w:vAlign w:val="bottom"/>
            <w:hideMark/>
          </w:tcPr>
          <w:p w14:paraId="107CFCC5" w14:textId="090D2E40" w:rsidR="00BD4745" w:rsidRPr="00347EF9" w:rsidRDefault="00BD4745" w:rsidP="004B0800">
            <w:pPr>
              <w:spacing w:before="40" w:after="40" w:line="220" w:lineRule="exact"/>
              <w:ind w:left="113"/>
              <w:jc w:val="right"/>
              <w:rPr>
                <w:sz w:val="18"/>
                <w:szCs w:val="14"/>
              </w:rPr>
            </w:pPr>
            <w:r w:rsidRPr="00347EF9">
              <w:rPr>
                <w:sz w:val="18"/>
                <w:szCs w:val="14"/>
              </w:rPr>
              <w:t>8</w:t>
            </w:r>
            <w:r w:rsidR="00347EF9">
              <w:rPr>
                <w:sz w:val="18"/>
                <w:szCs w:val="14"/>
              </w:rPr>
              <w:t xml:space="preserve"> </w:t>
            </w:r>
            <w:r w:rsidRPr="00347EF9">
              <w:rPr>
                <w:sz w:val="18"/>
                <w:szCs w:val="14"/>
              </w:rPr>
              <w:t>061</w:t>
            </w:r>
            <w:r w:rsidR="00347EF9">
              <w:rPr>
                <w:sz w:val="18"/>
                <w:szCs w:val="14"/>
              </w:rPr>
              <w:t xml:space="preserve"> </w:t>
            </w:r>
            <w:r w:rsidRPr="00347EF9">
              <w:rPr>
                <w:sz w:val="18"/>
                <w:szCs w:val="14"/>
              </w:rPr>
              <w:t>672</w:t>
            </w:r>
          </w:p>
        </w:tc>
        <w:tc>
          <w:tcPr>
            <w:tcW w:w="939" w:type="dxa"/>
            <w:shd w:val="clear" w:color="auto" w:fill="auto"/>
            <w:noWrap/>
            <w:vAlign w:val="bottom"/>
            <w:hideMark/>
          </w:tcPr>
          <w:p w14:paraId="25F9CF62" w14:textId="695EB34F" w:rsidR="00BD4745" w:rsidRPr="00347EF9" w:rsidRDefault="00BD4745" w:rsidP="004B0800">
            <w:pPr>
              <w:spacing w:before="40" w:after="40" w:line="220" w:lineRule="exact"/>
              <w:ind w:left="113"/>
              <w:jc w:val="right"/>
              <w:rPr>
                <w:sz w:val="18"/>
                <w:szCs w:val="14"/>
              </w:rPr>
            </w:pPr>
            <w:r w:rsidRPr="00347EF9">
              <w:rPr>
                <w:sz w:val="18"/>
                <w:szCs w:val="14"/>
              </w:rPr>
              <w:t>7</w:t>
            </w:r>
            <w:r w:rsidR="00347EF9">
              <w:rPr>
                <w:sz w:val="18"/>
                <w:szCs w:val="14"/>
              </w:rPr>
              <w:t xml:space="preserve"> </w:t>
            </w:r>
            <w:r w:rsidRPr="00347EF9">
              <w:rPr>
                <w:sz w:val="18"/>
                <w:szCs w:val="14"/>
              </w:rPr>
              <w:t>416</w:t>
            </w:r>
            <w:r w:rsidR="00347EF9">
              <w:rPr>
                <w:sz w:val="18"/>
                <w:szCs w:val="14"/>
              </w:rPr>
              <w:t xml:space="preserve"> </w:t>
            </w:r>
            <w:r w:rsidRPr="00347EF9">
              <w:rPr>
                <w:sz w:val="18"/>
                <w:szCs w:val="14"/>
              </w:rPr>
              <w:t>846</w:t>
            </w:r>
          </w:p>
        </w:tc>
        <w:tc>
          <w:tcPr>
            <w:tcW w:w="447" w:type="dxa"/>
            <w:shd w:val="clear" w:color="auto" w:fill="auto"/>
            <w:noWrap/>
            <w:vAlign w:val="bottom"/>
            <w:hideMark/>
          </w:tcPr>
          <w:p w14:paraId="7B95B6D1" w14:textId="77777777" w:rsidR="00BD4745" w:rsidRPr="00347EF9" w:rsidRDefault="00BD4745" w:rsidP="004B0800">
            <w:pPr>
              <w:spacing w:before="40" w:after="40" w:line="220" w:lineRule="exact"/>
              <w:ind w:left="113"/>
              <w:jc w:val="right"/>
              <w:rPr>
                <w:sz w:val="18"/>
                <w:szCs w:val="14"/>
              </w:rPr>
            </w:pPr>
            <w:r w:rsidRPr="00347EF9">
              <w:rPr>
                <w:sz w:val="18"/>
                <w:szCs w:val="14"/>
              </w:rPr>
              <w:t>92,0</w:t>
            </w:r>
          </w:p>
        </w:tc>
        <w:tc>
          <w:tcPr>
            <w:tcW w:w="1022" w:type="dxa"/>
            <w:shd w:val="clear" w:color="auto" w:fill="auto"/>
            <w:noWrap/>
            <w:vAlign w:val="bottom"/>
            <w:hideMark/>
          </w:tcPr>
          <w:p w14:paraId="3993766C" w14:textId="53CB8BFD" w:rsidR="00BD4745" w:rsidRPr="00347EF9" w:rsidRDefault="00BD4745" w:rsidP="004B0800">
            <w:pPr>
              <w:spacing w:before="40" w:after="40" w:line="220" w:lineRule="exact"/>
              <w:ind w:left="113"/>
              <w:jc w:val="right"/>
              <w:rPr>
                <w:sz w:val="18"/>
                <w:szCs w:val="14"/>
              </w:rPr>
            </w:pPr>
            <w:r w:rsidRPr="00347EF9">
              <w:rPr>
                <w:sz w:val="18"/>
                <w:szCs w:val="14"/>
              </w:rPr>
              <w:t>6</w:t>
            </w:r>
            <w:r w:rsidR="00347EF9">
              <w:rPr>
                <w:sz w:val="18"/>
                <w:szCs w:val="14"/>
              </w:rPr>
              <w:t xml:space="preserve"> </w:t>
            </w:r>
            <w:r w:rsidRPr="00347EF9">
              <w:rPr>
                <w:sz w:val="18"/>
                <w:szCs w:val="14"/>
              </w:rPr>
              <w:t>494</w:t>
            </w:r>
            <w:r w:rsidR="00347EF9">
              <w:rPr>
                <w:sz w:val="18"/>
                <w:szCs w:val="14"/>
              </w:rPr>
              <w:t xml:space="preserve"> </w:t>
            </w:r>
            <w:r w:rsidRPr="00347EF9">
              <w:rPr>
                <w:sz w:val="18"/>
                <w:szCs w:val="14"/>
              </w:rPr>
              <w:t>663</w:t>
            </w:r>
          </w:p>
        </w:tc>
        <w:tc>
          <w:tcPr>
            <w:tcW w:w="924" w:type="dxa"/>
            <w:shd w:val="clear" w:color="auto" w:fill="auto"/>
            <w:noWrap/>
            <w:vAlign w:val="bottom"/>
            <w:hideMark/>
          </w:tcPr>
          <w:p w14:paraId="6932E8DF" w14:textId="4B910AB2" w:rsidR="00BD4745" w:rsidRPr="00347EF9" w:rsidRDefault="00BD4745" w:rsidP="004B0800">
            <w:pPr>
              <w:spacing w:before="40" w:after="40" w:line="220" w:lineRule="exact"/>
              <w:ind w:left="113"/>
              <w:jc w:val="right"/>
              <w:rPr>
                <w:sz w:val="18"/>
                <w:szCs w:val="14"/>
              </w:rPr>
            </w:pPr>
            <w:r w:rsidRPr="00347EF9">
              <w:rPr>
                <w:sz w:val="18"/>
                <w:szCs w:val="14"/>
              </w:rPr>
              <w:t>4</w:t>
            </w:r>
            <w:r w:rsidR="00347EF9">
              <w:rPr>
                <w:sz w:val="18"/>
                <w:szCs w:val="14"/>
              </w:rPr>
              <w:t xml:space="preserve"> </w:t>
            </w:r>
            <w:r w:rsidRPr="00347EF9">
              <w:rPr>
                <w:sz w:val="18"/>
                <w:szCs w:val="14"/>
              </w:rPr>
              <w:t>657</w:t>
            </w:r>
            <w:r w:rsidR="00347EF9">
              <w:rPr>
                <w:sz w:val="18"/>
                <w:szCs w:val="14"/>
              </w:rPr>
              <w:t xml:space="preserve"> </w:t>
            </w:r>
            <w:r w:rsidRPr="00347EF9">
              <w:rPr>
                <w:sz w:val="18"/>
                <w:szCs w:val="14"/>
              </w:rPr>
              <w:t>518</w:t>
            </w:r>
          </w:p>
        </w:tc>
        <w:tc>
          <w:tcPr>
            <w:tcW w:w="574" w:type="dxa"/>
            <w:shd w:val="clear" w:color="auto" w:fill="auto"/>
            <w:noWrap/>
            <w:vAlign w:val="bottom"/>
            <w:hideMark/>
          </w:tcPr>
          <w:p w14:paraId="611C9278" w14:textId="77777777" w:rsidR="00BD4745" w:rsidRPr="00347EF9" w:rsidRDefault="00BD4745" w:rsidP="004B0800">
            <w:pPr>
              <w:spacing w:before="40" w:after="40" w:line="220" w:lineRule="exact"/>
              <w:ind w:left="113"/>
              <w:jc w:val="right"/>
              <w:rPr>
                <w:sz w:val="18"/>
                <w:szCs w:val="14"/>
              </w:rPr>
            </w:pPr>
            <w:r w:rsidRPr="00347EF9">
              <w:rPr>
                <w:sz w:val="18"/>
                <w:szCs w:val="14"/>
              </w:rPr>
              <w:t>71,7</w:t>
            </w:r>
          </w:p>
        </w:tc>
        <w:tc>
          <w:tcPr>
            <w:tcW w:w="952" w:type="dxa"/>
            <w:shd w:val="clear" w:color="auto" w:fill="auto"/>
            <w:noWrap/>
            <w:vAlign w:val="bottom"/>
            <w:hideMark/>
          </w:tcPr>
          <w:p w14:paraId="202BEF2C" w14:textId="37F2D3E5" w:rsidR="00BD4745" w:rsidRPr="00347EF9" w:rsidRDefault="00BD4745" w:rsidP="004B0800">
            <w:pPr>
              <w:spacing w:before="40" w:after="40" w:line="220" w:lineRule="exact"/>
              <w:ind w:left="113"/>
              <w:jc w:val="right"/>
              <w:rPr>
                <w:sz w:val="18"/>
                <w:szCs w:val="14"/>
              </w:rPr>
            </w:pPr>
            <w:r w:rsidRPr="00347EF9">
              <w:rPr>
                <w:sz w:val="18"/>
                <w:szCs w:val="14"/>
              </w:rPr>
              <w:t>6</w:t>
            </w:r>
            <w:r w:rsidR="00347EF9">
              <w:rPr>
                <w:sz w:val="18"/>
                <w:szCs w:val="14"/>
              </w:rPr>
              <w:t xml:space="preserve"> </w:t>
            </w:r>
            <w:r w:rsidRPr="00347EF9">
              <w:rPr>
                <w:sz w:val="18"/>
                <w:szCs w:val="14"/>
              </w:rPr>
              <w:t>037</w:t>
            </w:r>
            <w:r w:rsidR="00347EF9">
              <w:rPr>
                <w:sz w:val="18"/>
                <w:szCs w:val="14"/>
              </w:rPr>
              <w:t xml:space="preserve"> </w:t>
            </w:r>
            <w:r w:rsidRPr="00347EF9">
              <w:rPr>
                <w:sz w:val="18"/>
                <w:szCs w:val="14"/>
              </w:rPr>
              <w:t>182</w:t>
            </w:r>
          </w:p>
        </w:tc>
        <w:tc>
          <w:tcPr>
            <w:tcW w:w="469" w:type="dxa"/>
            <w:shd w:val="clear" w:color="auto" w:fill="auto"/>
            <w:noWrap/>
            <w:vAlign w:val="bottom"/>
            <w:hideMark/>
          </w:tcPr>
          <w:p w14:paraId="50831BD6" w14:textId="77777777" w:rsidR="00BD4745" w:rsidRPr="00347EF9" w:rsidRDefault="00BD4745" w:rsidP="004B0800">
            <w:pPr>
              <w:spacing w:before="40" w:after="40" w:line="220" w:lineRule="exact"/>
              <w:ind w:left="113"/>
              <w:jc w:val="right"/>
              <w:rPr>
                <w:sz w:val="18"/>
                <w:szCs w:val="14"/>
              </w:rPr>
            </w:pPr>
            <w:r w:rsidRPr="00347EF9">
              <w:rPr>
                <w:sz w:val="18"/>
                <w:szCs w:val="14"/>
              </w:rPr>
              <w:t>81,9</w:t>
            </w:r>
          </w:p>
        </w:tc>
      </w:tr>
      <w:tr w:rsidR="00347EF9" w:rsidRPr="00347EF9" w14:paraId="47474C31" w14:textId="77777777" w:rsidTr="004B0800">
        <w:trPr>
          <w:trHeight w:val="240"/>
        </w:trPr>
        <w:tc>
          <w:tcPr>
            <w:tcW w:w="1092" w:type="dxa"/>
            <w:shd w:val="clear" w:color="auto" w:fill="auto"/>
            <w:noWrap/>
            <w:hideMark/>
          </w:tcPr>
          <w:p w14:paraId="4EAE1B59" w14:textId="77777777" w:rsidR="00BD4745" w:rsidRPr="00347EF9" w:rsidRDefault="00BD4745">
            <w:pPr>
              <w:spacing w:before="40" w:after="40" w:line="220" w:lineRule="exact"/>
              <w:rPr>
                <w:sz w:val="18"/>
                <w:szCs w:val="14"/>
              </w:rPr>
            </w:pPr>
            <w:r w:rsidRPr="00347EF9">
              <w:rPr>
                <w:sz w:val="18"/>
                <w:szCs w:val="14"/>
              </w:rPr>
              <w:t>Riberalta</w:t>
            </w:r>
          </w:p>
        </w:tc>
        <w:tc>
          <w:tcPr>
            <w:tcW w:w="952" w:type="dxa"/>
            <w:shd w:val="clear" w:color="auto" w:fill="auto"/>
            <w:noWrap/>
            <w:vAlign w:val="bottom"/>
            <w:hideMark/>
          </w:tcPr>
          <w:p w14:paraId="085C0CD0" w14:textId="77777777" w:rsidR="00BD4745" w:rsidRPr="00347EF9" w:rsidRDefault="00BD4745" w:rsidP="004B0800">
            <w:pPr>
              <w:spacing w:before="40" w:after="40" w:line="220" w:lineRule="exact"/>
              <w:ind w:left="113"/>
              <w:jc w:val="right"/>
              <w:rPr>
                <w:sz w:val="18"/>
                <w:szCs w:val="14"/>
              </w:rPr>
            </w:pPr>
            <w:r w:rsidRPr="00347EF9">
              <w:rPr>
                <w:sz w:val="18"/>
                <w:szCs w:val="14"/>
              </w:rPr>
              <w:t>-</w:t>
            </w:r>
          </w:p>
        </w:tc>
        <w:tc>
          <w:tcPr>
            <w:tcW w:w="896" w:type="dxa"/>
            <w:shd w:val="clear" w:color="auto" w:fill="auto"/>
            <w:noWrap/>
            <w:vAlign w:val="bottom"/>
            <w:hideMark/>
          </w:tcPr>
          <w:p w14:paraId="4E64351E" w14:textId="77777777" w:rsidR="00BD4745" w:rsidRPr="00347EF9" w:rsidRDefault="00BD4745" w:rsidP="004B0800">
            <w:pPr>
              <w:spacing w:before="40" w:after="40" w:line="220" w:lineRule="exact"/>
              <w:ind w:left="113"/>
              <w:jc w:val="right"/>
              <w:rPr>
                <w:sz w:val="18"/>
                <w:szCs w:val="14"/>
              </w:rPr>
            </w:pPr>
            <w:r w:rsidRPr="00347EF9">
              <w:rPr>
                <w:sz w:val="18"/>
                <w:szCs w:val="14"/>
              </w:rPr>
              <w:t>-</w:t>
            </w:r>
          </w:p>
        </w:tc>
        <w:tc>
          <w:tcPr>
            <w:tcW w:w="447" w:type="dxa"/>
            <w:shd w:val="clear" w:color="auto" w:fill="auto"/>
            <w:noWrap/>
            <w:vAlign w:val="bottom"/>
            <w:hideMark/>
          </w:tcPr>
          <w:p w14:paraId="7556AA85" w14:textId="77777777" w:rsidR="00BD4745" w:rsidRPr="00347EF9" w:rsidRDefault="00BD4745" w:rsidP="004B0800">
            <w:pPr>
              <w:spacing w:before="40" w:after="40" w:line="220" w:lineRule="exact"/>
              <w:ind w:left="113"/>
              <w:jc w:val="right"/>
              <w:rPr>
                <w:sz w:val="18"/>
                <w:szCs w:val="14"/>
              </w:rPr>
            </w:pPr>
            <w:r w:rsidRPr="00347EF9">
              <w:rPr>
                <w:sz w:val="18"/>
                <w:szCs w:val="14"/>
              </w:rPr>
              <w:t>-</w:t>
            </w:r>
          </w:p>
        </w:tc>
        <w:tc>
          <w:tcPr>
            <w:tcW w:w="924" w:type="dxa"/>
            <w:shd w:val="clear" w:color="auto" w:fill="auto"/>
            <w:noWrap/>
            <w:vAlign w:val="bottom"/>
            <w:hideMark/>
          </w:tcPr>
          <w:p w14:paraId="18D89C5E" w14:textId="1B3257E4"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468</w:t>
            </w:r>
            <w:r w:rsidR="00347EF9">
              <w:rPr>
                <w:sz w:val="18"/>
                <w:szCs w:val="14"/>
              </w:rPr>
              <w:t xml:space="preserve"> </w:t>
            </w:r>
            <w:r w:rsidRPr="00347EF9">
              <w:rPr>
                <w:sz w:val="18"/>
                <w:szCs w:val="14"/>
              </w:rPr>
              <w:t>172</w:t>
            </w:r>
          </w:p>
        </w:tc>
        <w:tc>
          <w:tcPr>
            <w:tcW w:w="939" w:type="dxa"/>
            <w:shd w:val="clear" w:color="auto" w:fill="auto"/>
            <w:noWrap/>
            <w:vAlign w:val="bottom"/>
            <w:hideMark/>
          </w:tcPr>
          <w:p w14:paraId="48F372ED" w14:textId="6201C6E6"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216</w:t>
            </w:r>
            <w:r w:rsidR="00347EF9">
              <w:rPr>
                <w:sz w:val="18"/>
                <w:szCs w:val="14"/>
              </w:rPr>
              <w:t xml:space="preserve"> </w:t>
            </w:r>
            <w:r w:rsidRPr="00347EF9">
              <w:rPr>
                <w:sz w:val="18"/>
                <w:szCs w:val="14"/>
              </w:rPr>
              <w:t>463</w:t>
            </w:r>
          </w:p>
        </w:tc>
        <w:tc>
          <w:tcPr>
            <w:tcW w:w="447" w:type="dxa"/>
            <w:shd w:val="clear" w:color="auto" w:fill="auto"/>
            <w:noWrap/>
            <w:vAlign w:val="bottom"/>
            <w:hideMark/>
          </w:tcPr>
          <w:p w14:paraId="3E8CD174" w14:textId="77777777" w:rsidR="00BD4745" w:rsidRPr="00347EF9" w:rsidRDefault="00BD4745" w:rsidP="004B0800">
            <w:pPr>
              <w:spacing w:before="40" w:after="40" w:line="220" w:lineRule="exact"/>
              <w:ind w:left="113"/>
              <w:jc w:val="right"/>
              <w:rPr>
                <w:sz w:val="18"/>
                <w:szCs w:val="14"/>
              </w:rPr>
            </w:pPr>
            <w:r w:rsidRPr="00347EF9">
              <w:rPr>
                <w:sz w:val="18"/>
                <w:szCs w:val="14"/>
              </w:rPr>
              <w:t>89,8</w:t>
            </w:r>
          </w:p>
        </w:tc>
        <w:tc>
          <w:tcPr>
            <w:tcW w:w="1022" w:type="dxa"/>
            <w:shd w:val="clear" w:color="auto" w:fill="auto"/>
            <w:noWrap/>
            <w:vAlign w:val="bottom"/>
            <w:hideMark/>
          </w:tcPr>
          <w:p w14:paraId="3B4C2370" w14:textId="7E12D54A"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938</w:t>
            </w:r>
            <w:r w:rsidR="00347EF9">
              <w:rPr>
                <w:sz w:val="18"/>
                <w:szCs w:val="14"/>
              </w:rPr>
              <w:t xml:space="preserve"> </w:t>
            </w:r>
            <w:r w:rsidRPr="00347EF9">
              <w:rPr>
                <w:sz w:val="18"/>
                <w:szCs w:val="14"/>
              </w:rPr>
              <w:t>029</w:t>
            </w:r>
          </w:p>
        </w:tc>
        <w:tc>
          <w:tcPr>
            <w:tcW w:w="924" w:type="dxa"/>
            <w:shd w:val="clear" w:color="auto" w:fill="auto"/>
            <w:noWrap/>
            <w:vAlign w:val="bottom"/>
            <w:hideMark/>
          </w:tcPr>
          <w:p w14:paraId="72F8406C" w14:textId="56D723A2"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403</w:t>
            </w:r>
            <w:r w:rsidR="00347EF9">
              <w:rPr>
                <w:sz w:val="18"/>
                <w:szCs w:val="14"/>
              </w:rPr>
              <w:t xml:space="preserve"> </w:t>
            </w:r>
            <w:r w:rsidRPr="00347EF9">
              <w:rPr>
                <w:sz w:val="18"/>
                <w:szCs w:val="14"/>
              </w:rPr>
              <w:t>670</w:t>
            </w:r>
          </w:p>
        </w:tc>
        <w:tc>
          <w:tcPr>
            <w:tcW w:w="574" w:type="dxa"/>
            <w:shd w:val="clear" w:color="auto" w:fill="auto"/>
            <w:noWrap/>
            <w:vAlign w:val="bottom"/>
            <w:hideMark/>
          </w:tcPr>
          <w:p w14:paraId="38CC6D0A" w14:textId="77777777" w:rsidR="00BD4745" w:rsidRPr="00347EF9" w:rsidRDefault="00BD4745" w:rsidP="004B0800">
            <w:pPr>
              <w:spacing w:before="40" w:after="40" w:line="220" w:lineRule="exact"/>
              <w:ind w:left="113"/>
              <w:jc w:val="right"/>
              <w:rPr>
                <w:sz w:val="18"/>
                <w:szCs w:val="14"/>
              </w:rPr>
            </w:pPr>
            <w:r w:rsidRPr="00347EF9">
              <w:rPr>
                <w:sz w:val="18"/>
                <w:szCs w:val="14"/>
              </w:rPr>
              <w:t>81,8</w:t>
            </w:r>
          </w:p>
        </w:tc>
        <w:tc>
          <w:tcPr>
            <w:tcW w:w="952" w:type="dxa"/>
            <w:shd w:val="clear" w:color="auto" w:fill="auto"/>
            <w:noWrap/>
            <w:vAlign w:val="bottom"/>
            <w:hideMark/>
          </w:tcPr>
          <w:p w14:paraId="157FF193" w14:textId="1BE60A4F"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310</w:t>
            </w:r>
            <w:r w:rsidR="00347EF9">
              <w:rPr>
                <w:sz w:val="18"/>
                <w:szCs w:val="14"/>
              </w:rPr>
              <w:t xml:space="preserve"> </w:t>
            </w:r>
            <w:r w:rsidRPr="00347EF9">
              <w:rPr>
                <w:sz w:val="18"/>
                <w:szCs w:val="14"/>
              </w:rPr>
              <w:t>066</w:t>
            </w:r>
          </w:p>
        </w:tc>
        <w:tc>
          <w:tcPr>
            <w:tcW w:w="469" w:type="dxa"/>
            <w:shd w:val="clear" w:color="auto" w:fill="auto"/>
            <w:noWrap/>
            <w:vAlign w:val="bottom"/>
            <w:hideMark/>
          </w:tcPr>
          <w:p w14:paraId="68635F2E" w14:textId="77777777" w:rsidR="00BD4745" w:rsidRPr="00347EF9" w:rsidRDefault="00BD4745" w:rsidP="004B0800">
            <w:pPr>
              <w:spacing w:before="40" w:after="40" w:line="220" w:lineRule="exact"/>
              <w:ind w:left="113"/>
              <w:jc w:val="right"/>
              <w:rPr>
                <w:sz w:val="18"/>
                <w:szCs w:val="14"/>
              </w:rPr>
            </w:pPr>
            <w:r w:rsidRPr="00347EF9">
              <w:rPr>
                <w:sz w:val="18"/>
                <w:szCs w:val="14"/>
              </w:rPr>
              <w:t>85,8</w:t>
            </w:r>
          </w:p>
        </w:tc>
      </w:tr>
      <w:bookmarkEnd w:id="2"/>
      <w:tr w:rsidR="00347EF9" w:rsidRPr="00347EF9" w14:paraId="7D225A4E" w14:textId="77777777" w:rsidTr="004B0800">
        <w:trPr>
          <w:trHeight w:val="240"/>
        </w:trPr>
        <w:tc>
          <w:tcPr>
            <w:tcW w:w="1092" w:type="dxa"/>
            <w:shd w:val="clear" w:color="auto" w:fill="auto"/>
            <w:noWrap/>
            <w:hideMark/>
          </w:tcPr>
          <w:p w14:paraId="1542BD88" w14:textId="77777777" w:rsidR="00BD4745" w:rsidRPr="00347EF9" w:rsidRDefault="00BD4745">
            <w:pPr>
              <w:spacing w:before="40" w:after="40" w:line="220" w:lineRule="exact"/>
              <w:rPr>
                <w:sz w:val="18"/>
                <w:szCs w:val="14"/>
              </w:rPr>
            </w:pPr>
            <w:r w:rsidRPr="00347EF9">
              <w:rPr>
                <w:sz w:val="18"/>
                <w:szCs w:val="14"/>
              </w:rPr>
              <w:t>Viacha</w:t>
            </w:r>
          </w:p>
        </w:tc>
        <w:tc>
          <w:tcPr>
            <w:tcW w:w="952" w:type="dxa"/>
            <w:shd w:val="clear" w:color="auto" w:fill="auto"/>
            <w:noWrap/>
            <w:vAlign w:val="bottom"/>
            <w:hideMark/>
          </w:tcPr>
          <w:p w14:paraId="3C6DDA0E" w14:textId="4135C14A" w:rsidR="00BD4745" w:rsidRPr="00347EF9" w:rsidRDefault="00BD4745" w:rsidP="004B0800">
            <w:pPr>
              <w:spacing w:before="40" w:after="40" w:line="220" w:lineRule="exact"/>
              <w:ind w:left="113"/>
              <w:jc w:val="right"/>
              <w:rPr>
                <w:sz w:val="18"/>
                <w:szCs w:val="14"/>
              </w:rPr>
            </w:pPr>
            <w:r w:rsidRPr="00347EF9">
              <w:rPr>
                <w:sz w:val="18"/>
                <w:szCs w:val="14"/>
              </w:rPr>
              <w:t>93</w:t>
            </w:r>
            <w:r w:rsidR="00347EF9">
              <w:rPr>
                <w:sz w:val="18"/>
                <w:szCs w:val="14"/>
              </w:rPr>
              <w:t xml:space="preserve"> </w:t>
            </w:r>
            <w:r w:rsidRPr="00347EF9">
              <w:rPr>
                <w:sz w:val="18"/>
                <w:szCs w:val="14"/>
              </w:rPr>
              <w:t>461</w:t>
            </w:r>
          </w:p>
        </w:tc>
        <w:tc>
          <w:tcPr>
            <w:tcW w:w="896" w:type="dxa"/>
            <w:shd w:val="clear" w:color="auto" w:fill="auto"/>
            <w:noWrap/>
            <w:vAlign w:val="bottom"/>
            <w:hideMark/>
          </w:tcPr>
          <w:p w14:paraId="5D532825" w14:textId="46450315" w:rsidR="00BD4745" w:rsidRPr="00347EF9" w:rsidRDefault="00BD4745" w:rsidP="004B0800">
            <w:pPr>
              <w:spacing w:before="40" w:after="40" w:line="220" w:lineRule="exact"/>
              <w:ind w:left="113"/>
              <w:jc w:val="right"/>
              <w:rPr>
                <w:sz w:val="18"/>
                <w:szCs w:val="14"/>
              </w:rPr>
            </w:pPr>
            <w:r w:rsidRPr="00347EF9">
              <w:rPr>
                <w:sz w:val="18"/>
                <w:szCs w:val="14"/>
              </w:rPr>
              <w:t>74</w:t>
            </w:r>
            <w:r w:rsidR="00347EF9">
              <w:rPr>
                <w:sz w:val="18"/>
                <w:szCs w:val="14"/>
              </w:rPr>
              <w:t xml:space="preserve"> </w:t>
            </w:r>
            <w:r w:rsidRPr="00347EF9">
              <w:rPr>
                <w:sz w:val="18"/>
                <w:szCs w:val="14"/>
              </w:rPr>
              <w:t>501</w:t>
            </w:r>
          </w:p>
        </w:tc>
        <w:tc>
          <w:tcPr>
            <w:tcW w:w="447" w:type="dxa"/>
            <w:shd w:val="clear" w:color="auto" w:fill="auto"/>
            <w:noWrap/>
            <w:vAlign w:val="bottom"/>
            <w:hideMark/>
          </w:tcPr>
          <w:p w14:paraId="5A380435" w14:textId="77777777" w:rsidR="00BD4745" w:rsidRPr="00347EF9" w:rsidRDefault="00BD4745" w:rsidP="004B0800">
            <w:pPr>
              <w:spacing w:before="40" w:after="40" w:line="220" w:lineRule="exact"/>
              <w:ind w:left="113"/>
              <w:jc w:val="right"/>
              <w:rPr>
                <w:sz w:val="18"/>
                <w:szCs w:val="14"/>
              </w:rPr>
            </w:pPr>
            <w:r w:rsidRPr="00347EF9">
              <w:rPr>
                <w:sz w:val="18"/>
                <w:szCs w:val="14"/>
              </w:rPr>
              <w:t>79,7</w:t>
            </w:r>
          </w:p>
        </w:tc>
        <w:tc>
          <w:tcPr>
            <w:tcW w:w="924" w:type="dxa"/>
            <w:shd w:val="clear" w:color="auto" w:fill="auto"/>
            <w:noWrap/>
            <w:vAlign w:val="bottom"/>
            <w:hideMark/>
          </w:tcPr>
          <w:p w14:paraId="32064D41" w14:textId="609421B5" w:rsidR="00BD4745" w:rsidRPr="00347EF9" w:rsidRDefault="00BD4745" w:rsidP="004B0800">
            <w:pPr>
              <w:spacing w:before="40" w:after="40" w:line="220" w:lineRule="exact"/>
              <w:ind w:left="113"/>
              <w:jc w:val="right"/>
              <w:rPr>
                <w:sz w:val="18"/>
                <w:szCs w:val="14"/>
              </w:rPr>
            </w:pPr>
            <w:r w:rsidRPr="00347EF9">
              <w:rPr>
                <w:sz w:val="18"/>
                <w:szCs w:val="14"/>
              </w:rPr>
              <w:t>455</w:t>
            </w:r>
            <w:r w:rsidR="00347EF9">
              <w:rPr>
                <w:sz w:val="18"/>
                <w:szCs w:val="14"/>
              </w:rPr>
              <w:t xml:space="preserve"> </w:t>
            </w:r>
            <w:r w:rsidRPr="00347EF9">
              <w:rPr>
                <w:sz w:val="18"/>
                <w:szCs w:val="14"/>
              </w:rPr>
              <w:t>655</w:t>
            </w:r>
          </w:p>
        </w:tc>
        <w:tc>
          <w:tcPr>
            <w:tcW w:w="939" w:type="dxa"/>
            <w:shd w:val="clear" w:color="auto" w:fill="auto"/>
            <w:noWrap/>
            <w:vAlign w:val="bottom"/>
            <w:hideMark/>
          </w:tcPr>
          <w:p w14:paraId="36CE94F3" w14:textId="2DDDF7DE" w:rsidR="00BD4745" w:rsidRPr="00347EF9" w:rsidRDefault="00BD4745" w:rsidP="004B0800">
            <w:pPr>
              <w:spacing w:before="40" w:after="40" w:line="220" w:lineRule="exact"/>
              <w:ind w:left="113"/>
              <w:jc w:val="right"/>
              <w:rPr>
                <w:sz w:val="18"/>
                <w:szCs w:val="14"/>
              </w:rPr>
            </w:pPr>
            <w:r w:rsidRPr="00347EF9">
              <w:rPr>
                <w:sz w:val="18"/>
                <w:szCs w:val="14"/>
              </w:rPr>
              <w:t>436</w:t>
            </w:r>
            <w:r w:rsidR="00347EF9">
              <w:rPr>
                <w:sz w:val="18"/>
                <w:szCs w:val="14"/>
              </w:rPr>
              <w:t xml:space="preserve"> </w:t>
            </w:r>
            <w:r w:rsidRPr="00347EF9">
              <w:rPr>
                <w:sz w:val="18"/>
                <w:szCs w:val="14"/>
              </w:rPr>
              <w:t>021</w:t>
            </w:r>
          </w:p>
        </w:tc>
        <w:tc>
          <w:tcPr>
            <w:tcW w:w="447" w:type="dxa"/>
            <w:shd w:val="clear" w:color="auto" w:fill="auto"/>
            <w:noWrap/>
            <w:vAlign w:val="bottom"/>
            <w:hideMark/>
          </w:tcPr>
          <w:p w14:paraId="2E34FC0E" w14:textId="77777777" w:rsidR="00BD4745" w:rsidRPr="00347EF9" w:rsidRDefault="00BD4745" w:rsidP="004B0800">
            <w:pPr>
              <w:spacing w:before="40" w:after="40" w:line="220" w:lineRule="exact"/>
              <w:ind w:left="113"/>
              <w:jc w:val="right"/>
              <w:rPr>
                <w:sz w:val="18"/>
                <w:szCs w:val="14"/>
              </w:rPr>
            </w:pPr>
            <w:r w:rsidRPr="00347EF9">
              <w:rPr>
                <w:sz w:val="18"/>
                <w:szCs w:val="14"/>
              </w:rPr>
              <w:t>95,7</w:t>
            </w:r>
          </w:p>
        </w:tc>
        <w:tc>
          <w:tcPr>
            <w:tcW w:w="1022" w:type="dxa"/>
            <w:shd w:val="clear" w:color="auto" w:fill="auto"/>
            <w:noWrap/>
            <w:vAlign w:val="bottom"/>
            <w:hideMark/>
          </w:tcPr>
          <w:p w14:paraId="41B66D64" w14:textId="377AD4B1" w:rsidR="00BD4745" w:rsidRPr="00347EF9" w:rsidRDefault="00BD4745" w:rsidP="004B0800">
            <w:pPr>
              <w:spacing w:before="40" w:after="40" w:line="220" w:lineRule="exact"/>
              <w:ind w:left="113"/>
              <w:jc w:val="right"/>
              <w:rPr>
                <w:sz w:val="18"/>
                <w:szCs w:val="14"/>
              </w:rPr>
            </w:pPr>
            <w:r w:rsidRPr="00347EF9">
              <w:rPr>
                <w:sz w:val="18"/>
                <w:szCs w:val="14"/>
              </w:rPr>
              <w:t>417</w:t>
            </w:r>
            <w:r w:rsidR="00347EF9">
              <w:rPr>
                <w:sz w:val="18"/>
                <w:szCs w:val="14"/>
              </w:rPr>
              <w:t xml:space="preserve"> </w:t>
            </w:r>
            <w:r w:rsidRPr="00347EF9">
              <w:rPr>
                <w:sz w:val="18"/>
                <w:szCs w:val="14"/>
              </w:rPr>
              <w:t>706</w:t>
            </w:r>
          </w:p>
        </w:tc>
        <w:tc>
          <w:tcPr>
            <w:tcW w:w="924" w:type="dxa"/>
            <w:shd w:val="clear" w:color="auto" w:fill="auto"/>
            <w:noWrap/>
            <w:vAlign w:val="bottom"/>
            <w:hideMark/>
          </w:tcPr>
          <w:p w14:paraId="0E8F7A09" w14:textId="7E3E6A5B" w:rsidR="00BD4745" w:rsidRPr="00347EF9" w:rsidRDefault="00BD4745" w:rsidP="004B0800">
            <w:pPr>
              <w:spacing w:before="40" w:after="40" w:line="220" w:lineRule="exact"/>
              <w:ind w:left="113"/>
              <w:jc w:val="right"/>
              <w:rPr>
                <w:sz w:val="18"/>
                <w:szCs w:val="14"/>
              </w:rPr>
            </w:pPr>
            <w:r w:rsidRPr="00347EF9">
              <w:rPr>
                <w:sz w:val="18"/>
                <w:szCs w:val="14"/>
              </w:rPr>
              <w:t>305</w:t>
            </w:r>
            <w:r w:rsidR="00347EF9">
              <w:rPr>
                <w:sz w:val="18"/>
                <w:szCs w:val="14"/>
              </w:rPr>
              <w:t xml:space="preserve"> </w:t>
            </w:r>
            <w:r w:rsidRPr="00347EF9">
              <w:rPr>
                <w:sz w:val="18"/>
                <w:szCs w:val="14"/>
              </w:rPr>
              <w:t>811</w:t>
            </w:r>
          </w:p>
        </w:tc>
        <w:tc>
          <w:tcPr>
            <w:tcW w:w="574" w:type="dxa"/>
            <w:shd w:val="clear" w:color="auto" w:fill="auto"/>
            <w:noWrap/>
            <w:vAlign w:val="bottom"/>
            <w:hideMark/>
          </w:tcPr>
          <w:p w14:paraId="3149638B" w14:textId="77777777" w:rsidR="00BD4745" w:rsidRPr="00347EF9" w:rsidRDefault="00BD4745" w:rsidP="004B0800">
            <w:pPr>
              <w:spacing w:before="40" w:after="40" w:line="220" w:lineRule="exact"/>
              <w:ind w:left="113"/>
              <w:jc w:val="right"/>
              <w:rPr>
                <w:sz w:val="18"/>
                <w:szCs w:val="14"/>
              </w:rPr>
            </w:pPr>
            <w:r w:rsidRPr="00347EF9">
              <w:rPr>
                <w:sz w:val="18"/>
                <w:szCs w:val="14"/>
              </w:rPr>
              <w:t>73,2</w:t>
            </w:r>
          </w:p>
        </w:tc>
        <w:tc>
          <w:tcPr>
            <w:tcW w:w="952" w:type="dxa"/>
            <w:shd w:val="clear" w:color="auto" w:fill="auto"/>
            <w:noWrap/>
            <w:vAlign w:val="bottom"/>
            <w:hideMark/>
          </w:tcPr>
          <w:p w14:paraId="677C8EC8" w14:textId="3B832004" w:rsidR="00BD4745" w:rsidRPr="00347EF9" w:rsidRDefault="00BD4745" w:rsidP="004B0800">
            <w:pPr>
              <w:spacing w:before="40" w:after="40" w:line="220" w:lineRule="exact"/>
              <w:ind w:left="113"/>
              <w:jc w:val="right"/>
              <w:rPr>
                <w:sz w:val="18"/>
                <w:szCs w:val="14"/>
              </w:rPr>
            </w:pPr>
            <w:r w:rsidRPr="00347EF9">
              <w:rPr>
                <w:sz w:val="18"/>
                <w:szCs w:val="14"/>
              </w:rPr>
              <w:t>272</w:t>
            </w:r>
            <w:r w:rsidR="00347EF9">
              <w:rPr>
                <w:sz w:val="18"/>
                <w:szCs w:val="14"/>
              </w:rPr>
              <w:t xml:space="preserve"> </w:t>
            </w:r>
            <w:r w:rsidRPr="00347EF9">
              <w:rPr>
                <w:sz w:val="18"/>
                <w:szCs w:val="14"/>
              </w:rPr>
              <w:t>111</w:t>
            </w:r>
          </w:p>
        </w:tc>
        <w:tc>
          <w:tcPr>
            <w:tcW w:w="469" w:type="dxa"/>
            <w:shd w:val="clear" w:color="auto" w:fill="auto"/>
            <w:noWrap/>
            <w:vAlign w:val="bottom"/>
            <w:hideMark/>
          </w:tcPr>
          <w:p w14:paraId="307E6CD8" w14:textId="77777777" w:rsidR="00BD4745" w:rsidRPr="00347EF9" w:rsidRDefault="00BD4745" w:rsidP="004B0800">
            <w:pPr>
              <w:spacing w:before="40" w:after="40" w:line="220" w:lineRule="exact"/>
              <w:ind w:left="113"/>
              <w:jc w:val="right"/>
              <w:rPr>
                <w:sz w:val="18"/>
                <w:szCs w:val="14"/>
              </w:rPr>
            </w:pPr>
            <w:r w:rsidRPr="00347EF9">
              <w:rPr>
                <w:sz w:val="18"/>
                <w:szCs w:val="14"/>
              </w:rPr>
              <w:t>82,9</w:t>
            </w:r>
          </w:p>
        </w:tc>
      </w:tr>
      <w:tr w:rsidR="00347EF9" w:rsidRPr="00347EF9" w14:paraId="6C1989F9" w14:textId="77777777" w:rsidTr="004B0800">
        <w:trPr>
          <w:trHeight w:val="240"/>
        </w:trPr>
        <w:tc>
          <w:tcPr>
            <w:tcW w:w="1092" w:type="dxa"/>
            <w:tcBorders>
              <w:bottom w:val="single" w:sz="4" w:space="0" w:color="auto"/>
            </w:tcBorders>
            <w:shd w:val="clear" w:color="auto" w:fill="auto"/>
            <w:noWrap/>
            <w:hideMark/>
          </w:tcPr>
          <w:p w14:paraId="29EF5940" w14:textId="77777777" w:rsidR="00BD4745" w:rsidRPr="00347EF9" w:rsidRDefault="00BD4745">
            <w:pPr>
              <w:spacing w:before="40" w:after="40" w:line="220" w:lineRule="exact"/>
              <w:rPr>
                <w:sz w:val="18"/>
                <w:szCs w:val="14"/>
              </w:rPr>
            </w:pPr>
            <w:r w:rsidRPr="00347EF9">
              <w:rPr>
                <w:sz w:val="18"/>
                <w:szCs w:val="14"/>
              </w:rPr>
              <w:t>Cobija</w:t>
            </w:r>
          </w:p>
        </w:tc>
        <w:tc>
          <w:tcPr>
            <w:tcW w:w="952" w:type="dxa"/>
            <w:tcBorders>
              <w:bottom w:val="single" w:sz="4" w:space="0" w:color="auto"/>
            </w:tcBorders>
            <w:shd w:val="clear" w:color="auto" w:fill="auto"/>
            <w:noWrap/>
            <w:vAlign w:val="bottom"/>
            <w:hideMark/>
          </w:tcPr>
          <w:p w14:paraId="5E3FA9EA" w14:textId="30701624" w:rsidR="00BD4745" w:rsidRPr="00347EF9" w:rsidRDefault="00BD4745" w:rsidP="004B0800">
            <w:pPr>
              <w:spacing w:before="40" w:after="40" w:line="220" w:lineRule="exact"/>
              <w:ind w:left="113"/>
              <w:jc w:val="right"/>
              <w:rPr>
                <w:sz w:val="18"/>
                <w:szCs w:val="14"/>
              </w:rPr>
            </w:pPr>
            <w:r w:rsidRPr="00347EF9">
              <w:rPr>
                <w:sz w:val="18"/>
                <w:szCs w:val="14"/>
              </w:rPr>
              <w:t>841</w:t>
            </w:r>
            <w:r w:rsidR="00347EF9">
              <w:rPr>
                <w:sz w:val="18"/>
                <w:szCs w:val="14"/>
              </w:rPr>
              <w:t xml:space="preserve"> </w:t>
            </w:r>
            <w:r w:rsidRPr="00347EF9">
              <w:rPr>
                <w:sz w:val="18"/>
                <w:szCs w:val="14"/>
              </w:rPr>
              <w:t>528</w:t>
            </w:r>
          </w:p>
        </w:tc>
        <w:tc>
          <w:tcPr>
            <w:tcW w:w="896" w:type="dxa"/>
            <w:tcBorders>
              <w:bottom w:val="single" w:sz="4" w:space="0" w:color="auto"/>
            </w:tcBorders>
            <w:shd w:val="clear" w:color="auto" w:fill="auto"/>
            <w:noWrap/>
            <w:vAlign w:val="bottom"/>
            <w:hideMark/>
          </w:tcPr>
          <w:p w14:paraId="4B6662A7" w14:textId="570E3101" w:rsidR="00BD4745" w:rsidRPr="00347EF9" w:rsidRDefault="00BD4745" w:rsidP="004B0800">
            <w:pPr>
              <w:spacing w:before="40" w:after="40" w:line="220" w:lineRule="exact"/>
              <w:ind w:left="113"/>
              <w:jc w:val="right"/>
              <w:rPr>
                <w:sz w:val="18"/>
                <w:szCs w:val="14"/>
              </w:rPr>
            </w:pPr>
            <w:r w:rsidRPr="00347EF9">
              <w:rPr>
                <w:sz w:val="18"/>
                <w:szCs w:val="14"/>
              </w:rPr>
              <w:t>829</w:t>
            </w:r>
            <w:r w:rsidR="00347EF9">
              <w:rPr>
                <w:sz w:val="18"/>
                <w:szCs w:val="14"/>
              </w:rPr>
              <w:t xml:space="preserve"> </w:t>
            </w:r>
            <w:r w:rsidRPr="00347EF9">
              <w:rPr>
                <w:sz w:val="18"/>
                <w:szCs w:val="14"/>
              </w:rPr>
              <w:t>439</w:t>
            </w:r>
          </w:p>
        </w:tc>
        <w:tc>
          <w:tcPr>
            <w:tcW w:w="447" w:type="dxa"/>
            <w:tcBorders>
              <w:bottom w:val="single" w:sz="4" w:space="0" w:color="auto"/>
            </w:tcBorders>
            <w:shd w:val="clear" w:color="auto" w:fill="auto"/>
            <w:noWrap/>
            <w:vAlign w:val="bottom"/>
            <w:hideMark/>
          </w:tcPr>
          <w:p w14:paraId="31E3890B" w14:textId="77777777" w:rsidR="00BD4745" w:rsidRPr="00347EF9" w:rsidRDefault="00BD4745" w:rsidP="004B0800">
            <w:pPr>
              <w:spacing w:before="40" w:after="40" w:line="220" w:lineRule="exact"/>
              <w:ind w:left="113"/>
              <w:jc w:val="right"/>
              <w:rPr>
                <w:sz w:val="18"/>
                <w:szCs w:val="14"/>
              </w:rPr>
            </w:pPr>
            <w:r w:rsidRPr="00347EF9">
              <w:rPr>
                <w:sz w:val="18"/>
                <w:szCs w:val="14"/>
              </w:rPr>
              <w:t>98,6</w:t>
            </w:r>
          </w:p>
        </w:tc>
        <w:tc>
          <w:tcPr>
            <w:tcW w:w="924" w:type="dxa"/>
            <w:tcBorders>
              <w:bottom w:val="single" w:sz="4" w:space="0" w:color="auto"/>
            </w:tcBorders>
            <w:shd w:val="clear" w:color="auto" w:fill="auto"/>
            <w:noWrap/>
            <w:vAlign w:val="bottom"/>
            <w:hideMark/>
          </w:tcPr>
          <w:p w14:paraId="010D45D0" w14:textId="3F951BC5" w:rsidR="00BD4745" w:rsidRPr="00347EF9" w:rsidRDefault="00BD4745" w:rsidP="004B0800">
            <w:pPr>
              <w:spacing w:before="40" w:after="40" w:line="220" w:lineRule="exact"/>
              <w:ind w:left="113"/>
              <w:jc w:val="right"/>
              <w:rPr>
                <w:sz w:val="18"/>
                <w:szCs w:val="14"/>
              </w:rPr>
            </w:pPr>
            <w:r w:rsidRPr="00347EF9">
              <w:rPr>
                <w:sz w:val="18"/>
                <w:szCs w:val="14"/>
              </w:rPr>
              <w:t>2</w:t>
            </w:r>
            <w:r w:rsidR="00347EF9">
              <w:rPr>
                <w:sz w:val="18"/>
                <w:szCs w:val="14"/>
              </w:rPr>
              <w:t xml:space="preserve"> </w:t>
            </w:r>
            <w:r w:rsidRPr="00347EF9">
              <w:rPr>
                <w:sz w:val="18"/>
                <w:szCs w:val="14"/>
              </w:rPr>
              <w:t>060</w:t>
            </w:r>
            <w:r w:rsidR="00347EF9">
              <w:rPr>
                <w:sz w:val="18"/>
                <w:szCs w:val="14"/>
              </w:rPr>
              <w:t xml:space="preserve"> </w:t>
            </w:r>
            <w:r w:rsidRPr="00347EF9">
              <w:rPr>
                <w:sz w:val="18"/>
                <w:szCs w:val="14"/>
              </w:rPr>
              <w:t>825</w:t>
            </w:r>
          </w:p>
        </w:tc>
        <w:tc>
          <w:tcPr>
            <w:tcW w:w="939" w:type="dxa"/>
            <w:tcBorders>
              <w:bottom w:val="single" w:sz="4" w:space="0" w:color="auto"/>
            </w:tcBorders>
            <w:shd w:val="clear" w:color="auto" w:fill="auto"/>
            <w:noWrap/>
            <w:vAlign w:val="bottom"/>
            <w:hideMark/>
          </w:tcPr>
          <w:p w14:paraId="753BF5BB" w14:textId="6A70D3E1"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608</w:t>
            </w:r>
            <w:r w:rsidR="00347EF9">
              <w:rPr>
                <w:sz w:val="18"/>
                <w:szCs w:val="14"/>
              </w:rPr>
              <w:t xml:space="preserve"> </w:t>
            </w:r>
            <w:r w:rsidRPr="00347EF9">
              <w:rPr>
                <w:sz w:val="18"/>
                <w:szCs w:val="14"/>
              </w:rPr>
              <w:t>390</w:t>
            </w:r>
          </w:p>
        </w:tc>
        <w:tc>
          <w:tcPr>
            <w:tcW w:w="447" w:type="dxa"/>
            <w:tcBorders>
              <w:bottom w:val="single" w:sz="4" w:space="0" w:color="auto"/>
            </w:tcBorders>
            <w:shd w:val="clear" w:color="auto" w:fill="auto"/>
            <w:noWrap/>
            <w:vAlign w:val="bottom"/>
            <w:hideMark/>
          </w:tcPr>
          <w:p w14:paraId="184EF77B" w14:textId="77777777" w:rsidR="00BD4745" w:rsidRPr="00347EF9" w:rsidRDefault="00BD4745" w:rsidP="004B0800">
            <w:pPr>
              <w:spacing w:before="40" w:after="40" w:line="220" w:lineRule="exact"/>
              <w:ind w:left="113"/>
              <w:jc w:val="right"/>
              <w:rPr>
                <w:sz w:val="18"/>
                <w:szCs w:val="14"/>
              </w:rPr>
            </w:pPr>
            <w:r w:rsidRPr="00347EF9">
              <w:rPr>
                <w:sz w:val="18"/>
                <w:szCs w:val="14"/>
              </w:rPr>
              <w:t>78,0</w:t>
            </w:r>
          </w:p>
        </w:tc>
        <w:tc>
          <w:tcPr>
            <w:tcW w:w="1022" w:type="dxa"/>
            <w:tcBorders>
              <w:bottom w:val="single" w:sz="4" w:space="0" w:color="auto"/>
            </w:tcBorders>
            <w:shd w:val="clear" w:color="auto" w:fill="auto"/>
            <w:noWrap/>
            <w:vAlign w:val="bottom"/>
            <w:hideMark/>
          </w:tcPr>
          <w:p w14:paraId="2878E1F5" w14:textId="35E992A3" w:rsidR="00BD4745" w:rsidRPr="00347EF9" w:rsidRDefault="00BD4745" w:rsidP="004B0800">
            <w:pPr>
              <w:spacing w:before="40" w:after="40" w:line="220" w:lineRule="exact"/>
              <w:ind w:left="113"/>
              <w:jc w:val="right"/>
              <w:rPr>
                <w:sz w:val="18"/>
                <w:szCs w:val="14"/>
              </w:rPr>
            </w:pPr>
            <w:r w:rsidRPr="00347EF9">
              <w:rPr>
                <w:sz w:val="18"/>
                <w:szCs w:val="14"/>
              </w:rPr>
              <w:t>1</w:t>
            </w:r>
            <w:r w:rsidR="00347EF9">
              <w:rPr>
                <w:sz w:val="18"/>
                <w:szCs w:val="14"/>
              </w:rPr>
              <w:t xml:space="preserve"> </w:t>
            </w:r>
            <w:r w:rsidRPr="00347EF9">
              <w:rPr>
                <w:sz w:val="18"/>
                <w:szCs w:val="14"/>
              </w:rPr>
              <w:t>394</w:t>
            </w:r>
            <w:r w:rsidR="00347EF9">
              <w:rPr>
                <w:sz w:val="18"/>
                <w:szCs w:val="14"/>
              </w:rPr>
              <w:t xml:space="preserve"> </w:t>
            </w:r>
            <w:r w:rsidRPr="00347EF9">
              <w:rPr>
                <w:sz w:val="18"/>
                <w:szCs w:val="14"/>
              </w:rPr>
              <w:t>249</w:t>
            </w:r>
          </w:p>
        </w:tc>
        <w:tc>
          <w:tcPr>
            <w:tcW w:w="924" w:type="dxa"/>
            <w:tcBorders>
              <w:bottom w:val="single" w:sz="4" w:space="0" w:color="auto"/>
            </w:tcBorders>
            <w:shd w:val="clear" w:color="auto" w:fill="auto"/>
            <w:noWrap/>
            <w:vAlign w:val="bottom"/>
            <w:hideMark/>
          </w:tcPr>
          <w:p w14:paraId="4081374A" w14:textId="5CAB4AE9" w:rsidR="00BD4745" w:rsidRPr="00347EF9" w:rsidRDefault="00BD4745" w:rsidP="004B0800">
            <w:pPr>
              <w:spacing w:before="40" w:after="40" w:line="220" w:lineRule="exact"/>
              <w:ind w:left="113"/>
              <w:jc w:val="right"/>
              <w:rPr>
                <w:sz w:val="18"/>
                <w:szCs w:val="14"/>
              </w:rPr>
            </w:pPr>
            <w:r w:rsidRPr="00347EF9">
              <w:rPr>
                <w:sz w:val="18"/>
                <w:szCs w:val="14"/>
              </w:rPr>
              <w:t>551</w:t>
            </w:r>
            <w:r w:rsidR="00347EF9">
              <w:rPr>
                <w:sz w:val="18"/>
                <w:szCs w:val="14"/>
              </w:rPr>
              <w:t xml:space="preserve"> </w:t>
            </w:r>
            <w:r w:rsidRPr="00347EF9">
              <w:rPr>
                <w:sz w:val="18"/>
                <w:szCs w:val="14"/>
              </w:rPr>
              <w:t>294</w:t>
            </w:r>
          </w:p>
        </w:tc>
        <w:tc>
          <w:tcPr>
            <w:tcW w:w="574" w:type="dxa"/>
            <w:tcBorders>
              <w:bottom w:val="single" w:sz="4" w:space="0" w:color="auto"/>
            </w:tcBorders>
            <w:shd w:val="clear" w:color="auto" w:fill="auto"/>
            <w:noWrap/>
            <w:vAlign w:val="bottom"/>
            <w:hideMark/>
          </w:tcPr>
          <w:p w14:paraId="3832F012" w14:textId="77777777" w:rsidR="00BD4745" w:rsidRPr="00347EF9" w:rsidRDefault="00BD4745" w:rsidP="004B0800">
            <w:pPr>
              <w:spacing w:before="40" w:after="40" w:line="220" w:lineRule="exact"/>
              <w:ind w:left="113"/>
              <w:jc w:val="right"/>
              <w:rPr>
                <w:sz w:val="18"/>
                <w:szCs w:val="14"/>
              </w:rPr>
            </w:pPr>
            <w:r w:rsidRPr="00347EF9">
              <w:rPr>
                <w:sz w:val="18"/>
                <w:szCs w:val="14"/>
              </w:rPr>
              <w:t>39,5</w:t>
            </w:r>
          </w:p>
        </w:tc>
        <w:tc>
          <w:tcPr>
            <w:tcW w:w="952" w:type="dxa"/>
            <w:tcBorders>
              <w:bottom w:val="single" w:sz="4" w:space="0" w:color="auto"/>
            </w:tcBorders>
            <w:shd w:val="clear" w:color="auto" w:fill="auto"/>
            <w:noWrap/>
            <w:vAlign w:val="bottom"/>
            <w:hideMark/>
          </w:tcPr>
          <w:p w14:paraId="1530A262" w14:textId="3265A25D" w:rsidR="00BD4745" w:rsidRPr="00347EF9" w:rsidRDefault="00BD4745" w:rsidP="004B0800">
            <w:pPr>
              <w:spacing w:before="40" w:after="40" w:line="220" w:lineRule="exact"/>
              <w:ind w:left="113"/>
              <w:jc w:val="right"/>
              <w:rPr>
                <w:sz w:val="18"/>
                <w:szCs w:val="14"/>
              </w:rPr>
            </w:pPr>
            <w:r w:rsidRPr="00347EF9">
              <w:rPr>
                <w:sz w:val="18"/>
                <w:szCs w:val="14"/>
              </w:rPr>
              <w:t>996</w:t>
            </w:r>
            <w:r w:rsidR="00347EF9">
              <w:rPr>
                <w:sz w:val="18"/>
                <w:szCs w:val="14"/>
              </w:rPr>
              <w:t xml:space="preserve"> </w:t>
            </w:r>
            <w:r w:rsidRPr="00347EF9">
              <w:rPr>
                <w:sz w:val="18"/>
                <w:szCs w:val="14"/>
              </w:rPr>
              <w:t>374</w:t>
            </w:r>
          </w:p>
        </w:tc>
        <w:tc>
          <w:tcPr>
            <w:tcW w:w="469" w:type="dxa"/>
            <w:tcBorders>
              <w:bottom w:val="single" w:sz="4" w:space="0" w:color="auto"/>
            </w:tcBorders>
            <w:shd w:val="clear" w:color="auto" w:fill="auto"/>
            <w:noWrap/>
            <w:vAlign w:val="bottom"/>
            <w:hideMark/>
          </w:tcPr>
          <w:p w14:paraId="05D233CA" w14:textId="77777777" w:rsidR="00BD4745" w:rsidRPr="00347EF9" w:rsidRDefault="00BD4745" w:rsidP="004B0800">
            <w:pPr>
              <w:spacing w:before="40" w:after="40" w:line="220" w:lineRule="exact"/>
              <w:ind w:left="113"/>
              <w:jc w:val="right"/>
              <w:rPr>
                <w:sz w:val="18"/>
                <w:szCs w:val="14"/>
              </w:rPr>
            </w:pPr>
            <w:r w:rsidRPr="00347EF9">
              <w:rPr>
                <w:sz w:val="18"/>
                <w:szCs w:val="14"/>
              </w:rPr>
              <w:t>72,0</w:t>
            </w:r>
          </w:p>
        </w:tc>
      </w:tr>
      <w:tr w:rsidR="00347EF9" w:rsidRPr="00347EF9" w14:paraId="718E1BBF" w14:textId="77777777" w:rsidTr="004B0800">
        <w:trPr>
          <w:trHeight w:val="240"/>
        </w:trPr>
        <w:tc>
          <w:tcPr>
            <w:tcW w:w="1092" w:type="dxa"/>
            <w:tcBorders>
              <w:top w:val="single" w:sz="4" w:space="0" w:color="auto"/>
              <w:bottom w:val="single" w:sz="12" w:space="0" w:color="auto"/>
            </w:tcBorders>
            <w:shd w:val="clear" w:color="auto" w:fill="auto"/>
            <w:noWrap/>
          </w:tcPr>
          <w:p w14:paraId="2ACEFB23" w14:textId="00129BD6" w:rsidR="00BD4745" w:rsidRPr="004B0800" w:rsidRDefault="00347EF9" w:rsidP="004B0800">
            <w:pPr>
              <w:spacing w:before="80" w:after="80" w:line="220" w:lineRule="exact"/>
              <w:ind w:left="170"/>
              <w:rPr>
                <w:b/>
                <w:sz w:val="18"/>
                <w:szCs w:val="14"/>
              </w:rPr>
            </w:pPr>
            <w:r w:rsidRPr="004B0800">
              <w:rPr>
                <w:b/>
                <w:sz w:val="18"/>
                <w:szCs w:val="14"/>
              </w:rPr>
              <w:t xml:space="preserve">Total </w:t>
            </w:r>
            <w:r w:rsidR="00064F24">
              <w:rPr>
                <w:b/>
                <w:sz w:val="18"/>
                <w:szCs w:val="14"/>
              </w:rPr>
              <w:t>cat</w:t>
            </w:r>
            <w:r w:rsidR="00BD4745" w:rsidRPr="004B0800">
              <w:rPr>
                <w:b/>
                <w:sz w:val="18"/>
                <w:szCs w:val="14"/>
              </w:rPr>
              <w:t>. D</w:t>
            </w:r>
          </w:p>
        </w:tc>
        <w:tc>
          <w:tcPr>
            <w:tcW w:w="952" w:type="dxa"/>
            <w:tcBorders>
              <w:top w:val="single" w:sz="4" w:space="0" w:color="auto"/>
              <w:bottom w:val="single" w:sz="12" w:space="0" w:color="auto"/>
            </w:tcBorders>
            <w:shd w:val="clear" w:color="auto" w:fill="auto"/>
            <w:noWrap/>
            <w:vAlign w:val="bottom"/>
          </w:tcPr>
          <w:p w14:paraId="618533EC" w14:textId="0F0920E0" w:rsidR="00BD4745" w:rsidRPr="004B0800" w:rsidRDefault="00BD4745" w:rsidP="004B0800">
            <w:pPr>
              <w:spacing w:before="80" w:after="80" w:line="220" w:lineRule="exact"/>
              <w:jc w:val="right"/>
              <w:rPr>
                <w:b/>
                <w:sz w:val="18"/>
                <w:szCs w:val="14"/>
              </w:rPr>
            </w:pPr>
            <w:r w:rsidRPr="004B0800">
              <w:rPr>
                <w:b/>
                <w:sz w:val="18"/>
                <w:szCs w:val="14"/>
              </w:rPr>
              <w:t>35</w:t>
            </w:r>
            <w:r w:rsidR="00347EF9">
              <w:rPr>
                <w:b/>
                <w:sz w:val="18"/>
                <w:szCs w:val="14"/>
              </w:rPr>
              <w:t xml:space="preserve"> </w:t>
            </w:r>
            <w:r w:rsidRPr="004B0800">
              <w:rPr>
                <w:b/>
                <w:sz w:val="18"/>
                <w:szCs w:val="14"/>
              </w:rPr>
              <w:t>972</w:t>
            </w:r>
            <w:r w:rsidR="00347EF9">
              <w:rPr>
                <w:b/>
                <w:sz w:val="18"/>
                <w:szCs w:val="14"/>
              </w:rPr>
              <w:t xml:space="preserve"> </w:t>
            </w:r>
            <w:r w:rsidRPr="004B0800">
              <w:rPr>
                <w:b/>
                <w:sz w:val="18"/>
                <w:szCs w:val="14"/>
              </w:rPr>
              <w:t>062</w:t>
            </w:r>
          </w:p>
        </w:tc>
        <w:tc>
          <w:tcPr>
            <w:tcW w:w="896" w:type="dxa"/>
            <w:tcBorders>
              <w:top w:val="single" w:sz="4" w:space="0" w:color="auto"/>
              <w:bottom w:val="single" w:sz="12" w:space="0" w:color="auto"/>
            </w:tcBorders>
            <w:shd w:val="clear" w:color="auto" w:fill="auto"/>
            <w:noWrap/>
            <w:vAlign w:val="bottom"/>
          </w:tcPr>
          <w:p w14:paraId="4E25C624" w14:textId="4414EE69" w:rsidR="00BD4745" w:rsidRPr="004B0800" w:rsidRDefault="00BD4745" w:rsidP="004B0800">
            <w:pPr>
              <w:spacing w:before="80" w:after="80" w:line="220" w:lineRule="exact"/>
              <w:jc w:val="right"/>
              <w:rPr>
                <w:b/>
                <w:sz w:val="18"/>
                <w:szCs w:val="14"/>
              </w:rPr>
            </w:pPr>
            <w:r w:rsidRPr="004B0800">
              <w:rPr>
                <w:b/>
                <w:sz w:val="18"/>
                <w:szCs w:val="14"/>
              </w:rPr>
              <w:t>26</w:t>
            </w:r>
            <w:r w:rsidR="00347EF9">
              <w:rPr>
                <w:b/>
                <w:sz w:val="18"/>
                <w:szCs w:val="14"/>
              </w:rPr>
              <w:t xml:space="preserve"> </w:t>
            </w:r>
            <w:r w:rsidRPr="004B0800">
              <w:rPr>
                <w:b/>
                <w:sz w:val="18"/>
                <w:szCs w:val="14"/>
              </w:rPr>
              <w:t>352</w:t>
            </w:r>
            <w:r w:rsidR="00347EF9">
              <w:rPr>
                <w:b/>
                <w:sz w:val="18"/>
                <w:szCs w:val="14"/>
              </w:rPr>
              <w:t xml:space="preserve"> </w:t>
            </w:r>
            <w:r w:rsidRPr="004B0800">
              <w:rPr>
                <w:b/>
                <w:sz w:val="18"/>
                <w:szCs w:val="14"/>
              </w:rPr>
              <w:t>056</w:t>
            </w:r>
          </w:p>
        </w:tc>
        <w:tc>
          <w:tcPr>
            <w:tcW w:w="447" w:type="dxa"/>
            <w:tcBorders>
              <w:top w:val="single" w:sz="4" w:space="0" w:color="auto"/>
              <w:bottom w:val="single" w:sz="12" w:space="0" w:color="auto"/>
            </w:tcBorders>
            <w:shd w:val="clear" w:color="auto" w:fill="auto"/>
            <w:noWrap/>
            <w:vAlign w:val="bottom"/>
          </w:tcPr>
          <w:p w14:paraId="1A2F3204" w14:textId="77777777" w:rsidR="00BD4745" w:rsidRPr="004B0800" w:rsidRDefault="00BD4745" w:rsidP="004B0800">
            <w:pPr>
              <w:spacing w:before="80" w:after="80" w:line="220" w:lineRule="exact"/>
              <w:jc w:val="right"/>
              <w:rPr>
                <w:b/>
                <w:sz w:val="18"/>
                <w:szCs w:val="14"/>
              </w:rPr>
            </w:pPr>
            <w:r w:rsidRPr="004B0800">
              <w:rPr>
                <w:b/>
                <w:sz w:val="18"/>
                <w:szCs w:val="14"/>
              </w:rPr>
              <w:t>73,3</w:t>
            </w:r>
          </w:p>
        </w:tc>
        <w:tc>
          <w:tcPr>
            <w:tcW w:w="924" w:type="dxa"/>
            <w:tcBorders>
              <w:top w:val="single" w:sz="4" w:space="0" w:color="auto"/>
              <w:bottom w:val="single" w:sz="12" w:space="0" w:color="auto"/>
            </w:tcBorders>
            <w:shd w:val="clear" w:color="auto" w:fill="auto"/>
            <w:noWrap/>
            <w:vAlign w:val="bottom"/>
          </w:tcPr>
          <w:p w14:paraId="1F9E7C40" w14:textId="2C8CD795" w:rsidR="00BD4745" w:rsidRPr="004B0800" w:rsidRDefault="00BD4745" w:rsidP="004B0800">
            <w:pPr>
              <w:spacing w:before="80" w:after="80" w:line="220" w:lineRule="exact"/>
              <w:jc w:val="right"/>
              <w:rPr>
                <w:b/>
                <w:sz w:val="18"/>
                <w:szCs w:val="14"/>
              </w:rPr>
            </w:pPr>
            <w:r w:rsidRPr="004B0800">
              <w:rPr>
                <w:b/>
                <w:sz w:val="18"/>
                <w:szCs w:val="14"/>
              </w:rPr>
              <w:t>89</w:t>
            </w:r>
            <w:r w:rsidR="00347EF9">
              <w:rPr>
                <w:b/>
                <w:sz w:val="18"/>
                <w:szCs w:val="14"/>
              </w:rPr>
              <w:t xml:space="preserve"> </w:t>
            </w:r>
            <w:r w:rsidRPr="004B0800">
              <w:rPr>
                <w:b/>
                <w:sz w:val="18"/>
                <w:szCs w:val="14"/>
              </w:rPr>
              <w:t>183</w:t>
            </w:r>
            <w:r w:rsidR="00347EF9">
              <w:rPr>
                <w:b/>
                <w:sz w:val="18"/>
                <w:szCs w:val="14"/>
              </w:rPr>
              <w:t xml:space="preserve"> </w:t>
            </w:r>
            <w:r w:rsidRPr="004B0800">
              <w:rPr>
                <w:b/>
                <w:sz w:val="18"/>
                <w:szCs w:val="14"/>
              </w:rPr>
              <w:t>291</w:t>
            </w:r>
          </w:p>
        </w:tc>
        <w:tc>
          <w:tcPr>
            <w:tcW w:w="939" w:type="dxa"/>
            <w:tcBorders>
              <w:top w:val="single" w:sz="4" w:space="0" w:color="auto"/>
              <w:bottom w:val="single" w:sz="12" w:space="0" w:color="auto"/>
            </w:tcBorders>
            <w:shd w:val="clear" w:color="auto" w:fill="auto"/>
            <w:noWrap/>
            <w:vAlign w:val="bottom"/>
          </w:tcPr>
          <w:p w14:paraId="1E1170F4" w14:textId="0CB53241" w:rsidR="00BD4745" w:rsidRPr="004B0800" w:rsidRDefault="00BD4745" w:rsidP="004B0800">
            <w:pPr>
              <w:spacing w:before="80" w:after="80" w:line="220" w:lineRule="exact"/>
              <w:jc w:val="right"/>
              <w:rPr>
                <w:b/>
                <w:sz w:val="18"/>
                <w:szCs w:val="14"/>
              </w:rPr>
            </w:pPr>
            <w:r w:rsidRPr="004B0800">
              <w:rPr>
                <w:b/>
                <w:sz w:val="18"/>
                <w:szCs w:val="14"/>
              </w:rPr>
              <w:t>68</w:t>
            </w:r>
            <w:r w:rsidR="00347EF9">
              <w:rPr>
                <w:b/>
                <w:sz w:val="18"/>
                <w:szCs w:val="14"/>
              </w:rPr>
              <w:t xml:space="preserve"> </w:t>
            </w:r>
            <w:r w:rsidRPr="004B0800">
              <w:rPr>
                <w:b/>
                <w:sz w:val="18"/>
                <w:szCs w:val="14"/>
              </w:rPr>
              <w:t>953</w:t>
            </w:r>
            <w:r w:rsidR="00347EF9">
              <w:rPr>
                <w:b/>
                <w:sz w:val="18"/>
                <w:szCs w:val="14"/>
              </w:rPr>
              <w:t xml:space="preserve"> </w:t>
            </w:r>
            <w:r w:rsidRPr="004B0800">
              <w:rPr>
                <w:b/>
                <w:sz w:val="18"/>
                <w:szCs w:val="14"/>
              </w:rPr>
              <w:t>647</w:t>
            </w:r>
          </w:p>
        </w:tc>
        <w:tc>
          <w:tcPr>
            <w:tcW w:w="447" w:type="dxa"/>
            <w:tcBorders>
              <w:top w:val="single" w:sz="4" w:space="0" w:color="auto"/>
              <w:bottom w:val="single" w:sz="12" w:space="0" w:color="auto"/>
            </w:tcBorders>
            <w:shd w:val="clear" w:color="auto" w:fill="auto"/>
            <w:noWrap/>
            <w:vAlign w:val="bottom"/>
          </w:tcPr>
          <w:p w14:paraId="1E2701FB" w14:textId="77777777" w:rsidR="00BD4745" w:rsidRPr="004B0800" w:rsidRDefault="00BD4745" w:rsidP="004B0800">
            <w:pPr>
              <w:spacing w:before="80" w:after="80" w:line="220" w:lineRule="exact"/>
              <w:jc w:val="right"/>
              <w:rPr>
                <w:b/>
                <w:sz w:val="18"/>
                <w:szCs w:val="14"/>
              </w:rPr>
            </w:pPr>
            <w:r w:rsidRPr="004B0800">
              <w:rPr>
                <w:b/>
                <w:sz w:val="18"/>
                <w:szCs w:val="14"/>
              </w:rPr>
              <w:t>77,3</w:t>
            </w:r>
          </w:p>
        </w:tc>
        <w:tc>
          <w:tcPr>
            <w:tcW w:w="1022" w:type="dxa"/>
            <w:tcBorders>
              <w:top w:val="single" w:sz="4" w:space="0" w:color="auto"/>
              <w:bottom w:val="single" w:sz="12" w:space="0" w:color="auto"/>
            </w:tcBorders>
            <w:shd w:val="clear" w:color="auto" w:fill="auto"/>
            <w:noWrap/>
            <w:vAlign w:val="bottom"/>
          </w:tcPr>
          <w:p w14:paraId="5983BCA5" w14:textId="554851BC" w:rsidR="00BD4745" w:rsidRPr="004B0800" w:rsidRDefault="00BD4745" w:rsidP="004B0800">
            <w:pPr>
              <w:spacing w:before="80" w:after="80" w:line="220" w:lineRule="exact"/>
              <w:jc w:val="right"/>
              <w:rPr>
                <w:b/>
                <w:sz w:val="18"/>
                <w:szCs w:val="14"/>
              </w:rPr>
            </w:pPr>
            <w:r w:rsidRPr="004B0800">
              <w:rPr>
                <w:b/>
                <w:sz w:val="18"/>
                <w:szCs w:val="14"/>
              </w:rPr>
              <w:t>96</w:t>
            </w:r>
            <w:r w:rsidR="00347EF9">
              <w:rPr>
                <w:b/>
                <w:sz w:val="18"/>
                <w:szCs w:val="14"/>
              </w:rPr>
              <w:t xml:space="preserve"> </w:t>
            </w:r>
            <w:r w:rsidRPr="004B0800">
              <w:rPr>
                <w:b/>
                <w:sz w:val="18"/>
                <w:szCs w:val="14"/>
              </w:rPr>
              <w:t>760</w:t>
            </w:r>
            <w:r w:rsidR="00347EF9">
              <w:rPr>
                <w:b/>
                <w:sz w:val="18"/>
                <w:szCs w:val="14"/>
              </w:rPr>
              <w:t xml:space="preserve"> </w:t>
            </w:r>
            <w:r w:rsidRPr="004B0800">
              <w:rPr>
                <w:b/>
                <w:sz w:val="18"/>
                <w:szCs w:val="14"/>
              </w:rPr>
              <w:t>787</w:t>
            </w:r>
          </w:p>
        </w:tc>
        <w:tc>
          <w:tcPr>
            <w:tcW w:w="924" w:type="dxa"/>
            <w:tcBorders>
              <w:top w:val="single" w:sz="4" w:space="0" w:color="auto"/>
              <w:bottom w:val="single" w:sz="12" w:space="0" w:color="auto"/>
            </w:tcBorders>
            <w:shd w:val="clear" w:color="auto" w:fill="auto"/>
            <w:noWrap/>
            <w:vAlign w:val="bottom"/>
          </w:tcPr>
          <w:p w14:paraId="2DE8E434" w14:textId="57F35D13" w:rsidR="00BD4745" w:rsidRPr="004B0800" w:rsidRDefault="00BD4745" w:rsidP="004B0800">
            <w:pPr>
              <w:spacing w:before="80" w:after="80" w:line="220" w:lineRule="exact"/>
              <w:jc w:val="right"/>
              <w:rPr>
                <w:b/>
                <w:sz w:val="18"/>
                <w:szCs w:val="14"/>
              </w:rPr>
            </w:pPr>
            <w:r w:rsidRPr="004B0800">
              <w:rPr>
                <w:b/>
                <w:sz w:val="18"/>
                <w:szCs w:val="14"/>
              </w:rPr>
              <w:t>59</w:t>
            </w:r>
            <w:r w:rsidR="00347EF9">
              <w:rPr>
                <w:b/>
                <w:sz w:val="18"/>
                <w:szCs w:val="14"/>
              </w:rPr>
              <w:t xml:space="preserve"> </w:t>
            </w:r>
            <w:r w:rsidRPr="004B0800">
              <w:rPr>
                <w:b/>
                <w:sz w:val="18"/>
                <w:szCs w:val="14"/>
              </w:rPr>
              <w:t>103</w:t>
            </w:r>
            <w:r w:rsidR="00347EF9">
              <w:rPr>
                <w:b/>
                <w:sz w:val="18"/>
                <w:szCs w:val="14"/>
              </w:rPr>
              <w:t xml:space="preserve"> </w:t>
            </w:r>
            <w:r w:rsidRPr="004B0800">
              <w:rPr>
                <w:b/>
                <w:sz w:val="18"/>
                <w:szCs w:val="14"/>
              </w:rPr>
              <w:t>332</w:t>
            </w:r>
          </w:p>
        </w:tc>
        <w:tc>
          <w:tcPr>
            <w:tcW w:w="574" w:type="dxa"/>
            <w:tcBorders>
              <w:top w:val="single" w:sz="4" w:space="0" w:color="auto"/>
              <w:bottom w:val="single" w:sz="12" w:space="0" w:color="auto"/>
            </w:tcBorders>
            <w:shd w:val="clear" w:color="auto" w:fill="auto"/>
            <w:noWrap/>
            <w:vAlign w:val="bottom"/>
          </w:tcPr>
          <w:p w14:paraId="5A8765B2" w14:textId="77777777" w:rsidR="00BD4745" w:rsidRPr="004B0800" w:rsidRDefault="00BD4745" w:rsidP="004B0800">
            <w:pPr>
              <w:spacing w:before="80" w:after="80" w:line="220" w:lineRule="exact"/>
              <w:jc w:val="right"/>
              <w:rPr>
                <w:b/>
                <w:sz w:val="18"/>
                <w:szCs w:val="14"/>
              </w:rPr>
            </w:pPr>
            <w:r w:rsidRPr="004B0800">
              <w:rPr>
                <w:b/>
                <w:sz w:val="18"/>
                <w:szCs w:val="14"/>
              </w:rPr>
              <w:t>61,1</w:t>
            </w:r>
          </w:p>
        </w:tc>
        <w:tc>
          <w:tcPr>
            <w:tcW w:w="952" w:type="dxa"/>
            <w:tcBorders>
              <w:top w:val="single" w:sz="4" w:space="0" w:color="auto"/>
              <w:bottom w:val="single" w:sz="12" w:space="0" w:color="auto"/>
            </w:tcBorders>
            <w:shd w:val="clear" w:color="auto" w:fill="auto"/>
            <w:noWrap/>
            <w:vAlign w:val="bottom"/>
          </w:tcPr>
          <w:p w14:paraId="17555075" w14:textId="65220A5C" w:rsidR="00BD4745" w:rsidRPr="004B0800" w:rsidRDefault="00BD4745" w:rsidP="004B0800">
            <w:pPr>
              <w:spacing w:before="80" w:after="80" w:line="220" w:lineRule="exact"/>
              <w:jc w:val="right"/>
              <w:rPr>
                <w:b/>
                <w:sz w:val="18"/>
                <w:szCs w:val="14"/>
              </w:rPr>
            </w:pPr>
            <w:r w:rsidRPr="004B0800">
              <w:rPr>
                <w:b/>
                <w:sz w:val="18"/>
                <w:szCs w:val="14"/>
              </w:rPr>
              <w:t>54</w:t>
            </w:r>
            <w:r w:rsidR="00347EF9">
              <w:rPr>
                <w:b/>
                <w:sz w:val="18"/>
                <w:szCs w:val="14"/>
              </w:rPr>
              <w:t xml:space="preserve"> </w:t>
            </w:r>
            <w:r w:rsidRPr="004B0800">
              <w:rPr>
                <w:b/>
                <w:sz w:val="18"/>
                <w:szCs w:val="14"/>
              </w:rPr>
              <w:t>252</w:t>
            </w:r>
            <w:r w:rsidR="00347EF9">
              <w:rPr>
                <w:b/>
                <w:sz w:val="18"/>
                <w:szCs w:val="14"/>
              </w:rPr>
              <w:t xml:space="preserve"> </w:t>
            </w:r>
            <w:r w:rsidRPr="004B0800">
              <w:rPr>
                <w:b/>
                <w:sz w:val="18"/>
                <w:szCs w:val="14"/>
              </w:rPr>
              <w:t>095</w:t>
            </w:r>
          </w:p>
        </w:tc>
        <w:tc>
          <w:tcPr>
            <w:tcW w:w="469" w:type="dxa"/>
            <w:tcBorders>
              <w:top w:val="single" w:sz="4" w:space="0" w:color="auto"/>
              <w:bottom w:val="single" w:sz="12" w:space="0" w:color="auto"/>
            </w:tcBorders>
            <w:shd w:val="clear" w:color="auto" w:fill="auto"/>
            <w:noWrap/>
            <w:vAlign w:val="bottom"/>
          </w:tcPr>
          <w:p w14:paraId="3EFC5678" w14:textId="77777777" w:rsidR="00BD4745" w:rsidRPr="004B0800" w:rsidRDefault="00BD4745" w:rsidP="004B0800">
            <w:pPr>
              <w:spacing w:before="80" w:after="80" w:line="220" w:lineRule="exact"/>
              <w:jc w:val="right"/>
              <w:rPr>
                <w:b/>
                <w:sz w:val="18"/>
                <w:szCs w:val="14"/>
              </w:rPr>
            </w:pPr>
            <w:r w:rsidRPr="004B0800">
              <w:rPr>
                <w:b/>
                <w:sz w:val="18"/>
                <w:szCs w:val="14"/>
              </w:rPr>
              <w:t>70,6</w:t>
            </w:r>
          </w:p>
        </w:tc>
      </w:tr>
    </w:tbl>
    <w:p w14:paraId="5E13ABF7" w14:textId="6AEEC085" w:rsidR="00BD4745" w:rsidRPr="002014CD" w:rsidRDefault="00BD4745" w:rsidP="004B0800">
      <w:pPr>
        <w:spacing w:before="120"/>
        <w:ind w:right="51" w:firstLine="170"/>
        <w:rPr>
          <w:sz w:val="16"/>
          <w:szCs w:val="16"/>
        </w:rPr>
      </w:pPr>
      <w:r w:rsidRPr="004B0800">
        <w:rPr>
          <w:bCs/>
          <w:i/>
          <w:sz w:val="18"/>
          <w:szCs w:val="18"/>
        </w:rPr>
        <w:t>Fuente:</w:t>
      </w:r>
      <w:r w:rsidRPr="004B0800">
        <w:rPr>
          <w:bCs/>
          <w:sz w:val="18"/>
          <w:szCs w:val="18"/>
        </w:rPr>
        <w:t xml:space="preserve"> Elaboración propia con base en información del </w:t>
      </w:r>
      <w:proofErr w:type="spellStart"/>
      <w:r w:rsidRPr="004B0800">
        <w:rPr>
          <w:bCs/>
          <w:sz w:val="18"/>
          <w:szCs w:val="18"/>
        </w:rPr>
        <w:t>MEFP</w:t>
      </w:r>
      <w:proofErr w:type="spellEnd"/>
      <w:r w:rsidR="00347EF9">
        <w:rPr>
          <w:bCs/>
          <w:sz w:val="18"/>
          <w:szCs w:val="18"/>
        </w:rPr>
        <w:t>.</w:t>
      </w:r>
    </w:p>
    <w:p w14:paraId="0EEB5129" w14:textId="645CAFDE" w:rsidR="00347EF9" w:rsidRDefault="00BD4745" w:rsidP="004B0800">
      <w:pPr>
        <w:pStyle w:val="Heading1"/>
        <w:ind w:left="1134"/>
        <w:rPr>
          <w:rFonts w:eastAsia="Calibri"/>
        </w:rPr>
      </w:pPr>
      <w:bookmarkStart w:id="3" w:name="_Toc68097279"/>
      <w:proofErr w:type="spellStart"/>
      <w:r w:rsidRPr="002014CD">
        <w:rPr>
          <w:rFonts w:eastAsia="Calibri"/>
        </w:rPr>
        <w:lastRenderedPageBreak/>
        <w:t>Gráfico</w:t>
      </w:r>
      <w:proofErr w:type="spellEnd"/>
      <w:r w:rsidRPr="002014CD">
        <w:rPr>
          <w:rFonts w:eastAsia="Calibri"/>
        </w:rPr>
        <w:t xml:space="preserve"> 2</w:t>
      </w:r>
    </w:p>
    <w:p w14:paraId="74FD6405" w14:textId="1EA31634" w:rsidR="007431C8" w:rsidRDefault="00A4292E" w:rsidP="004B0800">
      <w:pPr>
        <w:pStyle w:val="H23G"/>
        <w:tabs>
          <w:tab w:val="clear" w:pos="851"/>
        </w:tabs>
        <w:spacing w:before="0"/>
        <w:rPr>
          <w:rFonts w:eastAsia="Calibri"/>
          <w:lang w:val="es-ES_tradnl"/>
        </w:rPr>
      </w:pPr>
      <w:r w:rsidRPr="002014CD">
        <w:rPr>
          <w:rFonts w:eastAsia="Calibri"/>
          <w:i/>
          <w:iCs/>
          <w:noProof/>
          <w:color w:val="1F497D"/>
          <w:lang w:val="en-GB" w:eastAsia="en-GB"/>
        </w:rPr>
        <w:drawing>
          <wp:anchor distT="0" distB="0" distL="114300" distR="114300" simplePos="0" relativeHeight="251661312" behindDoc="1" locked="0" layoutInCell="1" allowOverlap="1" wp14:anchorId="4CB0332A" wp14:editId="40EEE9D5">
            <wp:simplePos x="0" y="0"/>
            <wp:positionH relativeFrom="margin">
              <wp:posOffset>719455</wp:posOffset>
            </wp:positionH>
            <wp:positionV relativeFrom="paragraph">
              <wp:posOffset>461645</wp:posOffset>
            </wp:positionV>
            <wp:extent cx="4660265" cy="2369185"/>
            <wp:effectExtent l="0" t="0" r="698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660265" cy="2369185"/>
                    </a:xfrm>
                    <a:prstGeom prst="rect">
                      <a:avLst/>
                    </a:prstGeom>
                  </pic:spPr>
                </pic:pic>
              </a:graphicData>
            </a:graphic>
            <wp14:sizeRelH relativeFrom="margin">
              <wp14:pctWidth>0</wp14:pctWidth>
            </wp14:sizeRelH>
            <wp14:sizeRelV relativeFrom="margin">
              <wp14:pctHeight>0</wp14:pctHeight>
            </wp14:sizeRelV>
          </wp:anchor>
        </w:drawing>
      </w:r>
      <w:r w:rsidR="00347EF9">
        <w:rPr>
          <w:rFonts w:eastAsia="Calibri"/>
          <w:lang w:val="es-ES_tradnl"/>
        </w:rPr>
        <w:tab/>
      </w:r>
      <w:r w:rsidR="00347EF9">
        <w:rPr>
          <w:rFonts w:eastAsia="Calibri"/>
          <w:lang w:val="es-ES_tradnl"/>
        </w:rPr>
        <w:tab/>
      </w:r>
      <w:r w:rsidR="00BD4745" w:rsidRPr="007431C8">
        <w:rPr>
          <w:rFonts w:eastAsia="Calibri"/>
          <w:lang w:val="es-ES_tradnl"/>
        </w:rPr>
        <w:t>Montos y porcentajes de ejecución presupuestaria promedio 2018-2020</w:t>
      </w:r>
      <w:r w:rsidR="00347EF9">
        <w:rPr>
          <w:rFonts w:eastAsia="Calibri"/>
          <w:lang w:val="es-ES_tradnl"/>
        </w:rPr>
        <w:br/>
      </w:r>
      <w:r w:rsidR="00BD4745" w:rsidRPr="007431C8">
        <w:rPr>
          <w:rFonts w:eastAsia="Calibri"/>
          <w:lang w:val="es-ES_tradnl"/>
        </w:rPr>
        <w:t>de los</w:t>
      </w:r>
      <w:r w:rsidR="00347EF9">
        <w:rPr>
          <w:rFonts w:eastAsia="Calibri"/>
          <w:lang w:val="es-ES_tradnl"/>
        </w:rPr>
        <w:t xml:space="preserve"> g</w:t>
      </w:r>
      <w:r w:rsidR="00BD4745" w:rsidRPr="007431C8">
        <w:rPr>
          <w:rFonts w:eastAsia="Calibri"/>
          <w:lang w:val="es-ES_tradnl"/>
        </w:rPr>
        <w:t>obiernos autónomos municipales</w:t>
      </w:r>
      <w:r w:rsidR="00BD4745" w:rsidRPr="002014CD">
        <w:rPr>
          <w:rFonts w:eastAsia="Calibri"/>
          <w:lang w:val="es-ES_tradnl"/>
        </w:rPr>
        <w:t xml:space="preserve"> </w:t>
      </w:r>
    </w:p>
    <w:bookmarkEnd w:id="3"/>
    <w:p w14:paraId="5A8A810A" w14:textId="3BF758FB" w:rsidR="00BD4745" w:rsidRPr="004B0800" w:rsidRDefault="00BD4745" w:rsidP="004B0800">
      <w:pPr>
        <w:pStyle w:val="SingleTxtG"/>
        <w:spacing w:before="240" w:after="240"/>
        <w:ind w:firstLine="170"/>
        <w:jc w:val="left"/>
        <w:rPr>
          <w:sz w:val="18"/>
          <w:szCs w:val="18"/>
        </w:rPr>
      </w:pPr>
      <w:r w:rsidRPr="004B0800">
        <w:rPr>
          <w:i/>
          <w:sz w:val="18"/>
          <w:szCs w:val="18"/>
        </w:rPr>
        <w:t xml:space="preserve">Fuente: </w:t>
      </w:r>
      <w:r w:rsidRPr="004B0800">
        <w:rPr>
          <w:sz w:val="18"/>
          <w:szCs w:val="18"/>
        </w:rPr>
        <w:t xml:space="preserve">Elaboración propia con base en información del </w:t>
      </w:r>
      <w:proofErr w:type="spellStart"/>
      <w:r w:rsidRPr="004B0800">
        <w:rPr>
          <w:sz w:val="18"/>
          <w:szCs w:val="18"/>
        </w:rPr>
        <w:t>MEFP</w:t>
      </w:r>
      <w:proofErr w:type="spellEnd"/>
    </w:p>
    <w:p w14:paraId="271496CE" w14:textId="1B1D668F" w:rsidR="00BD4745" w:rsidRPr="007431C8" w:rsidRDefault="0098102E" w:rsidP="007431C8">
      <w:pPr>
        <w:pStyle w:val="SingleTxtG"/>
        <w:rPr>
          <w:rFonts w:eastAsia="Calibri"/>
        </w:rPr>
      </w:pPr>
      <w:r w:rsidRPr="007431C8">
        <w:rPr>
          <w:rFonts w:eastAsia="Calibri"/>
        </w:rPr>
        <w:t>43.</w:t>
      </w:r>
      <w:r w:rsidRPr="007431C8">
        <w:rPr>
          <w:rFonts w:eastAsia="Calibri"/>
        </w:rPr>
        <w:tab/>
      </w:r>
      <w:r w:rsidR="007431C8" w:rsidRPr="007431C8">
        <w:rPr>
          <w:rFonts w:eastAsia="Calibri"/>
        </w:rPr>
        <w:t>b)</w:t>
      </w:r>
      <w:r w:rsidR="00347EF9">
        <w:rPr>
          <w:rFonts w:eastAsia="Calibri"/>
        </w:rPr>
        <w:t xml:space="preserve"> </w:t>
      </w:r>
      <w:r w:rsidR="00BD4745" w:rsidRPr="007431C8">
        <w:rPr>
          <w:rFonts w:eastAsia="Calibri"/>
        </w:rPr>
        <w:t>Los indicadores en materia de derechos humanos son herramientas destinadas a medir y reflejar el estado de realización de un derecho humano, civil, cultural, económico, político y/o social, a través de variables cuantitativas o cualitativas, susceptibles de ser controladas u observadas. El 2012, el derecho de las mujeres a una Vida Libre de Violencia forma parte del primer grupo de derechos priorizados por el Estado Boliviano, se conforma el Comité Técnico Temático (</w:t>
      </w:r>
      <w:proofErr w:type="spellStart"/>
      <w:r w:rsidR="00BD4745" w:rsidRPr="007431C8">
        <w:rPr>
          <w:rFonts w:eastAsia="Calibri"/>
        </w:rPr>
        <w:t>CTT</w:t>
      </w:r>
      <w:proofErr w:type="spellEnd"/>
      <w:r w:rsidR="00BD4745" w:rsidRPr="007431C8">
        <w:rPr>
          <w:rFonts w:eastAsia="Calibri"/>
        </w:rPr>
        <w:t>) del Derecho de las Mujeres a una Vida Libre de Violencia quienes implementaron la metodología propuesta por la Oficina del Alto Comisionado de las Naciones Unidas para los Derechos Humanos (</w:t>
      </w:r>
      <w:proofErr w:type="spellStart"/>
      <w:r w:rsidR="00BD4745" w:rsidRPr="007431C8">
        <w:rPr>
          <w:rFonts w:eastAsia="Calibri"/>
        </w:rPr>
        <w:t>OACNUDH</w:t>
      </w:r>
      <w:proofErr w:type="spellEnd"/>
      <w:r w:rsidR="00BD4745" w:rsidRPr="007431C8">
        <w:rPr>
          <w:rFonts w:eastAsia="Calibri"/>
        </w:rPr>
        <w:t xml:space="preserve">), para la construcción de los mencionados indicadores. </w:t>
      </w:r>
    </w:p>
    <w:p w14:paraId="5BEA1B40" w14:textId="5EAFC34B" w:rsidR="00BD4745" w:rsidRPr="007431C8" w:rsidRDefault="0098102E" w:rsidP="007431C8">
      <w:pPr>
        <w:pStyle w:val="SingleTxtG"/>
        <w:rPr>
          <w:rFonts w:eastAsia="Calibri"/>
        </w:rPr>
      </w:pPr>
      <w:r w:rsidRPr="007431C8">
        <w:rPr>
          <w:rFonts w:eastAsia="Calibri"/>
        </w:rPr>
        <w:t>44.</w:t>
      </w:r>
      <w:r w:rsidRPr="007431C8">
        <w:rPr>
          <w:rFonts w:eastAsia="Calibri"/>
        </w:rPr>
        <w:tab/>
      </w:r>
      <w:r w:rsidR="00BD4745" w:rsidRPr="007431C8">
        <w:rPr>
          <w:rFonts w:eastAsia="Calibri"/>
        </w:rPr>
        <w:t xml:space="preserve">El </w:t>
      </w:r>
      <w:proofErr w:type="spellStart"/>
      <w:r w:rsidR="00BD4745" w:rsidRPr="007431C8">
        <w:rPr>
          <w:rFonts w:eastAsia="Calibri"/>
        </w:rPr>
        <w:t>CTT</w:t>
      </w:r>
      <w:proofErr w:type="spellEnd"/>
      <w:r w:rsidR="00BD4745" w:rsidRPr="007431C8">
        <w:rPr>
          <w:rFonts w:eastAsia="Calibri"/>
        </w:rPr>
        <w:t xml:space="preserve"> del Derecho de las Mujeres a una Vida Libre de Violencia está conformado por profesionales y técnicos (as) de más de 10 instituciones, quienes participaron activamente de las reuniones y talleres para la elaboración de los indicadores y establecimiento de su grado de disponibilidad. Información extraída de la página de Indicadores de Derechos Humanos de Bolivia </w:t>
      </w:r>
    </w:p>
    <w:p w14:paraId="3F244BDA" w14:textId="51F43977" w:rsidR="00BD4745" w:rsidRPr="007431C8" w:rsidRDefault="007431C8" w:rsidP="007431C8">
      <w:pPr>
        <w:pStyle w:val="SingleTxtG"/>
        <w:rPr>
          <w:rFonts w:eastAsia="Calibri"/>
          <w:lang w:eastAsia="es-BO"/>
        </w:rPr>
      </w:pPr>
      <w:r w:rsidRPr="007431C8">
        <w:rPr>
          <w:rFonts w:eastAsia="Calibri"/>
          <w:lang w:eastAsia="es-BO"/>
        </w:rPr>
        <w:t>45.</w:t>
      </w:r>
      <w:r w:rsidRPr="007431C8">
        <w:rPr>
          <w:rFonts w:eastAsia="Calibri"/>
          <w:lang w:eastAsia="es-BO"/>
        </w:rPr>
        <w:tab/>
      </w:r>
      <w:r w:rsidR="00BD4745" w:rsidRPr="007431C8">
        <w:rPr>
          <w:rFonts w:eastAsia="Calibri"/>
          <w:lang w:eastAsia="es-BO"/>
        </w:rPr>
        <w:t>c)</w:t>
      </w:r>
      <w:r w:rsidR="00347EF9">
        <w:rPr>
          <w:rFonts w:eastAsia="Calibri"/>
          <w:b/>
          <w:i/>
          <w:lang w:eastAsia="es-BO"/>
        </w:rPr>
        <w:t xml:space="preserve"> </w:t>
      </w:r>
      <w:r w:rsidR="00BD4745" w:rsidRPr="007431C8">
        <w:rPr>
          <w:rFonts w:eastAsia="Calibri"/>
          <w:lang w:eastAsia="es-BO"/>
        </w:rPr>
        <w:t xml:space="preserve">El </w:t>
      </w:r>
      <w:proofErr w:type="spellStart"/>
      <w:r w:rsidR="00BD4745" w:rsidRPr="007431C8">
        <w:rPr>
          <w:rFonts w:eastAsia="Calibri"/>
          <w:lang w:eastAsia="es-BO"/>
        </w:rPr>
        <w:t>SIPPASE-VRG</w:t>
      </w:r>
      <w:proofErr w:type="spellEnd"/>
      <w:r w:rsidR="00BD4745" w:rsidRPr="007431C8">
        <w:rPr>
          <w:rFonts w:eastAsia="Calibri"/>
          <w:lang w:eastAsia="es-BO"/>
        </w:rPr>
        <w:t xml:space="preserve"> desde su implementación en el año 2014 ha construido instrumentos especializados y desarrollado un sistema de información destinados a fortalecer a las instancias actoras directas en la prevención, atención, protección, persecución, sanción y reparación del daño, a mujeres en situación de violencia.</w:t>
      </w:r>
    </w:p>
    <w:p w14:paraId="6E7ECFB8" w14:textId="37BADAC2" w:rsidR="00BD4745" w:rsidRPr="007431C8" w:rsidRDefault="0098102E" w:rsidP="007431C8">
      <w:pPr>
        <w:pStyle w:val="SingleTxtG"/>
        <w:rPr>
          <w:rFonts w:eastAsia="Calibri"/>
          <w:lang w:eastAsia="es-BO"/>
        </w:rPr>
      </w:pPr>
      <w:r w:rsidRPr="007431C8">
        <w:rPr>
          <w:rFonts w:eastAsia="Calibri"/>
          <w:lang w:val="es-BO" w:eastAsia="es-BO"/>
        </w:rPr>
        <w:t>46.</w:t>
      </w:r>
      <w:r w:rsidRPr="007431C8">
        <w:rPr>
          <w:rFonts w:eastAsia="Calibri"/>
          <w:lang w:val="es-BO" w:eastAsia="es-BO"/>
        </w:rPr>
        <w:tab/>
      </w:r>
      <w:r w:rsidR="00BD4745" w:rsidRPr="007431C8">
        <w:rPr>
          <w:rFonts w:eastAsia="Calibri"/>
          <w:lang w:eastAsia="es-BO"/>
        </w:rPr>
        <w:t xml:space="preserve">En ese sentido, desarrolló el Sistema de información para el registro de la violencia </w:t>
      </w:r>
      <w:proofErr w:type="gramStart"/>
      <w:r w:rsidR="00BD4745" w:rsidRPr="007431C8">
        <w:rPr>
          <w:rFonts w:eastAsia="Calibri"/>
          <w:lang w:eastAsia="es-BO"/>
        </w:rPr>
        <w:t>en razón de</w:t>
      </w:r>
      <w:proofErr w:type="gramEnd"/>
      <w:r w:rsidR="00BD4745" w:rsidRPr="007431C8">
        <w:rPr>
          <w:rFonts w:eastAsia="Calibri"/>
          <w:lang w:eastAsia="es-BO"/>
        </w:rPr>
        <w:t xml:space="preserve"> género (</w:t>
      </w:r>
      <w:proofErr w:type="spellStart"/>
      <w:r w:rsidR="00BD4745" w:rsidRPr="007431C8">
        <w:rPr>
          <w:rFonts w:eastAsia="Calibri"/>
          <w:lang w:eastAsia="es-BO"/>
        </w:rPr>
        <w:t>VGR</w:t>
      </w:r>
      <w:proofErr w:type="spellEnd"/>
      <w:r w:rsidR="00BD4745" w:rsidRPr="007431C8">
        <w:rPr>
          <w:rFonts w:eastAsia="Calibri"/>
          <w:lang w:eastAsia="es-BO"/>
        </w:rPr>
        <w:t>), el cual se constituye en un software (sistema de información) que registra los hechos de Violencia en Razón de Género, conformado por 3 módulos y 3 enlaces</w:t>
      </w:r>
      <w:r w:rsidR="00AA6A62">
        <w:rPr>
          <w:rFonts w:eastAsia="Calibri"/>
          <w:lang w:eastAsia="es-BO"/>
        </w:rPr>
        <w:t>, entre los cuales se encuentra.</w:t>
      </w:r>
      <w:r w:rsidR="00BD4745" w:rsidRPr="007431C8">
        <w:rPr>
          <w:rFonts w:eastAsia="Calibri"/>
          <w:lang w:eastAsia="es-BO"/>
        </w:rPr>
        <w:t xml:space="preserve"> </w:t>
      </w:r>
    </w:p>
    <w:p w14:paraId="11F3CAC5" w14:textId="2E3FEB96" w:rsidR="00BD4745" w:rsidRPr="007431C8" w:rsidRDefault="0098102E" w:rsidP="007431C8">
      <w:pPr>
        <w:pStyle w:val="SingleTxtG"/>
        <w:rPr>
          <w:rFonts w:eastAsia="Calibri"/>
          <w:lang w:eastAsia="es-BO"/>
        </w:rPr>
      </w:pPr>
      <w:r w:rsidRPr="007431C8">
        <w:rPr>
          <w:rFonts w:eastAsia="Calibri"/>
          <w:lang w:val="es-BO" w:eastAsia="es-BO"/>
        </w:rPr>
        <w:t>47.</w:t>
      </w:r>
      <w:r w:rsidRPr="007431C8">
        <w:rPr>
          <w:rFonts w:eastAsia="Calibri"/>
          <w:lang w:val="es-BO" w:eastAsia="es-BO"/>
        </w:rPr>
        <w:tab/>
      </w:r>
      <w:r w:rsidR="00BD4745" w:rsidRPr="007431C8">
        <w:rPr>
          <w:rFonts w:eastAsia="Calibri"/>
          <w:lang w:eastAsia="es-BO"/>
        </w:rPr>
        <w:t>Módulo: Registro Único de Violencia en Razón de Género (</w:t>
      </w:r>
      <w:proofErr w:type="spellStart"/>
      <w:r w:rsidR="00BD4745" w:rsidRPr="007431C8">
        <w:rPr>
          <w:rFonts w:eastAsia="Calibri"/>
          <w:lang w:eastAsia="es-BO"/>
        </w:rPr>
        <w:t>RUV</w:t>
      </w:r>
      <w:proofErr w:type="spellEnd"/>
      <w:r w:rsidR="00BD4745" w:rsidRPr="007431C8">
        <w:rPr>
          <w:rFonts w:eastAsia="Calibri"/>
          <w:lang w:eastAsia="es-BO"/>
        </w:rPr>
        <w:t xml:space="preserve">): Está orientado para ser utilizado por personal del Servicio Legal Integral Municipal (SLIM) de cada municipio, por ser la unidad administrativa </w:t>
      </w:r>
      <w:r w:rsidR="00BD4745" w:rsidRPr="007431C8">
        <w:rPr>
          <w:rFonts w:eastAsia="Calibri"/>
          <w:i/>
          <w:lang w:eastAsia="es-BO"/>
        </w:rPr>
        <w:t xml:space="preserve">“…especializada en violencia en razón de género del Gobierno Autónomo Municipal, que presta servicios psicológicos, legales y sociales para promover la prevención de la </w:t>
      </w:r>
      <w:proofErr w:type="spellStart"/>
      <w:r w:rsidR="00BD4745" w:rsidRPr="007431C8">
        <w:rPr>
          <w:rFonts w:eastAsia="Calibri"/>
          <w:i/>
          <w:lang w:eastAsia="es-BO"/>
        </w:rPr>
        <w:t>VRG</w:t>
      </w:r>
      <w:proofErr w:type="spellEnd"/>
      <w:r w:rsidR="00BD4745" w:rsidRPr="007431C8">
        <w:rPr>
          <w:rFonts w:eastAsia="Calibri"/>
          <w:i/>
          <w:lang w:eastAsia="es-BO"/>
        </w:rPr>
        <w:t xml:space="preserve">, prestar protección y atención ante hechos de </w:t>
      </w:r>
      <w:proofErr w:type="spellStart"/>
      <w:r w:rsidR="00BD4745" w:rsidRPr="007431C8">
        <w:rPr>
          <w:rFonts w:eastAsia="Calibri"/>
          <w:i/>
          <w:lang w:eastAsia="es-BO"/>
        </w:rPr>
        <w:t>VRG</w:t>
      </w:r>
      <w:proofErr w:type="spellEnd"/>
      <w:r w:rsidR="00BD4745" w:rsidRPr="007431C8">
        <w:rPr>
          <w:rFonts w:eastAsia="Calibri"/>
          <w:i/>
          <w:lang w:eastAsia="es-BO"/>
        </w:rPr>
        <w:t xml:space="preserve">, y actuar para lograr la sanción de los delitos de </w:t>
      </w:r>
      <w:proofErr w:type="spellStart"/>
      <w:r w:rsidR="00BD4745" w:rsidRPr="007431C8">
        <w:rPr>
          <w:rFonts w:eastAsia="Calibri"/>
          <w:i/>
          <w:lang w:eastAsia="es-BO"/>
        </w:rPr>
        <w:t>VRG</w:t>
      </w:r>
      <w:proofErr w:type="spellEnd"/>
      <w:r w:rsidR="00BD4745" w:rsidRPr="007431C8">
        <w:rPr>
          <w:rFonts w:eastAsia="Calibri"/>
          <w:i/>
          <w:lang w:eastAsia="es-BO"/>
        </w:rPr>
        <w:t xml:space="preserve"> denunciando y patrocinando procesos”</w:t>
      </w:r>
      <w:r w:rsidR="00BD4745" w:rsidRPr="007431C8">
        <w:rPr>
          <w:rFonts w:eastAsia="Calibri"/>
          <w:lang w:eastAsia="es-BO"/>
        </w:rPr>
        <w:t xml:space="preserve">. En el marco de la información requerida, se adjuntan los reportes correspondientes a las gestiones 2018, 2019, 2020 y 2021. </w:t>
      </w:r>
    </w:p>
    <w:p w14:paraId="50B6A408" w14:textId="74A36A41" w:rsidR="00BD4745" w:rsidRPr="007431C8" w:rsidRDefault="0098102E" w:rsidP="007431C8">
      <w:pPr>
        <w:pStyle w:val="SingleTxtG"/>
        <w:rPr>
          <w:rFonts w:eastAsia="Calibri"/>
          <w:lang w:eastAsia="es-BO"/>
        </w:rPr>
      </w:pPr>
      <w:r w:rsidRPr="007431C8">
        <w:rPr>
          <w:rFonts w:eastAsia="Calibri"/>
          <w:lang w:val="es-BO" w:eastAsia="es-BO"/>
        </w:rPr>
        <w:t>48.</w:t>
      </w:r>
      <w:r w:rsidRPr="007431C8">
        <w:rPr>
          <w:rFonts w:eastAsia="Calibri"/>
          <w:lang w:val="es-BO" w:eastAsia="es-BO"/>
        </w:rPr>
        <w:tab/>
      </w:r>
      <w:r w:rsidR="00BD4745" w:rsidRPr="007431C8">
        <w:rPr>
          <w:rFonts w:eastAsia="Calibri"/>
          <w:lang w:eastAsia="es-BO"/>
        </w:rPr>
        <w:t xml:space="preserve">Actualmente el </w:t>
      </w:r>
      <w:proofErr w:type="spellStart"/>
      <w:r w:rsidR="00BD4745" w:rsidRPr="007431C8">
        <w:rPr>
          <w:rFonts w:eastAsia="Calibri"/>
          <w:lang w:eastAsia="es-BO"/>
        </w:rPr>
        <w:t>SIPPASE</w:t>
      </w:r>
      <w:proofErr w:type="spellEnd"/>
      <w:r w:rsidR="00BD4745" w:rsidRPr="007431C8">
        <w:rPr>
          <w:rFonts w:eastAsia="Calibri"/>
          <w:lang w:eastAsia="es-BO"/>
        </w:rPr>
        <w:t xml:space="preserve"> se encuentra fortaleciendo este Sistema de información. </w:t>
      </w:r>
    </w:p>
    <w:p w14:paraId="09BFB727" w14:textId="214D68F1" w:rsidR="00BD4745" w:rsidRPr="007431C8" w:rsidRDefault="0098102E" w:rsidP="007431C8">
      <w:pPr>
        <w:pStyle w:val="SingleTxtG"/>
        <w:rPr>
          <w:rFonts w:eastAsia="Calibri"/>
          <w:lang w:eastAsia="es-BO"/>
        </w:rPr>
      </w:pPr>
      <w:r w:rsidRPr="007431C8">
        <w:rPr>
          <w:rFonts w:eastAsia="Calibri"/>
          <w:lang w:val="es-BO" w:eastAsia="es-BO"/>
        </w:rPr>
        <w:t>49.</w:t>
      </w:r>
      <w:r w:rsidRPr="007431C8">
        <w:rPr>
          <w:rFonts w:eastAsia="Calibri"/>
          <w:lang w:val="es-BO" w:eastAsia="es-BO"/>
        </w:rPr>
        <w:tab/>
      </w:r>
      <w:r w:rsidR="00BD4745" w:rsidRPr="007431C8">
        <w:rPr>
          <w:rFonts w:eastAsia="Calibri"/>
          <w:lang w:eastAsia="es-BO"/>
        </w:rPr>
        <w:t xml:space="preserve">Con referencia al número de denuncias recibidas y su resultado (investigaciones, enjuiciamientos, condenaciones y penas aplicadas), la Fiscalía General del Estado, ha reportado que desde la gestión 2013 a 2020 se han registrado 215975 denuncias e </w:t>
      </w:r>
      <w:r w:rsidR="00BD4745" w:rsidRPr="007431C8">
        <w:rPr>
          <w:rFonts w:eastAsia="Calibri"/>
          <w:lang w:eastAsia="es-BO"/>
        </w:rPr>
        <w:lastRenderedPageBreak/>
        <w:t xml:space="preserve">investigaciones por delitos inmersos en la Ley </w:t>
      </w:r>
      <w:proofErr w:type="spellStart"/>
      <w:r w:rsidR="00BD4745" w:rsidRPr="007431C8">
        <w:rPr>
          <w:rFonts w:eastAsia="Calibri"/>
          <w:lang w:eastAsia="es-BO"/>
        </w:rPr>
        <w:t>N°</w:t>
      </w:r>
      <w:proofErr w:type="spellEnd"/>
      <w:r w:rsidR="00BD4745" w:rsidRPr="007431C8">
        <w:rPr>
          <w:rFonts w:eastAsia="Calibri"/>
          <w:lang w:eastAsia="es-BO"/>
        </w:rPr>
        <w:t xml:space="preserve"> 348.</w:t>
      </w:r>
      <w:r w:rsidR="00A164D8">
        <w:rPr>
          <w:rFonts w:eastAsia="Calibri"/>
          <w:lang w:eastAsia="es-BO"/>
        </w:rPr>
        <w:t xml:space="preserve"> </w:t>
      </w:r>
      <w:r w:rsidR="00BD4745" w:rsidRPr="007431C8">
        <w:rPr>
          <w:rFonts w:eastAsia="Calibri"/>
          <w:lang w:eastAsia="es-BO"/>
        </w:rPr>
        <w:t>Un número de 17180 casos en etapa de enjuiciamiento y 5978 condenas emitidas en este periodo de tiempo.</w:t>
      </w:r>
    </w:p>
    <w:p w14:paraId="1AE20A65" w14:textId="0F9DBA32" w:rsidR="00BD4745" w:rsidRDefault="007431C8" w:rsidP="007431C8">
      <w:pPr>
        <w:pStyle w:val="SingleTxtG"/>
        <w:rPr>
          <w:rFonts w:eastAsia="Calibri"/>
          <w:lang w:eastAsia="es-BO"/>
        </w:rPr>
      </w:pPr>
      <w:r w:rsidRPr="007431C8">
        <w:rPr>
          <w:rFonts w:eastAsia="Calibri"/>
          <w:lang w:eastAsia="es-BO"/>
        </w:rPr>
        <w:t>50.</w:t>
      </w:r>
      <w:r w:rsidRPr="007431C8">
        <w:rPr>
          <w:rFonts w:eastAsia="Calibri"/>
          <w:lang w:eastAsia="es-BO"/>
        </w:rPr>
        <w:tab/>
      </w:r>
      <w:r w:rsidR="00BD4745" w:rsidRPr="007431C8">
        <w:rPr>
          <w:rFonts w:eastAsia="Calibri"/>
          <w:lang w:eastAsia="es-BO"/>
        </w:rPr>
        <w:t xml:space="preserve">d) Según reportes de la </w:t>
      </w:r>
      <w:proofErr w:type="spellStart"/>
      <w:r w:rsidR="00BD4745" w:rsidRPr="007431C8">
        <w:rPr>
          <w:rFonts w:eastAsia="Calibri"/>
          <w:lang w:eastAsia="es-BO"/>
        </w:rPr>
        <w:t>DGPETFVRGG</w:t>
      </w:r>
      <w:proofErr w:type="spellEnd"/>
      <w:r w:rsidR="00BD4745" w:rsidRPr="007431C8">
        <w:rPr>
          <w:rFonts w:eastAsia="Calibri"/>
          <w:lang w:eastAsia="es-BO"/>
        </w:rPr>
        <w:t xml:space="preserve"> de la gestión 2018, existen 12 casas de acogida y refugios temporales a nivel nacional.</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127"/>
        <w:gridCol w:w="5243"/>
      </w:tblGrid>
      <w:tr w:rsidR="00A4292E" w:rsidRPr="00A4292E" w14:paraId="7ED39972" w14:textId="77777777" w:rsidTr="004B0800">
        <w:tc>
          <w:tcPr>
            <w:tcW w:w="2127" w:type="dxa"/>
            <w:tcBorders>
              <w:top w:val="single" w:sz="4" w:space="0" w:color="auto"/>
              <w:bottom w:val="single" w:sz="12" w:space="0" w:color="auto"/>
            </w:tcBorders>
            <w:shd w:val="clear" w:color="auto" w:fill="auto"/>
            <w:vAlign w:val="bottom"/>
          </w:tcPr>
          <w:p w14:paraId="271FAE21" w14:textId="52201B68" w:rsidR="00A4292E" w:rsidRPr="004B0800" w:rsidRDefault="00A4292E" w:rsidP="004B0800">
            <w:pPr>
              <w:pStyle w:val="SingleTxtG"/>
              <w:spacing w:before="80" w:after="80" w:line="200" w:lineRule="exact"/>
              <w:ind w:left="0" w:right="113"/>
              <w:jc w:val="left"/>
              <w:rPr>
                <w:rFonts w:eastAsia="Calibri"/>
                <w:i/>
                <w:sz w:val="16"/>
                <w:lang w:eastAsia="es-BO"/>
              </w:rPr>
            </w:pPr>
            <w:r>
              <w:rPr>
                <w:rFonts w:eastAsia="Calibri"/>
                <w:i/>
                <w:sz w:val="16"/>
                <w:lang w:eastAsia="es-BO"/>
              </w:rPr>
              <w:t>Departamento</w:t>
            </w:r>
          </w:p>
        </w:tc>
        <w:tc>
          <w:tcPr>
            <w:tcW w:w="5243" w:type="dxa"/>
            <w:tcBorders>
              <w:top w:val="single" w:sz="4" w:space="0" w:color="auto"/>
              <w:bottom w:val="single" w:sz="12" w:space="0" w:color="auto"/>
            </w:tcBorders>
            <w:shd w:val="clear" w:color="auto" w:fill="auto"/>
            <w:vAlign w:val="bottom"/>
          </w:tcPr>
          <w:p w14:paraId="0567EBF4" w14:textId="14C40D13" w:rsidR="00A4292E" w:rsidRPr="004B0800" w:rsidRDefault="00A4292E" w:rsidP="004B0800">
            <w:pPr>
              <w:pStyle w:val="SingleTxtG"/>
              <w:spacing w:before="80" w:after="80" w:line="200" w:lineRule="exact"/>
              <w:ind w:left="0" w:right="113"/>
              <w:jc w:val="left"/>
              <w:rPr>
                <w:rFonts w:eastAsia="Calibri"/>
                <w:i/>
                <w:sz w:val="16"/>
                <w:lang w:eastAsia="es-BO"/>
              </w:rPr>
            </w:pPr>
            <w:r>
              <w:rPr>
                <w:rFonts w:eastAsia="Calibri"/>
                <w:i/>
                <w:sz w:val="16"/>
                <w:lang w:eastAsia="es-BO"/>
              </w:rPr>
              <w:t>Detalle</w:t>
            </w:r>
          </w:p>
        </w:tc>
      </w:tr>
      <w:tr w:rsidR="00A4292E" w14:paraId="580750E6" w14:textId="77777777" w:rsidTr="00A4292E">
        <w:trPr>
          <w:trHeight w:hRule="exact" w:val="113"/>
        </w:trPr>
        <w:tc>
          <w:tcPr>
            <w:tcW w:w="2127" w:type="dxa"/>
            <w:tcBorders>
              <w:top w:val="single" w:sz="12" w:space="0" w:color="auto"/>
            </w:tcBorders>
            <w:shd w:val="clear" w:color="auto" w:fill="auto"/>
          </w:tcPr>
          <w:p w14:paraId="16B2B842" w14:textId="77777777" w:rsidR="00A4292E" w:rsidRDefault="00A4292E" w:rsidP="004B0800">
            <w:pPr>
              <w:pStyle w:val="SingleTxtG"/>
              <w:spacing w:before="40"/>
              <w:ind w:left="0" w:right="113"/>
              <w:jc w:val="left"/>
              <w:rPr>
                <w:rFonts w:eastAsia="Calibri"/>
                <w:lang w:eastAsia="es-BO"/>
              </w:rPr>
            </w:pPr>
          </w:p>
        </w:tc>
        <w:tc>
          <w:tcPr>
            <w:tcW w:w="5243" w:type="dxa"/>
            <w:tcBorders>
              <w:top w:val="single" w:sz="12" w:space="0" w:color="auto"/>
            </w:tcBorders>
            <w:shd w:val="clear" w:color="auto" w:fill="auto"/>
          </w:tcPr>
          <w:p w14:paraId="6153699B" w14:textId="77777777" w:rsidR="00A4292E" w:rsidRDefault="00A4292E" w:rsidP="004B0800">
            <w:pPr>
              <w:pStyle w:val="SingleTxtG"/>
              <w:spacing w:before="40"/>
              <w:ind w:left="0" w:right="113"/>
              <w:jc w:val="left"/>
              <w:rPr>
                <w:rFonts w:eastAsia="Calibri"/>
                <w:lang w:eastAsia="es-BO"/>
              </w:rPr>
            </w:pPr>
          </w:p>
        </w:tc>
      </w:tr>
      <w:tr w:rsidR="00A4292E" w14:paraId="2AC8599F" w14:textId="77777777" w:rsidTr="004B0800">
        <w:tc>
          <w:tcPr>
            <w:tcW w:w="2127" w:type="dxa"/>
            <w:shd w:val="clear" w:color="auto" w:fill="auto"/>
          </w:tcPr>
          <w:p w14:paraId="2BB76F7B" w14:textId="7A39932A" w:rsidR="00A4292E" w:rsidRDefault="00A4292E" w:rsidP="004B0800">
            <w:pPr>
              <w:pStyle w:val="SingleTxtG"/>
              <w:spacing w:before="40"/>
              <w:ind w:left="0" w:right="113"/>
              <w:jc w:val="left"/>
              <w:rPr>
                <w:rFonts w:eastAsia="Calibri"/>
                <w:lang w:eastAsia="es-BO"/>
              </w:rPr>
            </w:pPr>
            <w:r w:rsidRPr="00357DE1">
              <w:t>LA PAZ</w:t>
            </w:r>
          </w:p>
        </w:tc>
        <w:tc>
          <w:tcPr>
            <w:tcW w:w="5243" w:type="dxa"/>
            <w:shd w:val="clear" w:color="auto" w:fill="auto"/>
          </w:tcPr>
          <w:p w14:paraId="0DCFB157" w14:textId="77777777" w:rsidR="00A4292E" w:rsidRPr="00A4292E" w:rsidRDefault="00A4292E" w:rsidP="00A4292E">
            <w:pPr>
              <w:spacing w:before="40" w:after="120"/>
            </w:pPr>
            <w:r w:rsidRPr="00357DE1">
              <w:t>Centro de Acogida Transitorio para Víctimas “Refugio Dignidad” dependiente del Servicio Departamental de Gestión Social (</w:t>
            </w:r>
            <w:proofErr w:type="spellStart"/>
            <w:r w:rsidRPr="00357DE1">
              <w:t>SEDEGES</w:t>
            </w:r>
            <w:proofErr w:type="spellEnd"/>
            <w:r w:rsidRPr="00357DE1">
              <w:t>). Su capacidad alcanza para 50 mujeres con niños.</w:t>
            </w:r>
          </w:p>
          <w:p w14:paraId="373C990D" w14:textId="73D30C7A" w:rsidR="00A4292E" w:rsidRDefault="00A4292E" w:rsidP="004B0800">
            <w:pPr>
              <w:pStyle w:val="SingleTxtG"/>
              <w:spacing w:before="40"/>
              <w:ind w:left="0" w:right="113"/>
              <w:jc w:val="left"/>
              <w:rPr>
                <w:rFonts w:eastAsia="Calibri"/>
                <w:lang w:eastAsia="es-BO"/>
              </w:rPr>
            </w:pPr>
            <w:r w:rsidRPr="00357DE1">
              <w:t>Durante la gestión 2018, se ha ejecutado el proyecto de “Construcción del Centro Transitorio para Víctimas de Violencia, Trata y Trafico”, con el fin de beneficiar a personas de las 20 provincias.</w:t>
            </w:r>
          </w:p>
        </w:tc>
      </w:tr>
      <w:tr w:rsidR="00A4292E" w14:paraId="04666DEC" w14:textId="77777777" w:rsidTr="004B0800">
        <w:tc>
          <w:tcPr>
            <w:tcW w:w="2127" w:type="dxa"/>
            <w:shd w:val="clear" w:color="auto" w:fill="auto"/>
          </w:tcPr>
          <w:p w14:paraId="6322F0B1" w14:textId="5C6B1657" w:rsidR="00A4292E" w:rsidRDefault="00A4292E" w:rsidP="004B0800">
            <w:pPr>
              <w:pStyle w:val="SingleTxtG"/>
              <w:spacing w:before="40"/>
              <w:ind w:left="0" w:right="113"/>
              <w:jc w:val="left"/>
              <w:rPr>
                <w:rFonts w:eastAsia="Calibri"/>
                <w:lang w:eastAsia="es-BO"/>
              </w:rPr>
            </w:pPr>
            <w:proofErr w:type="spellStart"/>
            <w:r w:rsidRPr="00357DE1">
              <w:t>POTOSI</w:t>
            </w:r>
            <w:proofErr w:type="spellEnd"/>
          </w:p>
        </w:tc>
        <w:tc>
          <w:tcPr>
            <w:tcW w:w="5243" w:type="dxa"/>
            <w:shd w:val="clear" w:color="auto" w:fill="auto"/>
          </w:tcPr>
          <w:p w14:paraId="4E789E87" w14:textId="1344F920" w:rsidR="00A4292E" w:rsidRDefault="00A4292E" w:rsidP="004B0800">
            <w:pPr>
              <w:pStyle w:val="SingleTxtG"/>
              <w:spacing w:before="40"/>
              <w:ind w:left="0" w:right="113"/>
              <w:jc w:val="left"/>
              <w:rPr>
                <w:rFonts w:eastAsia="Calibri"/>
                <w:lang w:eastAsia="es-BO"/>
              </w:rPr>
            </w:pPr>
            <w:r w:rsidRPr="00357DE1">
              <w:t xml:space="preserve">La Gobernación de Potosí, cuenta con una Casa de Acogida Temporal para víctimas de violencia entregada en la Zona de </w:t>
            </w:r>
            <w:proofErr w:type="spellStart"/>
            <w:r w:rsidRPr="00357DE1">
              <w:t>Cantumarca</w:t>
            </w:r>
            <w:proofErr w:type="spellEnd"/>
            <w:r w:rsidRPr="00357DE1">
              <w:t>, en la ciudad de Potosí, inaugurada en noviembre de 2017, tiene capacidad para acoger a 32 personas.</w:t>
            </w:r>
          </w:p>
        </w:tc>
      </w:tr>
      <w:tr w:rsidR="00A4292E" w14:paraId="21E1FEF0" w14:textId="77777777" w:rsidTr="004B0800">
        <w:tc>
          <w:tcPr>
            <w:tcW w:w="2127" w:type="dxa"/>
            <w:shd w:val="clear" w:color="auto" w:fill="auto"/>
          </w:tcPr>
          <w:p w14:paraId="6893B825" w14:textId="655D2A07" w:rsidR="00A4292E" w:rsidRDefault="00A4292E" w:rsidP="004B0800">
            <w:pPr>
              <w:pStyle w:val="SingleTxtG"/>
              <w:spacing w:before="40"/>
              <w:ind w:left="0" w:right="113"/>
              <w:jc w:val="left"/>
              <w:rPr>
                <w:rFonts w:eastAsia="Calibri"/>
                <w:lang w:eastAsia="es-BO"/>
              </w:rPr>
            </w:pPr>
            <w:r w:rsidRPr="00357DE1">
              <w:t>BENI</w:t>
            </w:r>
          </w:p>
        </w:tc>
        <w:tc>
          <w:tcPr>
            <w:tcW w:w="5243" w:type="dxa"/>
            <w:shd w:val="clear" w:color="auto" w:fill="auto"/>
          </w:tcPr>
          <w:p w14:paraId="060C533D" w14:textId="42224587" w:rsidR="00A4292E" w:rsidRDefault="00A4292E" w:rsidP="004B0800">
            <w:pPr>
              <w:pStyle w:val="SingleTxtG"/>
              <w:spacing w:before="40"/>
              <w:ind w:left="0" w:right="113"/>
              <w:jc w:val="left"/>
              <w:rPr>
                <w:rFonts w:eastAsia="Calibri"/>
                <w:lang w:eastAsia="es-BO"/>
              </w:rPr>
            </w:pPr>
            <w:r w:rsidRPr="00357DE1">
              <w:t>El Gobierno Municipal de Trinidad cuenta con una Casa de Refugio Temporal a cargo de la Secretaria Municipal de Seguridad Pública con la finalidad de promover la igualdad de oportunidades brindando atención legal, psicológica, social además de alimentación y alojamiento a beneficio de sectores vulnerables.</w:t>
            </w:r>
          </w:p>
        </w:tc>
      </w:tr>
      <w:tr w:rsidR="00A4292E" w14:paraId="2010CDAC" w14:textId="77777777" w:rsidTr="004B0800">
        <w:tc>
          <w:tcPr>
            <w:tcW w:w="2127" w:type="dxa"/>
            <w:shd w:val="clear" w:color="auto" w:fill="auto"/>
          </w:tcPr>
          <w:p w14:paraId="75FE045E" w14:textId="266636DF" w:rsidR="00A4292E" w:rsidRDefault="00A4292E" w:rsidP="004B0800">
            <w:pPr>
              <w:pStyle w:val="SingleTxtG"/>
              <w:spacing w:before="40"/>
              <w:ind w:left="0" w:right="113"/>
              <w:jc w:val="left"/>
              <w:rPr>
                <w:rFonts w:eastAsia="Calibri"/>
                <w:lang w:eastAsia="es-BO"/>
              </w:rPr>
            </w:pPr>
            <w:r w:rsidRPr="00357DE1">
              <w:t>ORURO</w:t>
            </w:r>
          </w:p>
        </w:tc>
        <w:tc>
          <w:tcPr>
            <w:tcW w:w="5243" w:type="dxa"/>
            <w:shd w:val="clear" w:color="auto" w:fill="auto"/>
          </w:tcPr>
          <w:p w14:paraId="2CFA796B" w14:textId="3A53DFC8" w:rsidR="00A4292E" w:rsidRDefault="00A4292E" w:rsidP="004B0800">
            <w:pPr>
              <w:pStyle w:val="SingleTxtG"/>
              <w:spacing w:before="40"/>
              <w:ind w:left="0" w:right="113"/>
              <w:jc w:val="left"/>
              <w:rPr>
                <w:rFonts w:eastAsia="Calibri"/>
                <w:lang w:eastAsia="es-BO"/>
              </w:rPr>
            </w:pPr>
            <w:r w:rsidRPr="00357DE1">
              <w:t>Se cuenta con una Casa de Acogida a cargo del Gobierno Autónomo Municipal. Por otra parte, el Gobierno Autónomo Departamental tiene proyectado la construcción de Casa de Acogida o Refugio Temporal de Víctimas de Violencia.</w:t>
            </w:r>
          </w:p>
        </w:tc>
      </w:tr>
      <w:tr w:rsidR="00A4292E" w14:paraId="3817A6FC" w14:textId="77777777" w:rsidTr="004B0800">
        <w:tc>
          <w:tcPr>
            <w:tcW w:w="2127" w:type="dxa"/>
            <w:shd w:val="clear" w:color="auto" w:fill="auto"/>
          </w:tcPr>
          <w:p w14:paraId="3FAF041E" w14:textId="215AE4DA" w:rsidR="00A4292E" w:rsidRDefault="00A4292E" w:rsidP="004B0800">
            <w:pPr>
              <w:pStyle w:val="SingleTxtG"/>
              <w:spacing w:before="40"/>
              <w:ind w:left="0" w:right="113"/>
              <w:jc w:val="left"/>
              <w:rPr>
                <w:rFonts w:eastAsia="Calibri"/>
                <w:lang w:eastAsia="es-BO"/>
              </w:rPr>
            </w:pPr>
            <w:r w:rsidRPr="00357DE1">
              <w:t>COCHABAMBA</w:t>
            </w:r>
          </w:p>
        </w:tc>
        <w:tc>
          <w:tcPr>
            <w:tcW w:w="5243" w:type="dxa"/>
            <w:shd w:val="clear" w:color="auto" w:fill="auto"/>
          </w:tcPr>
          <w:p w14:paraId="383DDB6D" w14:textId="370A4E78" w:rsidR="00A4292E" w:rsidRDefault="00A4292E" w:rsidP="004B0800">
            <w:pPr>
              <w:pStyle w:val="SingleTxtG"/>
              <w:spacing w:before="40"/>
              <w:ind w:left="0" w:right="113"/>
              <w:jc w:val="left"/>
              <w:rPr>
                <w:rFonts w:eastAsia="Calibri"/>
                <w:lang w:eastAsia="es-BO"/>
              </w:rPr>
            </w:pPr>
            <w:r w:rsidRPr="00357DE1">
              <w:t xml:space="preserve">El Gobierno Autónomo Departamental de Cochabamba implementa una Casa de Acogida con el nombre de “Programa Esperanza”. </w:t>
            </w:r>
          </w:p>
        </w:tc>
      </w:tr>
      <w:tr w:rsidR="00A4292E" w14:paraId="296D6453" w14:textId="77777777" w:rsidTr="004B0800">
        <w:tc>
          <w:tcPr>
            <w:tcW w:w="2127" w:type="dxa"/>
            <w:shd w:val="clear" w:color="auto" w:fill="auto"/>
          </w:tcPr>
          <w:p w14:paraId="7E6DE8D6" w14:textId="5DFEF1F1" w:rsidR="00A4292E" w:rsidRDefault="00A4292E" w:rsidP="004B0800">
            <w:pPr>
              <w:pStyle w:val="SingleTxtG"/>
              <w:spacing w:before="40"/>
              <w:ind w:left="0" w:right="113"/>
              <w:jc w:val="left"/>
              <w:rPr>
                <w:rFonts w:eastAsia="Calibri"/>
                <w:lang w:eastAsia="es-BO"/>
              </w:rPr>
            </w:pPr>
            <w:r w:rsidRPr="00357DE1">
              <w:t>SANTA CRUZ</w:t>
            </w:r>
          </w:p>
        </w:tc>
        <w:tc>
          <w:tcPr>
            <w:tcW w:w="5243" w:type="dxa"/>
            <w:shd w:val="clear" w:color="auto" w:fill="auto"/>
          </w:tcPr>
          <w:p w14:paraId="598A4B08" w14:textId="229E026F" w:rsidR="00A4292E" w:rsidRDefault="00A4292E" w:rsidP="004B0800">
            <w:pPr>
              <w:pStyle w:val="SingleTxtG"/>
              <w:spacing w:before="40"/>
              <w:ind w:left="0" w:right="113"/>
              <w:jc w:val="left"/>
              <w:rPr>
                <w:rFonts w:eastAsia="Calibri"/>
                <w:lang w:eastAsia="es-BO"/>
              </w:rPr>
            </w:pPr>
            <w:r w:rsidRPr="00357DE1">
              <w:t>El Gobierno Autónomo Departamental de Santa Cruz cuenta con una Casa de Acogida y Refugio Temporal, además cuenta con cuatro Centros de Atención Integral</w:t>
            </w:r>
            <w:r>
              <w:t xml:space="preserve"> </w:t>
            </w:r>
            <w:r w:rsidRPr="00357DE1">
              <w:t>a la Mujer y la Familia.</w:t>
            </w:r>
          </w:p>
        </w:tc>
      </w:tr>
      <w:tr w:rsidR="00A4292E" w14:paraId="24B0B0D7" w14:textId="77777777" w:rsidTr="004B0800">
        <w:tc>
          <w:tcPr>
            <w:tcW w:w="2127" w:type="dxa"/>
            <w:shd w:val="clear" w:color="auto" w:fill="auto"/>
          </w:tcPr>
          <w:p w14:paraId="64AE85A3" w14:textId="1DFA8D0B" w:rsidR="00A4292E" w:rsidRDefault="00A4292E" w:rsidP="004B0800">
            <w:pPr>
              <w:pStyle w:val="SingleTxtG"/>
              <w:spacing w:before="40"/>
              <w:ind w:left="0" w:right="113"/>
              <w:jc w:val="left"/>
              <w:rPr>
                <w:rFonts w:eastAsia="Calibri"/>
                <w:lang w:eastAsia="es-BO"/>
              </w:rPr>
            </w:pPr>
            <w:r w:rsidRPr="00357DE1">
              <w:t>TARIJA</w:t>
            </w:r>
          </w:p>
        </w:tc>
        <w:tc>
          <w:tcPr>
            <w:tcW w:w="5243" w:type="dxa"/>
            <w:shd w:val="clear" w:color="auto" w:fill="auto"/>
          </w:tcPr>
          <w:p w14:paraId="1649B4FB" w14:textId="17AFF3D1" w:rsidR="00A4292E" w:rsidRDefault="00A4292E" w:rsidP="004B0800">
            <w:pPr>
              <w:pStyle w:val="SingleTxtG"/>
              <w:spacing w:before="40"/>
              <w:ind w:left="0" w:right="113"/>
              <w:jc w:val="left"/>
              <w:rPr>
                <w:rFonts w:eastAsia="Calibri"/>
                <w:lang w:eastAsia="es-BO"/>
              </w:rPr>
            </w:pPr>
            <w:r w:rsidRPr="00357DE1">
              <w:t>El Gobierno Autónomo Departamental de Tarija cuenta con dos Casas de Acogida Temporal en la Provincia Cercado:</w:t>
            </w:r>
            <w:r>
              <w:t xml:space="preserve"> </w:t>
            </w:r>
            <w:r w:rsidRPr="00357DE1">
              <w:t>Casa de Acogida Temporal RENACER y Centro Vida Digna.</w:t>
            </w:r>
            <w:r>
              <w:t xml:space="preserve"> </w:t>
            </w:r>
            <w:proofErr w:type="gramStart"/>
            <w:r w:rsidRPr="00357DE1">
              <w:t>Además</w:t>
            </w:r>
            <w:proofErr w:type="gramEnd"/>
            <w:r w:rsidRPr="00357DE1">
              <w:t xml:space="preserve"> cuenta con un Centro Especializado de Prevención y Atención Terapéutica (CE-PAT) y el Centro de Atención Terapéutica Bermejo (CAT </w:t>
            </w:r>
            <w:proofErr w:type="spellStart"/>
            <w:r w:rsidRPr="00357DE1">
              <w:t>BJO</w:t>
            </w:r>
            <w:proofErr w:type="spellEnd"/>
            <w:r w:rsidRPr="00357DE1">
              <w:t>).</w:t>
            </w:r>
          </w:p>
        </w:tc>
      </w:tr>
      <w:tr w:rsidR="00A4292E" w14:paraId="45DBD08F" w14:textId="77777777" w:rsidTr="00A4292E">
        <w:tc>
          <w:tcPr>
            <w:tcW w:w="2127" w:type="dxa"/>
            <w:shd w:val="clear" w:color="auto" w:fill="auto"/>
          </w:tcPr>
          <w:p w14:paraId="297CEFAA" w14:textId="5CCF8A17" w:rsidR="00A4292E" w:rsidRDefault="00A4292E" w:rsidP="004B0800">
            <w:pPr>
              <w:pStyle w:val="SingleTxtG"/>
              <w:spacing w:before="40"/>
              <w:ind w:left="0" w:right="113"/>
              <w:jc w:val="left"/>
              <w:rPr>
                <w:rFonts w:eastAsia="Calibri"/>
                <w:lang w:eastAsia="es-BO"/>
              </w:rPr>
            </w:pPr>
            <w:r w:rsidRPr="00357DE1">
              <w:t>PANDO</w:t>
            </w:r>
          </w:p>
        </w:tc>
        <w:tc>
          <w:tcPr>
            <w:tcW w:w="5243" w:type="dxa"/>
            <w:shd w:val="clear" w:color="auto" w:fill="auto"/>
          </w:tcPr>
          <w:p w14:paraId="39031224" w14:textId="20F16C8C" w:rsidR="00A4292E" w:rsidRDefault="00A4292E" w:rsidP="004B0800">
            <w:pPr>
              <w:pStyle w:val="SingleTxtG"/>
              <w:spacing w:before="40"/>
              <w:ind w:left="0" w:right="113"/>
              <w:jc w:val="left"/>
              <w:rPr>
                <w:rFonts w:eastAsia="Calibri"/>
                <w:lang w:eastAsia="es-BO"/>
              </w:rPr>
            </w:pPr>
            <w:r w:rsidRPr="00357DE1">
              <w:t>Se cuenta con la Casa de Acogida de la Mujer ubicada en la comunidad de Loma Alto.</w:t>
            </w:r>
          </w:p>
        </w:tc>
      </w:tr>
      <w:tr w:rsidR="00A4292E" w14:paraId="343AB8A0" w14:textId="77777777" w:rsidTr="004B0800">
        <w:tc>
          <w:tcPr>
            <w:tcW w:w="2127" w:type="dxa"/>
            <w:tcBorders>
              <w:bottom w:val="single" w:sz="12" w:space="0" w:color="auto"/>
            </w:tcBorders>
            <w:shd w:val="clear" w:color="auto" w:fill="auto"/>
          </w:tcPr>
          <w:p w14:paraId="7FCA7859" w14:textId="2AAF4633" w:rsidR="00A4292E" w:rsidRDefault="00A4292E" w:rsidP="00A4292E">
            <w:pPr>
              <w:pStyle w:val="SingleTxtG"/>
              <w:spacing w:before="40"/>
              <w:ind w:left="0" w:right="113"/>
              <w:jc w:val="left"/>
              <w:rPr>
                <w:rFonts w:eastAsia="Calibri"/>
                <w:lang w:eastAsia="es-BO"/>
              </w:rPr>
            </w:pPr>
            <w:r w:rsidRPr="00357DE1">
              <w:t>CHUQUISACA</w:t>
            </w:r>
          </w:p>
        </w:tc>
        <w:tc>
          <w:tcPr>
            <w:tcW w:w="5243" w:type="dxa"/>
            <w:tcBorders>
              <w:bottom w:val="single" w:sz="12" w:space="0" w:color="auto"/>
            </w:tcBorders>
            <w:shd w:val="clear" w:color="auto" w:fill="auto"/>
          </w:tcPr>
          <w:p w14:paraId="1577E938" w14:textId="2124D823" w:rsidR="00A4292E" w:rsidRDefault="00A4292E" w:rsidP="00A4292E">
            <w:pPr>
              <w:pStyle w:val="SingleTxtG"/>
              <w:spacing w:before="40"/>
              <w:ind w:left="0" w:right="113"/>
              <w:jc w:val="left"/>
              <w:rPr>
                <w:rFonts w:eastAsia="Calibri"/>
                <w:lang w:eastAsia="es-BO"/>
              </w:rPr>
            </w:pPr>
            <w:r w:rsidRPr="00357DE1">
              <w:t>Cuenta con una casa de acogida con una capacidad de atención de 60 personas.</w:t>
            </w:r>
          </w:p>
        </w:tc>
      </w:tr>
    </w:tbl>
    <w:p w14:paraId="26DF44B3" w14:textId="5DDCEE60" w:rsidR="00BD4745" w:rsidRPr="002014CD" w:rsidRDefault="007431C8" w:rsidP="007431C8">
      <w:pPr>
        <w:pStyle w:val="SingleTxtG"/>
        <w:spacing w:before="240"/>
        <w:rPr>
          <w:rFonts w:eastAsia="Calibri"/>
          <w:lang w:eastAsia="es-BO"/>
        </w:rPr>
      </w:pPr>
      <w:r w:rsidRPr="007431C8">
        <w:rPr>
          <w:rFonts w:eastAsia="Calibri"/>
          <w:lang w:val="es-BO" w:eastAsia="es-BO"/>
        </w:rPr>
        <w:t>51.</w:t>
      </w:r>
      <w:r w:rsidRPr="007431C8">
        <w:rPr>
          <w:rFonts w:eastAsia="Calibri"/>
          <w:lang w:val="es-BO" w:eastAsia="es-BO"/>
        </w:rPr>
        <w:tab/>
      </w:r>
      <w:r w:rsidR="00BD4745" w:rsidRPr="007431C8">
        <w:rPr>
          <w:rFonts w:eastAsia="Calibri"/>
          <w:lang w:eastAsia="es-BO"/>
        </w:rPr>
        <w:t>e)</w:t>
      </w:r>
      <w:r w:rsidR="00BD4745" w:rsidRPr="002014CD">
        <w:rPr>
          <w:rFonts w:eastAsia="Calibri"/>
          <w:lang w:eastAsia="es-BO"/>
        </w:rPr>
        <w:t xml:space="preserve"> La v</w:t>
      </w:r>
      <w:r w:rsidR="00BD4745" w:rsidRPr="002014CD">
        <w:t>iolación conyugal está explícitamente tipificada como un delito por el Estado Boliviano;</w:t>
      </w:r>
      <w:r w:rsidR="00BD4745" w:rsidRPr="002014CD">
        <w:rPr>
          <w:rFonts w:eastAsia="Calibri"/>
          <w:lang w:eastAsia="es-BO"/>
        </w:rPr>
        <w:t xml:space="preserve"> el Artículo 308 del Código Penal establece que el tipo penal de violación tiene como sanción una pena privativa de libertad de 15 a 20 años; así también, el inciso f) del Artículo 310 modificado por la disposición adicional cuarta de la Ley </w:t>
      </w:r>
      <w:proofErr w:type="spellStart"/>
      <w:r w:rsidR="00BD4745" w:rsidRPr="002014CD">
        <w:rPr>
          <w:rFonts w:eastAsia="Calibri"/>
          <w:lang w:eastAsia="es-BO"/>
        </w:rPr>
        <w:t>N°1173</w:t>
      </w:r>
      <w:proofErr w:type="spellEnd"/>
      <w:r w:rsidR="00BD4745" w:rsidRPr="002014CD">
        <w:rPr>
          <w:rFonts w:eastAsia="Calibri"/>
          <w:lang w:eastAsia="es-BO"/>
        </w:rPr>
        <w:t xml:space="preserve">, respecto a las agravantes para el tipo penal de violación, refiere que la pena será agravada con cinco (5) </w:t>
      </w:r>
      <w:r w:rsidR="00BD4745" w:rsidRPr="002014CD">
        <w:rPr>
          <w:rFonts w:eastAsia="Calibri"/>
          <w:lang w:eastAsia="es-BO"/>
        </w:rPr>
        <w:lastRenderedPageBreak/>
        <w:t xml:space="preserve">años, cuando: </w:t>
      </w:r>
      <w:r w:rsidR="00BD4745" w:rsidRPr="002014CD">
        <w:rPr>
          <w:rFonts w:eastAsia="Calibri"/>
          <w:i/>
          <w:lang w:eastAsia="es-BO"/>
        </w:rPr>
        <w:t>“(…) El autor fuese cónyuge, conviviente o con quien la victima mantiene</w:t>
      </w:r>
      <w:r w:rsidR="00A164D8">
        <w:rPr>
          <w:rFonts w:eastAsia="Calibri"/>
          <w:i/>
          <w:lang w:eastAsia="es-BO"/>
        </w:rPr>
        <w:t xml:space="preserve"> </w:t>
      </w:r>
      <w:r w:rsidR="00BD4745" w:rsidRPr="002014CD">
        <w:rPr>
          <w:rFonts w:eastAsia="Calibri"/>
          <w:i/>
          <w:lang w:eastAsia="es-BO"/>
        </w:rPr>
        <w:t>o hubiera mantenido</w:t>
      </w:r>
      <w:r w:rsidR="00A164D8">
        <w:rPr>
          <w:rFonts w:eastAsia="Calibri"/>
          <w:i/>
          <w:lang w:eastAsia="es-BO"/>
        </w:rPr>
        <w:t xml:space="preserve"> </w:t>
      </w:r>
      <w:r w:rsidR="00BD4745" w:rsidRPr="002014CD">
        <w:rPr>
          <w:rFonts w:eastAsia="Calibri"/>
          <w:i/>
          <w:lang w:eastAsia="es-BO"/>
        </w:rPr>
        <w:t>una relación analógica de intimidad”</w:t>
      </w:r>
      <w:r w:rsidR="00BD4745" w:rsidRPr="002014CD">
        <w:rPr>
          <w:rFonts w:eastAsia="Calibri"/>
          <w:lang w:eastAsia="es-BO"/>
        </w:rPr>
        <w:t>.</w:t>
      </w:r>
    </w:p>
    <w:p w14:paraId="5E5B3D59" w14:textId="7FB1CE95" w:rsidR="00BD4745" w:rsidRPr="002014CD" w:rsidRDefault="007431C8">
      <w:pPr>
        <w:pStyle w:val="H1G"/>
        <w:rPr>
          <w:lang w:val="es-ES_tradnl"/>
        </w:rPr>
      </w:pPr>
      <w:r>
        <w:rPr>
          <w:lang w:val="es-ES_tradnl"/>
        </w:rPr>
        <w:tab/>
      </w:r>
      <w:r>
        <w:rPr>
          <w:lang w:val="es-ES_tradnl"/>
        </w:rPr>
        <w:tab/>
      </w:r>
      <w:r w:rsidR="00BD4745" w:rsidRPr="002014CD">
        <w:rPr>
          <w:lang w:val="es-ES_tradnl"/>
        </w:rPr>
        <w:t>Interrupción voluntaria del embarazo y derechos reproductivos</w:t>
      </w:r>
      <w:r w:rsidR="007B7FD3">
        <w:rPr>
          <w:lang w:val="es-ES_tradnl"/>
        </w:rPr>
        <w:br/>
      </w:r>
      <w:r w:rsidR="00BD4745" w:rsidRPr="002014CD">
        <w:rPr>
          <w:lang w:val="es-ES_tradnl"/>
        </w:rPr>
        <w:t>(arts. 2, 3, 6, 7, 17, 24 y 26)</w:t>
      </w:r>
    </w:p>
    <w:p w14:paraId="6D4D739E" w14:textId="634F380B" w:rsidR="00BD4745" w:rsidRPr="002014CD" w:rsidRDefault="007431C8">
      <w:pPr>
        <w:pStyle w:val="H23G"/>
        <w:rPr>
          <w:rFonts w:eastAsia="Calibri"/>
          <w:lang w:eastAsia="es-BO"/>
        </w:rPr>
      </w:pPr>
      <w:r>
        <w:rPr>
          <w:rFonts w:eastAsia="Calibri"/>
          <w:lang w:eastAsia="es-BO"/>
        </w:rPr>
        <w:tab/>
      </w:r>
      <w:r w:rsidR="00BD4745" w:rsidRPr="002014CD">
        <w:rPr>
          <w:rFonts w:eastAsia="Calibri"/>
          <w:lang w:eastAsia="es-BO"/>
        </w:rPr>
        <w:t>8.</w:t>
      </w:r>
      <w:r>
        <w:rPr>
          <w:rFonts w:eastAsia="Calibri"/>
          <w:lang w:eastAsia="es-BO"/>
        </w:rPr>
        <w:tab/>
      </w:r>
      <w:r w:rsidR="001A1E5D" w:rsidRPr="00ED0B85">
        <w:t xml:space="preserve">Respuesta al </w:t>
      </w:r>
      <w:r w:rsidR="001A1E5D" w:rsidRPr="001A1E5D">
        <w:t xml:space="preserve">párrafo </w:t>
      </w:r>
      <w:r w:rsidR="001A1E5D">
        <w:t>8</w:t>
      </w:r>
      <w:r w:rsidR="001A1E5D" w:rsidRPr="001A1E5D">
        <w:t xml:space="preserve"> </w:t>
      </w:r>
      <w:r w:rsidR="001A1E5D" w:rsidRPr="001A1E5D">
        <w:rPr>
          <w:lang w:val="es-ES_tradnl"/>
        </w:rPr>
        <w:t xml:space="preserve">de </w:t>
      </w:r>
      <w:r w:rsidR="001A1E5D">
        <w:rPr>
          <w:lang w:val="es-ES_tradnl"/>
        </w:rPr>
        <w:t>la lista de cuestiones</w:t>
      </w:r>
    </w:p>
    <w:p w14:paraId="4F597101" w14:textId="7125D908" w:rsidR="00BD4745" w:rsidRPr="007431C8" w:rsidRDefault="007431C8" w:rsidP="007431C8">
      <w:pPr>
        <w:pStyle w:val="SingleTxtG"/>
        <w:rPr>
          <w:rFonts w:eastAsia="Calibri"/>
          <w:lang w:eastAsia="es-BO"/>
        </w:rPr>
      </w:pPr>
      <w:r w:rsidRPr="007431C8">
        <w:rPr>
          <w:rFonts w:eastAsia="Calibri"/>
          <w:lang w:val="es-BO" w:eastAsia="es-BO"/>
        </w:rPr>
        <w:t>52.</w:t>
      </w:r>
      <w:r w:rsidRPr="007431C8">
        <w:rPr>
          <w:rFonts w:eastAsia="Calibri"/>
          <w:lang w:val="es-BO" w:eastAsia="es-BO"/>
        </w:rPr>
        <w:tab/>
      </w:r>
      <w:r w:rsidR="00BD4745" w:rsidRPr="007431C8">
        <w:rPr>
          <w:rFonts w:eastAsia="Calibri"/>
          <w:lang w:eastAsia="es-BO"/>
        </w:rPr>
        <w:t xml:space="preserve">a) Conforme establece la Sentencia Constitucional </w:t>
      </w:r>
      <w:proofErr w:type="spellStart"/>
      <w:r w:rsidR="00BD4745" w:rsidRPr="007431C8">
        <w:rPr>
          <w:rFonts w:eastAsia="Calibri"/>
          <w:lang w:eastAsia="es-BO"/>
        </w:rPr>
        <w:t>N</w:t>
      </w:r>
      <w:r w:rsidR="007B7FD3">
        <w:rPr>
          <w:rFonts w:eastAsia="Calibri"/>
          <w:lang w:eastAsia="es-BO"/>
        </w:rPr>
        <w:t>º</w:t>
      </w:r>
      <w:proofErr w:type="spellEnd"/>
      <w:r w:rsidR="00BD4745" w:rsidRPr="007431C8">
        <w:rPr>
          <w:rFonts w:eastAsia="Calibri"/>
          <w:lang w:eastAsia="es-BO"/>
        </w:rPr>
        <w:t xml:space="preserve"> 0206/2014, la mujer podrá acceder a un aborto legal y seguro en los casos que el embarazo sea producto de: violación, incesto, estupro y cuando como resultado del embarazo, su vida o salud corra peligro. La referida Sentencia Constitucional en su parte pertinente indica: </w:t>
      </w:r>
      <w:r w:rsidR="00BD4745" w:rsidRPr="007431C8">
        <w:rPr>
          <w:rFonts w:eastAsia="Calibri"/>
          <w:i/>
          <w:lang w:eastAsia="es-BO"/>
        </w:rPr>
        <w:t xml:space="preserve">“No será exigible la presentación de una querella, ni la existencia de imputación y/o acusación formal. Será suficiente que la mujer que acuda a un centro público o privado de salud a efecto de practicarse un aborto, por ser la gestación producto de la comisión de un delito, comunique esa situación a la </w:t>
      </w:r>
      <w:proofErr w:type="gramStart"/>
      <w:r w:rsidR="00BD4745" w:rsidRPr="007431C8">
        <w:rPr>
          <w:rFonts w:eastAsia="Calibri"/>
          <w:i/>
          <w:lang w:eastAsia="es-BO"/>
        </w:rPr>
        <w:t>autoridad pública</w:t>
      </w:r>
      <w:proofErr w:type="gramEnd"/>
      <w:r w:rsidR="00BD4745" w:rsidRPr="007431C8">
        <w:rPr>
          <w:rFonts w:eastAsia="Calibri"/>
          <w:i/>
          <w:lang w:eastAsia="es-BO"/>
        </w:rPr>
        <w:t xml:space="preserve"> competente, y de ese modo el médico profesional que realizará el aborto tendrá constancia expresa que justificará la realización del mismo”</w:t>
      </w:r>
      <w:r w:rsidR="00BD4745" w:rsidRPr="007431C8">
        <w:rPr>
          <w:rFonts w:eastAsia="Calibri"/>
          <w:lang w:eastAsia="es-BO"/>
        </w:rPr>
        <w:t>. En razón a la interpretación del Tribunal Constitucional Plurinacional plasmada en la referida Sentencia Constitucional, las víctimas de violación NO requieren contar con ninguna autorización judicial, norma o reglamento previo.</w:t>
      </w:r>
    </w:p>
    <w:p w14:paraId="35510FE7" w14:textId="1D2B6962" w:rsidR="00BD4745" w:rsidRPr="007431C8" w:rsidRDefault="007431C8" w:rsidP="007431C8">
      <w:pPr>
        <w:pStyle w:val="SingleTxtG"/>
        <w:rPr>
          <w:rFonts w:eastAsia="Calibri"/>
          <w:lang w:eastAsia="es-BO"/>
        </w:rPr>
      </w:pPr>
      <w:r w:rsidRPr="007431C8">
        <w:rPr>
          <w:rFonts w:eastAsia="Calibri"/>
          <w:lang w:val="es-BO" w:eastAsia="es-BO"/>
        </w:rPr>
        <w:t>53.</w:t>
      </w:r>
      <w:r w:rsidRPr="007431C8">
        <w:rPr>
          <w:rFonts w:eastAsia="Calibri"/>
          <w:lang w:val="es-BO" w:eastAsia="es-BO"/>
        </w:rPr>
        <w:tab/>
      </w:r>
      <w:r w:rsidR="00BD4745" w:rsidRPr="007431C8">
        <w:rPr>
          <w:rFonts w:eastAsia="Calibri"/>
          <w:lang w:eastAsia="es-BO"/>
        </w:rPr>
        <w:t>b) Conforme se hizo referencia en el párrafo anterior, en el Estado Boliviano NO se requiere contar con ninguna autorización judicial, norma o reglamento previo para dar paso a una Interrupción Legal del Embarazo.</w:t>
      </w:r>
    </w:p>
    <w:p w14:paraId="01DBD0E9" w14:textId="09C66359" w:rsidR="00BD4745" w:rsidRPr="007431C8" w:rsidRDefault="007431C8" w:rsidP="007431C8">
      <w:pPr>
        <w:pStyle w:val="SingleTxtG"/>
        <w:rPr>
          <w:rFonts w:eastAsia="Calibri"/>
          <w:lang w:eastAsia="es-BO"/>
        </w:rPr>
      </w:pPr>
      <w:r w:rsidRPr="007431C8">
        <w:rPr>
          <w:rFonts w:eastAsia="Calibri"/>
          <w:lang w:val="es-BO" w:eastAsia="es-BO"/>
        </w:rPr>
        <w:t>54.</w:t>
      </w:r>
      <w:r w:rsidRPr="007431C8">
        <w:rPr>
          <w:rFonts w:eastAsia="Calibri"/>
          <w:lang w:val="es-BO" w:eastAsia="es-BO"/>
        </w:rPr>
        <w:tab/>
      </w:r>
      <w:r w:rsidR="00BD4745" w:rsidRPr="007431C8">
        <w:rPr>
          <w:rFonts w:eastAsia="Calibri"/>
          <w:lang w:eastAsia="es-BO"/>
        </w:rPr>
        <w:t xml:space="preserve">c) Con relación a la judicialización de casos de interrupciones de embarazos, cabe aclarar que, el Artículo 266 del Código Penal respecto al Aborto Impune fue declarado inconstitucional en parte, por la </w:t>
      </w:r>
      <w:proofErr w:type="spellStart"/>
      <w:r w:rsidR="00BD4745" w:rsidRPr="007431C8">
        <w:rPr>
          <w:rFonts w:eastAsia="Calibri"/>
          <w:lang w:eastAsia="es-BO"/>
        </w:rPr>
        <w:t>S.C.P</w:t>
      </w:r>
      <w:proofErr w:type="spellEnd"/>
      <w:r w:rsidR="00BD4745" w:rsidRPr="007431C8">
        <w:rPr>
          <w:rFonts w:eastAsia="Calibri"/>
          <w:lang w:eastAsia="es-BO"/>
        </w:rPr>
        <w:t>. 0206/2014 de 5 de febrero de 2014, en cuanto a la condicionante “siempre que la acción penal hubiere sido iniciada” y con referencia a la autorización judicial en su caso”; por lo que el Estado no ha judicializado el aborto estos últimos 5 años.</w:t>
      </w:r>
    </w:p>
    <w:p w14:paraId="68EA32C3" w14:textId="5403FC58" w:rsidR="00BD4745" w:rsidRPr="007431C8" w:rsidRDefault="0098102E" w:rsidP="007431C8">
      <w:pPr>
        <w:pStyle w:val="SingleTxtG"/>
        <w:rPr>
          <w:rFonts w:eastAsia="Calibri"/>
          <w:lang w:eastAsia="es-BO"/>
        </w:rPr>
      </w:pPr>
      <w:r w:rsidRPr="007431C8">
        <w:rPr>
          <w:rFonts w:eastAsia="Calibri"/>
          <w:lang w:val="es-BO" w:eastAsia="es-BO"/>
        </w:rPr>
        <w:t>55.</w:t>
      </w:r>
      <w:r w:rsidRPr="007431C8">
        <w:rPr>
          <w:rFonts w:eastAsia="Calibri"/>
          <w:lang w:val="es-BO" w:eastAsia="es-BO"/>
        </w:rPr>
        <w:tab/>
      </w:r>
      <w:r w:rsidR="00BD4745" w:rsidRPr="007431C8">
        <w:rPr>
          <w:rFonts w:eastAsia="Calibri"/>
          <w:lang w:eastAsia="es-BO"/>
        </w:rPr>
        <w:t xml:space="preserve">El Artículo 266 del Código Penal respecto al Aborto Impune refiere que: “Cuando el aborto hubiere sido consecuencia de un delito de violación, rapto no seguido de matrimonio, estupro o incesto, no se aplicará sanción alguna. Tampoco será punible si el aborto hubiere sido practicado con el fin de evitar un peligro para la vida o la salud de la madre y si este peligro no podía ser evitado por otros medios. En ambos casos, el aborto deberá ser practicado por un médico, con el consentimiento de la mujer”; los textos anteriormente tachados fueron declarados inconstitucionales por la </w:t>
      </w:r>
      <w:proofErr w:type="spellStart"/>
      <w:r w:rsidR="00BD4745" w:rsidRPr="007431C8">
        <w:rPr>
          <w:rFonts w:eastAsia="Calibri"/>
          <w:lang w:eastAsia="es-BO"/>
        </w:rPr>
        <w:t>S.C.P</w:t>
      </w:r>
      <w:proofErr w:type="spellEnd"/>
      <w:r w:rsidR="00BD4745" w:rsidRPr="007431C8">
        <w:rPr>
          <w:rFonts w:eastAsia="Calibri"/>
          <w:lang w:eastAsia="es-BO"/>
        </w:rPr>
        <w:t>. 0206/2014, de 5 de febrero de</w:t>
      </w:r>
      <w:r w:rsidR="007B7FD3">
        <w:rPr>
          <w:rFonts w:eastAsia="Calibri"/>
          <w:lang w:eastAsia="es-BO"/>
        </w:rPr>
        <w:t> </w:t>
      </w:r>
      <w:r w:rsidR="00BD4745" w:rsidRPr="007431C8">
        <w:rPr>
          <w:rFonts w:eastAsia="Calibri"/>
          <w:lang w:eastAsia="es-BO"/>
        </w:rPr>
        <w:t xml:space="preserve">2014, por lo que el Estado no ha judicializado el aborto estos últimos 5 años. </w:t>
      </w:r>
    </w:p>
    <w:p w14:paraId="7BAA64EA" w14:textId="3EB665C4" w:rsidR="00BD4745" w:rsidRPr="007431C8" w:rsidRDefault="007431C8" w:rsidP="007431C8">
      <w:pPr>
        <w:pStyle w:val="SingleTxtG"/>
        <w:rPr>
          <w:rFonts w:eastAsia="Calibri"/>
          <w:lang w:eastAsia="es-BO"/>
        </w:rPr>
      </w:pPr>
      <w:r w:rsidRPr="007431C8">
        <w:rPr>
          <w:rFonts w:eastAsia="Calibri"/>
          <w:lang w:val="es-BO" w:eastAsia="es-BO"/>
        </w:rPr>
        <w:t>56.</w:t>
      </w:r>
      <w:r w:rsidRPr="007431C8">
        <w:rPr>
          <w:rFonts w:eastAsia="Calibri"/>
          <w:lang w:val="es-BO" w:eastAsia="es-BO"/>
        </w:rPr>
        <w:tab/>
      </w:r>
      <w:r w:rsidR="00BD4745" w:rsidRPr="007431C8">
        <w:rPr>
          <w:rFonts w:eastAsia="Calibri"/>
          <w:lang w:eastAsia="es-BO"/>
        </w:rPr>
        <w:t>d)</w:t>
      </w:r>
      <w:r w:rsidR="00BD4745" w:rsidRPr="007431C8">
        <w:rPr>
          <w:rFonts w:eastAsia="Calibri"/>
          <w:i/>
          <w:lang w:eastAsia="es-BO"/>
        </w:rPr>
        <w:t xml:space="preserve"> </w:t>
      </w:r>
      <w:proofErr w:type="gramStart"/>
      <w:r w:rsidR="00BD4745" w:rsidRPr="007431C8">
        <w:rPr>
          <w:rFonts w:eastAsia="Calibri"/>
          <w:lang w:eastAsia="es-BO"/>
        </w:rPr>
        <w:t>De acuerdo a</w:t>
      </w:r>
      <w:proofErr w:type="gramEnd"/>
      <w:r w:rsidR="00BD4745" w:rsidRPr="007431C8">
        <w:rPr>
          <w:rFonts w:eastAsia="Calibri"/>
          <w:lang w:eastAsia="es-BO"/>
        </w:rPr>
        <w:t xml:space="preserve"> la Sentencia Constitucional </w:t>
      </w:r>
      <w:proofErr w:type="spellStart"/>
      <w:r w:rsidR="00BD4745" w:rsidRPr="007431C8">
        <w:rPr>
          <w:rFonts w:eastAsia="Calibri"/>
          <w:lang w:eastAsia="es-BO"/>
        </w:rPr>
        <w:t>N</w:t>
      </w:r>
      <w:r w:rsidR="007B7FD3">
        <w:rPr>
          <w:rFonts w:eastAsia="Calibri"/>
          <w:lang w:eastAsia="es-BO"/>
        </w:rPr>
        <w:t>º</w:t>
      </w:r>
      <w:proofErr w:type="spellEnd"/>
      <w:r w:rsidR="00BD4745" w:rsidRPr="007431C8">
        <w:rPr>
          <w:rFonts w:eastAsia="Calibri"/>
          <w:lang w:eastAsia="es-BO"/>
        </w:rPr>
        <w:t xml:space="preserve"> 0206/2014, el cual establece que la mujer podrá acceder a un aborto legal y seguro en los casos que el embarazo sea producto de: violación, incesto, estupro y cuando como resultado del embarazo, su vida o salud corra peligro. Asimismo, el Procedimiento Técnico para la Prestación de Servicios de Salud en el Marco de la </w:t>
      </w:r>
      <w:proofErr w:type="spellStart"/>
      <w:r w:rsidR="00BD4745" w:rsidRPr="007431C8">
        <w:rPr>
          <w:rFonts w:eastAsia="Calibri"/>
          <w:lang w:eastAsia="es-BO"/>
        </w:rPr>
        <w:t>SCP</w:t>
      </w:r>
      <w:proofErr w:type="spellEnd"/>
      <w:r w:rsidR="00BD4745" w:rsidRPr="007431C8">
        <w:rPr>
          <w:rFonts w:eastAsia="Calibri"/>
          <w:lang w:eastAsia="es-BO"/>
        </w:rPr>
        <w:t xml:space="preserve"> 0206/2014, aprobada mediante Resolución Ministerial </w:t>
      </w:r>
      <w:proofErr w:type="spellStart"/>
      <w:r w:rsidR="00BD4745" w:rsidRPr="007431C8">
        <w:rPr>
          <w:rFonts w:eastAsia="Calibri"/>
          <w:lang w:eastAsia="es-BO"/>
        </w:rPr>
        <w:t>N</w:t>
      </w:r>
      <w:r w:rsidR="007B7FD3">
        <w:rPr>
          <w:rFonts w:eastAsia="Calibri"/>
          <w:lang w:eastAsia="es-BO"/>
        </w:rPr>
        <w:t>º</w:t>
      </w:r>
      <w:proofErr w:type="spellEnd"/>
      <w:r w:rsidR="00BD4745" w:rsidRPr="007431C8">
        <w:rPr>
          <w:rFonts w:eastAsia="Calibri"/>
          <w:lang w:eastAsia="es-BO"/>
        </w:rPr>
        <w:t xml:space="preserve"> 0027, en el inciso e) Artículo 8 respecto a las obligaciones de los proveedores de los servicios de salud, indica: </w:t>
      </w:r>
      <w:r w:rsidR="00BD4745" w:rsidRPr="007431C8">
        <w:rPr>
          <w:rFonts w:eastAsia="Calibri"/>
          <w:i/>
          <w:lang w:eastAsia="es-BO"/>
        </w:rPr>
        <w:t>“Interrumpir el embarazo cuando la vida o la salud de la mujer está en peligro o existan malformaciones congénitas letales de acuerdo a informe médico, siempre y cuando firme el Consentimiento Informado de manera libre, voluntaria y sin ningún otro requisito”</w:t>
      </w:r>
      <w:r w:rsidR="00BD4745" w:rsidRPr="007431C8">
        <w:rPr>
          <w:rFonts w:eastAsia="Calibri"/>
          <w:lang w:eastAsia="es-BO"/>
        </w:rPr>
        <w:t>.</w:t>
      </w:r>
    </w:p>
    <w:p w14:paraId="52EE6270" w14:textId="7E56BD07" w:rsidR="00BD4745" w:rsidRPr="007431C8" w:rsidRDefault="007431C8" w:rsidP="007431C8">
      <w:pPr>
        <w:pStyle w:val="SingleTxtG"/>
      </w:pPr>
      <w:r w:rsidRPr="007431C8">
        <w:rPr>
          <w:lang w:val="es-BO" w:eastAsia="en-US"/>
        </w:rPr>
        <w:t>57.</w:t>
      </w:r>
      <w:r w:rsidRPr="007431C8">
        <w:rPr>
          <w:lang w:val="es-BO" w:eastAsia="en-US"/>
        </w:rPr>
        <w:tab/>
      </w:r>
      <w:r w:rsidR="00BD4745" w:rsidRPr="007431C8">
        <w:rPr>
          <w:rFonts w:eastAsia="Calibri"/>
          <w:lang w:eastAsia="es-BO"/>
        </w:rPr>
        <w:t>e)</w:t>
      </w:r>
      <w:r w:rsidR="00BD4745" w:rsidRPr="007431C8">
        <w:rPr>
          <w:rFonts w:eastAsia="Calibri"/>
          <w:i/>
          <w:lang w:eastAsia="es-BO"/>
        </w:rPr>
        <w:t xml:space="preserve"> </w:t>
      </w:r>
      <w:r w:rsidR="00BD4745" w:rsidRPr="007431C8">
        <w:rPr>
          <w:rFonts w:eastAsia="Arial"/>
        </w:rPr>
        <w:t>El Plan Plurinacional de Prevención de Embarazos en Adolescentes y Jóvenes se ha distribuido en los siguientes componentes cada uno de ellos reflejad</w:t>
      </w:r>
      <w:r w:rsidR="00AA6A62">
        <w:rPr>
          <w:rFonts w:eastAsia="Arial"/>
        </w:rPr>
        <w:t>o con el respectivo presupuesto.</w:t>
      </w:r>
    </w:p>
    <w:tbl>
      <w:tblPr>
        <w:tblStyle w:val="TableGrid0"/>
        <w:tblW w:w="7370" w:type="dxa"/>
        <w:tblInd w:w="1134" w:type="dxa"/>
        <w:tblBorders>
          <w:top w:val="single" w:sz="4" w:space="0" w:color="auto"/>
        </w:tblBorders>
        <w:tblLook w:val="04A0" w:firstRow="1" w:lastRow="0" w:firstColumn="1" w:lastColumn="0" w:noHBand="0" w:noVBand="1"/>
      </w:tblPr>
      <w:tblGrid>
        <w:gridCol w:w="5235"/>
        <w:gridCol w:w="2135"/>
      </w:tblGrid>
      <w:tr w:rsidR="00A4292E" w:rsidRPr="004B0800" w14:paraId="22C7298A" w14:textId="77777777" w:rsidTr="004B0800">
        <w:trPr>
          <w:trHeight w:val="240"/>
          <w:tblHeader/>
        </w:trPr>
        <w:tc>
          <w:tcPr>
            <w:tcW w:w="5235" w:type="dxa"/>
            <w:tcBorders>
              <w:top w:val="single" w:sz="4" w:space="0" w:color="auto"/>
              <w:bottom w:val="single" w:sz="12" w:space="0" w:color="auto"/>
            </w:tcBorders>
            <w:shd w:val="clear" w:color="auto" w:fill="auto"/>
            <w:vAlign w:val="bottom"/>
          </w:tcPr>
          <w:p w14:paraId="14DD5410" w14:textId="609EAD5A" w:rsidR="00BD4745" w:rsidRPr="004B0800" w:rsidRDefault="007431C8">
            <w:pPr>
              <w:spacing w:before="80" w:after="80" w:line="200" w:lineRule="exact"/>
              <w:rPr>
                <w:rFonts w:asciiTheme="majorBidi" w:eastAsia="Times New Roman" w:hAnsiTheme="majorBidi" w:cstheme="majorBidi"/>
                <w:i/>
                <w:sz w:val="16"/>
                <w:szCs w:val="16"/>
              </w:rPr>
            </w:pPr>
            <w:r w:rsidRPr="004B0800">
              <w:rPr>
                <w:rFonts w:asciiTheme="majorBidi" w:eastAsia="Arial" w:hAnsiTheme="majorBidi" w:cstheme="majorBidi"/>
                <w:i/>
                <w:sz w:val="16"/>
                <w:szCs w:val="16"/>
              </w:rPr>
              <w:t>Componente</w:t>
            </w:r>
          </w:p>
        </w:tc>
        <w:tc>
          <w:tcPr>
            <w:tcW w:w="2135" w:type="dxa"/>
            <w:tcBorders>
              <w:top w:val="single" w:sz="4" w:space="0" w:color="auto"/>
              <w:bottom w:val="single" w:sz="12" w:space="0" w:color="auto"/>
            </w:tcBorders>
            <w:shd w:val="clear" w:color="auto" w:fill="auto"/>
            <w:vAlign w:val="bottom"/>
          </w:tcPr>
          <w:p w14:paraId="09EEA1F0" w14:textId="426D409E" w:rsidR="00BD4745" w:rsidRPr="004B0800" w:rsidRDefault="007431C8" w:rsidP="004B0800">
            <w:pPr>
              <w:spacing w:before="80" w:after="80" w:line="200" w:lineRule="exact"/>
              <w:ind w:left="113"/>
              <w:jc w:val="right"/>
              <w:rPr>
                <w:rFonts w:asciiTheme="majorBidi" w:eastAsia="Times New Roman" w:hAnsiTheme="majorBidi" w:cstheme="majorBidi"/>
                <w:i/>
                <w:sz w:val="16"/>
                <w:szCs w:val="16"/>
              </w:rPr>
            </w:pPr>
            <w:r w:rsidRPr="004B0800">
              <w:rPr>
                <w:rFonts w:asciiTheme="majorBidi" w:eastAsia="Arial" w:hAnsiTheme="majorBidi" w:cstheme="majorBidi"/>
                <w:i/>
                <w:sz w:val="16"/>
                <w:szCs w:val="16"/>
              </w:rPr>
              <w:t>Presupuesto expresado en</w:t>
            </w:r>
            <w:r w:rsidR="005C7B1D" w:rsidRPr="004B0800">
              <w:rPr>
                <w:rFonts w:asciiTheme="majorBidi" w:eastAsia="Arial" w:hAnsiTheme="majorBidi" w:cstheme="majorBidi"/>
                <w:i/>
                <w:sz w:val="16"/>
                <w:szCs w:val="16"/>
              </w:rPr>
              <w:t> </w:t>
            </w:r>
            <w:proofErr w:type="gramStart"/>
            <w:r w:rsidRPr="004B0800">
              <w:rPr>
                <w:rFonts w:asciiTheme="majorBidi" w:eastAsia="Arial" w:hAnsiTheme="majorBidi" w:cstheme="majorBidi"/>
                <w:i/>
                <w:sz w:val="16"/>
                <w:szCs w:val="16"/>
              </w:rPr>
              <w:t>Bolivianos</w:t>
            </w:r>
            <w:proofErr w:type="gramEnd"/>
          </w:p>
        </w:tc>
      </w:tr>
      <w:tr w:rsidR="00A4292E" w:rsidRPr="004B0800" w14:paraId="169FA6FE" w14:textId="77777777" w:rsidTr="004B0800">
        <w:trPr>
          <w:trHeight w:val="240"/>
        </w:trPr>
        <w:tc>
          <w:tcPr>
            <w:tcW w:w="5235" w:type="dxa"/>
            <w:tcBorders>
              <w:top w:val="single" w:sz="12" w:space="0" w:color="auto"/>
            </w:tcBorders>
            <w:shd w:val="clear" w:color="auto" w:fill="auto"/>
          </w:tcPr>
          <w:p w14:paraId="4D915332" w14:textId="5F6CBCFF" w:rsidR="00BD4745" w:rsidRPr="004B0800" w:rsidRDefault="007431C8">
            <w:pPr>
              <w:spacing w:before="40" w:after="40" w:line="220" w:lineRule="exact"/>
              <w:rPr>
                <w:rFonts w:asciiTheme="majorBidi" w:eastAsia="Times New Roman" w:hAnsiTheme="majorBidi" w:cstheme="majorBidi"/>
                <w:sz w:val="18"/>
                <w:szCs w:val="16"/>
              </w:rPr>
            </w:pPr>
            <w:r w:rsidRPr="004B0800">
              <w:rPr>
                <w:rFonts w:asciiTheme="majorBidi" w:eastAsia="Arial" w:hAnsiTheme="majorBidi" w:cstheme="majorBidi"/>
                <w:sz w:val="18"/>
                <w:szCs w:val="16"/>
              </w:rPr>
              <w:t xml:space="preserve">Componente económico, productivo y laboral </w:t>
            </w:r>
          </w:p>
        </w:tc>
        <w:tc>
          <w:tcPr>
            <w:tcW w:w="2135" w:type="dxa"/>
            <w:tcBorders>
              <w:top w:val="single" w:sz="12" w:space="0" w:color="auto"/>
            </w:tcBorders>
            <w:shd w:val="clear" w:color="auto" w:fill="auto"/>
            <w:vAlign w:val="bottom"/>
          </w:tcPr>
          <w:p w14:paraId="5B318A9E" w14:textId="74945382" w:rsidR="00BD4745" w:rsidRPr="004B0800" w:rsidRDefault="00BD4745" w:rsidP="004B0800">
            <w:pPr>
              <w:spacing w:before="40" w:after="40" w:line="220" w:lineRule="exact"/>
              <w:ind w:left="113"/>
              <w:jc w:val="right"/>
              <w:rPr>
                <w:rFonts w:asciiTheme="majorBidi" w:eastAsia="Times New Roman" w:hAnsiTheme="majorBidi" w:cstheme="majorBidi"/>
                <w:sz w:val="18"/>
                <w:szCs w:val="16"/>
              </w:rPr>
            </w:pPr>
            <w:r w:rsidRPr="004B0800">
              <w:rPr>
                <w:rFonts w:asciiTheme="majorBidi" w:eastAsia="Arial" w:hAnsiTheme="majorBidi" w:cstheme="majorBidi"/>
                <w:sz w:val="18"/>
                <w:szCs w:val="16"/>
              </w:rPr>
              <w:t>1</w:t>
            </w:r>
            <w:r w:rsidR="007B7FD3" w:rsidRPr="004B0800">
              <w:rPr>
                <w:rFonts w:asciiTheme="majorBidi" w:eastAsia="Arial" w:hAnsiTheme="majorBidi" w:cstheme="majorBidi"/>
                <w:sz w:val="18"/>
                <w:szCs w:val="16"/>
              </w:rPr>
              <w:t xml:space="preserve"> </w:t>
            </w:r>
            <w:r w:rsidRPr="004B0800">
              <w:rPr>
                <w:rFonts w:asciiTheme="majorBidi" w:eastAsia="Arial" w:hAnsiTheme="majorBidi" w:cstheme="majorBidi"/>
                <w:sz w:val="18"/>
                <w:szCs w:val="16"/>
              </w:rPr>
              <w:t>750</w:t>
            </w:r>
            <w:r w:rsidR="007B7FD3" w:rsidRPr="004B0800">
              <w:rPr>
                <w:rFonts w:asciiTheme="majorBidi" w:eastAsia="Arial" w:hAnsiTheme="majorBidi" w:cstheme="majorBidi"/>
                <w:sz w:val="18"/>
                <w:szCs w:val="16"/>
              </w:rPr>
              <w:t xml:space="preserve"> </w:t>
            </w:r>
            <w:r w:rsidRPr="004B0800">
              <w:rPr>
                <w:rFonts w:asciiTheme="majorBidi" w:eastAsia="Arial" w:hAnsiTheme="majorBidi" w:cstheme="majorBidi"/>
                <w:sz w:val="18"/>
                <w:szCs w:val="16"/>
              </w:rPr>
              <w:t xml:space="preserve">000 </w:t>
            </w:r>
          </w:p>
        </w:tc>
      </w:tr>
      <w:tr w:rsidR="00A4292E" w:rsidRPr="004B0800" w14:paraId="79D8CBB5" w14:textId="77777777" w:rsidTr="004B0800">
        <w:trPr>
          <w:trHeight w:val="240"/>
        </w:trPr>
        <w:tc>
          <w:tcPr>
            <w:tcW w:w="5235" w:type="dxa"/>
            <w:shd w:val="clear" w:color="auto" w:fill="auto"/>
          </w:tcPr>
          <w:p w14:paraId="05D61EB7" w14:textId="09039CD0" w:rsidR="00BD4745" w:rsidRPr="004B0800" w:rsidRDefault="007431C8">
            <w:pPr>
              <w:spacing w:before="40" w:after="40" w:line="220" w:lineRule="exact"/>
              <w:rPr>
                <w:rFonts w:asciiTheme="majorBidi" w:eastAsia="Times New Roman" w:hAnsiTheme="majorBidi" w:cstheme="majorBidi"/>
                <w:sz w:val="18"/>
                <w:szCs w:val="16"/>
              </w:rPr>
            </w:pPr>
            <w:r w:rsidRPr="004B0800">
              <w:rPr>
                <w:rFonts w:asciiTheme="majorBidi" w:eastAsia="Arial" w:hAnsiTheme="majorBidi" w:cstheme="majorBidi"/>
                <w:sz w:val="18"/>
                <w:szCs w:val="16"/>
              </w:rPr>
              <w:t xml:space="preserve">Componente educación </w:t>
            </w:r>
          </w:p>
        </w:tc>
        <w:tc>
          <w:tcPr>
            <w:tcW w:w="2135" w:type="dxa"/>
            <w:shd w:val="clear" w:color="auto" w:fill="auto"/>
            <w:vAlign w:val="bottom"/>
          </w:tcPr>
          <w:p w14:paraId="02650E0D" w14:textId="3E7AEC9F" w:rsidR="00BD4745" w:rsidRPr="004B0800" w:rsidRDefault="00BD4745" w:rsidP="004B0800">
            <w:pPr>
              <w:spacing w:before="40" w:after="40" w:line="220" w:lineRule="exact"/>
              <w:ind w:left="113"/>
              <w:jc w:val="right"/>
              <w:rPr>
                <w:rFonts w:asciiTheme="majorBidi" w:eastAsia="Times New Roman" w:hAnsiTheme="majorBidi" w:cstheme="majorBidi"/>
                <w:sz w:val="18"/>
                <w:szCs w:val="16"/>
              </w:rPr>
            </w:pPr>
            <w:r w:rsidRPr="004B0800">
              <w:rPr>
                <w:rFonts w:asciiTheme="majorBidi" w:eastAsia="Arial" w:hAnsiTheme="majorBidi" w:cstheme="majorBidi"/>
                <w:sz w:val="18"/>
                <w:szCs w:val="16"/>
              </w:rPr>
              <w:t>2</w:t>
            </w:r>
            <w:r w:rsidR="007B7FD3" w:rsidRPr="004B0800">
              <w:rPr>
                <w:rFonts w:asciiTheme="majorBidi" w:eastAsia="Arial" w:hAnsiTheme="majorBidi" w:cstheme="majorBidi"/>
                <w:sz w:val="18"/>
                <w:szCs w:val="16"/>
              </w:rPr>
              <w:t xml:space="preserve"> </w:t>
            </w:r>
            <w:r w:rsidRPr="004B0800">
              <w:rPr>
                <w:rFonts w:asciiTheme="majorBidi" w:eastAsia="Arial" w:hAnsiTheme="majorBidi" w:cstheme="majorBidi"/>
                <w:sz w:val="18"/>
                <w:szCs w:val="16"/>
              </w:rPr>
              <w:t>380</w:t>
            </w:r>
            <w:r w:rsidR="007B7FD3" w:rsidRPr="004B0800">
              <w:rPr>
                <w:rFonts w:asciiTheme="majorBidi" w:eastAsia="Arial" w:hAnsiTheme="majorBidi" w:cstheme="majorBidi"/>
                <w:sz w:val="18"/>
                <w:szCs w:val="16"/>
              </w:rPr>
              <w:t xml:space="preserve"> </w:t>
            </w:r>
            <w:r w:rsidRPr="004B0800">
              <w:rPr>
                <w:rFonts w:asciiTheme="majorBidi" w:eastAsia="Arial" w:hAnsiTheme="majorBidi" w:cstheme="majorBidi"/>
                <w:sz w:val="18"/>
                <w:szCs w:val="16"/>
              </w:rPr>
              <w:t xml:space="preserve">000 </w:t>
            </w:r>
          </w:p>
        </w:tc>
      </w:tr>
      <w:tr w:rsidR="00A4292E" w:rsidRPr="004B0800" w14:paraId="3AA112DE" w14:textId="77777777" w:rsidTr="004B0800">
        <w:trPr>
          <w:trHeight w:val="240"/>
        </w:trPr>
        <w:tc>
          <w:tcPr>
            <w:tcW w:w="5235" w:type="dxa"/>
            <w:shd w:val="clear" w:color="auto" w:fill="auto"/>
          </w:tcPr>
          <w:p w14:paraId="0D0BC76F" w14:textId="212D9862" w:rsidR="00BD4745" w:rsidRPr="004B0800" w:rsidRDefault="007431C8">
            <w:pPr>
              <w:spacing w:before="40" w:after="40" w:line="220" w:lineRule="exact"/>
              <w:rPr>
                <w:rFonts w:asciiTheme="majorBidi" w:eastAsia="Times New Roman" w:hAnsiTheme="majorBidi" w:cstheme="majorBidi"/>
                <w:sz w:val="18"/>
                <w:szCs w:val="16"/>
              </w:rPr>
            </w:pPr>
            <w:r w:rsidRPr="004B0800">
              <w:rPr>
                <w:rFonts w:asciiTheme="majorBidi" w:eastAsia="Arial" w:hAnsiTheme="majorBidi" w:cstheme="majorBidi"/>
                <w:sz w:val="18"/>
                <w:szCs w:val="16"/>
              </w:rPr>
              <w:t xml:space="preserve">Componente salud </w:t>
            </w:r>
          </w:p>
        </w:tc>
        <w:tc>
          <w:tcPr>
            <w:tcW w:w="2135" w:type="dxa"/>
            <w:shd w:val="clear" w:color="auto" w:fill="auto"/>
            <w:vAlign w:val="bottom"/>
          </w:tcPr>
          <w:p w14:paraId="17EEAE4A" w14:textId="4D59B9CE" w:rsidR="00BD4745" w:rsidRPr="004B0800" w:rsidRDefault="00BD4745" w:rsidP="004B0800">
            <w:pPr>
              <w:spacing w:before="40" w:after="40" w:line="220" w:lineRule="exact"/>
              <w:ind w:left="113"/>
              <w:jc w:val="right"/>
              <w:rPr>
                <w:rFonts w:asciiTheme="majorBidi" w:eastAsia="Times New Roman" w:hAnsiTheme="majorBidi" w:cstheme="majorBidi"/>
                <w:sz w:val="18"/>
                <w:szCs w:val="16"/>
              </w:rPr>
            </w:pPr>
            <w:r w:rsidRPr="004B0800">
              <w:rPr>
                <w:rFonts w:asciiTheme="majorBidi" w:eastAsia="Arial" w:hAnsiTheme="majorBidi" w:cstheme="majorBidi"/>
                <w:sz w:val="18"/>
                <w:szCs w:val="16"/>
              </w:rPr>
              <w:t>6</w:t>
            </w:r>
            <w:r w:rsidR="007B7FD3" w:rsidRPr="004B0800">
              <w:rPr>
                <w:rFonts w:asciiTheme="majorBidi" w:eastAsia="Arial" w:hAnsiTheme="majorBidi" w:cstheme="majorBidi"/>
                <w:sz w:val="18"/>
                <w:szCs w:val="16"/>
              </w:rPr>
              <w:t xml:space="preserve"> </w:t>
            </w:r>
            <w:r w:rsidRPr="004B0800">
              <w:rPr>
                <w:rFonts w:asciiTheme="majorBidi" w:eastAsia="Arial" w:hAnsiTheme="majorBidi" w:cstheme="majorBidi"/>
                <w:sz w:val="18"/>
                <w:szCs w:val="16"/>
              </w:rPr>
              <w:t>678</w:t>
            </w:r>
            <w:r w:rsidR="007B7FD3" w:rsidRPr="004B0800">
              <w:rPr>
                <w:rFonts w:asciiTheme="majorBidi" w:eastAsia="Arial" w:hAnsiTheme="majorBidi" w:cstheme="majorBidi"/>
                <w:sz w:val="18"/>
                <w:szCs w:val="16"/>
              </w:rPr>
              <w:t xml:space="preserve"> </w:t>
            </w:r>
            <w:r w:rsidRPr="004B0800">
              <w:rPr>
                <w:rFonts w:asciiTheme="majorBidi" w:eastAsia="Arial" w:hAnsiTheme="majorBidi" w:cstheme="majorBidi"/>
                <w:sz w:val="18"/>
                <w:szCs w:val="16"/>
              </w:rPr>
              <w:t xml:space="preserve">000 </w:t>
            </w:r>
          </w:p>
        </w:tc>
      </w:tr>
      <w:tr w:rsidR="00A4292E" w:rsidRPr="004B0800" w14:paraId="0E0F7F7C" w14:textId="77777777" w:rsidTr="004B0800">
        <w:trPr>
          <w:trHeight w:val="240"/>
        </w:trPr>
        <w:tc>
          <w:tcPr>
            <w:tcW w:w="5235" w:type="dxa"/>
            <w:shd w:val="clear" w:color="auto" w:fill="auto"/>
          </w:tcPr>
          <w:p w14:paraId="505D9B26" w14:textId="2362B84F" w:rsidR="00BD4745" w:rsidRPr="004B0800" w:rsidRDefault="007431C8">
            <w:pPr>
              <w:spacing w:before="40" w:after="40" w:line="220" w:lineRule="exact"/>
              <w:rPr>
                <w:rFonts w:asciiTheme="majorBidi" w:eastAsia="Times New Roman" w:hAnsiTheme="majorBidi" w:cstheme="majorBidi"/>
                <w:sz w:val="18"/>
                <w:szCs w:val="16"/>
              </w:rPr>
            </w:pPr>
            <w:r w:rsidRPr="004B0800">
              <w:rPr>
                <w:rFonts w:asciiTheme="majorBidi" w:eastAsia="Arial" w:hAnsiTheme="majorBidi" w:cstheme="majorBidi"/>
                <w:sz w:val="18"/>
                <w:szCs w:val="16"/>
              </w:rPr>
              <w:lastRenderedPageBreak/>
              <w:t xml:space="preserve">Componente violencia </w:t>
            </w:r>
            <w:proofErr w:type="gramStart"/>
            <w:r w:rsidRPr="004B0800">
              <w:rPr>
                <w:rFonts w:asciiTheme="majorBidi" w:eastAsia="Arial" w:hAnsiTheme="majorBidi" w:cstheme="majorBidi"/>
                <w:sz w:val="18"/>
                <w:szCs w:val="16"/>
              </w:rPr>
              <w:t>en razón de</w:t>
            </w:r>
            <w:proofErr w:type="gramEnd"/>
            <w:r w:rsidRPr="004B0800">
              <w:rPr>
                <w:rFonts w:asciiTheme="majorBidi" w:eastAsia="Arial" w:hAnsiTheme="majorBidi" w:cstheme="majorBidi"/>
                <w:sz w:val="18"/>
                <w:szCs w:val="16"/>
              </w:rPr>
              <w:t xml:space="preserve"> género </w:t>
            </w:r>
          </w:p>
        </w:tc>
        <w:tc>
          <w:tcPr>
            <w:tcW w:w="2135" w:type="dxa"/>
            <w:shd w:val="clear" w:color="auto" w:fill="auto"/>
            <w:vAlign w:val="bottom"/>
          </w:tcPr>
          <w:p w14:paraId="3215EC1A" w14:textId="778255F7" w:rsidR="00BD4745" w:rsidRPr="004B0800" w:rsidRDefault="00BD4745" w:rsidP="004B0800">
            <w:pPr>
              <w:spacing w:before="40" w:after="40" w:line="220" w:lineRule="exact"/>
              <w:ind w:left="113"/>
              <w:jc w:val="right"/>
              <w:rPr>
                <w:rFonts w:asciiTheme="majorBidi" w:eastAsia="Times New Roman" w:hAnsiTheme="majorBidi" w:cstheme="majorBidi"/>
                <w:sz w:val="18"/>
                <w:szCs w:val="16"/>
              </w:rPr>
            </w:pPr>
            <w:r w:rsidRPr="004B0800">
              <w:rPr>
                <w:rFonts w:asciiTheme="majorBidi" w:eastAsia="Arial" w:hAnsiTheme="majorBidi" w:cstheme="majorBidi"/>
                <w:sz w:val="18"/>
                <w:szCs w:val="16"/>
              </w:rPr>
              <w:t>1</w:t>
            </w:r>
            <w:r w:rsidR="007B7FD3" w:rsidRPr="004B0800">
              <w:rPr>
                <w:rFonts w:asciiTheme="majorBidi" w:eastAsia="Arial" w:hAnsiTheme="majorBidi" w:cstheme="majorBidi"/>
                <w:sz w:val="18"/>
                <w:szCs w:val="16"/>
              </w:rPr>
              <w:t xml:space="preserve"> </w:t>
            </w:r>
            <w:r w:rsidRPr="004B0800">
              <w:rPr>
                <w:rFonts w:asciiTheme="majorBidi" w:eastAsia="Arial" w:hAnsiTheme="majorBidi" w:cstheme="majorBidi"/>
                <w:sz w:val="18"/>
                <w:szCs w:val="16"/>
              </w:rPr>
              <w:t>800</w:t>
            </w:r>
            <w:r w:rsidR="007B7FD3" w:rsidRPr="004B0800">
              <w:rPr>
                <w:rFonts w:asciiTheme="majorBidi" w:eastAsia="Arial" w:hAnsiTheme="majorBidi" w:cstheme="majorBidi"/>
                <w:sz w:val="18"/>
                <w:szCs w:val="16"/>
              </w:rPr>
              <w:t xml:space="preserve"> </w:t>
            </w:r>
            <w:r w:rsidRPr="004B0800">
              <w:rPr>
                <w:rFonts w:asciiTheme="majorBidi" w:eastAsia="Arial" w:hAnsiTheme="majorBidi" w:cstheme="majorBidi"/>
                <w:sz w:val="18"/>
                <w:szCs w:val="16"/>
              </w:rPr>
              <w:t xml:space="preserve">000 </w:t>
            </w:r>
          </w:p>
        </w:tc>
      </w:tr>
      <w:tr w:rsidR="00A4292E" w:rsidRPr="004B0800" w14:paraId="76A83761" w14:textId="77777777" w:rsidTr="004B0800">
        <w:trPr>
          <w:trHeight w:val="240"/>
        </w:trPr>
        <w:tc>
          <w:tcPr>
            <w:tcW w:w="5235" w:type="dxa"/>
            <w:shd w:val="clear" w:color="auto" w:fill="auto"/>
          </w:tcPr>
          <w:p w14:paraId="039A69F4" w14:textId="0D943ED4" w:rsidR="00BD4745" w:rsidRPr="004B0800" w:rsidRDefault="007431C8">
            <w:pPr>
              <w:spacing w:before="40" w:after="40" w:line="220" w:lineRule="exact"/>
              <w:rPr>
                <w:rFonts w:asciiTheme="majorBidi" w:eastAsia="Times New Roman" w:hAnsiTheme="majorBidi" w:cstheme="majorBidi"/>
                <w:sz w:val="18"/>
                <w:szCs w:val="16"/>
              </w:rPr>
            </w:pPr>
            <w:r w:rsidRPr="004B0800">
              <w:rPr>
                <w:rFonts w:asciiTheme="majorBidi" w:eastAsia="Arial" w:hAnsiTheme="majorBidi" w:cstheme="majorBidi"/>
                <w:sz w:val="18"/>
                <w:szCs w:val="16"/>
              </w:rPr>
              <w:t xml:space="preserve">Componente ciudadanía y participación política </w:t>
            </w:r>
          </w:p>
        </w:tc>
        <w:tc>
          <w:tcPr>
            <w:tcW w:w="2135" w:type="dxa"/>
            <w:shd w:val="clear" w:color="auto" w:fill="auto"/>
            <w:vAlign w:val="bottom"/>
          </w:tcPr>
          <w:p w14:paraId="55DF6811" w14:textId="6028CA7C" w:rsidR="00BD4745" w:rsidRPr="004B0800" w:rsidRDefault="00BD4745" w:rsidP="004B0800">
            <w:pPr>
              <w:spacing w:before="40" w:after="40" w:line="220" w:lineRule="exact"/>
              <w:ind w:left="113"/>
              <w:jc w:val="right"/>
              <w:rPr>
                <w:rFonts w:asciiTheme="majorBidi" w:eastAsia="Times New Roman" w:hAnsiTheme="majorBidi" w:cstheme="majorBidi"/>
                <w:sz w:val="18"/>
                <w:szCs w:val="16"/>
              </w:rPr>
            </w:pPr>
            <w:r w:rsidRPr="004B0800">
              <w:rPr>
                <w:rFonts w:asciiTheme="majorBidi" w:eastAsia="Arial" w:hAnsiTheme="majorBidi" w:cstheme="majorBidi"/>
                <w:sz w:val="18"/>
                <w:szCs w:val="16"/>
              </w:rPr>
              <w:t>1</w:t>
            </w:r>
            <w:r w:rsidR="007B7FD3" w:rsidRPr="004B0800">
              <w:rPr>
                <w:rFonts w:asciiTheme="majorBidi" w:eastAsia="Arial" w:hAnsiTheme="majorBidi" w:cstheme="majorBidi"/>
                <w:sz w:val="18"/>
                <w:szCs w:val="16"/>
              </w:rPr>
              <w:t xml:space="preserve"> </w:t>
            </w:r>
            <w:r w:rsidRPr="004B0800">
              <w:rPr>
                <w:rFonts w:asciiTheme="majorBidi" w:eastAsia="Arial" w:hAnsiTheme="majorBidi" w:cstheme="majorBidi"/>
                <w:sz w:val="18"/>
                <w:szCs w:val="16"/>
              </w:rPr>
              <w:t>020</w:t>
            </w:r>
            <w:r w:rsidR="007B7FD3" w:rsidRPr="004B0800">
              <w:rPr>
                <w:rFonts w:asciiTheme="majorBidi" w:eastAsia="Arial" w:hAnsiTheme="majorBidi" w:cstheme="majorBidi"/>
                <w:sz w:val="18"/>
                <w:szCs w:val="16"/>
              </w:rPr>
              <w:t xml:space="preserve"> </w:t>
            </w:r>
            <w:r w:rsidRPr="004B0800">
              <w:rPr>
                <w:rFonts w:asciiTheme="majorBidi" w:eastAsia="Arial" w:hAnsiTheme="majorBidi" w:cstheme="majorBidi"/>
                <w:sz w:val="18"/>
                <w:szCs w:val="16"/>
              </w:rPr>
              <w:t xml:space="preserve">000 </w:t>
            </w:r>
          </w:p>
        </w:tc>
      </w:tr>
      <w:tr w:rsidR="00A4292E" w:rsidRPr="004B0800" w14:paraId="44FB4AE5" w14:textId="77777777" w:rsidTr="004B0800">
        <w:trPr>
          <w:trHeight w:val="240"/>
        </w:trPr>
        <w:tc>
          <w:tcPr>
            <w:tcW w:w="5235" w:type="dxa"/>
            <w:tcBorders>
              <w:bottom w:val="single" w:sz="4" w:space="0" w:color="auto"/>
            </w:tcBorders>
            <w:shd w:val="clear" w:color="auto" w:fill="auto"/>
          </w:tcPr>
          <w:p w14:paraId="2E6170F6" w14:textId="71E2F233" w:rsidR="00BD4745" w:rsidRPr="004B0800" w:rsidRDefault="007431C8">
            <w:pPr>
              <w:spacing w:before="40" w:after="40" w:line="220" w:lineRule="exact"/>
              <w:rPr>
                <w:rFonts w:asciiTheme="majorBidi" w:eastAsia="Times New Roman" w:hAnsiTheme="majorBidi" w:cstheme="majorBidi"/>
                <w:sz w:val="18"/>
                <w:szCs w:val="16"/>
              </w:rPr>
            </w:pPr>
            <w:r w:rsidRPr="004B0800">
              <w:rPr>
                <w:rFonts w:asciiTheme="majorBidi" w:eastAsia="Arial" w:hAnsiTheme="majorBidi" w:cstheme="majorBidi"/>
                <w:sz w:val="18"/>
                <w:szCs w:val="16"/>
              </w:rPr>
              <w:t xml:space="preserve">Componente fortalecimiento institucional </w:t>
            </w:r>
          </w:p>
        </w:tc>
        <w:tc>
          <w:tcPr>
            <w:tcW w:w="2135" w:type="dxa"/>
            <w:tcBorders>
              <w:bottom w:val="single" w:sz="4" w:space="0" w:color="auto"/>
            </w:tcBorders>
            <w:shd w:val="clear" w:color="auto" w:fill="auto"/>
            <w:vAlign w:val="bottom"/>
          </w:tcPr>
          <w:p w14:paraId="6B37566C" w14:textId="17ECEC3D" w:rsidR="00BD4745" w:rsidRPr="004B0800" w:rsidRDefault="00BD4745" w:rsidP="004B0800">
            <w:pPr>
              <w:spacing w:before="40" w:after="40" w:line="220" w:lineRule="exact"/>
              <w:ind w:left="113"/>
              <w:jc w:val="right"/>
              <w:rPr>
                <w:rFonts w:asciiTheme="majorBidi" w:eastAsia="Times New Roman" w:hAnsiTheme="majorBidi" w:cstheme="majorBidi"/>
                <w:sz w:val="18"/>
                <w:szCs w:val="16"/>
              </w:rPr>
            </w:pPr>
            <w:r w:rsidRPr="004B0800">
              <w:rPr>
                <w:rFonts w:asciiTheme="majorBidi" w:eastAsia="Arial" w:hAnsiTheme="majorBidi" w:cstheme="majorBidi"/>
                <w:sz w:val="18"/>
                <w:szCs w:val="16"/>
              </w:rPr>
              <w:t>760</w:t>
            </w:r>
            <w:r w:rsidR="007B7FD3" w:rsidRPr="004B0800">
              <w:rPr>
                <w:rFonts w:asciiTheme="majorBidi" w:eastAsia="Arial" w:hAnsiTheme="majorBidi" w:cstheme="majorBidi"/>
                <w:sz w:val="18"/>
                <w:szCs w:val="16"/>
              </w:rPr>
              <w:t xml:space="preserve"> </w:t>
            </w:r>
            <w:r w:rsidRPr="004B0800">
              <w:rPr>
                <w:rFonts w:asciiTheme="majorBidi" w:eastAsia="Arial" w:hAnsiTheme="majorBidi" w:cstheme="majorBidi"/>
                <w:sz w:val="18"/>
                <w:szCs w:val="16"/>
              </w:rPr>
              <w:t xml:space="preserve">000 </w:t>
            </w:r>
          </w:p>
        </w:tc>
      </w:tr>
      <w:tr w:rsidR="00A4292E" w:rsidRPr="004B0800" w14:paraId="7C06453D" w14:textId="77777777" w:rsidTr="004B0800">
        <w:trPr>
          <w:trHeight w:val="240"/>
        </w:trPr>
        <w:tc>
          <w:tcPr>
            <w:tcW w:w="5235" w:type="dxa"/>
            <w:tcBorders>
              <w:top w:val="single" w:sz="4" w:space="0" w:color="auto"/>
              <w:bottom w:val="single" w:sz="12" w:space="0" w:color="auto"/>
            </w:tcBorders>
            <w:shd w:val="clear" w:color="auto" w:fill="auto"/>
          </w:tcPr>
          <w:p w14:paraId="77750F20" w14:textId="07B22F7F" w:rsidR="00BD4745" w:rsidRPr="004B0800" w:rsidRDefault="007431C8" w:rsidP="004B0800">
            <w:pPr>
              <w:spacing w:before="80" w:after="80" w:line="220" w:lineRule="exact"/>
              <w:ind w:left="283"/>
              <w:rPr>
                <w:rFonts w:asciiTheme="majorBidi" w:eastAsia="Times New Roman" w:hAnsiTheme="majorBidi" w:cstheme="majorBidi"/>
                <w:b/>
                <w:sz w:val="18"/>
                <w:szCs w:val="16"/>
              </w:rPr>
            </w:pPr>
            <w:proofErr w:type="gramStart"/>
            <w:r w:rsidRPr="004B0800">
              <w:rPr>
                <w:rFonts w:asciiTheme="majorBidi" w:eastAsia="Arial" w:hAnsiTheme="majorBidi" w:cstheme="majorBidi"/>
                <w:b/>
                <w:sz w:val="18"/>
                <w:szCs w:val="16"/>
              </w:rPr>
              <w:t>Total</w:t>
            </w:r>
            <w:proofErr w:type="gramEnd"/>
            <w:r w:rsidRPr="004B0800">
              <w:rPr>
                <w:rFonts w:asciiTheme="majorBidi" w:eastAsia="Arial" w:hAnsiTheme="majorBidi" w:cstheme="majorBidi"/>
                <w:b/>
                <w:sz w:val="18"/>
                <w:szCs w:val="16"/>
              </w:rPr>
              <w:t xml:space="preserve"> del presupuesto quinquenal </w:t>
            </w:r>
          </w:p>
        </w:tc>
        <w:tc>
          <w:tcPr>
            <w:tcW w:w="2135" w:type="dxa"/>
            <w:tcBorders>
              <w:top w:val="single" w:sz="4" w:space="0" w:color="auto"/>
              <w:bottom w:val="single" w:sz="12" w:space="0" w:color="auto"/>
            </w:tcBorders>
            <w:shd w:val="clear" w:color="auto" w:fill="auto"/>
            <w:vAlign w:val="bottom"/>
          </w:tcPr>
          <w:p w14:paraId="60D239F5" w14:textId="77BE2031" w:rsidR="00BD4745" w:rsidRPr="004B0800" w:rsidRDefault="00BD4745" w:rsidP="004B0800">
            <w:pPr>
              <w:spacing w:before="80" w:after="80" w:line="220" w:lineRule="exact"/>
              <w:jc w:val="right"/>
              <w:rPr>
                <w:rFonts w:asciiTheme="majorBidi" w:eastAsia="Times New Roman" w:hAnsiTheme="majorBidi" w:cstheme="majorBidi"/>
                <w:b/>
                <w:sz w:val="18"/>
                <w:szCs w:val="16"/>
              </w:rPr>
            </w:pPr>
            <w:r w:rsidRPr="004B0800">
              <w:rPr>
                <w:rFonts w:asciiTheme="majorBidi" w:eastAsia="Arial" w:hAnsiTheme="majorBidi" w:cstheme="majorBidi"/>
                <w:b/>
                <w:sz w:val="18"/>
                <w:szCs w:val="16"/>
              </w:rPr>
              <w:t>12</w:t>
            </w:r>
            <w:r w:rsidR="007B7FD3" w:rsidRPr="004B0800">
              <w:rPr>
                <w:rFonts w:asciiTheme="majorBidi" w:eastAsia="Arial" w:hAnsiTheme="majorBidi" w:cstheme="majorBidi"/>
                <w:b/>
                <w:sz w:val="18"/>
                <w:szCs w:val="16"/>
              </w:rPr>
              <w:t xml:space="preserve"> </w:t>
            </w:r>
            <w:r w:rsidRPr="004B0800">
              <w:rPr>
                <w:rFonts w:asciiTheme="majorBidi" w:eastAsia="Arial" w:hAnsiTheme="majorBidi" w:cstheme="majorBidi"/>
                <w:b/>
                <w:sz w:val="18"/>
                <w:szCs w:val="16"/>
              </w:rPr>
              <w:t>638</w:t>
            </w:r>
            <w:r w:rsidR="007B7FD3" w:rsidRPr="004B0800">
              <w:rPr>
                <w:rFonts w:asciiTheme="majorBidi" w:eastAsia="Arial" w:hAnsiTheme="majorBidi" w:cstheme="majorBidi"/>
                <w:b/>
                <w:sz w:val="18"/>
                <w:szCs w:val="16"/>
              </w:rPr>
              <w:t xml:space="preserve"> </w:t>
            </w:r>
            <w:r w:rsidRPr="004B0800">
              <w:rPr>
                <w:rFonts w:asciiTheme="majorBidi" w:eastAsia="Arial" w:hAnsiTheme="majorBidi" w:cstheme="majorBidi"/>
                <w:b/>
                <w:sz w:val="18"/>
                <w:szCs w:val="16"/>
              </w:rPr>
              <w:t xml:space="preserve">000 </w:t>
            </w:r>
          </w:p>
        </w:tc>
      </w:tr>
    </w:tbl>
    <w:p w14:paraId="179B422E" w14:textId="59FA3973" w:rsidR="00BD4745" w:rsidRPr="007431C8" w:rsidRDefault="00BD4745" w:rsidP="004B0800">
      <w:pPr>
        <w:pStyle w:val="SingleTxtG"/>
        <w:spacing w:before="120" w:after="240"/>
        <w:ind w:firstLine="170"/>
        <w:jc w:val="left"/>
        <w:rPr>
          <w:rFonts w:eastAsia="Arial"/>
          <w:sz w:val="18"/>
          <w:szCs w:val="18"/>
        </w:rPr>
      </w:pPr>
      <w:r w:rsidRPr="004B0800">
        <w:rPr>
          <w:rFonts w:eastAsia="Arial"/>
          <w:bCs/>
          <w:i/>
          <w:sz w:val="18"/>
          <w:szCs w:val="18"/>
        </w:rPr>
        <w:t>Fuente:</w:t>
      </w:r>
      <w:r w:rsidRPr="007431C8">
        <w:rPr>
          <w:rFonts w:eastAsia="Arial"/>
          <w:sz w:val="18"/>
          <w:szCs w:val="18"/>
        </w:rPr>
        <w:t xml:space="preserve"> Plan Plurinacional de Prevención de Embarazos en Adolescentes y Jóvenes</w:t>
      </w:r>
      <w:r w:rsidR="007B7FD3">
        <w:rPr>
          <w:rFonts w:eastAsia="Arial"/>
          <w:sz w:val="18"/>
          <w:szCs w:val="18"/>
        </w:rPr>
        <w:t>.</w:t>
      </w:r>
    </w:p>
    <w:p w14:paraId="3F8896F0" w14:textId="53E60231" w:rsidR="00BD4745" w:rsidRPr="007431C8" w:rsidRDefault="007431C8" w:rsidP="007431C8">
      <w:pPr>
        <w:pStyle w:val="SingleTxtG"/>
      </w:pPr>
      <w:r w:rsidRPr="007431C8">
        <w:rPr>
          <w:rFonts w:eastAsiaTheme="minorHAnsi"/>
          <w:lang w:val="es-BO" w:eastAsia="en-US"/>
        </w:rPr>
        <w:t>58.</w:t>
      </w:r>
      <w:r w:rsidRPr="007431C8">
        <w:rPr>
          <w:rFonts w:eastAsiaTheme="minorHAnsi"/>
          <w:lang w:val="es-BO" w:eastAsia="en-US"/>
        </w:rPr>
        <w:tab/>
      </w:r>
      <w:r w:rsidR="00BD4745" w:rsidRPr="007431C8">
        <w:t xml:space="preserve">f) En cumplimiento a la Ley </w:t>
      </w:r>
      <w:proofErr w:type="spellStart"/>
      <w:r w:rsidR="00BD4745" w:rsidRPr="007431C8">
        <w:t>N</w:t>
      </w:r>
      <w:r w:rsidR="007B7FD3">
        <w:t>º</w:t>
      </w:r>
      <w:proofErr w:type="spellEnd"/>
      <w:r w:rsidR="00BD4745" w:rsidRPr="007431C8">
        <w:t xml:space="preserve"> 348, se viene realizando capacitaciones a los proveedores de salud en cuanto a la Atención Integral a Víctimas de Violencia Sexual; asimismo, siendo que la violencia no discrimina al tipo de víctima, las capacitaciones se realizan tomando en cuenta que la víctima podría ser una niña, niño, adolescente, mujer, hombre, persona adulta mayor, con discapacidad, con diversa orientación sexual e identidad de género. </w:t>
      </w:r>
    </w:p>
    <w:p w14:paraId="761354DE" w14:textId="53B31D16" w:rsidR="00BD4745" w:rsidRPr="007431C8" w:rsidRDefault="0098102E" w:rsidP="007431C8">
      <w:pPr>
        <w:pStyle w:val="SingleTxtG"/>
      </w:pPr>
      <w:r w:rsidRPr="007431C8">
        <w:rPr>
          <w:rFonts w:eastAsiaTheme="minorHAnsi"/>
          <w:lang w:val="es-BO" w:eastAsia="en-US"/>
        </w:rPr>
        <w:t>59.</w:t>
      </w:r>
      <w:r w:rsidRPr="007431C8">
        <w:rPr>
          <w:rFonts w:eastAsiaTheme="minorHAnsi"/>
          <w:lang w:val="es-BO" w:eastAsia="en-US"/>
        </w:rPr>
        <w:tab/>
      </w:r>
      <w:r w:rsidR="00BD4745" w:rsidRPr="007431C8">
        <w:t xml:space="preserve">En este marco el Ministerio de Salud y Deportes a través del Área del Continuo realiza un plan de capacitaciones en tecnología anticonceptiva, las capacitaciones realizadas en los últimos 4 años en tecnología anticonceptiva y sensibilización en los derechos sexuales y derechos reproductivos permite coadyuvar al ejercicio de la población de la salud con calidad. </w:t>
      </w:r>
    </w:p>
    <w:p w14:paraId="5EABC720" w14:textId="4DFB73BF" w:rsidR="00BD4745" w:rsidRPr="002014CD" w:rsidRDefault="007431C8">
      <w:pPr>
        <w:pStyle w:val="H23G"/>
      </w:pPr>
      <w:r>
        <w:tab/>
      </w:r>
      <w:r>
        <w:tab/>
      </w:r>
      <w:r w:rsidR="00BD4745" w:rsidRPr="002014CD">
        <w:t xml:space="preserve">Capacitación en aplicación en tecnología anticonceptiva a personal de salud de atención primaria </w:t>
      </w:r>
    </w:p>
    <w:p w14:paraId="7F0307D7" w14:textId="4A265ED3" w:rsidR="00BD4745" w:rsidRPr="00EF700A" w:rsidRDefault="0098102E" w:rsidP="007431C8">
      <w:pPr>
        <w:pStyle w:val="SingleTxtG"/>
      </w:pPr>
      <w:r w:rsidRPr="00EF700A">
        <w:rPr>
          <w:rFonts w:eastAsiaTheme="minorHAnsi"/>
          <w:lang w:val="es-BO" w:eastAsia="en-US"/>
        </w:rPr>
        <w:t>60.</w:t>
      </w:r>
      <w:r w:rsidRPr="00EF700A">
        <w:rPr>
          <w:rFonts w:eastAsiaTheme="minorHAnsi"/>
          <w:lang w:val="es-BO" w:eastAsia="en-US"/>
        </w:rPr>
        <w:tab/>
      </w:r>
      <w:r w:rsidR="00BD4745" w:rsidRPr="00EF700A">
        <w:t xml:space="preserve">2016: En la línea de mejorar las capacidades del personal de salud el Área del Continuo con la cooperación UNFPA proyectó el desarrollo de capacitaciones, es así </w:t>
      </w:r>
      <w:proofErr w:type="gramStart"/>
      <w:r w:rsidR="00BD4745" w:rsidRPr="00EF700A">
        <w:t>que</w:t>
      </w:r>
      <w:proofErr w:type="gramEnd"/>
      <w:r w:rsidR="00BD4745" w:rsidRPr="00EF700A">
        <w:t xml:space="preserve"> para el 2016 se alcanzó la capacitación de 288 médicos y 166 enfermeras en tecnología anticonceptiva y al mismo tiempo la sensibilización al personal de salud sobre Derechos Sexuales y Derechos Reproductivos. </w:t>
      </w:r>
    </w:p>
    <w:p w14:paraId="3250AE8E" w14:textId="4EC038D5" w:rsidR="00BD4745" w:rsidRPr="00EF700A" w:rsidRDefault="0098102E" w:rsidP="007431C8">
      <w:pPr>
        <w:pStyle w:val="SingleTxtG"/>
      </w:pPr>
      <w:r w:rsidRPr="00EF700A">
        <w:rPr>
          <w:rFonts w:eastAsiaTheme="minorHAnsi"/>
          <w:lang w:val="es-BO" w:eastAsia="en-US"/>
        </w:rPr>
        <w:t>61.</w:t>
      </w:r>
      <w:r w:rsidRPr="00EF700A">
        <w:rPr>
          <w:rFonts w:eastAsiaTheme="minorHAnsi"/>
          <w:lang w:val="es-BO" w:eastAsia="en-US"/>
        </w:rPr>
        <w:tab/>
      </w:r>
      <w:r w:rsidR="00BD4745" w:rsidRPr="00EF700A">
        <w:t xml:space="preserve">2017: Se alcanzó a capacitar y sensibilizar al personal de salud a nivel nacional en el tema de anticoncepción a 240 en teórico práctico y 531 personal sensibilizado en el marco de los derechos sexuales, derechos reproductivos y la importancia de la anticoncepción a las mujeres y hombres </w:t>
      </w:r>
      <w:proofErr w:type="gramStart"/>
      <w:r w:rsidR="00BD4745" w:rsidRPr="00EF700A">
        <w:t>de acuerdo a</w:t>
      </w:r>
      <w:proofErr w:type="gramEnd"/>
      <w:r w:rsidR="00BD4745" w:rsidRPr="00EF700A">
        <w:t xml:space="preserve"> la normativa.</w:t>
      </w:r>
    </w:p>
    <w:p w14:paraId="5C454358" w14:textId="6FE4333A" w:rsidR="00BD4745" w:rsidRPr="00EF700A" w:rsidRDefault="0098102E" w:rsidP="007431C8">
      <w:pPr>
        <w:pStyle w:val="SingleTxtG"/>
      </w:pPr>
      <w:r w:rsidRPr="00EF700A">
        <w:rPr>
          <w:rFonts w:eastAsiaTheme="minorHAnsi"/>
          <w:lang w:val="es-BO" w:eastAsia="en-US"/>
        </w:rPr>
        <w:t>62.</w:t>
      </w:r>
      <w:r w:rsidRPr="00EF700A">
        <w:rPr>
          <w:rFonts w:eastAsiaTheme="minorHAnsi"/>
          <w:lang w:val="es-BO" w:eastAsia="en-US"/>
        </w:rPr>
        <w:tab/>
      </w:r>
      <w:r w:rsidR="00BD4745" w:rsidRPr="00EF700A">
        <w:t>2018: Se alcanzó a capacitar a 259 personales de salud en anticoncepción cumplimiento de la normativa para garantizar el derecho a la salud sexual y reproductiva de la población.</w:t>
      </w:r>
    </w:p>
    <w:p w14:paraId="683564ED" w14:textId="0EE93207" w:rsidR="00BD4745" w:rsidRPr="00EF700A" w:rsidRDefault="0098102E" w:rsidP="007431C8">
      <w:pPr>
        <w:pStyle w:val="SingleTxtG"/>
      </w:pPr>
      <w:r w:rsidRPr="00EF700A">
        <w:rPr>
          <w:rFonts w:eastAsiaTheme="minorHAnsi"/>
          <w:lang w:val="es-BO" w:eastAsia="en-US"/>
        </w:rPr>
        <w:t>63.</w:t>
      </w:r>
      <w:r w:rsidRPr="00EF700A">
        <w:rPr>
          <w:rFonts w:eastAsiaTheme="minorHAnsi"/>
          <w:lang w:val="es-BO" w:eastAsia="en-US"/>
        </w:rPr>
        <w:tab/>
      </w:r>
      <w:r w:rsidR="00BD4745" w:rsidRPr="00EF700A">
        <w:t>2019: En cumplimiento del Plan Anual de Trabajo se alcanzó a 111 personal de salud capacitado en anticoncepción y sensibilizado en el cumplimiento de la normativa para garantizar los derechos sexuales y derechos reproductivos de la población con énfasis en los derechos de la mujer para en su decisión para elegir y acceder los métodos anticonceptivos.</w:t>
      </w:r>
    </w:p>
    <w:p w14:paraId="636DCFC2" w14:textId="2EA7686A" w:rsidR="00BD4745" w:rsidRPr="007431C8" w:rsidRDefault="0098102E" w:rsidP="007431C8">
      <w:pPr>
        <w:pStyle w:val="SingleTxtG"/>
      </w:pPr>
      <w:r w:rsidRPr="007431C8">
        <w:rPr>
          <w:rFonts w:eastAsiaTheme="minorHAnsi"/>
        </w:rPr>
        <w:t>64.</w:t>
      </w:r>
      <w:r w:rsidRPr="007431C8">
        <w:rPr>
          <w:rFonts w:eastAsiaTheme="minorHAnsi"/>
        </w:rPr>
        <w:tab/>
      </w:r>
      <w:r w:rsidR="00BD4745" w:rsidRPr="007431C8">
        <w:t>2020: Por las dificultades en la continuidad de los servicios de salud sexual y salud reproductiva y por falta de material de bioseguridad para el personal de salud y pacientes se tuvo los siguientes logros:</w:t>
      </w:r>
    </w:p>
    <w:p w14:paraId="06C82264" w14:textId="39EEFE86" w:rsidR="00BD4745" w:rsidRPr="002014CD" w:rsidRDefault="00BD4745" w:rsidP="007431C8">
      <w:pPr>
        <w:pStyle w:val="Bullet1G"/>
      </w:pPr>
      <w:r w:rsidRPr="002014CD">
        <w:t xml:space="preserve">Se recibió y distribuyó donación de </w:t>
      </w:r>
      <w:proofErr w:type="spellStart"/>
      <w:r w:rsidRPr="002014CD">
        <w:t>EEPP</w:t>
      </w:r>
      <w:proofErr w:type="spellEnd"/>
      <w:r w:rsidRPr="002014CD">
        <w:t xml:space="preserve"> (UNFPA- Embajada Suecia) en el mes de junio, julio, agosto y septiembre a 55 hospitales de I, II y III nivel </w:t>
      </w:r>
      <w:proofErr w:type="spellStart"/>
      <w:r w:rsidRPr="002014CD">
        <w:t>mater</w:t>
      </w:r>
      <w:r w:rsidR="00AA6A62">
        <w:t>nológicos</w:t>
      </w:r>
      <w:proofErr w:type="spellEnd"/>
      <w:r w:rsidR="00AA6A62">
        <w:t xml:space="preserve"> o que atienden partos</w:t>
      </w:r>
      <w:r w:rsidR="00A164D8">
        <w:t>.</w:t>
      </w:r>
      <w:r w:rsidRPr="002014CD">
        <w:t xml:space="preserve"> </w:t>
      </w:r>
    </w:p>
    <w:p w14:paraId="46DC12CC" w14:textId="20A723A9" w:rsidR="00BD4745" w:rsidRPr="002014CD" w:rsidRDefault="00BD4745" w:rsidP="007431C8">
      <w:pPr>
        <w:pStyle w:val="Bullet1G"/>
      </w:pPr>
      <w:r w:rsidRPr="002014CD">
        <w:t xml:space="preserve">Se realizaron 10 campañas anticonceptivas en los 9 departamentos logrando ofertar en Implante Subdérmicos: 1552; DIU: 167 y Condones: 10314 con apoyo de UNFPA, Marie </w:t>
      </w:r>
      <w:proofErr w:type="spellStart"/>
      <w:r w:rsidRPr="002014CD">
        <w:t>Stopes</w:t>
      </w:r>
      <w:proofErr w:type="spellEnd"/>
      <w:r w:rsidR="00A164D8">
        <w:t>.</w:t>
      </w:r>
    </w:p>
    <w:p w14:paraId="03C9E5FE" w14:textId="470FE116" w:rsidR="00BD4745" w:rsidRPr="002014CD" w:rsidRDefault="00BD4745" w:rsidP="007431C8">
      <w:pPr>
        <w:pStyle w:val="Bullet1G"/>
      </w:pPr>
      <w:r w:rsidRPr="002014CD">
        <w:t>Se realizaron cursos virtuales sobre la norma de atención integral en salud sexual y salud reproductiva para personas con discapacidad, logrando capacitar a 172 Personal de Salud</w:t>
      </w:r>
      <w:r w:rsidR="00A164D8">
        <w:t>.</w:t>
      </w:r>
    </w:p>
    <w:p w14:paraId="7388F87E" w14:textId="7BF8DA73" w:rsidR="00BD4745" w:rsidRPr="002014CD" w:rsidRDefault="00BD4745" w:rsidP="007431C8">
      <w:pPr>
        <w:pStyle w:val="Bullet1G"/>
      </w:pPr>
      <w:r w:rsidRPr="002014CD">
        <w:t xml:space="preserve">Se realizaron seminarios en el mes de julio y agosto 2020: Salud Mental en Profesionales en salud en tiempos de COVID – 19, Atención de la Violencia En Servicios en tiempos de COVID, Prevención y Control de Infecciones por COVID, </w:t>
      </w:r>
      <w:r w:rsidRPr="002014CD">
        <w:lastRenderedPageBreak/>
        <w:t xml:space="preserve">Características Psicológicas y Desafíos “Contención emocional en la </w:t>
      </w:r>
      <w:proofErr w:type="spellStart"/>
      <w:r w:rsidRPr="002014CD">
        <w:t>teleconsulta</w:t>
      </w:r>
      <w:proofErr w:type="spellEnd"/>
      <w:r w:rsidRPr="002014CD">
        <w:t xml:space="preserve"> y salud mental en el teletrabajo a profesionales de salud”.</w:t>
      </w:r>
    </w:p>
    <w:p w14:paraId="68B1F4F4" w14:textId="23CCE53F" w:rsidR="00BD4745" w:rsidRPr="007431C8" w:rsidRDefault="0098102E" w:rsidP="007431C8">
      <w:pPr>
        <w:pStyle w:val="SingleTxtG"/>
      </w:pPr>
      <w:r w:rsidRPr="007431C8">
        <w:rPr>
          <w:rFonts w:eastAsiaTheme="minorHAnsi"/>
          <w:lang w:val="es-BO" w:eastAsia="en-US"/>
        </w:rPr>
        <w:t>65.</w:t>
      </w:r>
      <w:r w:rsidRPr="007431C8">
        <w:rPr>
          <w:rFonts w:eastAsiaTheme="minorHAnsi"/>
          <w:lang w:val="es-BO" w:eastAsia="en-US"/>
        </w:rPr>
        <w:tab/>
      </w:r>
      <w:r w:rsidR="00BD4745" w:rsidRPr="007431C8">
        <w:t>2021: En la gestión 2021 se tienen como avances actividades impulsadas desde el Ministerio de Salud y Deportes en un marco normativo que servirá como base en el accionar de los profesionales en salud entre ellos:</w:t>
      </w:r>
    </w:p>
    <w:p w14:paraId="0E0F2629" w14:textId="473AE8E6" w:rsidR="00BD4745" w:rsidRPr="002014CD" w:rsidRDefault="00BD4745" w:rsidP="007431C8">
      <w:pPr>
        <w:pStyle w:val="Bullet1G"/>
      </w:pPr>
      <w:r w:rsidRPr="002014CD">
        <w:t xml:space="preserve">Plan de Acción para Promover la Continuidad de los Servicios de </w:t>
      </w:r>
      <w:proofErr w:type="spellStart"/>
      <w:r w:rsidRPr="002014CD">
        <w:t>SSySR</w:t>
      </w:r>
      <w:proofErr w:type="spellEnd"/>
      <w:r w:rsidRPr="002014CD">
        <w:t xml:space="preserve"> durante y luego de la Pandemia por COVID 19</w:t>
      </w:r>
      <w:r w:rsidR="00A164D8">
        <w:t>.</w:t>
      </w:r>
    </w:p>
    <w:p w14:paraId="7637AD7C" w14:textId="3A05AC93" w:rsidR="00BD4745" w:rsidRPr="002014CD" w:rsidRDefault="00BD4745" w:rsidP="007431C8">
      <w:pPr>
        <w:pStyle w:val="Bullet1G"/>
      </w:pPr>
      <w:r w:rsidRPr="002014CD">
        <w:t xml:space="preserve">Norma para la Atención Integral de la población </w:t>
      </w:r>
      <w:proofErr w:type="spellStart"/>
      <w:r w:rsidRPr="002014CD">
        <w:t>LGBTIQ</w:t>
      </w:r>
      <w:proofErr w:type="spellEnd"/>
      <w:r w:rsidRPr="002014CD">
        <w:t>+ en Establecimientos de Salud</w:t>
      </w:r>
      <w:r w:rsidR="00A164D8">
        <w:t>.</w:t>
      </w:r>
    </w:p>
    <w:p w14:paraId="51076FE6" w14:textId="06BA6842" w:rsidR="00BD4745" w:rsidRPr="002014CD" w:rsidRDefault="00BD4745" w:rsidP="007431C8">
      <w:pPr>
        <w:pStyle w:val="Bullet1G"/>
      </w:pPr>
      <w:r w:rsidRPr="002014CD">
        <w:t>Lineamientos de Salud Sexual y Salud Reproductiva 2021 – 2025</w:t>
      </w:r>
      <w:r w:rsidR="00A164D8">
        <w:t>.</w:t>
      </w:r>
    </w:p>
    <w:p w14:paraId="255C9C27" w14:textId="4EAF567B" w:rsidR="00BD4745" w:rsidRPr="002014CD" w:rsidRDefault="00BD4745" w:rsidP="007431C8">
      <w:pPr>
        <w:pStyle w:val="Bullet1G"/>
      </w:pPr>
      <w:r w:rsidRPr="002014CD">
        <w:t>Norma Nacional, Reglas, Protocolos y Procedimientos de Anticoncepción. Versión</w:t>
      </w:r>
      <w:r w:rsidR="00A164D8">
        <w:t> </w:t>
      </w:r>
      <w:r w:rsidRPr="002014CD">
        <w:t>2021</w:t>
      </w:r>
      <w:r w:rsidR="00A164D8">
        <w:t>.</w:t>
      </w:r>
    </w:p>
    <w:p w14:paraId="6CDF5696" w14:textId="17F2BF3E" w:rsidR="00BD4745" w:rsidRPr="002014CD" w:rsidRDefault="00BD4745" w:rsidP="007431C8">
      <w:pPr>
        <w:pStyle w:val="Bullet1G"/>
      </w:pPr>
      <w:r w:rsidRPr="002014CD">
        <w:t>Cuadro de Procedimiento Atención Integrada al Continuo del Curso de Vida. 2021.</w:t>
      </w:r>
    </w:p>
    <w:p w14:paraId="4F09B133" w14:textId="239F7A91" w:rsidR="00BD4745" w:rsidRPr="007431C8" w:rsidRDefault="0098102E" w:rsidP="007431C8">
      <w:pPr>
        <w:pStyle w:val="SingleTxtG"/>
      </w:pPr>
      <w:r w:rsidRPr="007431C8">
        <w:rPr>
          <w:rFonts w:eastAsiaTheme="minorHAnsi"/>
          <w:lang w:val="es-BO" w:eastAsia="en-US"/>
        </w:rPr>
        <w:t>66.</w:t>
      </w:r>
      <w:r w:rsidRPr="007431C8">
        <w:rPr>
          <w:rFonts w:eastAsiaTheme="minorHAnsi"/>
          <w:lang w:val="es-BO" w:eastAsia="en-US"/>
        </w:rPr>
        <w:tab/>
      </w:r>
      <w:r w:rsidR="00BD4745" w:rsidRPr="007431C8">
        <w:t>En cuanto a las actividades realizadas en la gestión 2021 para coadyuvar en el acceso a la salud sexual y reproductiva:</w:t>
      </w:r>
    </w:p>
    <w:p w14:paraId="41DFE358" w14:textId="37958B9E" w:rsidR="00BD4745" w:rsidRPr="002014CD" w:rsidRDefault="00BD4745" w:rsidP="007431C8">
      <w:pPr>
        <w:pStyle w:val="Bullet1G"/>
      </w:pPr>
      <w:r w:rsidRPr="002014CD">
        <w:t xml:space="preserve">Se realizaron ferias de salud (Potosí, Sucre, </w:t>
      </w:r>
      <w:proofErr w:type="spellStart"/>
      <w:r w:rsidRPr="002014CD">
        <w:t>Irupana</w:t>
      </w:r>
      <w:proofErr w:type="spellEnd"/>
      <w:r w:rsidRPr="002014CD">
        <w:t xml:space="preserve">, El Alto, La Paz), alcanzando a 100 mujeres con Implantes </w:t>
      </w:r>
      <w:proofErr w:type="spellStart"/>
      <w:r w:rsidRPr="002014CD">
        <w:t>Subdermicos</w:t>
      </w:r>
      <w:proofErr w:type="spellEnd"/>
      <w:r w:rsidRPr="002014CD">
        <w:t xml:space="preserve">, a 800 mujeres en orientación en Salud sexual y Salud </w:t>
      </w:r>
      <w:proofErr w:type="spellStart"/>
      <w:r w:rsidRPr="002014CD">
        <w:t>Reproductivan</w:t>
      </w:r>
      <w:proofErr w:type="spellEnd"/>
      <w:r w:rsidRPr="002014CD">
        <w:t xml:space="preserve"> y campañas de anticoncepción en Cochabamba y Beni</w:t>
      </w:r>
      <w:r w:rsidR="00A164D8">
        <w:t>.</w:t>
      </w:r>
    </w:p>
    <w:p w14:paraId="45217D70" w14:textId="3C897A80" w:rsidR="00BD4745" w:rsidRPr="002014CD" w:rsidRDefault="00BD4745" w:rsidP="007431C8">
      <w:pPr>
        <w:pStyle w:val="Bullet1G"/>
      </w:pPr>
      <w:r w:rsidRPr="002014CD">
        <w:t xml:space="preserve">Se recibió y distribuyó </w:t>
      </w:r>
      <w:proofErr w:type="spellStart"/>
      <w:r w:rsidRPr="002014CD">
        <w:t>EPPP</w:t>
      </w:r>
      <w:proofErr w:type="spellEnd"/>
      <w:r w:rsidRPr="002014CD">
        <w:t xml:space="preserve">, MAC y medicamentos que salvan vidas beneficiando a 138 servicios de I, II y II nivel </w:t>
      </w:r>
      <w:proofErr w:type="spellStart"/>
      <w:r w:rsidRPr="002014CD">
        <w:t>maternológicos</w:t>
      </w:r>
      <w:proofErr w:type="spellEnd"/>
      <w:r w:rsidRPr="002014CD">
        <w:t xml:space="preserve"> y que atienden partos.</w:t>
      </w:r>
    </w:p>
    <w:p w14:paraId="30D5FCB1" w14:textId="61237AEA" w:rsidR="00BD4745" w:rsidRPr="007431C8" w:rsidRDefault="0098102E" w:rsidP="007431C8">
      <w:pPr>
        <w:pStyle w:val="SingleTxtG"/>
      </w:pPr>
      <w:r w:rsidRPr="007431C8">
        <w:rPr>
          <w:rFonts w:eastAsiaTheme="minorHAnsi"/>
          <w:lang w:val="es-BO" w:eastAsia="en-US"/>
        </w:rPr>
        <w:t>67.</w:t>
      </w:r>
      <w:r w:rsidRPr="007431C8">
        <w:rPr>
          <w:rFonts w:eastAsiaTheme="minorHAnsi"/>
          <w:lang w:val="es-BO" w:eastAsia="en-US"/>
        </w:rPr>
        <w:tab/>
      </w:r>
      <w:r w:rsidR="00BD4745" w:rsidRPr="007431C8">
        <w:t>El Área del Continuo de la Atención dependiente de la Unidad de Redes de Servicios de Salud y Calidad, vela por la mejora constante del área de servicios en los establecimientos de salud para una atención de calidad a la población, y como parte de estas acciones también se realiza la capacitación, sensibilización en temas de derechos sexuales y derechos reproductivos para que la mujer o varón incluyendo adolescentes pueda realizar una elección informada sobre la anticoncepción.</w:t>
      </w:r>
    </w:p>
    <w:p w14:paraId="1C4BE553" w14:textId="7F1A0B8E" w:rsidR="00BD4745" w:rsidRPr="007431C8" w:rsidRDefault="0098102E" w:rsidP="007431C8">
      <w:pPr>
        <w:pStyle w:val="SingleTxtG"/>
      </w:pPr>
      <w:r w:rsidRPr="007431C8">
        <w:rPr>
          <w:rFonts w:eastAsiaTheme="minorHAnsi"/>
          <w:lang w:val="es-BO" w:eastAsia="en-US"/>
        </w:rPr>
        <w:t>68.</w:t>
      </w:r>
      <w:r w:rsidRPr="007431C8">
        <w:rPr>
          <w:rFonts w:eastAsiaTheme="minorHAnsi"/>
          <w:lang w:val="es-BO" w:eastAsia="en-US"/>
        </w:rPr>
        <w:tab/>
      </w:r>
      <w:r w:rsidR="00BD4745" w:rsidRPr="007431C8">
        <w:t xml:space="preserve">Por otro lado, el Ministerio de Salud y Deportes, dando respuesta a la Sentencia Constitucional </w:t>
      </w:r>
      <w:proofErr w:type="spellStart"/>
      <w:r w:rsidR="00BD4745" w:rsidRPr="007431C8">
        <w:t>N</w:t>
      </w:r>
      <w:r w:rsidR="00A164D8">
        <w:t>º</w:t>
      </w:r>
      <w:proofErr w:type="spellEnd"/>
      <w:r w:rsidR="00BD4745" w:rsidRPr="007431C8">
        <w:t xml:space="preserve"> 0206/2014, para la Interrupción Legal del Embarazo (</w:t>
      </w:r>
      <w:proofErr w:type="spellStart"/>
      <w:r w:rsidR="00BD4745" w:rsidRPr="007431C8">
        <w:t>ILE</w:t>
      </w:r>
      <w:proofErr w:type="spellEnd"/>
      <w:r w:rsidR="00BD4745" w:rsidRPr="007431C8">
        <w:t xml:space="preserve">), elaboró e implementó el documento técnico normativo “PROCEDIMIENTO </w:t>
      </w:r>
      <w:proofErr w:type="spellStart"/>
      <w:r w:rsidR="00BD4745" w:rsidRPr="007431C8">
        <w:t>TECNICO</w:t>
      </w:r>
      <w:proofErr w:type="spellEnd"/>
      <w:r w:rsidR="00BD4745" w:rsidRPr="007431C8">
        <w:t xml:space="preserve"> PARA LA </w:t>
      </w:r>
      <w:proofErr w:type="spellStart"/>
      <w:r w:rsidR="00BD4745" w:rsidRPr="007431C8">
        <w:t>PRESTACION</w:t>
      </w:r>
      <w:proofErr w:type="spellEnd"/>
      <w:r w:rsidR="00BD4745" w:rsidRPr="007431C8">
        <w:t xml:space="preserve"> DE SERVICIOS DE SALUD EN EL MARCO DE LA SENTENCIA CONSTITUCIONAL PLURINACIONAL 0206/2014”, donde se establecen procedimientos específicos para la atención de </w:t>
      </w:r>
      <w:proofErr w:type="spellStart"/>
      <w:r w:rsidR="00BD4745" w:rsidRPr="007431C8">
        <w:t>ILEs</w:t>
      </w:r>
      <w:proofErr w:type="spellEnd"/>
      <w:r w:rsidR="00BD4745" w:rsidRPr="007431C8">
        <w:t xml:space="preserve"> en los Servicios de Salud en los diferentes niveles de atención. Además, se elaboró e implementó el “MODELO DE </w:t>
      </w:r>
      <w:proofErr w:type="spellStart"/>
      <w:r w:rsidR="00BD4745" w:rsidRPr="007431C8">
        <w:t>ATENCION</w:t>
      </w:r>
      <w:proofErr w:type="spellEnd"/>
      <w:r w:rsidR="00BD4745" w:rsidRPr="007431C8">
        <w:t xml:space="preserve"> A VICTIMAS DE VIOLENCIA SEXUAL” para garantizar la atención a víctimas de violencia sexual en condiciones seguras. </w:t>
      </w:r>
    </w:p>
    <w:p w14:paraId="26A95E85" w14:textId="253A3AA7" w:rsidR="00BD4745" w:rsidRPr="007431C8" w:rsidRDefault="0098102E" w:rsidP="007431C8">
      <w:pPr>
        <w:pStyle w:val="SingleTxtG"/>
      </w:pPr>
      <w:r w:rsidRPr="007431C8">
        <w:rPr>
          <w:rFonts w:eastAsiaTheme="minorHAnsi"/>
          <w:lang w:val="es-BO" w:eastAsia="en-US"/>
        </w:rPr>
        <w:t>69.</w:t>
      </w:r>
      <w:r w:rsidRPr="007431C8">
        <w:rPr>
          <w:rFonts w:eastAsiaTheme="minorHAnsi"/>
          <w:lang w:val="es-BO" w:eastAsia="en-US"/>
        </w:rPr>
        <w:tab/>
      </w:r>
      <w:r w:rsidR="00BD4745" w:rsidRPr="007431C8">
        <w:t xml:space="preserve">En la gestión 2018 y 2019 se introduce al sistema de salud nueva tecnología con el uso de la Mifepristona combinada con el Misoprostol para el abordaje seguro de </w:t>
      </w:r>
      <w:proofErr w:type="spellStart"/>
      <w:r w:rsidR="00BD4745" w:rsidRPr="007431C8">
        <w:t>ILE</w:t>
      </w:r>
      <w:proofErr w:type="spellEnd"/>
      <w:r w:rsidR="00BD4745" w:rsidRPr="007431C8">
        <w:t xml:space="preserve">, así también capacitación en técnicas más seguras como el </w:t>
      </w:r>
      <w:proofErr w:type="spellStart"/>
      <w:r w:rsidR="00BD4745" w:rsidRPr="007431C8">
        <w:t>AMEU</w:t>
      </w:r>
      <w:proofErr w:type="spellEnd"/>
      <w:r w:rsidR="00BD4745" w:rsidRPr="007431C8">
        <w:t xml:space="preserve"> según corresponda la edad gestacional, complementando a estas acciones se brinda la anticoncepción post evento obstétrico, utilizando la oferta de métodos anticonceptivos disponibles en el sistema de salud (anticonceptivos orales, DIU, implante sub dérmico, inyectable, condones y esterilización).</w:t>
      </w:r>
    </w:p>
    <w:p w14:paraId="4A9BE517" w14:textId="48D7D13F" w:rsidR="00BD4745" w:rsidRPr="007431C8" w:rsidRDefault="0098102E" w:rsidP="007431C8">
      <w:pPr>
        <w:pStyle w:val="SingleTxtG"/>
      </w:pPr>
      <w:r w:rsidRPr="007431C8">
        <w:rPr>
          <w:rFonts w:eastAsiaTheme="minorHAnsi"/>
          <w:lang w:val="es-BO" w:eastAsia="en-US"/>
        </w:rPr>
        <w:t>70.</w:t>
      </w:r>
      <w:r w:rsidRPr="007431C8">
        <w:rPr>
          <w:rFonts w:eastAsiaTheme="minorHAnsi"/>
          <w:lang w:val="es-BO" w:eastAsia="en-US"/>
        </w:rPr>
        <w:tab/>
      </w:r>
      <w:r w:rsidR="00BD4745" w:rsidRPr="007431C8">
        <w:t>En los avances para el 2021 hasta la fecha se ha logrado realizar:</w:t>
      </w:r>
    </w:p>
    <w:p w14:paraId="59B075DA" w14:textId="45E8DA15" w:rsidR="00BD4745" w:rsidRPr="002014CD" w:rsidRDefault="00BD4745" w:rsidP="007431C8">
      <w:pPr>
        <w:pStyle w:val="Bullet1G"/>
      </w:pPr>
      <w:r w:rsidRPr="002014CD">
        <w:t>Supervisión a Establecimientos de Salud en 8 departamentos que cumplen e implementan el Modelo de Atención Integral a Víctimas de Violencia Sexual (</w:t>
      </w:r>
      <w:proofErr w:type="spellStart"/>
      <w:r w:rsidRPr="002014CD">
        <w:t>MAIVVS</w:t>
      </w:r>
      <w:proofErr w:type="spellEnd"/>
      <w:r w:rsidRPr="002014CD">
        <w:t>), Procedimiento Técnico en cumplimiento a la S.C. 0206/2014 y uso del Misoprostol en Ginecología Obstetricia</w:t>
      </w:r>
      <w:r w:rsidR="00A164D8">
        <w:t>.</w:t>
      </w:r>
    </w:p>
    <w:p w14:paraId="61A60582" w14:textId="11032110" w:rsidR="00BD4745" w:rsidRPr="002014CD" w:rsidRDefault="00BD4745" w:rsidP="007431C8">
      <w:pPr>
        <w:pStyle w:val="Bullet1G"/>
      </w:pPr>
      <w:r w:rsidRPr="002014CD">
        <w:t>Reactivación de la Mesa Nacional Interinstitucional de Violencia Sector Salud</w:t>
      </w:r>
      <w:r w:rsidR="00A164D8">
        <w:t>.</w:t>
      </w:r>
    </w:p>
    <w:p w14:paraId="392E39D9" w14:textId="40181697" w:rsidR="00BD4745" w:rsidRPr="002014CD" w:rsidRDefault="00BD4745" w:rsidP="007431C8">
      <w:pPr>
        <w:pStyle w:val="Bullet1G"/>
      </w:pPr>
      <w:r w:rsidRPr="002014CD">
        <w:t>Fase de prueba para la Implementación de la Plataforma Digital del Certificado Médico Único para casos de Violencia</w:t>
      </w:r>
      <w:r w:rsidR="00A164D8">
        <w:t>.</w:t>
      </w:r>
    </w:p>
    <w:p w14:paraId="3D6E09B5" w14:textId="017B8AFE" w:rsidR="00BD4745" w:rsidRPr="002014CD" w:rsidRDefault="00BD4745" w:rsidP="007431C8">
      <w:pPr>
        <w:pStyle w:val="Bullet1G"/>
      </w:pPr>
      <w:r w:rsidRPr="002014CD">
        <w:lastRenderedPageBreak/>
        <w:t>Realización de procesos de formación, capacitación, promoción y sensibilización permanente a recursos humanos del Sistema Nacional de Salud para la prevención, garantizando una atención integral y oportuna a las mujeres en situación de violencia.</w:t>
      </w:r>
    </w:p>
    <w:p w14:paraId="1486F777" w14:textId="7395BD7C" w:rsidR="00BD4745" w:rsidRPr="002014CD" w:rsidRDefault="00EF700A">
      <w:pPr>
        <w:pStyle w:val="H1G"/>
      </w:pPr>
      <w:r>
        <w:tab/>
      </w:r>
      <w:r>
        <w:tab/>
      </w:r>
      <w:r w:rsidR="00BD4745" w:rsidRPr="002014CD">
        <w:t xml:space="preserve">Prohibición de la tortura y otros tratos o penas crueles, inhumanos o degradantes (arts. 7, 9, 14 y 24) </w:t>
      </w:r>
    </w:p>
    <w:p w14:paraId="18D052FF" w14:textId="77276609" w:rsidR="00BD4745" w:rsidRPr="002014CD" w:rsidRDefault="00EF700A">
      <w:pPr>
        <w:pStyle w:val="H23G"/>
        <w:rPr>
          <w:highlight w:val="yellow"/>
        </w:rPr>
      </w:pPr>
      <w:r>
        <w:tab/>
      </w:r>
      <w:r w:rsidR="00BD4745" w:rsidRPr="002014CD">
        <w:t>9.</w:t>
      </w:r>
      <w:r>
        <w:tab/>
      </w:r>
      <w:r w:rsidR="001A1E5D" w:rsidRPr="00ED0B85">
        <w:t xml:space="preserve">Respuesta al </w:t>
      </w:r>
      <w:r w:rsidR="001A1E5D" w:rsidRPr="001A1E5D">
        <w:t xml:space="preserve">párrafo </w:t>
      </w:r>
      <w:r w:rsidR="001A1E5D">
        <w:t>9</w:t>
      </w:r>
      <w:r w:rsidR="001A1E5D" w:rsidRPr="001A1E5D">
        <w:t xml:space="preserve"> </w:t>
      </w:r>
      <w:r w:rsidR="001A1E5D" w:rsidRPr="001A1E5D">
        <w:rPr>
          <w:lang w:val="es-ES_tradnl"/>
        </w:rPr>
        <w:t xml:space="preserve">de </w:t>
      </w:r>
      <w:r w:rsidR="001A1E5D">
        <w:rPr>
          <w:lang w:val="es-ES_tradnl"/>
        </w:rPr>
        <w:t>la lista de cuestiones</w:t>
      </w:r>
    </w:p>
    <w:p w14:paraId="0B0CAE0C" w14:textId="0606F666" w:rsidR="00BD4745" w:rsidRPr="002014CD" w:rsidRDefault="001A1E5D">
      <w:pPr>
        <w:pStyle w:val="H4G"/>
      </w:pPr>
      <w:r>
        <w:tab/>
      </w:r>
      <w:r>
        <w:tab/>
      </w:r>
      <w:r w:rsidRPr="00ED0B85">
        <w:t xml:space="preserve">Respuesta al </w:t>
      </w:r>
      <w:r w:rsidRPr="001A1E5D">
        <w:t xml:space="preserve">párrafo </w:t>
      </w:r>
      <w:r>
        <w:t>9 (a)</w:t>
      </w:r>
      <w:r w:rsidRPr="001A1E5D">
        <w:t xml:space="preserve"> </w:t>
      </w:r>
      <w:r w:rsidRPr="001A1E5D">
        <w:rPr>
          <w:lang w:val="es-ES_tradnl"/>
        </w:rPr>
        <w:t xml:space="preserve">de </w:t>
      </w:r>
      <w:r>
        <w:rPr>
          <w:lang w:val="es-ES_tradnl"/>
        </w:rPr>
        <w:t>la lista de cuestiones</w:t>
      </w:r>
    </w:p>
    <w:p w14:paraId="007DB8B0" w14:textId="009F0D92" w:rsidR="00BD4745" w:rsidRPr="00EF700A" w:rsidRDefault="0098102E" w:rsidP="00EF700A">
      <w:pPr>
        <w:pStyle w:val="SingleTxtG"/>
      </w:pPr>
      <w:r w:rsidRPr="00EF700A">
        <w:rPr>
          <w:rFonts w:eastAsiaTheme="minorHAnsi"/>
          <w:lang w:val="es-BO" w:eastAsia="en-US"/>
        </w:rPr>
        <w:t>71.</w:t>
      </w:r>
      <w:r w:rsidRPr="00EF700A">
        <w:rPr>
          <w:rFonts w:eastAsiaTheme="minorHAnsi"/>
          <w:lang w:val="es-BO" w:eastAsia="en-US"/>
        </w:rPr>
        <w:tab/>
      </w:r>
      <w:r w:rsidR="00BD4745" w:rsidRPr="00EF700A">
        <w:t xml:space="preserve">El Estado boliviano ha trabajado en la modificación al tipo penal de tortura, adecuado a los estándares internacionales; consagrando éste en el Artículo 87 en la </w:t>
      </w:r>
      <w:r w:rsidR="000D06E8">
        <w:fldChar w:fldCharType="begin"/>
      </w:r>
      <w:r w:rsidR="000D06E8">
        <w:instrText xml:space="preserve"> HYPERLINK "https://www.lexivox.org/norms/BO-L-N1005.html" </w:instrText>
      </w:r>
      <w:r w:rsidR="000D06E8">
        <w:fldChar w:fldCharType="separate"/>
      </w:r>
      <w:r w:rsidR="00BD4745" w:rsidRPr="00EF700A">
        <w:t xml:space="preserve">Ley </w:t>
      </w:r>
      <w:proofErr w:type="spellStart"/>
      <w:r w:rsidR="00BD4745" w:rsidRPr="00EF700A">
        <w:t>N</w:t>
      </w:r>
      <w:r w:rsidR="003C15F4">
        <w:t>º</w:t>
      </w:r>
      <w:proofErr w:type="spellEnd"/>
      <w:r w:rsidR="00BD4745" w:rsidRPr="00EF700A">
        <w:t xml:space="preserve"> 1005</w:t>
      </w:r>
      <w:r w:rsidR="000D06E8">
        <w:fldChar w:fldCharType="end"/>
      </w:r>
      <w:r w:rsidR="00BD4745" w:rsidRPr="00EF700A">
        <w:t xml:space="preserve">, Código del Sistema Penal del 20 de diciembre de 2017. Sin embargo, producto de movilizaciones y una huelga de legisladores de la oposición, dicha Norma fue abrogada por la Ley </w:t>
      </w:r>
      <w:proofErr w:type="spellStart"/>
      <w:r w:rsidR="00BD4745" w:rsidRPr="00EF700A">
        <w:t>N</w:t>
      </w:r>
      <w:r w:rsidR="003C15F4">
        <w:t>º</w:t>
      </w:r>
      <w:proofErr w:type="spellEnd"/>
      <w:r w:rsidR="00BD4745" w:rsidRPr="00EF700A">
        <w:t xml:space="preserve"> 1027 de 25 de enero de 2018.</w:t>
      </w:r>
    </w:p>
    <w:p w14:paraId="7222DF7F" w14:textId="31AE73D2" w:rsidR="00BD4745" w:rsidRPr="00EF700A" w:rsidRDefault="0098102E" w:rsidP="00EF700A">
      <w:pPr>
        <w:pStyle w:val="SingleTxtG"/>
      </w:pPr>
      <w:r w:rsidRPr="00EF700A">
        <w:rPr>
          <w:rFonts w:eastAsiaTheme="minorHAnsi"/>
          <w:lang w:val="es-BO" w:eastAsia="en-US"/>
        </w:rPr>
        <w:t>72.</w:t>
      </w:r>
      <w:r w:rsidRPr="00EF700A">
        <w:rPr>
          <w:rFonts w:eastAsiaTheme="minorHAnsi"/>
          <w:lang w:val="es-BO" w:eastAsia="en-US"/>
        </w:rPr>
        <w:tab/>
      </w:r>
      <w:r w:rsidR="00BD4745" w:rsidRPr="00EF700A">
        <w:t>En tal sentido, desde la mencionada gestión se ha procurado concretar esta modificación a través de varias iniciativas, las cuales se han visto frustradas por la ruptura del orden constitucional todas las propuestas impulsadas han sido desestimadas por quienes gobernaban transitoriamente. En este contexto, se debe considerar que, mediante Acuerdo suscrito entre la Comisión Interamericana de Derechos Humanos (CIDH) y el Estado Plurinacional de Bolivia, de 12 de diciembre de 2019, se constituyó el Grupo Interdisciplinario de Expertos Independientes (</w:t>
      </w:r>
      <w:proofErr w:type="spellStart"/>
      <w:r w:rsidR="00BD4745" w:rsidRPr="00EF700A">
        <w:t>GIEI</w:t>
      </w:r>
      <w:proofErr w:type="spellEnd"/>
      <w:r w:rsidR="00BD4745" w:rsidRPr="00EF700A">
        <w:t>), para coadyuvar en la investigación de los hechos de violencia y violaciones a los derechos humanos ocurridos en el país entre el 1 de septiembre y el 31 de diciembre de 2019.</w:t>
      </w:r>
    </w:p>
    <w:p w14:paraId="3EE507BE" w14:textId="64326507" w:rsidR="00BD4745" w:rsidRPr="00EF700A" w:rsidRDefault="0098102E" w:rsidP="00EF700A">
      <w:pPr>
        <w:pStyle w:val="SingleTxtG"/>
      </w:pPr>
      <w:r w:rsidRPr="00EF700A">
        <w:rPr>
          <w:rFonts w:eastAsiaTheme="minorHAnsi"/>
          <w:lang w:val="es-BO" w:eastAsia="en-US"/>
        </w:rPr>
        <w:t>73.</w:t>
      </w:r>
      <w:r w:rsidRPr="00EF700A">
        <w:rPr>
          <w:rFonts w:eastAsiaTheme="minorHAnsi"/>
          <w:lang w:val="es-BO" w:eastAsia="en-US"/>
        </w:rPr>
        <w:tab/>
      </w:r>
      <w:r w:rsidR="00BD4745" w:rsidRPr="00EF700A">
        <w:t xml:space="preserve">El 23 de julio, el </w:t>
      </w:r>
      <w:proofErr w:type="spellStart"/>
      <w:r w:rsidR="00BD4745" w:rsidRPr="00EF700A">
        <w:t>GIEI</w:t>
      </w:r>
      <w:proofErr w:type="spellEnd"/>
      <w:r w:rsidR="00BD4745" w:rsidRPr="00EF700A">
        <w:t xml:space="preserve"> emite el Informe recomendado al Estado boliviano una serie de acciones en el marco de los hechos acontecidos y hallazgos identificados entre el 1° de septiembre y el 31 de diciembre de la gestión 2019. Entre estas recomendaciones se encuentra la de: “Adecuar el tipo penal de tortura de tal modo que, por un lado, incluya la totalidad de las conductas previstas en los estándares internacionales y, por el otro, que su sanción refleje la gravedad de los hechos, conforme a dichos estándares”</w:t>
      </w:r>
    </w:p>
    <w:p w14:paraId="7366EC19" w14:textId="5625694E" w:rsidR="00BD4745" w:rsidRPr="00EF700A" w:rsidRDefault="0098102E" w:rsidP="00EF700A">
      <w:pPr>
        <w:pStyle w:val="SingleTxtG"/>
      </w:pPr>
      <w:r w:rsidRPr="00EF700A">
        <w:rPr>
          <w:rFonts w:eastAsiaTheme="minorHAnsi"/>
          <w:lang w:val="es-BO" w:eastAsia="en-US"/>
        </w:rPr>
        <w:t>74.</w:t>
      </w:r>
      <w:r w:rsidRPr="00EF700A">
        <w:rPr>
          <w:rFonts w:eastAsiaTheme="minorHAnsi"/>
          <w:lang w:val="es-BO" w:eastAsia="en-US"/>
        </w:rPr>
        <w:tab/>
      </w:r>
      <w:r w:rsidR="00BD4745" w:rsidRPr="00EF700A">
        <w:t>Por lo cual, a fin de hacer una propuesta a la luz de estándares internacionales, el Ministerio de Justicia y Transparencia Institucional, en el caso particular del tipo penal relativo a Vejaciones y Torturas vigente, pretende, adecuar la tipificación considerando la inclusión de la totalidad de las conductas previstas en los estándares internacionales, y por el otro, que su sanción refleje la gravedad de los hechos, conforme dichos estándares.</w:t>
      </w:r>
    </w:p>
    <w:p w14:paraId="204EBF72" w14:textId="3A702908" w:rsidR="00BD4745" w:rsidRPr="00C418EE" w:rsidRDefault="006678D4">
      <w:pPr>
        <w:pStyle w:val="H4G"/>
      </w:pPr>
      <w:r>
        <w:tab/>
      </w:r>
      <w:r>
        <w:tab/>
      </w:r>
      <w:r w:rsidR="001A1E5D" w:rsidRPr="00C418EE">
        <w:t>Respuesta a los párrafos</w:t>
      </w:r>
      <w:r w:rsidR="0052731F" w:rsidRPr="00C418EE">
        <w:t xml:space="preserve"> 9 (b), </w:t>
      </w:r>
      <w:r w:rsidRPr="00C418EE">
        <w:t>(c</w:t>
      </w:r>
      <w:r w:rsidR="0052731F" w:rsidRPr="00C418EE">
        <w:t>) y (d)</w:t>
      </w:r>
      <w:r w:rsidR="001A1E5D" w:rsidRPr="00C418EE">
        <w:t xml:space="preserve"> </w:t>
      </w:r>
      <w:r w:rsidR="001A1E5D" w:rsidRPr="00C418EE">
        <w:rPr>
          <w:lang w:val="es-ES_tradnl"/>
        </w:rPr>
        <w:t>de la lista de cuestiones</w:t>
      </w:r>
    </w:p>
    <w:p w14:paraId="0813333D" w14:textId="7C5AA64A" w:rsidR="00BD4745" w:rsidRPr="00C418EE" w:rsidRDefault="0098102E" w:rsidP="00EF700A">
      <w:pPr>
        <w:pStyle w:val="SingleTxtG"/>
      </w:pPr>
      <w:r w:rsidRPr="00C418EE">
        <w:rPr>
          <w:rFonts w:eastAsiaTheme="minorHAnsi"/>
          <w:lang w:val="es-BO" w:eastAsia="en-US"/>
        </w:rPr>
        <w:t>75.</w:t>
      </w:r>
      <w:r w:rsidRPr="00C418EE">
        <w:rPr>
          <w:rFonts w:eastAsiaTheme="minorHAnsi"/>
          <w:lang w:val="es-BO" w:eastAsia="en-US"/>
        </w:rPr>
        <w:tab/>
      </w:r>
      <w:r w:rsidR="00BD4745" w:rsidRPr="00C418EE">
        <w:t xml:space="preserve">El Estado Boliviano ha ratificado la Convención Contra la Tortura mediante Ley </w:t>
      </w:r>
      <w:proofErr w:type="spellStart"/>
      <w:r w:rsidR="00BD4745" w:rsidRPr="00C418EE">
        <w:t>N</w:t>
      </w:r>
      <w:r w:rsidR="003C15F4">
        <w:t>º</w:t>
      </w:r>
      <w:proofErr w:type="spellEnd"/>
      <w:r w:rsidR="003C15F4">
        <w:t> </w:t>
      </w:r>
      <w:r w:rsidR="00BD4745" w:rsidRPr="00C418EE">
        <w:t xml:space="preserve">1939 de 10 de febrero de 1999, y ratificado el "Protocolo Facultativo de la Convención contra la Tortura y otros Tratos y Penas Crueles, Inhumanos o Degradantes" mediante Ley </w:t>
      </w:r>
      <w:proofErr w:type="spellStart"/>
      <w:r w:rsidR="00BD4745" w:rsidRPr="00C418EE">
        <w:t>Nº</w:t>
      </w:r>
      <w:proofErr w:type="spellEnd"/>
      <w:r w:rsidR="00BD4745" w:rsidRPr="00C418EE">
        <w:t xml:space="preserve"> 3298 12 de diciembre de 2005. </w:t>
      </w:r>
    </w:p>
    <w:p w14:paraId="4F740CD1" w14:textId="53D56DEF" w:rsidR="0052731F" w:rsidRPr="00EF700A" w:rsidRDefault="006678D4">
      <w:pPr>
        <w:pStyle w:val="H4G"/>
      </w:pPr>
      <w:r w:rsidRPr="00C418EE">
        <w:tab/>
      </w:r>
      <w:r w:rsidRPr="00C418EE">
        <w:tab/>
      </w:r>
      <w:r w:rsidR="0052731F" w:rsidRPr="00C418EE">
        <w:t xml:space="preserve">Respuesta a los párrafos 9 (e) y (f) </w:t>
      </w:r>
      <w:r w:rsidR="0052731F" w:rsidRPr="00C418EE">
        <w:rPr>
          <w:lang w:val="es-ES_tradnl"/>
        </w:rPr>
        <w:t>de la lista de cuestiones</w:t>
      </w:r>
    </w:p>
    <w:p w14:paraId="18F9EAED" w14:textId="7BC02806" w:rsidR="00BD4745" w:rsidRPr="00EF700A" w:rsidRDefault="0098102E" w:rsidP="00EF700A">
      <w:pPr>
        <w:pStyle w:val="SingleTxtG"/>
      </w:pPr>
      <w:r w:rsidRPr="00EF700A">
        <w:rPr>
          <w:rFonts w:eastAsiaTheme="minorHAnsi"/>
          <w:lang w:val="es-BO" w:eastAsia="en-US"/>
        </w:rPr>
        <w:t>76.</w:t>
      </w:r>
      <w:r w:rsidRPr="00EF700A">
        <w:rPr>
          <w:rFonts w:eastAsiaTheme="minorHAnsi"/>
          <w:lang w:val="es-BO" w:eastAsia="en-US"/>
        </w:rPr>
        <w:tab/>
      </w:r>
      <w:r w:rsidR="00BD4745" w:rsidRPr="00EF700A">
        <w:t xml:space="preserve">En cumplimiento de lo establecido en el Protocolo Facultativo de la Convención Contra la Tortura y otros Tratos o Penas Crueles, Inhumanos o Degradantes, el Estado boliviano emite la Ley </w:t>
      </w:r>
      <w:proofErr w:type="spellStart"/>
      <w:r w:rsidR="00BD4745" w:rsidRPr="00EF700A">
        <w:t>N</w:t>
      </w:r>
      <w:r w:rsidR="003C15F4">
        <w:t>º</w:t>
      </w:r>
      <w:proofErr w:type="spellEnd"/>
      <w:r w:rsidR="00BD4745" w:rsidRPr="00EF700A">
        <w:t xml:space="preserve"> 1397 de 29 de septiembre de 2021, que modifica la Ley </w:t>
      </w:r>
      <w:proofErr w:type="spellStart"/>
      <w:r w:rsidR="00BD4745" w:rsidRPr="00EF700A">
        <w:t>N</w:t>
      </w:r>
      <w:r w:rsidR="003C15F4">
        <w:t>º</w:t>
      </w:r>
      <w:proofErr w:type="spellEnd"/>
      <w:r w:rsidR="00BD4745" w:rsidRPr="00EF700A">
        <w:t xml:space="preserve"> 870 de 13 de diciembre de 2016, del Defensor del Pueblo, abrogando la Ley </w:t>
      </w:r>
      <w:proofErr w:type="spellStart"/>
      <w:r w:rsidR="00BD4745" w:rsidRPr="00EF700A">
        <w:t>N</w:t>
      </w:r>
      <w:r w:rsidR="003C15F4">
        <w:t>º</w:t>
      </w:r>
      <w:proofErr w:type="spellEnd"/>
      <w:r w:rsidR="00BD4745" w:rsidRPr="00EF700A">
        <w:t xml:space="preserve"> 474 de 30 de diciembre de 2013, y el Decreto Supremo </w:t>
      </w:r>
      <w:proofErr w:type="spellStart"/>
      <w:r w:rsidR="00BD4745" w:rsidRPr="00EF700A">
        <w:t>N</w:t>
      </w:r>
      <w:r w:rsidR="003C15F4">
        <w:t>º</w:t>
      </w:r>
      <w:proofErr w:type="spellEnd"/>
      <w:r w:rsidR="003C15F4">
        <w:t xml:space="preserve"> </w:t>
      </w:r>
      <w:r w:rsidR="00BD4745" w:rsidRPr="00EF700A">
        <w:t>2082 de 20 de agosto de 2014 y designando a la Defensoría del Pueblo como el Mecanismo Nacional de Prevención de la Tortura del Estado Plurinacional de Bolivia.</w:t>
      </w:r>
    </w:p>
    <w:p w14:paraId="46B65200" w14:textId="15CC6565" w:rsidR="00BD4745" w:rsidRPr="00EF700A" w:rsidRDefault="0098102E" w:rsidP="00EF700A">
      <w:pPr>
        <w:pStyle w:val="SingleTxtG"/>
      </w:pPr>
      <w:r w:rsidRPr="00EF700A">
        <w:rPr>
          <w:rFonts w:eastAsiaTheme="minorHAnsi"/>
          <w:lang w:val="es-BO" w:eastAsia="en-US"/>
        </w:rPr>
        <w:t>77.</w:t>
      </w:r>
      <w:r w:rsidRPr="00EF700A">
        <w:rPr>
          <w:rFonts w:eastAsiaTheme="minorHAnsi"/>
          <w:lang w:val="es-BO" w:eastAsia="en-US"/>
        </w:rPr>
        <w:tab/>
      </w:r>
      <w:r w:rsidR="00BD4745" w:rsidRPr="00EF700A">
        <w:t xml:space="preserve">En tal sentido, dicha norma legal autoriza en la Disposición Transitoria Tercera que, los procesos administrativos, judiciales y otros, así como otros temas administrativos en los que sea parte el </w:t>
      </w:r>
      <w:proofErr w:type="spellStart"/>
      <w:r w:rsidR="00BD4745" w:rsidRPr="00EF700A">
        <w:t>SEPRET</w:t>
      </w:r>
      <w:proofErr w:type="spellEnd"/>
      <w:r w:rsidR="00BD4745" w:rsidRPr="00EF700A">
        <w:t xml:space="preserve">, serán asumidos por la Defensoría del Pueblo, para lo cual la Defensoría del Pueblo emitirá los reglamentos necesarios para el cumplimiento de lo </w:t>
      </w:r>
      <w:r w:rsidR="00BD4745" w:rsidRPr="00EF700A">
        <w:lastRenderedPageBreak/>
        <w:t>señalado. A la fecha, esta transición se encuentra en curso, y la Reglamentación en elaboración.</w:t>
      </w:r>
    </w:p>
    <w:p w14:paraId="5B74A3EA" w14:textId="5D5A86DE" w:rsidR="00BD4745" w:rsidRPr="002014CD" w:rsidRDefault="00EF700A">
      <w:pPr>
        <w:pStyle w:val="H23G"/>
      </w:pPr>
      <w:r>
        <w:tab/>
      </w:r>
      <w:r w:rsidR="00BD4745" w:rsidRPr="002014CD">
        <w:t>10.</w:t>
      </w:r>
      <w:r>
        <w:tab/>
      </w:r>
      <w:r w:rsidR="0052731F" w:rsidRPr="00ED0B85">
        <w:t xml:space="preserve">Respuesta al </w:t>
      </w:r>
      <w:r w:rsidR="0052731F" w:rsidRPr="001A1E5D">
        <w:t>párrafo 1</w:t>
      </w:r>
      <w:r w:rsidR="0052731F">
        <w:t>0</w:t>
      </w:r>
      <w:r w:rsidR="0052731F" w:rsidRPr="001A1E5D">
        <w:t xml:space="preserve"> </w:t>
      </w:r>
      <w:r w:rsidR="0052731F" w:rsidRPr="001A1E5D">
        <w:rPr>
          <w:lang w:val="es-ES_tradnl"/>
        </w:rPr>
        <w:t xml:space="preserve">de </w:t>
      </w:r>
      <w:r w:rsidR="0052731F">
        <w:rPr>
          <w:lang w:val="es-ES_tradnl"/>
        </w:rPr>
        <w:t>la lista de cuestiones</w:t>
      </w:r>
    </w:p>
    <w:p w14:paraId="24C120A6" w14:textId="77458F84" w:rsidR="00BD4745" w:rsidRPr="00EF700A" w:rsidRDefault="0098102E" w:rsidP="00EF700A">
      <w:pPr>
        <w:pStyle w:val="SingleTxtG"/>
        <w:rPr>
          <w:lang w:bidi="es-ES"/>
        </w:rPr>
      </w:pPr>
      <w:r w:rsidRPr="00EF700A">
        <w:rPr>
          <w:rFonts w:eastAsiaTheme="minorHAnsi"/>
          <w:lang w:val="es-BO" w:eastAsia="en-US" w:bidi="es-ES"/>
        </w:rPr>
        <w:t>78.</w:t>
      </w:r>
      <w:r w:rsidRPr="00EF700A">
        <w:rPr>
          <w:rFonts w:eastAsiaTheme="minorHAnsi"/>
          <w:lang w:val="es-BO" w:eastAsia="en-US" w:bidi="es-ES"/>
        </w:rPr>
        <w:tab/>
      </w:r>
      <w:r w:rsidR="00BD4745" w:rsidRPr="00EF700A">
        <w:rPr>
          <w:lang w:bidi="es-ES"/>
        </w:rPr>
        <w:t>La Dirección General de Lucha Contra la Trata y Tráfico de Personas del Viceministerio de Seguridad Ciudadana, señala que,</w:t>
      </w:r>
      <w:r w:rsidR="00BD4745" w:rsidRPr="00EF700A">
        <w:rPr>
          <w:b/>
          <w:lang w:bidi="es-ES"/>
        </w:rPr>
        <w:t xml:space="preserve"> </w:t>
      </w:r>
      <w:r w:rsidR="00BD4745" w:rsidRPr="00EF700A">
        <w:rPr>
          <w:lang w:bidi="es-ES"/>
        </w:rPr>
        <w:t>pese a que el Código Penal Boliviano no tipifica al Linchamiento como delito, las consecuencias de esta acción están tipificadas como diferentes delitos de lesiones graves o gravísimas, o asesinato. A consecuencia de lo anterior, las estadísticas oficiales no manifiestan datos sobre “Linchamientos”. El Observatorio Boliviano de Seguridad Ciudadana y Lucha Contra las Drogas manifestó que, como instancia de recopilación y difusión de información sobre seguridad ciudad</w:t>
      </w:r>
      <w:r w:rsidR="00AA6A62">
        <w:rPr>
          <w:lang w:bidi="es-ES"/>
        </w:rPr>
        <w:t>ana, tiene los siguientes datos.</w:t>
      </w:r>
    </w:p>
    <w:tbl>
      <w:tblPr>
        <w:tblStyle w:val="Tablaconcuadrcula2"/>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
        <w:gridCol w:w="1629"/>
        <w:gridCol w:w="958"/>
        <w:gridCol w:w="960"/>
        <w:gridCol w:w="958"/>
        <w:gridCol w:w="960"/>
        <w:gridCol w:w="1266"/>
      </w:tblGrid>
      <w:tr w:rsidR="00A4292E" w:rsidRPr="004B0800" w14:paraId="4D1D7865" w14:textId="77777777" w:rsidTr="004B0800">
        <w:trPr>
          <w:trHeight w:val="240"/>
          <w:tblHeader/>
        </w:trPr>
        <w:tc>
          <w:tcPr>
            <w:tcW w:w="434" w:type="pct"/>
            <w:vMerge w:val="restart"/>
            <w:tcBorders>
              <w:top w:val="single" w:sz="4" w:space="0" w:color="auto"/>
              <w:bottom w:val="single" w:sz="12" w:space="0" w:color="auto"/>
            </w:tcBorders>
            <w:shd w:val="clear" w:color="auto" w:fill="auto"/>
            <w:vAlign w:val="bottom"/>
          </w:tcPr>
          <w:p w14:paraId="200E5593" w14:textId="77777777" w:rsidR="00BD4745" w:rsidRPr="004B0800" w:rsidRDefault="00BD4745">
            <w:pPr>
              <w:spacing w:before="80" w:after="80" w:line="200" w:lineRule="exact"/>
              <w:rPr>
                <w:rFonts w:asciiTheme="majorBidi" w:eastAsia="Times New Roman" w:hAnsiTheme="majorBidi" w:cstheme="majorBidi"/>
                <w:i/>
                <w:sz w:val="16"/>
                <w:szCs w:val="20"/>
                <w:lang w:bidi="es-ES"/>
              </w:rPr>
            </w:pPr>
            <w:proofErr w:type="spellStart"/>
            <w:r w:rsidRPr="004B0800">
              <w:rPr>
                <w:rFonts w:asciiTheme="majorBidi" w:hAnsiTheme="majorBidi" w:cstheme="majorBidi"/>
                <w:i/>
                <w:sz w:val="16"/>
                <w:lang w:bidi="es-ES"/>
              </w:rPr>
              <w:t>Nº</w:t>
            </w:r>
            <w:proofErr w:type="spellEnd"/>
          </w:p>
        </w:tc>
        <w:tc>
          <w:tcPr>
            <w:tcW w:w="1105" w:type="pct"/>
            <w:vMerge w:val="restart"/>
            <w:tcBorders>
              <w:top w:val="single" w:sz="4" w:space="0" w:color="auto"/>
              <w:bottom w:val="single" w:sz="12" w:space="0" w:color="auto"/>
            </w:tcBorders>
            <w:shd w:val="clear" w:color="auto" w:fill="auto"/>
            <w:vAlign w:val="bottom"/>
          </w:tcPr>
          <w:p w14:paraId="60F5B700" w14:textId="77777777" w:rsidR="00BD4745" w:rsidRPr="004B0800" w:rsidRDefault="00BD4745" w:rsidP="004B0800">
            <w:pPr>
              <w:spacing w:before="80" w:after="80" w:line="200" w:lineRule="exact"/>
              <w:rPr>
                <w:rFonts w:asciiTheme="majorBidi" w:eastAsia="Times New Roman" w:hAnsiTheme="majorBidi" w:cstheme="majorBidi"/>
                <w:i/>
                <w:sz w:val="16"/>
                <w:szCs w:val="20"/>
                <w:lang w:bidi="es-ES"/>
              </w:rPr>
            </w:pPr>
            <w:r w:rsidRPr="004B0800">
              <w:rPr>
                <w:rFonts w:asciiTheme="majorBidi" w:hAnsiTheme="majorBidi" w:cstheme="majorBidi"/>
                <w:i/>
                <w:sz w:val="16"/>
                <w:lang w:bidi="es-ES"/>
              </w:rPr>
              <w:t>Departamento</w:t>
            </w:r>
          </w:p>
        </w:tc>
        <w:tc>
          <w:tcPr>
            <w:tcW w:w="2601" w:type="pct"/>
            <w:gridSpan w:val="4"/>
            <w:tcBorders>
              <w:top w:val="single" w:sz="4" w:space="0" w:color="auto"/>
              <w:bottom w:val="single" w:sz="4" w:space="0" w:color="auto"/>
            </w:tcBorders>
            <w:shd w:val="clear" w:color="auto" w:fill="auto"/>
            <w:vAlign w:val="bottom"/>
          </w:tcPr>
          <w:p w14:paraId="4D7A6998" w14:textId="77777777" w:rsidR="00BD4745" w:rsidRPr="004B0800" w:rsidRDefault="00BD4745" w:rsidP="004B0800">
            <w:pPr>
              <w:spacing w:before="80" w:after="80" w:line="200" w:lineRule="exact"/>
              <w:ind w:left="113"/>
              <w:jc w:val="center"/>
              <w:rPr>
                <w:rFonts w:asciiTheme="majorBidi" w:eastAsia="Times New Roman" w:hAnsiTheme="majorBidi" w:cstheme="majorBidi"/>
                <w:i/>
                <w:sz w:val="16"/>
                <w:szCs w:val="20"/>
                <w:lang w:bidi="es-ES"/>
              </w:rPr>
            </w:pPr>
            <w:r w:rsidRPr="004B0800">
              <w:rPr>
                <w:rFonts w:asciiTheme="majorBidi" w:hAnsiTheme="majorBidi" w:cstheme="majorBidi"/>
                <w:i/>
                <w:sz w:val="16"/>
                <w:lang w:bidi="es-ES"/>
              </w:rPr>
              <w:t>Gestión</w:t>
            </w:r>
          </w:p>
        </w:tc>
        <w:tc>
          <w:tcPr>
            <w:tcW w:w="860" w:type="pct"/>
            <w:vMerge w:val="restart"/>
            <w:tcBorders>
              <w:top w:val="single" w:sz="4" w:space="0" w:color="auto"/>
              <w:bottom w:val="single" w:sz="12" w:space="0" w:color="auto"/>
            </w:tcBorders>
            <w:shd w:val="clear" w:color="auto" w:fill="auto"/>
            <w:vAlign w:val="bottom"/>
          </w:tcPr>
          <w:p w14:paraId="6C31C9F4" w14:textId="77777777" w:rsidR="00BD4745" w:rsidRPr="004B0800" w:rsidRDefault="00BD4745" w:rsidP="004B0800">
            <w:pPr>
              <w:spacing w:before="80" w:after="80" w:line="200" w:lineRule="exact"/>
              <w:ind w:left="113"/>
              <w:jc w:val="right"/>
              <w:rPr>
                <w:rFonts w:asciiTheme="majorBidi" w:eastAsia="Times New Roman" w:hAnsiTheme="majorBidi" w:cstheme="majorBidi"/>
                <w:i/>
                <w:sz w:val="16"/>
                <w:szCs w:val="20"/>
                <w:lang w:bidi="es-ES"/>
              </w:rPr>
            </w:pPr>
            <w:proofErr w:type="gramStart"/>
            <w:r w:rsidRPr="004B0800">
              <w:rPr>
                <w:rFonts w:asciiTheme="majorBidi" w:hAnsiTheme="majorBidi" w:cstheme="majorBidi"/>
                <w:i/>
                <w:sz w:val="16"/>
                <w:lang w:bidi="es-ES"/>
              </w:rPr>
              <w:t>Total</w:t>
            </w:r>
            <w:proofErr w:type="gramEnd"/>
            <w:r w:rsidRPr="004B0800">
              <w:rPr>
                <w:rFonts w:asciiTheme="majorBidi" w:hAnsiTheme="majorBidi" w:cstheme="majorBidi"/>
                <w:i/>
                <w:sz w:val="16"/>
                <w:lang w:bidi="es-ES"/>
              </w:rPr>
              <w:t xml:space="preserve"> general</w:t>
            </w:r>
          </w:p>
        </w:tc>
      </w:tr>
      <w:tr w:rsidR="00A4292E" w:rsidRPr="004B0800" w14:paraId="6B1F119E" w14:textId="77777777" w:rsidTr="00A4292E">
        <w:trPr>
          <w:trHeight w:val="240"/>
          <w:tblHeader/>
        </w:trPr>
        <w:tc>
          <w:tcPr>
            <w:tcW w:w="434" w:type="pct"/>
            <w:vMerge/>
            <w:tcBorders>
              <w:top w:val="single" w:sz="12" w:space="0" w:color="auto"/>
              <w:bottom w:val="single" w:sz="12" w:space="0" w:color="auto"/>
            </w:tcBorders>
            <w:shd w:val="clear" w:color="auto" w:fill="auto"/>
            <w:vAlign w:val="bottom"/>
          </w:tcPr>
          <w:p w14:paraId="7EA0A41D" w14:textId="77777777" w:rsidR="00BD4745" w:rsidRPr="004B0800" w:rsidRDefault="00BD4745">
            <w:pPr>
              <w:spacing w:before="40" w:after="40" w:line="220" w:lineRule="exact"/>
              <w:rPr>
                <w:rFonts w:asciiTheme="majorBidi" w:eastAsia="Times New Roman" w:hAnsiTheme="majorBidi" w:cstheme="majorBidi"/>
                <w:sz w:val="18"/>
                <w:szCs w:val="20"/>
                <w:lang w:bidi="es-ES"/>
              </w:rPr>
            </w:pPr>
          </w:p>
        </w:tc>
        <w:tc>
          <w:tcPr>
            <w:tcW w:w="1105" w:type="pct"/>
            <w:vMerge/>
            <w:tcBorders>
              <w:top w:val="single" w:sz="12" w:space="0" w:color="auto"/>
              <w:bottom w:val="single" w:sz="12" w:space="0" w:color="auto"/>
            </w:tcBorders>
            <w:shd w:val="clear" w:color="auto" w:fill="auto"/>
            <w:vAlign w:val="bottom"/>
          </w:tcPr>
          <w:p w14:paraId="73C4DC2D" w14:textId="77777777" w:rsidR="00BD4745" w:rsidRPr="004B0800" w:rsidRDefault="00BD4745" w:rsidP="004B0800">
            <w:pPr>
              <w:spacing w:before="40" w:after="40" w:line="220" w:lineRule="exact"/>
              <w:rPr>
                <w:rFonts w:asciiTheme="majorBidi" w:eastAsia="Times New Roman" w:hAnsiTheme="majorBidi" w:cstheme="majorBidi"/>
                <w:sz w:val="18"/>
                <w:szCs w:val="20"/>
                <w:lang w:bidi="es-ES"/>
              </w:rPr>
            </w:pPr>
          </w:p>
        </w:tc>
        <w:tc>
          <w:tcPr>
            <w:tcW w:w="650" w:type="pct"/>
            <w:tcBorders>
              <w:top w:val="single" w:sz="4" w:space="0" w:color="auto"/>
              <w:bottom w:val="single" w:sz="12" w:space="0" w:color="auto"/>
            </w:tcBorders>
            <w:shd w:val="clear" w:color="auto" w:fill="auto"/>
            <w:vAlign w:val="bottom"/>
          </w:tcPr>
          <w:p w14:paraId="623F9D10" w14:textId="77777777" w:rsidR="00BD4745" w:rsidRPr="004B0800" w:rsidRDefault="00BD4745" w:rsidP="004B0800">
            <w:pPr>
              <w:spacing w:before="80" w:after="80" w:line="200" w:lineRule="exact"/>
              <w:ind w:left="113"/>
              <w:jc w:val="center"/>
              <w:rPr>
                <w:rFonts w:asciiTheme="majorBidi" w:hAnsiTheme="majorBidi" w:cstheme="majorBidi"/>
                <w:i/>
                <w:sz w:val="16"/>
                <w:lang w:bidi="es-ES"/>
              </w:rPr>
            </w:pPr>
            <w:r w:rsidRPr="004B0800">
              <w:rPr>
                <w:rFonts w:asciiTheme="majorBidi" w:hAnsiTheme="majorBidi" w:cstheme="majorBidi"/>
                <w:i/>
                <w:sz w:val="16"/>
                <w:lang w:bidi="es-ES"/>
              </w:rPr>
              <w:t>2018</w:t>
            </w:r>
          </w:p>
        </w:tc>
        <w:tc>
          <w:tcPr>
            <w:tcW w:w="651" w:type="pct"/>
            <w:tcBorders>
              <w:top w:val="single" w:sz="4" w:space="0" w:color="auto"/>
              <w:bottom w:val="single" w:sz="12" w:space="0" w:color="auto"/>
            </w:tcBorders>
            <w:shd w:val="clear" w:color="auto" w:fill="auto"/>
            <w:vAlign w:val="bottom"/>
          </w:tcPr>
          <w:p w14:paraId="3D794C40" w14:textId="77777777" w:rsidR="00BD4745" w:rsidRPr="004B0800" w:rsidRDefault="00BD4745" w:rsidP="004B0800">
            <w:pPr>
              <w:spacing w:before="80" w:after="80" w:line="200" w:lineRule="exact"/>
              <w:ind w:left="113"/>
              <w:jc w:val="center"/>
              <w:rPr>
                <w:rFonts w:asciiTheme="majorBidi" w:hAnsiTheme="majorBidi" w:cstheme="majorBidi"/>
                <w:i/>
                <w:sz w:val="16"/>
                <w:lang w:bidi="es-ES"/>
              </w:rPr>
            </w:pPr>
            <w:r w:rsidRPr="004B0800">
              <w:rPr>
                <w:rFonts w:asciiTheme="majorBidi" w:hAnsiTheme="majorBidi" w:cstheme="majorBidi"/>
                <w:i/>
                <w:sz w:val="16"/>
                <w:lang w:bidi="es-ES"/>
              </w:rPr>
              <w:t>2019</w:t>
            </w:r>
          </w:p>
        </w:tc>
        <w:tc>
          <w:tcPr>
            <w:tcW w:w="650" w:type="pct"/>
            <w:tcBorders>
              <w:top w:val="single" w:sz="4" w:space="0" w:color="auto"/>
              <w:bottom w:val="single" w:sz="12" w:space="0" w:color="auto"/>
            </w:tcBorders>
            <w:shd w:val="clear" w:color="auto" w:fill="auto"/>
            <w:vAlign w:val="bottom"/>
          </w:tcPr>
          <w:p w14:paraId="716EFA21" w14:textId="77777777" w:rsidR="00BD4745" w:rsidRPr="004B0800" w:rsidRDefault="00BD4745" w:rsidP="004B0800">
            <w:pPr>
              <w:spacing w:before="80" w:after="80" w:line="200" w:lineRule="exact"/>
              <w:ind w:left="113"/>
              <w:jc w:val="center"/>
              <w:rPr>
                <w:rFonts w:asciiTheme="majorBidi" w:hAnsiTheme="majorBidi" w:cstheme="majorBidi"/>
                <w:i/>
                <w:sz w:val="16"/>
                <w:lang w:bidi="es-ES"/>
              </w:rPr>
            </w:pPr>
            <w:r w:rsidRPr="004B0800">
              <w:rPr>
                <w:rFonts w:asciiTheme="majorBidi" w:hAnsiTheme="majorBidi" w:cstheme="majorBidi"/>
                <w:i/>
                <w:sz w:val="16"/>
                <w:lang w:bidi="es-ES"/>
              </w:rPr>
              <w:t>2020</w:t>
            </w:r>
          </w:p>
        </w:tc>
        <w:tc>
          <w:tcPr>
            <w:tcW w:w="651" w:type="pct"/>
            <w:tcBorders>
              <w:top w:val="single" w:sz="4" w:space="0" w:color="auto"/>
              <w:bottom w:val="single" w:sz="12" w:space="0" w:color="auto"/>
            </w:tcBorders>
            <w:shd w:val="clear" w:color="auto" w:fill="auto"/>
            <w:vAlign w:val="bottom"/>
          </w:tcPr>
          <w:p w14:paraId="497EBDBF" w14:textId="77777777" w:rsidR="00BD4745" w:rsidRPr="004B0800" w:rsidRDefault="00BD4745" w:rsidP="004B0800">
            <w:pPr>
              <w:spacing w:before="80" w:after="80" w:line="200" w:lineRule="exact"/>
              <w:ind w:left="113"/>
              <w:jc w:val="center"/>
              <w:rPr>
                <w:rFonts w:asciiTheme="majorBidi" w:hAnsiTheme="majorBidi" w:cstheme="majorBidi"/>
                <w:i/>
                <w:sz w:val="16"/>
                <w:lang w:bidi="es-ES"/>
              </w:rPr>
            </w:pPr>
            <w:r w:rsidRPr="004B0800">
              <w:rPr>
                <w:rFonts w:asciiTheme="majorBidi" w:hAnsiTheme="majorBidi" w:cstheme="majorBidi"/>
                <w:i/>
                <w:sz w:val="16"/>
                <w:lang w:bidi="es-ES"/>
              </w:rPr>
              <w:t>2021</w:t>
            </w:r>
          </w:p>
        </w:tc>
        <w:tc>
          <w:tcPr>
            <w:tcW w:w="860" w:type="pct"/>
            <w:vMerge/>
            <w:tcBorders>
              <w:top w:val="single" w:sz="12" w:space="0" w:color="auto"/>
              <w:bottom w:val="single" w:sz="12" w:space="0" w:color="auto"/>
            </w:tcBorders>
            <w:shd w:val="clear" w:color="auto" w:fill="auto"/>
            <w:vAlign w:val="bottom"/>
          </w:tcPr>
          <w:p w14:paraId="1E4228AC"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p>
        </w:tc>
      </w:tr>
      <w:tr w:rsidR="00A4292E" w:rsidRPr="004B0800" w14:paraId="50F13C3D" w14:textId="77777777" w:rsidTr="004B0800">
        <w:trPr>
          <w:trHeight w:val="240"/>
        </w:trPr>
        <w:tc>
          <w:tcPr>
            <w:tcW w:w="434" w:type="pct"/>
            <w:tcBorders>
              <w:top w:val="single" w:sz="12" w:space="0" w:color="auto"/>
            </w:tcBorders>
            <w:shd w:val="clear" w:color="auto" w:fill="auto"/>
          </w:tcPr>
          <w:p w14:paraId="21F3D103" w14:textId="77777777" w:rsidR="00BD4745" w:rsidRPr="004B0800" w:rsidRDefault="00BD4745">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1</w:t>
            </w:r>
          </w:p>
        </w:tc>
        <w:tc>
          <w:tcPr>
            <w:tcW w:w="1105" w:type="pct"/>
            <w:tcBorders>
              <w:top w:val="single" w:sz="12" w:space="0" w:color="auto"/>
            </w:tcBorders>
            <w:shd w:val="clear" w:color="auto" w:fill="auto"/>
            <w:vAlign w:val="bottom"/>
          </w:tcPr>
          <w:p w14:paraId="21A6283F" w14:textId="77777777" w:rsidR="00BD4745" w:rsidRPr="004B0800" w:rsidRDefault="00BD4745" w:rsidP="004B0800">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Cochabamba</w:t>
            </w:r>
          </w:p>
        </w:tc>
        <w:tc>
          <w:tcPr>
            <w:tcW w:w="650" w:type="pct"/>
            <w:tcBorders>
              <w:top w:val="single" w:sz="12" w:space="0" w:color="auto"/>
            </w:tcBorders>
            <w:shd w:val="clear" w:color="auto" w:fill="auto"/>
            <w:vAlign w:val="bottom"/>
          </w:tcPr>
          <w:p w14:paraId="7E62CFA6"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3</w:t>
            </w:r>
          </w:p>
        </w:tc>
        <w:tc>
          <w:tcPr>
            <w:tcW w:w="651" w:type="pct"/>
            <w:tcBorders>
              <w:top w:val="single" w:sz="12" w:space="0" w:color="auto"/>
            </w:tcBorders>
            <w:shd w:val="clear" w:color="auto" w:fill="auto"/>
            <w:vAlign w:val="bottom"/>
          </w:tcPr>
          <w:p w14:paraId="2FC5208C"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3</w:t>
            </w:r>
          </w:p>
        </w:tc>
        <w:tc>
          <w:tcPr>
            <w:tcW w:w="650" w:type="pct"/>
            <w:tcBorders>
              <w:top w:val="single" w:sz="12" w:space="0" w:color="auto"/>
            </w:tcBorders>
            <w:shd w:val="clear" w:color="auto" w:fill="auto"/>
            <w:vAlign w:val="bottom"/>
          </w:tcPr>
          <w:p w14:paraId="387E5D79"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1</w:t>
            </w:r>
          </w:p>
        </w:tc>
        <w:tc>
          <w:tcPr>
            <w:tcW w:w="651" w:type="pct"/>
            <w:tcBorders>
              <w:top w:val="single" w:sz="12" w:space="0" w:color="auto"/>
            </w:tcBorders>
            <w:shd w:val="clear" w:color="auto" w:fill="auto"/>
            <w:vAlign w:val="bottom"/>
          </w:tcPr>
          <w:p w14:paraId="62D4B0CA"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11</w:t>
            </w:r>
          </w:p>
        </w:tc>
        <w:tc>
          <w:tcPr>
            <w:tcW w:w="860" w:type="pct"/>
            <w:tcBorders>
              <w:top w:val="single" w:sz="12" w:space="0" w:color="auto"/>
            </w:tcBorders>
            <w:shd w:val="clear" w:color="auto" w:fill="auto"/>
            <w:vAlign w:val="bottom"/>
          </w:tcPr>
          <w:p w14:paraId="148F1A50"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18</w:t>
            </w:r>
          </w:p>
        </w:tc>
      </w:tr>
      <w:tr w:rsidR="00A4292E" w:rsidRPr="004B0800" w14:paraId="2747D1DF" w14:textId="77777777" w:rsidTr="004B0800">
        <w:trPr>
          <w:trHeight w:val="240"/>
        </w:trPr>
        <w:tc>
          <w:tcPr>
            <w:tcW w:w="434" w:type="pct"/>
            <w:shd w:val="clear" w:color="auto" w:fill="auto"/>
          </w:tcPr>
          <w:p w14:paraId="51A0CD72" w14:textId="77777777" w:rsidR="00BD4745" w:rsidRPr="004B0800" w:rsidRDefault="00BD4745">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2</w:t>
            </w:r>
          </w:p>
        </w:tc>
        <w:tc>
          <w:tcPr>
            <w:tcW w:w="1105" w:type="pct"/>
            <w:shd w:val="clear" w:color="auto" w:fill="auto"/>
            <w:vAlign w:val="bottom"/>
          </w:tcPr>
          <w:p w14:paraId="20F66DBA" w14:textId="77777777" w:rsidR="00BD4745" w:rsidRPr="004B0800" w:rsidRDefault="00BD4745" w:rsidP="004B0800">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La Paz</w:t>
            </w:r>
          </w:p>
        </w:tc>
        <w:tc>
          <w:tcPr>
            <w:tcW w:w="650" w:type="pct"/>
            <w:shd w:val="clear" w:color="auto" w:fill="auto"/>
            <w:vAlign w:val="bottom"/>
          </w:tcPr>
          <w:p w14:paraId="28DC2DD9"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1" w:type="pct"/>
            <w:shd w:val="clear" w:color="auto" w:fill="auto"/>
            <w:vAlign w:val="bottom"/>
          </w:tcPr>
          <w:p w14:paraId="21D796EE"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0" w:type="pct"/>
            <w:shd w:val="clear" w:color="auto" w:fill="auto"/>
            <w:vAlign w:val="bottom"/>
          </w:tcPr>
          <w:p w14:paraId="66C5EBAB"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1" w:type="pct"/>
            <w:shd w:val="clear" w:color="auto" w:fill="auto"/>
            <w:vAlign w:val="bottom"/>
          </w:tcPr>
          <w:p w14:paraId="51EEFCB3"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7</w:t>
            </w:r>
          </w:p>
        </w:tc>
        <w:tc>
          <w:tcPr>
            <w:tcW w:w="860" w:type="pct"/>
            <w:shd w:val="clear" w:color="auto" w:fill="auto"/>
            <w:vAlign w:val="bottom"/>
          </w:tcPr>
          <w:p w14:paraId="58614959"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7</w:t>
            </w:r>
          </w:p>
        </w:tc>
      </w:tr>
      <w:tr w:rsidR="00A4292E" w:rsidRPr="004B0800" w14:paraId="6CE14211" w14:textId="77777777" w:rsidTr="004B0800">
        <w:trPr>
          <w:trHeight w:val="240"/>
        </w:trPr>
        <w:tc>
          <w:tcPr>
            <w:tcW w:w="434" w:type="pct"/>
            <w:shd w:val="clear" w:color="auto" w:fill="auto"/>
          </w:tcPr>
          <w:p w14:paraId="094B1921" w14:textId="77777777" w:rsidR="00BD4745" w:rsidRPr="004B0800" w:rsidRDefault="00BD4745">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3</w:t>
            </w:r>
          </w:p>
        </w:tc>
        <w:tc>
          <w:tcPr>
            <w:tcW w:w="1105" w:type="pct"/>
            <w:shd w:val="clear" w:color="auto" w:fill="auto"/>
            <w:vAlign w:val="bottom"/>
          </w:tcPr>
          <w:p w14:paraId="210FB48C" w14:textId="77777777" w:rsidR="00BD4745" w:rsidRPr="004B0800" w:rsidRDefault="00BD4745" w:rsidP="004B0800">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Santa Cruz</w:t>
            </w:r>
          </w:p>
        </w:tc>
        <w:tc>
          <w:tcPr>
            <w:tcW w:w="650" w:type="pct"/>
            <w:shd w:val="clear" w:color="auto" w:fill="auto"/>
            <w:vAlign w:val="bottom"/>
          </w:tcPr>
          <w:p w14:paraId="728E231E"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1</w:t>
            </w:r>
          </w:p>
        </w:tc>
        <w:tc>
          <w:tcPr>
            <w:tcW w:w="651" w:type="pct"/>
            <w:shd w:val="clear" w:color="auto" w:fill="auto"/>
            <w:vAlign w:val="bottom"/>
          </w:tcPr>
          <w:p w14:paraId="51E621F2"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0" w:type="pct"/>
            <w:shd w:val="clear" w:color="auto" w:fill="auto"/>
            <w:vAlign w:val="bottom"/>
          </w:tcPr>
          <w:p w14:paraId="04B1180F"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1</w:t>
            </w:r>
          </w:p>
        </w:tc>
        <w:tc>
          <w:tcPr>
            <w:tcW w:w="651" w:type="pct"/>
            <w:shd w:val="clear" w:color="auto" w:fill="auto"/>
            <w:vAlign w:val="bottom"/>
          </w:tcPr>
          <w:p w14:paraId="18F4B472"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860" w:type="pct"/>
            <w:shd w:val="clear" w:color="auto" w:fill="auto"/>
            <w:vAlign w:val="bottom"/>
          </w:tcPr>
          <w:p w14:paraId="7EBB2757"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2</w:t>
            </w:r>
          </w:p>
        </w:tc>
      </w:tr>
      <w:tr w:rsidR="00A4292E" w:rsidRPr="004B0800" w14:paraId="2C8244FB" w14:textId="77777777" w:rsidTr="004B0800">
        <w:trPr>
          <w:trHeight w:val="240"/>
        </w:trPr>
        <w:tc>
          <w:tcPr>
            <w:tcW w:w="434" w:type="pct"/>
            <w:shd w:val="clear" w:color="auto" w:fill="auto"/>
          </w:tcPr>
          <w:p w14:paraId="18B083FC" w14:textId="77777777" w:rsidR="00BD4745" w:rsidRPr="004B0800" w:rsidRDefault="00BD4745">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4</w:t>
            </w:r>
          </w:p>
        </w:tc>
        <w:tc>
          <w:tcPr>
            <w:tcW w:w="1105" w:type="pct"/>
            <w:shd w:val="clear" w:color="auto" w:fill="auto"/>
            <w:vAlign w:val="bottom"/>
          </w:tcPr>
          <w:p w14:paraId="46C40D20" w14:textId="77777777" w:rsidR="00BD4745" w:rsidRPr="004B0800" w:rsidRDefault="00BD4745" w:rsidP="004B0800">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Beni</w:t>
            </w:r>
          </w:p>
        </w:tc>
        <w:tc>
          <w:tcPr>
            <w:tcW w:w="650" w:type="pct"/>
            <w:shd w:val="clear" w:color="auto" w:fill="auto"/>
            <w:vAlign w:val="bottom"/>
          </w:tcPr>
          <w:p w14:paraId="6A384F67"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1" w:type="pct"/>
            <w:shd w:val="clear" w:color="auto" w:fill="auto"/>
            <w:vAlign w:val="bottom"/>
          </w:tcPr>
          <w:p w14:paraId="0D4B06E6"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0" w:type="pct"/>
            <w:shd w:val="clear" w:color="auto" w:fill="auto"/>
            <w:vAlign w:val="bottom"/>
          </w:tcPr>
          <w:p w14:paraId="12546F4A"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1" w:type="pct"/>
            <w:shd w:val="clear" w:color="auto" w:fill="auto"/>
            <w:vAlign w:val="bottom"/>
          </w:tcPr>
          <w:p w14:paraId="4C3E132B"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1</w:t>
            </w:r>
          </w:p>
        </w:tc>
        <w:tc>
          <w:tcPr>
            <w:tcW w:w="860" w:type="pct"/>
            <w:shd w:val="clear" w:color="auto" w:fill="auto"/>
            <w:vAlign w:val="bottom"/>
          </w:tcPr>
          <w:p w14:paraId="047235B0"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1</w:t>
            </w:r>
          </w:p>
        </w:tc>
      </w:tr>
      <w:tr w:rsidR="00A4292E" w:rsidRPr="004B0800" w14:paraId="775460BC" w14:textId="77777777" w:rsidTr="004B0800">
        <w:trPr>
          <w:trHeight w:val="240"/>
        </w:trPr>
        <w:tc>
          <w:tcPr>
            <w:tcW w:w="434" w:type="pct"/>
            <w:shd w:val="clear" w:color="auto" w:fill="auto"/>
          </w:tcPr>
          <w:p w14:paraId="1C9D12D3" w14:textId="77777777" w:rsidR="00BD4745" w:rsidRPr="004B0800" w:rsidRDefault="00BD4745">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5</w:t>
            </w:r>
          </w:p>
        </w:tc>
        <w:tc>
          <w:tcPr>
            <w:tcW w:w="1105" w:type="pct"/>
            <w:shd w:val="clear" w:color="auto" w:fill="auto"/>
            <w:vAlign w:val="bottom"/>
          </w:tcPr>
          <w:p w14:paraId="50E7E0A0" w14:textId="77777777" w:rsidR="00BD4745" w:rsidRPr="004B0800" w:rsidRDefault="00BD4745" w:rsidP="004B0800">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Chuquisaca</w:t>
            </w:r>
          </w:p>
        </w:tc>
        <w:tc>
          <w:tcPr>
            <w:tcW w:w="650" w:type="pct"/>
            <w:shd w:val="clear" w:color="auto" w:fill="auto"/>
            <w:vAlign w:val="bottom"/>
          </w:tcPr>
          <w:p w14:paraId="6AA127E6"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1" w:type="pct"/>
            <w:shd w:val="clear" w:color="auto" w:fill="auto"/>
            <w:vAlign w:val="bottom"/>
          </w:tcPr>
          <w:p w14:paraId="43849139"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0" w:type="pct"/>
            <w:shd w:val="clear" w:color="auto" w:fill="auto"/>
            <w:vAlign w:val="bottom"/>
          </w:tcPr>
          <w:p w14:paraId="4FC41C69"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1" w:type="pct"/>
            <w:shd w:val="clear" w:color="auto" w:fill="auto"/>
            <w:vAlign w:val="bottom"/>
          </w:tcPr>
          <w:p w14:paraId="3182C6C8"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860" w:type="pct"/>
            <w:shd w:val="clear" w:color="auto" w:fill="auto"/>
            <w:vAlign w:val="bottom"/>
          </w:tcPr>
          <w:p w14:paraId="0110A9F2"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r>
      <w:tr w:rsidR="00A4292E" w:rsidRPr="004B0800" w14:paraId="29059453" w14:textId="77777777" w:rsidTr="004B0800">
        <w:trPr>
          <w:trHeight w:val="240"/>
        </w:trPr>
        <w:tc>
          <w:tcPr>
            <w:tcW w:w="434" w:type="pct"/>
            <w:shd w:val="clear" w:color="auto" w:fill="auto"/>
          </w:tcPr>
          <w:p w14:paraId="7B0FF27F" w14:textId="77777777" w:rsidR="00BD4745" w:rsidRPr="004B0800" w:rsidRDefault="00BD4745">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6</w:t>
            </w:r>
          </w:p>
        </w:tc>
        <w:tc>
          <w:tcPr>
            <w:tcW w:w="1105" w:type="pct"/>
            <w:shd w:val="clear" w:color="auto" w:fill="auto"/>
            <w:vAlign w:val="bottom"/>
          </w:tcPr>
          <w:p w14:paraId="2DD6F497" w14:textId="77777777" w:rsidR="00BD4745" w:rsidRPr="004B0800" w:rsidRDefault="00BD4745" w:rsidP="004B0800">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Oruro</w:t>
            </w:r>
          </w:p>
        </w:tc>
        <w:tc>
          <w:tcPr>
            <w:tcW w:w="650" w:type="pct"/>
            <w:shd w:val="clear" w:color="auto" w:fill="auto"/>
            <w:vAlign w:val="bottom"/>
          </w:tcPr>
          <w:p w14:paraId="2A720179"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1" w:type="pct"/>
            <w:shd w:val="clear" w:color="auto" w:fill="auto"/>
            <w:vAlign w:val="bottom"/>
          </w:tcPr>
          <w:p w14:paraId="72AF56C5"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0" w:type="pct"/>
            <w:shd w:val="clear" w:color="auto" w:fill="auto"/>
            <w:vAlign w:val="bottom"/>
          </w:tcPr>
          <w:p w14:paraId="4BA0BF46"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1" w:type="pct"/>
            <w:shd w:val="clear" w:color="auto" w:fill="auto"/>
            <w:vAlign w:val="bottom"/>
          </w:tcPr>
          <w:p w14:paraId="70D6B612"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860" w:type="pct"/>
            <w:shd w:val="clear" w:color="auto" w:fill="auto"/>
            <w:vAlign w:val="bottom"/>
          </w:tcPr>
          <w:p w14:paraId="7813C1FA"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r>
      <w:tr w:rsidR="00A4292E" w:rsidRPr="004B0800" w14:paraId="52AC07AE" w14:textId="77777777" w:rsidTr="004B0800">
        <w:trPr>
          <w:trHeight w:val="240"/>
        </w:trPr>
        <w:tc>
          <w:tcPr>
            <w:tcW w:w="434" w:type="pct"/>
            <w:shd w:val="clear" w:color="auto" w:fill="auto"/>
          </w:tcPr>
          <w:p w14:paraId="5617FB68" w14:textId="77777777" w:rsidR="00BD4745" w:rsidRPr="004B0800" w:rsidRDefault="00BD4745">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7</w:t>
            </w:r>
          </w:p>
        </w:tc>
        <w:tc>
          <w:tcPr>
            <w:tcW w:w="1105" w:type="pct"/>
            <w:shd w:val="clear" w:color="auto" w:fill="auto"/>
            <w:vAlign w:val="bottom"/>
          </w:tcPr>
          <w:p w14:paraId="7114BB04" w14:textId="77777777" w:rsidR="00BD4745" w:rsidRPr="004B0800" w:rsidRDefault="00BD4745" w:rsidP="004B0800">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Potosí</w:t>
            </w:r>
          </w:p>
        </w:tc>
        <w:tc>
          <w:tcPr>
            <w:tcW w:w="650" w:type="pct"/>
            <w:shd w:val="clear" w:color="auto" w:fill="auto"/>
            <w:vAlign w:val="bottom"/>
          </w:tcPr>
          <w:p w14:paraId="43577A6B"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1" w:type="pct"/>
            <w:shd w:val="clear" w:color="auto" w:fill="auto"/>
            <w:vAlign w:val="bottom"/>
          </w:tcPr>
          <w:p w14:paraId="0E003F5A"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0" w:type="pct"/>
            <w:shd w:val="clear" w:color="auto" w:fill="auto"/>
            <w:vAlign w:val="bottom"/>
          </w:tcPr>
          <w:p w14:paraId="3A8B296D"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1" w:type="pct"/>
            <w:shd w:val="clear" w:color="auto" w:fill="auto"/>
            <w:vAlign w:val="bottom"/>
          </w:tcPr>
          <w:p w14:paraId="07C10A40"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860" w:type="pct"/>
            <w:shd w:val="clear" w:color="auto" w:fill="auto"/>
            <w:vAlign w:val="bottom"/>
          </w:tcPr>
          <w:p w14:paraId="13B2EFF3"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r>
      <w:tr w:rsidR="00A4292E" w:rsidRPr="004B0800" w14:paraId="3073B417" w14:textId="77777777" w:rsidTr="004B0800">
        <w:trPr>
          <w:trHeight w:val="240"/>
        </w:trPr>
        <w:tc>
          <w:tcPr>
            <w:tcW w:w="434" w:type="pct"/>
            <w:shd w:val="clear" w:color="auto" w:fill="auto"/>
          </w:tcPr>
          <w:p w14:paraId="2CAF8637" w14:textId="77777777" w:rsidR="00BD4745" w:rsidRPr="004B0800" w:rsidRDefault="00BD4745">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8</w:t>
            </w:r>
          </w:p>
        </w:tc>
        <w:tc>
          <w:tcPr>
            <w:tcW w:w="1105" w:type="pct"/>
            <w:shd w:val="clear" w:color="auto" w:fill="auto"/>
            <w:vAlign w:val="bottom"/>
          </w:tcPr>
          <w:p w14:paraId="64BCA3F3" w14:textId="77777777" w:rsidR="00BD4745" w:rsidRPr="004B0800" w:rsidRDefault="00BD4745" w:rsidP="004B0800">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Tarija</w:t>
            </w:r>
          </w:p>
        </w:tc>
        <w:tc>
          <w:tcPr>
            <w:tcW w:w="650" w:type="pct"/>
            <w:shd w:val="clear" w:color="auto" w:fill="auto"/>
            <w:vAlign w:val="bottom"/>
          </w:tcPr>
          <w:p w14:paraId="33EA956B"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1" w:type="pct"/>
            <w:shd w:val="clear" w:color="auto" w:fill="auto"/>
            <w:vAlign w:val="bottom"/>
          </w:tcPr>
          <w:p w14:paraId="4972F22D"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0" w:type="pct"/>
            <w:shd w:val="clear" w:color="auto" w:fill="auto"/>
            <w:vAlign w:val="bottom"/>
          </w:tcPr>
          <w:p w14:paraId="59C18D0D"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1" w:type="pct"/>
            <w:shd w:val="clear" w:color="auto" w:fill="auto"/>
            <w:vAlign w:val="bottom"/>
          </w:tcPr>
          <w:p w14:paraId="714D0A5B"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860" w:type="pct"/>
            <w:shd w:val="clear" w:color="auto" w:fill="auto"/>
            <w:vAlign w:val="bottom"/>
          </w:tcPr>
          <w:p w14:paraId="33932EB5"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r>
      <w:tr w:rsidR="00A4292E" w:rsidRPr="004B0800" w14:paraId="2C924EE4" w14:textId="77777777" w:rsidTr="004B0800">
        <w:trPr>
          <w:trHeight w:val="240"/>
        </w:trPr>
        <w:tc>
          <w:tcPr>
            <w:tcW w:w="434" w:type="pct"/>
            <w:tcBorders>
              <w:bottom w:val="single" w:sz="4" w:space="0" w:color="auto"/>
            </w:tcBorders>
            <w:shd w:val="clear" w:color="auto" w:fill="auto"/>
          </w:tcPr>
          <w:p w14:paraId="61D0A421" w14:textId="77777777" w:rsidR="00BD4745" w:rsidRPr="004B0800" w:rsidRDefault="00BD4745">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9</w:t>
            </w:r>
          </w:p>
        </w:tc>
        <w:tc>
          <w:tcPr>
            <w:tcW w:w="1105" w:type="pct"/>
            <w:tcBorders>
              <w:bottom w:val="single" w:sz="4" w:space="0" w:color="auto"/>
            </w:tcBorders>
            <w:shd w:val="clear" w:color="auto" w:fill="auto"/>
            <w:vAlign w:val="bottom"/>
          </w:tcPr>
          <w:p w14:paraId="1C3574A9" w14:textId="77777777" w:rsidR="00BD4745" w:rsidRPr="004B0800" w:rsidRDefault="00BD4745" w:rsidP="004B0800">
            <w:pPr>
              <w:spacing w:before="40" w:after="40" w:line="220" w:lineRule="exact"/>
              <w:rPr>
                <w:rFonts w:asciiTheme="majorBidi" w:eastAsia="Times New Roman" w:hAnsiTheme="majorBidi" w:cstheme="majorBidi"/>
                <w:sz w:val="18"/>
                <w:szCs w:val="20"/>
                <w:lang w:bidi="es-ES"/>
              </w:rPr>
            </w:pPr>
            <w:r w:rsidRPr="004B0800">
              <w:rPr>
                <w:rFonts w:asciiTheme="majorBidi" w:hAnsiTheme="majorBidi" w:cstheme="majorBidi"/>
                <w:sz w:val="18"/>
                <w:lang w:bidi="es-ES"/>
              </w:rPr>
              <w:t>Pando</w:t>
            </w:r>
          </w:p>
        </w:tc>
        <w:tc>
          <w:tcPr>
            <w:tcW w:w="650" w:type="pct"/>
            <w:tcBorders>
              <w:bottom w:val="single" w:sz="4" w:space="0" w:color="auto"/>
            </w:tcBorders>
            <w:shd w:val="clear" w:color="auto" w:fill="auto"/>
            <w:vAlign w:val="bottom"/>
          </w:tcPr>
          <w:p w14:paraId="49C935BC"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1" w:type="pct"/>
            <w:tcBorders>
              <w:bottom w:val="single" w:sz="4" w:space="0" w:color="auto"/>
            </w:tcBorders>
            <w:shd w:val="clear" w:color="auto" w:fill="auto"/>
            <w:vAlign w:val="bottom"/>
          </w:tcPr>
          <w:p w14:paraId="471F4BEE"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0" w:type="pct"/>
            <w:tcBorders>
              <w:bottom w:val="single" w:sz="4" w:space="0" w:color="auto"/>
            </w:tcBorders>
            <w:shd w:val="clear" w:color="auto" w:fill="auto"/>
            <w:vAlign w:val="bottom"/>
          </w:tcPr>
          <w:p w14:paraId="16B0D31D"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651" w:type="pct"/>
            <w:tcBorders>
              <w:bottom w:val="single" w:sz="4" w:space="0" w:color="auto"/>
            </w:tcBorders>
            <w:shd w:val="clear" w:color="auto" w:fill="auto"/>
            <w:vAlign w:val="bottom"/>
          </w:tcPr>
          <w:p w14:paraId="189FB75C"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c>
          <w:tcPr>
            <w:tcW w:w="860" w:type="pct"/>
            <w:tcBorders>
              <w:bottom w:val="single" w:sz="4" w:space="0" w:color="auto"/>
            </w:tcBorders>
            <w:shd w:val="clear" w:color="auto" w:fill="auto"/>
            <w:vAlign w:val="bottom"/>
          </w:tcPr>
          <w:p w14:paraId="424A0443" w14:textId="77777777" w:rsidR="00BD4745" w:rsidRPr="004B0800" w:rsidRDefault="00BD4745" w:rsidP="004B0800">
            <w:pPr>
              <w:spacing w:before="40" w:after="40" w:line="220" w:lineRule="exact"/>
              <w:ind w:left="113"/>
              <w:jc w:val="right"/>
              <w:rPr>
                <w:rFonts w:asciiTheme="majorBidi" w:eastAsia="Times New Roman" w:hAnsiTheme="majorBidi" w:cstheme="majorBidi"/>
                <w:sz w:val="18"/>
                <w:szCs w:val="20"/>
                <w:lang w:bidi="es-ES"/>
              </w:rPr>
            </w:pPr>
            <w:r w:rsidRPr="004B0800">
              <w:rPr>
                <w:rFonts w:asciiTheme="majorBidi" w:hAnsiTheme="majorBidi" w:cstheme="majorBidi"/>
                <w:sz w:val="18"/>
                <w:lang w:bidi="es-ES"/>
              </w:rPr>
              <w:t>0</w:t>
            </w:r>
          </w:p>
        </w:tc>
      </w:tr>
      <w:tr w:rsidR="00A4292E" w:rsidRPr="004B0800" w14:paraId="448FD8B7" w14:textId="77777777" w:rsidTr="004B0800">
        <w:tblPrEx>
          <w:tblLook w:val="0000" w:firstRow="0" w:lastRow="0" w:firstColumn="0" w:lastColumn="0" w:noHBand="0" w:noVBand="0"/>
        </w:tblPrEx>
        <w:trPr>
          <w:trHeight w:val="240"/>
        </w:trPr>
        <w:tc>
          <w:tcPr>
            <w:tcW w:w="1539" w:type="pct"/>
            <w:gridSpan w:val="2"/>
            <w:tcBorders>
              <w:top w:val="single" w:sz="4" w:space="0" w:color="auto"/>
              <w:bottom w:val="single" w:sz="12" w:space="0" w:color="auto"/>
            </w:tcBorders>
            <w:shd w:val="clear" w:color="auto" w:fill="auto"/>
          </w:tcPr>
          <w:p w14:paraId="03E93E6C" w14:textId="74F4CECF" w:rsidR="00BD4745" w:rsidRPr="004B0800" w:rsidRDefault="00BD4745" w:rsidP="004B0800">
            <w:pPr>
              <w:spacing w:before="80" w:after="80" w:line="220" w:lineRule="exact"/>
              <w:ind w:left="283"/>
              <w:rPr>
                <w:rFonts w:asciiTheme="majorBidi" w:eastAsia="Times New Roman" w:hAnsiTheme="majorBidi" w:cstheme="majorBidi"/>
                <w:b/>
                <w:sz w:val="18"/>
                <w:szCs w:val="20"/>
                <w:lang w:bidi="es-ES"/>
              </w:rPr>
            </w:pPr>
            <w:r w:rsidRPr="004B0800">
              <w:rPr>
                <w:rFonts w:asciiTheme="majorBidi" w:hAnsiTheme="majorBidi" w:cstheme="majorBidi"/>
                <w:b/>
                <w:sz w:val="18"/>
                <w:lang w:bidi="es-ES"/>
              </w:rPr>
              <w:t>Su</w:t>
            </w:r>
            <w:r w:rsidR="003C15F4" w:rsidRPr="004B0800">
              <w:rPr>
                <w:rFonts w:asciiTheme="majorBidi" w:hAnsiTheme="majorBidi" w:cstheme="majorBidi"/>
                <w:b/>
                <w:sz w:val="18"/>
                <w:lang w:bidi="es-ES"/>
              </w:rPr>
              <w:t>b</w:t>
            </w:r>
            <w:r w:rsidRPr="004B0800">
              <w:rPr>
                <w:rFonts w:asciiTheme="majorBidi" w:hAnsiTheme="majorBidi" w:cstheme="majorBidi"/>
                <w:b/>
                <w:sz w:val="18"/>
                <w:lang w:bidi="es-ES"/>
              </w:rPr>
              <w:t xml:space="preserve">total </w:t>
            </w:r>
          </w:p>
        </w:tc>
        <w:tc>
          <w:tcPr>
            <w:tcW w:w="650" w:type="pct"/>
            <w:tcBorders>
              <w:top w:val="single" w:sz="4" w:space="0" w:color="auto"/>
              <w:bottom w:val="single" w:sz="12" w:space="0" w:color="auto"/>
            </w:tcBorders>
            <w:shd w:val="clear" w:color="auto" w:fill="auto"/>
            <w:vAlign w:val="bottom"/>
          </w:tcPr>
          <w:p w14:paraId="260C748D" w14:textId="77777777" w:rsidR="00BD4745" w:rsidRPr="004B0800" w:rsidRDefault="00BD4745" w:rsidP="004B0800">
            <w:pPr>
              <w:spacing w:before="80" w:after="80" w:line="220" w:lineRule="exact"/>
              <w:jc w:val="right"/>
              <w:rPr>
                <w:rFonts w:asciiTheme="majorBidi" w:eastAsia="Times New Roman" w:hAnsiTheme="majorBidi" w:cstheme="majorBidi"/>
                <w:b/>
                <w:sz w:val="18"/>
                <w:szCs w:val="20"/>
                <w:lang w:bidi="es-ES"/>
              </w:rPr>
            </w:pPr>
            <w:r w:rsidRPr="004B0800">
              <w:rPr>
                <w:rFonts w:asciiTheme="majorBidi" w:hAnsiTheme="majorBidi" w:cstheme="majorBidi"/>
                <w:b/>
                <w:sz w:val="18"/>
                <w:lang w:bidi="es-ES"/>
              </w:rPr>
              <w:t>4</w:t>
            </w:r>
          </w:p>
        </w:tc>
        <w:tc>
          <w:tcPr>
            <w:tcW w:w="651" w:type="pct"/>
            <w:tcBorders>
              <w:top w:val="single" w:sz="4" w:space="0" w:color="auto"/>
              <w:bottom w:val="single" w:sz="12" w:space="0" w:color="auto"/>
            </w:tcBorders>
            <w:shd w:val="clear" w:color="auto" w:fill="auto"/>
            <w:vAlign w:val="bottom"/>
          </w:tcPr>
          <w:p w14:paraId="46E00B5B" w14:textId="77777777" w:rsidR="00BD4745" w:rsidRPr="004B0800" w:rsidRDefault="00BD4745" w:rsidP="004B0800">
            <w:pPr>
              <w:spacing w:before="80" w:after="80" w:line="220" w:lineRule="exact"/>
              <w:jc w:val="right"/>
              <w:rPr>
                <w:rFonts w:asciiTheme="majorBidi" w:eastAsia="Times New Roman" w:hAnsiTheme="majorBidi" w:cstheme="majorBidi"/>
                <w:b/>
                <w:sz w:val="18"/>
                <w:szCs w:val="20"/>
                <w:lang w:bidi="es-ES"/>
              </w:rPr>
            </w:pPr>
            <w:r w:rsidRPr="004B0800">
              <w:rPr>
                <w:rFonts w:asciiTheme="majorBidi" w:hAnsiTheme="majorBidi" w:cstheme="majorBidi"/>
                <w:b/>
                <w:sz w:val="18"/>
                <w:lang w:bidi="es-ES"/>
              </w:rPr>
              <w:t>3</w:t>
            </w:r>
          </w:p>
        </w:tc>
        <w:tc>
          <w:tcPr>
            <w:tcW w:w="650" w:type="pct"/>
            <w:tcBorders>
              <w:top w:val="single" w:sz="4" w:space="0" w:color="auto"/>
              <w:bottom w:val="single" w:sz="12" w:space="0" w:color="auto"/>
            </w:tcBorders>
            <w:shd w:val="clear" w:color="auto" w:fill="auto"/>
            <w:vAlign w:val="bottom"/>
          </w:tcPr>
          <w:p w14:paraId="1C207C80" w14:textId="77777777" w:rsidR="00BD4745" w:rsidRPr="004B0800" w:rsidRDefault="00BD4745" w:rsidP="004B0800">
            <w:pPr>
              <w:spacing w:before="80" w:after="80" w:line="220" w:lineRule="exact"/>
              <w:jc w:val="right"/>
              <w:rPr>
                <w:rFonts w:asciiTheme="majorBidi" w:eastAsia="Times New Roman" w:hAnsiTheme="majorBidi" w:cstheme="majorBidi"/>
                <w:b/>
                <w:sz w:val="18"/>
                <w:szCs w:val="20"/>
                <w:lang w:bidi="es-ES"/>
              </w:rPr>
            </w:pPr>
            <w:r w:rsidRPr="004B0800">
              <w:rPr>
                <w:rFonts w:asciiTheme="majorBidi" w:hAnsiTheme="majorBidi" w:cstheme="majorBidi"/>
                <w:b/>
                <w:sz w:val="18"/>
                <w:lang w:bidi="es-ES"/>
              </w:rPr>
              <w:t>2</w:t>
            </w:r>
          </w:p>
        </w:tc>
        <w:tc>
          <w:tcPr>
            <w:tcW w:w="651" w:type="pct"/>
            <w:tcBorders>
              <w:top w:val="single" w:sz="4" w:space="0" w:color="auto"/>
              <w:bottom w:val="single" w:sz="12" w:space="0" w:color="auto"/>
            </w:tcBorders>
            <w:shd w:val="clear" w:color="auto" w:fill="auto"/>
            <w:vAlign w:val="bottom"/>
          </w:tcPr>
          <w:p w14:paraId="2554F732" w14:textId="77777777" w:rsidR="00BD4745" w:rsidRPr="004B0800" w:rsidRDefault="00BD4745" w:rsidP="004B0800">
            <w:pPr>
              <w:spacing w:before="80" w:after="80" w:line="220" w:lineRule="exact"/>
              <w:jc w:val="right"/>
              <w:rPr>
                <w:rFonts w:asciiTheme="majorBidi" w:eastAsia="Times New Roman" w:hAnsiTheme="majorBidi" w:cstheme="majorBidi"/>
                <w:b/>
                <w:sz w:val="18"/>
                <w:szCs w:val="20"/>
                <w:lang w:bidi="es-ES"/>
              </w:rPr>
            </w:pPr>
            <w:r w:rsidRPr="004B0800">
              <w:rPr>
                <w:rFonts w:asciiTheme="majorBidi" w:hAnsiTheme="majorBidi" w:cstheme="majorBidi"/>
                <w:b/>
                <w:sz w:val="18"/>
                <w:lang w:bidi="es-ES"/>
              </w:rPr>
              <w:t>19</w:t>
            </w:r>
          </w:p>
        </w:tc>
        <w:tc>
          <w:tcPr>
            <w:tcW w:w="860" w:type="pct"/>
            <w:tcBorders>
              <w:top w:val="single" w:sz="4" w:space="0" w:color="auto"/>
              <w:bottom w:val="single" w:sz="12" w:space="0" w:color="auto"/>
            </w:tcBorders>
            <w:shd w:val="clear" w:color="auto" w:fill="auto"/>
            <w:vAlign w:val="bottom"/>
          </w:tcPr>
          <w:p w14:paraId="479BF196" w14:textId="77777777" w:rsidR="00BD4745" w:rsidRPr="004B0800" w:rsidRDefault="00BD4745" w:rsidP="004B0800">
            <w:pPr>
              <w:spacing w:before="80" w:after="80" w:line="220" w:lineRule="exact"/>
              <w:jc w:val="right"/>
              <w:rPr>
                <w:rFonts w:asciiTheme="majorBidi" w:eastAsia="Times New Roman" w:hAnsiTheme="majorBidi" w:cstheme="majorBidi"/>
                <w:b/>
                <w:sz w:val="18"/>
                <w:szCs w:val="20"/>
                <w:lang w:bidi="es-ES"/>
              </w:rPr>
            </w:pPr>
            <w:r w:rsidRPr="004B0800">
              <w:rPr>
                <w:rFonts w:asciiTheme="majorBidi" w:hAnsiTheme="majorBidi" w:cstheme="majorBidi"/>
                <w:b/>
                <w:sz w:val="18"/>
                <w:lang w:bidi="es-ES"/>
              </w:rPr>
              <w:t>28</w:t>
            </w:r>
          </w:p>
        </w:tc>
      </w:tr>
    </w:tbl>
    <w:p w14:paraId="21F1A830" w14:textId="1ED4AD81" w:rsidR="00BD4745" w:rsidRPr="00EF700A" w:rsidRDefault="0098102E" w:rsidP="00EF700A">
      <w:pPr>
        <w:pStyle w:val="SingleTxtG"/>
        <w:spacing w:before="240"/>
        <w:rPr>
          <w:lang w:bidi="es-ES"/>
        </w:rPr>
      </w:pPr>
      <w:r w:rsidRPr="00EF700A">
        <w:rPr>
          <w:rFonts w:eastAsiaTheme="minorHAnsi"/>
          <w:lang w:val="es-BO" w:eastAsia="en-US" w:bidi="es-ES"/>
        </w:rPr>
        <w:t>79.</w:t>
      </w:r>
      <w:r w:rsidRPr="00EF700A">
        <w:rPr>
          <w:rFonts w:eastAsiaTheme="minorHAnsi"/>
          <w:lang w:val="es-BO" w:eastAsia="en-US" w:bidi="es-ES"/>
        </w:rPr>
        <w:tab/>
      </w:r>
      <w:r w:rsidR="00BD4745" w:rsidRPr="00EF700A">
        <w:rPr>
          <w:lang w:bidi="es-ES"/>
        </w:rPr>
        <w:t>Las causas de estos Linchamientos provienen principalmente de la inseguridad ciudadana, criminalidad y procesos no resueltos por el Órgano Judicial. Para contrarrestar estos y otros actos contra la seguridad ciudadana se ha implementado en diferentes regiones y sectores del país el Plan “Mi barrio Seguro”, en base a la identificación de zonas de riesgo y su georreferenciación, plan específico y exclusivo para las características del sector, así como la realización de Talleres y Campañas de Sensibilización sobre la Violencia Familiar, de Género, Trata de Personas y “Linchamientos”.</w:t>
      </w:r>
    </w:p>
    <w:p w14:paraId="4ECE02F1" w14:textId="064092AF" w:rsidR="00BD4745" w:rsidRPr="00EF700A" w:rsidRDefault="0098102E" w:rsidP="00EF700A">
      <w:pPr>
        <w:pStyle w:val="SingleTxtG"/>
        <w:rPr>
          <w:lang w:bidi="es-ES"/>
        </w:rPr>
      </w:pPr>
      <w:r w:rsidRPr="00EF700A">
        <w:rPr>
          <w:rFonts w:eastAsiaTheme="minorHAnsi"/>
          <w:lang w:val="es-BO" w:eastAsia="en-US" w:bidi="es-ES"/>
        </w:rPr>
        <w:t>80.</w:t>
      </w:r>
      <w:r w:rsidRPr="00EF700A">
        <w:rPr>
          <w:rFonts w:eastAsiaTheme="minorHAnsi"/>
          <w:lang w:val="es-BO" w:eastAsia="en-US" w:bidi="es-ES"/>
        </w:rPr>
        <w:tab/>
      </w:r>
      <w:r w:rsidR="00BD4745" w:rsidRPr="00EF700A">
        <w:rPr>
          <w:lang w:bidi="es-ES"/>
        </w:rPr>
        <w:t xml:space="preserve">El Plan mencionado se llevó a cabo en las zonas de </w:t>
      </w:r>
      <w:proofErr w:type="spellStart"/>
      <w:r w:rsidR="00BD4745" w:rsidRPr="00EF700A">
        <w:rPr>
          <w:lang w:bidi="es-ES"/>
        </w:rPr>
        <w:t>Senkata</w:t>
      </w:r>
      <w:proofErr w:type="spellEnd"/>
      <w:r w:rsidR="00BD4745" w:rsidRPr="00EF700A">
        <w:rPr>
          <w:lang w:bidi="es-ES"/>
        </w:rPr>
        <w:t xml:space="preserve">, La Ceja, Camino a Laja, de la ciudad de El Alto; y Plan 3000, </w:t>
      </w:r>
      <w:proofErr w:type="spellStart"/>
      <w:r w:rsidR="00BD4745" w:rsidRPr="00EF700A">
        <w:rPr>
          <w:lang w:bidi="es-ES"/>
        </w:rPr>
        <w:t>G77</w:t>
      </w:r>
      <w:proofErr w:type="spellEnd"/>
      <w:r w:rsidR="00BD4745" w:rsidRPr="00EF700A">
        <w:rPr>
          <w:lang w:bidi="es-ES"/>
        </w:rPr>
        <w:t>, Los Lotes, Villa Primero de Mayo, de la ciudad de Santa Cruz; se implementará dicho Plan este año en los Departamentos de Pando, Tarija y Cochabamba.</w:t>
      </w:r>
    </w:p>
    <w:p w14:paraId="5053B8A8" w14:textId="69A640F9" w:rsidR="00BD4745" w:rsidRPr="00EF700A" w:rsidRDefault="0098102E" w:rsidP="00EF700A">
      <w:pPr>
        <w:pStyle w:val="SingleTxtG"/>
        <w:rPr>
          <w:lang w:bidi="es-ES"/>
        </w:rPr>
      </w:pPr>
      <w:r w:rsidRPr="00EF700A">
        <w:rPr>
          <w:rFonts w:eastAsiaTheme="minorHAnsi"/>
          <w:lang w:val="es-BO" w:eastAsia="en-US" w:bidi="es-ES"/>
        </w:rPr>
        <w:t>81.</w:t>
      </w:r>
      <w:r w:rsidRPr="00EF700A">
        <w:rPr>
          <w:rFonts w:eastAsiaTheme="minorHAnsi"/>
          <w:lang w:val="es-BO" w:eastAsia="en-US" w:bidi="es-ES"/>
        </w:rPr>
        <w:tab/>
      </w:r>
      <w:r w:rsidR="00BD4745" w:rsidRPr="00EF700A">
        <w:rPr>
          <w:lang w:bidi="es-ES"/>
        </w:rPr>
        <w:t>La Dirección Nacional de la Fuerza Especial contra el Crimen, a través del Departamento Nacional de Planeación Policial División de Estadística, informa un total de 28 linchamientos registrados entre la gestión 2017 a julio del año 2021 a nivel nacional.</w:t>
      </w:r>
    </w:p>
    <w:p w14:paraId="36DFEE75" w14:textId="5204BC14" w:rsidR="00BD4745" w:rsidRPr="00EF700A" w:rsidRDefault="0098102E" w:rsidP="00EF700A">
      <w:pPr>
        <w:pStyle w:val="SingleTxtG"/>
      </w:pPr>
      <w:r w:rsidRPr="00EF700A">
        <w:rPr>
          <w:rFonts w:eastAsiaTheme="minorHAnsi"/>
          <w:lang w:val="es-BO" w:eastAsia="en-US"/>
        </w:rPr>
        <w:t>82.</w:t>
      </w:r>
      <w:r w:rsidRPr="00EF700A">
        <w:rPr>
          <w:rFonts w:eastAsiaTheme="minorHAnsi"/>
          <w:lang w:val="es-BO" w:eastAsia="en-US"/>
        </w:rPr>
        <w:tab/>
      </w:r>
      <w:r w:rsidR="00BD4745" w:rsidRPr="00EF700A">
        <w:t>La Fiscalía Especializada de Delitos Contra la Vida, dentro del Modelo de Gestión Fiscal por Resultados, se constituye en la unidad de investigación más importante y de mayor atención institucional, tiene como misión principal ejercitar la acción penal pública sobre hechos que extinguen o ponen en peligro cierto el bien jurídico protegido, la vida.</w:t>
      </w:r>
    </w:p>
    <w:p w14:paraId="47CBC7C9" w14:textId="3F92FEDE" w:rsidR="00BD4745" w:rsidRPr="00EF700A" w:rsidRDefault="0098102E" w:rsidP="00EF700A">
      <w:pPr>
        <w:pStyle w:val="SingleTxtG"/>
      </w:pPr>
      <w:r w:rsidRPr="00EF700A">
        <w:rPr>
          <w:rFonts w:eastAsiaTheme="minorHAnsi"/>
          <w:lang w:val="es-BO" w:eastAsia="en-US"/>
        </w:rPr>
        <w:t>83.</w:t>
      </w:r>
      <w:r w:rsidRPr="00EF700A">
        <w:rPr>
          <w:rFonts w:eastAsiaTheme="minorHAnsi"/>
          <w:lang w:val="es-BO" w:eastAsia="en-US"/>
        </w:rPr>
        <w:tab/>
      </w:r>
      <w:r w:rsidR="00BD4745" w:rsidRPr="00EF700A">
        <w:t xml:space="preserve">Respecto a las medidas adoptadas, en merito a las atribuciones y funciones que le fueron conferidas al Ministerio Público, este persigue conductas delictivas a través del ejercicio de la acción penal pública conforme lo establece el Artículo 225 de la Constitución Política del Estado, Tratados y Convenios Internacionales vigentes y las Leyes por lo que darse los delitos de referencia se encuentra realizando las investigaciones </w:t>
      </w:r>
      <w:r w:rsidR="006678D4">
        <w:t xml:space="preserve">correspondientes y cuanto acto </w:t>
      </w:r>
      <w:r w:rsidR="00BD4745" w:rsidRPr="00EF700A">
        <w:t>investigativo sea necesario en el marco de la debida diligencia para la averiguación de la verdad histórica de los hechos de linchamiento.</w:t>
      </w:r>
    </w:p>
    <w:p w14:paraId="6FBC3638" w14:textId="6EAEC512" w:rsidR="00BD4745" w:rsidRPr="002014CD" w:rsidRDefault="00EF700A">
      <w:pPr>
        <w:pStyle w:val="H23G"/>
      </w:pPr>
      <w:r>
        <w:lastRenderedPageBreak/>
        <w:tab/>
      </w:r>
      <w:r w:rsidR="00BD4745" w:rsidRPr="002014CD">
        <w:t>11.</w:t>
      </w:r>
      <w:r>
        <w:tab/>
      </w:r>
      <w:r w:rsidR="0052731F" w:rsidRPr="00ED0B85">
        <w:t xml:space="preserve">Respuesta al </w:t>
      </w:r>
      <w:r w:rsidR="0052731F" w:rsidRPr="001A1E5D">
        <w:t>párrafo 1</w:t>
      </w:r>
      <w:r w:rsidR="0052731F">
        <w:t>1</w:t>
      </w:r>
      <w:r w:rsidR="0052731F" w:rsidRPr="001A1E5D">
        <w:t xml:space="preserve"> </w:t>
      </w:r>
      <w:r w:rsidR="0052731F" w:rsidRPr="001A1E5D">
        <w:rPr>
          <w:lang w:val="es-ES_tradnl"/>
        </w:rPr>
        <w:t xml:space="preserve">de </w:t>
      </w:r>
      <w:r w:rsidR="0052731F">
        <w:rPr>
          <w:lang w:val="es-ES_tradnl"/>
        </w:rPr>
        <w:t>la lista de cuestiones</w:t>
      </w:r>
    </w:p>
    <w:p w14:paraId="2278F822" w14:textId="5EC3A6A5" w:rsidR="00BD4745" w:rsidRPr="00EF700A" w:rsidRDefault="0098102E" w:rsidP="00EF700A">
      <w:pPr>
        <w:pStyle w:val="SingleTxtG"/>
      </w:pPr>
      <w:r w:rsidRPr="00EF700A">
        <w:rPr>
          <w:rFonts w:eastAsiaTheme="minorHAnsi"/>
          <w:lang w:val="es-BO" w:eastAsia="en-US"/>
        </w:rPr>
        <w:t>84.</w:t>
      </w:r>
      <w:r w:rsidRPr="00EF700A">
        <w:rPr>
          <w:rFonts w:eastAsiaTheme="minorHAnsi"/>
          <w:lang w:val="es-BO" w:eastAsia="en-US"/>
        </w:rPr>
        <w:tab/>
      </w:r>
      <w:r w:rsidR="00BD4745" w:rsidRPr="00EF700A">
        <w:t xml:space="preserve">El mandato de la Constitución Política del Estado, es clara respecto a la jurisdicción militar en sus Artículos 117 y 120 y el Artículo 48 del Código de Procedimiento Penal (CPP), se establece que en caso de duda debe primar la justicia ordinaria sobre la militar. La Ley fundamental del Estado en el Parágrafo III del Artículo 180, establece que: </w:t>
      </w:r>
      <w:r w:rsidR="00BD4745" w:rsidRPr="00EF700A">
        <w:rPr>
          <w:i/>
        </w:rPr>
        <w:t>“(…) la jurisdicción militar juzgará los delitos de natura</w:t>
      </w:r>
      <w:r w:rsidR="00AA6A62">
        <w:rPr>
          <w:i/>
        </w:rPr>
        <w:t>leza militar regulados por ley”.</w:t>
      </w:r>
      <w:r w:rsidR="00BD4745" w:rsidRPr="00EF700A">
        <w:t xml:space="preserve"> </w:t>
      </w:r>
    </w:p>
    <w:p w14:paraId="15D3F883" w14:textId="4A7CE2B0" w:rsidR="00BD4745" w:rsidRPr="00EF700A" w:rsidRDefault="0098102E" w:rsidP="00EF700A">
      <w:pPr>
        <w:pStyle w:val="SingleTxtG"/>
      </w:pPr>
      <w:r w:rsidRPr="00EF700A">
        <w:rPr>
          <w:rFonts w:eastAsiaTheme="minorHAnsi"/>
          <w:lang w:eastAsia="en-US"/>
        </w:rPr>
        <w:t>85.</w:t>
      </w:r>
      <w:r w:rsidRPr="00EF700A">
        <w:rPr>
          <w:rFonts w:eastAsiaTheme="minorHAnsi"/>
          <w:lang w:eastAsia="en-US"/>
        </w:rPr>
        <w:tab/>
      </w:r>
      <w:r w:rsidR="00BD4745" w:rsidRPr="00EF700A">
        <w:t xml:space="preserve">La Justicia Militar es competente para el juzgamiento de delitos en función, ya que los mismos deben cumplir con tres requisitos: 1) Están sujetos a la jurisdicción militar los bolivianos y extranjeros, en razón de los delitos que afecten a materias militares (art. 10 </w:t>
      </w:r>
      <w:proofErr w:type="spellStart"/>
      <w:r w:rsidR="00BD4745" w:rsidRPr="00EF700A">
        <w:t>LOJM</w:t>
      </w:r>
      <w:proofErr w:type="spellEnd"/>
      <w:r w:rsidR="00BD4745" w:rsidRPr="00EF700A">
        <w:t xml:space="preserve">), entendiéndose, por lo tanto, que sólo las acciones (tipificadas en el Código penal militar) que vulneren bienes jurídicos militares, estarán sometidas a esa jurisdicción; 2) El Código penal militar se aplica, entre otros a todos los delitos cometidos por los miembros de las Fuerzas Armadas en actos de servicio o en ocasión de él, dentro o fuera de los cuarteles, campamentos, zonas militares; y en todo el territorio de la República en caso de guerra interna o externa (art. 1.1) </w:t>
      </w:r>
      <w:proofErr w:type="spellStart"/>
      <w:r w:rsidR="00BD4745" w:rsidRPr="00EF700A">
        <w:t>CPM</w:t>
      </w:r>
      <w:proofErr w:type="spellEnd"/>
      <w:r w:rsidR="00BD4745" w:rsidRPr="00EF700A">
        <w:t xml:space="preserve">); por consiguiente, para que a los miembros de las Fuerzas Armadas les sea aplicado ese Código y estén sometidos a la jurisdicción militar, es necesario que se trate de delitos cometidos en actos de servicio o en ocasión de él, dentro o fuera de zonas militares. </w:t>
      </w:r>
    </w:p>
    <w:p w14:paraId="7FF169FD" w14:textId="41CB36B4" w:rsidR="00BD4745" w:rsidRPr="00EF700A" w:rsidRDefault="0098102E" w:rsidP="00EF700A">
      <w:pPr>
        <w:pStyle w:val="SingleTxtG"/>
      </w:pPr>
      <w:r w:rsidRPr="00EF700A">
        <w:rPr>
          <w:rFonts w:eastAsiaTheme="minorHAnsi"/>
          <w:lang w:val="es-BO" w:eastAsia="en-US"/>
        </w:rPr>
        <w:t>86.</w:t>
      </w:r>
      <w:r w:rsidRPr="00EF700A">
        <w:rPr>
          <w:rFonts w:eastAsiaTheme="minorHAnsi"/>
          <w:lang w:val="es-BO" w:eastAsia="en-US"/>
        </w:rPr>
        <w:tab/>
      </w:r>
      <w:r w:rsidR="00BD4745" w:rsidRPr="00EF700A">
        <w:t>Ahora bien, s</w:t>
      </w:r>
      <w:r w:rsidR="00960AEB">
        <w:t>o</w:t>
      </w:r>
      <w:r w:rsidR="00BD4745" w:rsidRPr="00EF700A">
        <w:t>lo pueden ser considerados delitos militares aquellos que afecten bienes jurídicos militares, entendiéndose por tales a aquellos intereses protegidos por la norma penal, en función a la misión constitucional asignada a las Fuerzas Armadas, los medios destinados al cumplimiento de esa misión y su organización, jerarquía y disciplina. De ello se desprende que la competencia de los tribunales militares debe estar restringida al ámbito estrictamente militar y concretamente a los deberes propios de la función militar.</w:t>
      </w:r>
    </w:p>
    <w:p w14:paraId="6B7C1C26" w14:textId="098EDA0E" w:rsidR="00BD4745" w:rsidRPr="00EF700A" w:rsidRDefault="0098102E" w:rsidP="00EF700A">
      <w:pPr>
        <w:pStyle w:val="SingleTxtG"/>
      </w:pPr>
      <w:r w:rsidRPr="00EF700A">
        <w:rPr>
          <w:rFonts w:eastAsiaTheme="minorHAnsi"/>
          <w:lang w:val="es-BO" w:eastAsia="en-US"/>
        </w:rPr>
        <w:t>87.</w:t>
      </w:r>
      <w:r w:rsidRPr="00EF700A">
        <w:rPr>
          <w:rFonts w:eastAsiaTheme="minorHAnsi"/>
          <w:lang w:val="es-BO" w:eastAsia="en-US"/>
        </w:rPr>
        <w:tab/>
      </w:r>
      <w:r w:rsidR="00BD4745" w:rsidRPr="00EF700A">
        <w:t xml:space="preserve">De lo expresado, se tiene que los Tribunales militares no son competentes para conocer los delitos que no sean de función; un entendimiento contrario, permitiría que los bienes jurídicos considerados como valores, intereses y expectativas fundamentales, sin los cuales la vida social sería imposible, precaria o indigna, reconocidos como derechos en el Artículo 7 de la </w:t>
      </w:r>
      <w:proofErr w:type="spellStart"/>
      <w:r w:rsidR="00BD4745" w:rsidRPr="00EF700A">
        <w:t>CPE</w:t>
      </w:r>
      <w:proofErr w:type="spellEnd"/>
      <w:r w:rsidR="00BD4745" w:rsidRPr="00EF700A">
        <w:t xml:space="preserve"> y en los Pactos y normas internacionales sobre derechos humanos, no encuentren tutela efectiva en el derecho penal ordinario, y menos, se efectivice la misma en la jurisdicción penal ordinaria”.</w:t>
      </w:r>
    </w:p>
    <w:p w14:paraId="1350C6C8" w14:textId="1EB7EE5F" w:rsidR="00BD4745" w:rsidRPr="00EF700A" w:rsidRDefault="0098102E" w:rsidP="00EF700A">
      <w:pPr>
        <w:pStyle w:val="SingleTxtG"/>
        <w:rPr>
          <w:b/>
          <w:i/>
        </w:rPr>
      </w:pPr>
      <w:r w:rsidRPr="00EF700A">
        <w:rPr>
          <w:rFonts w:eastAsiaTheme="minorHAnsi"/>
          <w:lang w:val="es-BO" w:eastAsia="en-US"/>
        </w:rPr>
        <w:t>88.</w:t>
      </w:r>
      <w:r w:rsidRPr="00EF700A">
        <w:rPr>
          <w:rFonts w:eastAsiaTheme="minorHAnsi"/>
          <w:lang w:val="es-BO" w:eastAsia="en-US"/>
        </w:rPr>
        <w:tab/>
      </w:r>
      <w:r w:rsidR="00BD4745" w:rsidRPr="00EF700A">
        <w:t>El Artículo 26 de la Ley Orgánica de las Fuerzas Armadas (</w:t>
      </w:r>
      <w:proofErr w:type="spellStart"/>
      <w:r w:rsidR="00BD4745" w:rsidRPr="00EF700A">
        <w:t>LOFA</w:t>
      </w:r>
      <w:proofErr w:type="spellEnd"/>
      <w:r w:rsidR="00BD4745" w:rsidRPr="00EF700A">
        <w:t>); 9, 10, 11 y Artículo 12 de la Ley de Organización Judicial Militar (</w:t>
      </w:r>
      <w:proofErr w:type="spellStart"/>
      <w:r w:rsidR="00BD4745" w:rsidRPr="00EF700A">
        <w:t>LOJM</w:t>
      </w:r>
      <w:proofErr w:type="spellEnd"/>
      <w:r w:rsidR="00BD4745" w:rsidRPr="00EF700A">
        <w:t>) y Artículo. 1 del Código Penal Militar (</w:t>
      </w:r>
      <w:proofErr w:type="spellStart"/>
      <w:r w:rsidR="00BD4745" w:rsidRPr="00EF700A">
        <w:t>CPM</w:t>
      </w:r>
      <w:proofErr w:type="spellEnd"/>
      <w:r w:rsidR="00BD4745" w:rsidRPr="00EF700A">
        <w:t xml:space="preserve">), para que se active la competencia de la jurisdicción militar no es suficiente que el autor sea miembro de las fuerzas armadas, sino que es necesario: </w:t>
      </w:r>
      <w:r w:rsidR="00BD4745" w:rsidRPr="00EF700A">
        <w:rPr>
          <w:i/>
        </w:rPr>
        <w:t xml:space="preserve">“(…) que su conducta punible se exteriorice cumpliendo una de las misiones de la institución militar que en lo principal por previsión del Art. 224 </w:t>
      </w:r>
      <w:proofErr w:type="spellStart"/>
      <w:r w:rsidR="00BD4745" w:rsidRPr="00EF700A">
        <w:rPr>
          <w:i/>
        </w:rPr>
        <w:t>CPE</w:t>
      </w:r>
      <w:proofErr w:type="spellEnd"/>
      <w:r w:rsidR="00BD4745" w:rsidRPr="00EF700A">
        <w:rPr>
          <w:i/>
        </w:rPr>
        <w:t>, es conservar la seguridad, estabilidad y soberanía del país (…)</w:t>
      </w:r>
      <w:r w:rsidR="00BD4745" w:rsidRPr="00EF700A">
        <w:t>”</w:t>
      </w:r>
      <w:r w:rsidR="00BD4745" w:rsidRPr="00AA6A62">
        <w:t xml:space="preserve">. </w:t>
      </w:r>
    </w:p>
    <w:p w14:paraId="1CE6AC91" w14:textId="29B828E9" w:rsidR="00BD4745" w:rsidRPr="00EF700A" w:rsidRDefault="0098102E" w:rsidP="00EF700A">
      <w:pPr>
        <w:pStyle w:val="SingleTxtG"/>
      </w:pPr>
      <w:r w:rsidRPr="00EF700A">
        <w:rPr>
          <w:rFonts w:eastAsiaTheme="minorHAnsi"/>
          <w:lang w:val="es-BO" w:eastAsia="en-US"/>
        </w:rPr>
        <w:t>89.</w:t>
      </w:r>
      <w:r w:rsidRPr="00EF700A">
        <w:rPr>
          <w:rFonts w:eastAsiaTheme="minorHAnsi"/>
          <w:lang w:val="es-BO" w:eastAsia="en-US"/>
        </w:rPr>
        <w:tab/>
      </w:r>
      <w:r w:rsidR="00BD4745" w:rsidRPr="00EF700A">
        <w:t xml:space="preserve">La Sentencia Constitucional Plurinacional </w:t>
      </w:r>
      <w:proofErr w:type="spellStart"/>
      <w:r w:rsidR="00BD4745" w:rsidRPr="00EF700A">
        <w:t>N°</w:t>
      </w:r>
      <w:proofErr w:type="spellEnd"/>
      <w:r w:rsidR="00BD4745" w:rsidRPr="00EF700A">
        <w:t xml:space="preserve"> 0872/2018-</w:t>
      </w:r>
      <w:proofErr w:type="spellStart"/>
      <w:r w:rsidR="00BD4745" w:rsidRPr="00EF700A">
        <w:t>S4</w:t>
      </w:r>
      <w:proofErr w:type="spellEnd"/>
      <w:r w:rsidR="00BD4745" w:rsidRPr="00EF700A">
        <w:t xml:space="preserve"> de 20 de diciembre 2018, concluye que la jurisdicción ordinaria es la regla y la militar la excepción; y, de manera general, se puede establecer que, para que ésta última se active, necesariamente se debe corroborar si la presunta comisión de un hecho delictivo fue cometido por un militar en actos de servicio o en ocasión de él, dentro o fuera de zonas militares; si el hecho lesionó un bien jurídico militar, el que además debe estar expresamente tipificado como delito y en función a la misión constitucional asignada a las Fuerzas Armadas; y de ningún modo, un hecho basado en la lesión de derechos fundamentales y garantías fundamentales, puede ser investigado por la jurisdicción penal militar, correspondiendo a la ordinaria.</w:t>
      </w:r>
    </w:p>
    <w:p w14:paraId="5876FC35" w14:textId="2BFE7846" w:rsidR="00BD4745" w:rsidRPr="002014CD" w:rsidRDefault="00EF700A">
      <w:pPr>
        <w:pStyle w:val="H23G"/>
      </w:pPr>
      <w:r>
        <w:tab/>
      </w:r>
      <w:r w:rsidR="00BD4745" w:rsidRPr="002014CD">
        <w:t>12.</w:t>
      </w:r>
      <w:r>
        <w:tab/>
      </w:r>
      <w:r w:rsidR="0052731F" w:rsidRPr="00ED0B85">
        <w:t xml:space="preserve">Respuesta al </w:t>
      </w:r>
      <w:r w:rsidR="0052731F" w:rsidRPr="001A1E5D">
        <w:t>párrafo 1</w:t>
      </w:r>
      <w:r w:rsidR="0052731F">
        <w:t>2</w:t>
      </w:r>
      <w:r w:rsidR="0052731F" w:rsidRPr="001A1E5D">
        <w:t xml:space="preserve"> </w:t>
      </w:r>
      <w:r w:rsidR="0052731F" w:rsidRPr="001A1E5D">
        <w:rPr>
          <w:lang w:val="es-ES_tradnl"/>
        </w:rPr>
        <w:t xml:space="preserve">de </w:t>
      </w:r>
      <w:r w:rsidR="0052731F">
        <w:rPr>
          <w:lang w:val="es-ES_tradnl"/>
        </w:rPr>
        <w:t>la lista de cuestiones</w:t>
      </w:r>
    </w:p>
    <w:p w14:paraId="67B66CAC" w14:textId="1C1C3B78" w:rsidR="00BD4745" w:rsidRPr="00EF700A" w:rsidRDefault="0098102E" w:rsidP="00EF700A">
      <w:pPr>
        <w:pStyle w:val="SingleTxtG"/>
      </w:pPr>
      <w:r w:rsidRPr="00EF700A">
        <w:rPr>
          <w:rFonts w:eastAsiaTheme="minorHAnsi"/>
          <w:lang w:val="es-BO" w:eastAsia="en-US"/>
        </w:rPr>
        <w:t>90.</w:t>
      </w:r>
      <w:r w:rsidRPr="00EF700A">
        <w:rPr>
          <w:rFonts w:eastAsiaTheme="minorHAnsi"/>
          <w:lang w:val="es-BO" w:eastAsia="en-US"/>
        </w:rPr>
        <w:tab/>
      </w:r>
      <w:r w:rsidR="00BD4745" w:rsidRPr="00EF700A">
        <w:t xml:space="preserve">El Código Niña, Niño y Adolescente, establece el derecho a la integridad personal y protección a las niñas, niños y adolescentes contra cualquier forma de violencia que afecte a su integridad física, psicológica y sexual, especificando que toda niña, niño y adolescente tiene derecho al “buen trato”, lo que comprende una crianza y educación no violenta, por lo que prohíbe cualquier tipo de castigo físico, violento y humillante. </w:t>
      </w:r>
    </w:p>
    <w:p w14:paraId="646AC73A" w14:textId="11C9A3BA" w:rsidR="00BD4745" w:rsidRPr="00EF700A" w:rsidRDefault="0098102E" w:rsidP="00EF700A">
      <w:pPr>
        <w:pStyle w:val="SingleTxtG"/>
      </w:pPr>
      <w:r w:rsidRPr="00EF700A">
        <w:rPr>
          <w:rFonts w:eastAsiaTheme="minorHAnsi"/>
          <w:lang w:val="es-BO" w:eastAsia="en-US"/>
        </w:rPr>
        <w:lastRenderedPageBreak/>
        <w:t>91.</w:t>
      </w:r>
      <w:r w:rsidRPr="00EF700A">
        <w:rPr>
          <w:rFonts w:eastAsiaTheme="minorHAnsi"/>
          <w:lang w:val="es-BO" w:eastAsia="en-US"/>
        </w:rPr>
        <w:tab/>
      </w:r>
      <w:r w:rsidR="00BD4745" w:rsidRPr="00EF700A">
        <w:t xml:space="preserve">Para proteger el derecho a la integridad personal, las Defensorías de la Niñez y Adolescencia tienen como atribución sin necesidad de mandato expreso, -aun en las poblaciones rurales y de los pueblos indígenas, originario campesino- interponer demandas, solicitudes, denuncias y recursos ante las autoridades competentes por conducta y hechos de violencia, infracciones, o delitos cometidos en contra de </w:t>
      </w:r>
      <w:proofErr w:type="spellStart"/>
      <w:r w:rsidR="00BD4745" w:rsidRPr="00EF700A">
        <w:t>NNA</w:t>
      </w:r>
      <w:proofErr w:type="spellEnd"/>
      <w:r w:rsidR="00BD4745" w:rsidRPr="00EF700A">
        <w:t>.</w:t>
      </w:r>
    </w:p>
    <w:p w14:paraId="4D2E5B90" w14:textId="410A8C4A" w:rsidR="00BD4745" w:rsidRPr="00EF700A" w:rsidRDefault="0098102E" w:rsidP="00EF700A">
      <w:pPr>
        <w:pStyle w:val="SingleTxtG"/>
      </w:pPr>
      <w:r w:rsidRPr="00EF700A">
        <w:rPr>
          <w:rFonts w:eastAsiaTheme="minorHAnsi"/>
          <w:lang w:val="es-BO" w:eastAsia="en-US"/>
        </w:rPr>
        <w:t>92.</w:t>
      </w:r>
      <w:r w:rsidRPr="00EF700A">
        <w:rPr>
          <w:rFonts w:eastAsiaTheme="minorHAnsi"/>
          <w:lang w:val="es-BO" w:eastAsia="en-US"/>
        </w:rPr>
        <w:tab/>
      </w:r>
      <w:r w:rsidR="00BD4745" w:rsidRPr="00EF700A">
        <w:t>En el marco de esta normativa se ha desarrollado norma interna en el Ministerio de Educación para garantizar una educación libre de violencia:</w:t>
      </w:r>
    </w:p>
    <w:p w14:paraId="067B7B5B" w14:textId="5A13E4EB" w:rsidR="00BD4745" w:rsidRPr="002014CD" w:rsidRDefault="00BD4745" w:rsidP="00EF700A">
      <w:pPr>
        <w:pStyle w:val="Bullet1G"/>
      </w:pPr>
      <w:r w:rsidRPr="002014CD">
        <w:t xml:space="preserve">Resolución Ministerial </w:t>
      </w:r>
      <w:proofErr w:type="spellStart"/>
      <w:r w:rsidRPr="002014CD">
        <w:t>N</w:t>
      </w:r>
      <w:r w:rsidR="003C15F4">
        <w:t>º</w:t>
      </w:r>
      <w:proofErr w:type="spellEnd"/>
      <w:r w:rsidRPr="002014CD">
        <w:t xml:space="preserve"> 001/ 2016-2020; incorporan mandatos específicos sobre la prohibición de toda forma de violencia, maltrato o abuso donde se establece la obligatoriedad de </w:t>
      </w:r>
      <w:r w:rsidR="00AA6A62">
        <w:t>realizar acciones de prevención</w:t>
      </w:r>
      <w:r w:rsidR="00960AEB">
        <w:t>.</w:t>
      </w:r>
    </w:p>
    <w:p w14:paraId="4A3815F1" w14:textId="4841FCD0" w:rsidR="00BD4745" w:rsidRPr="002014CD" w:rsidRDefault="00BD4745" w:rsidP="00EF700A">
      <w:pPr>
        <w:pStyle w:val="Bullet1G"/>
      </w:pPr>
      <w:r w:rsidRPr="002014CD">
        <w:t>La gestión escolar 2021, dará continuidad a la política de “</w:t>
      </w:r>
      <w:proofErr w:type="gramStart"/>
      <w:r w:rsidRPr="002014CD">
        <w:t>cero tolerancia</w:t>
      </w:r>
      <w:proofErr w:type="gramEnd"/>
      <w:r w:rsidRPr="002014CD">
        <w:t xml:space="preserve">” al acoso y violencia escolar en las aulas, pasillos, predios de la unidad educativa o a través de redes sociales, dentro o fuera de la unidad educativa. Asimismo, </w:t>
      </w:r>
      <w:proofErr w:type="gramStart"/>
      <w:r w:rsidRPr="002014CD">
        <w:t>las maestras y maestros</w:t>
      </w:r>
      <w:proofErr w:type="gramEnd"/>
      <w:r w:rsidRPr="002014CD">
        <w:t xml:space="preserve"> deben desarrollar contenidos contra toda forma de violencia escolar a partir del eje articulador “Educació</w:t>
      </w:r>
      <w:r w:rsidR="00AA6A62">
        <w:t xml:space="preserve">n en Valores </w:t>
      </w:r>
      <w:proofErr w:type="spellStart"/>
      <w:r w:rsidR="00AA6A62">
        <w:t>Sociocomunitarios</w:t>
      </w:r>
      <w:proofErr w:type="spellEnd"/>
      <w:r w:rsidR="00AA6A62">
        <w:t>”</w:t>
      </w:r>
      <w:r w:rsidR="00960AEB">
        <w:t>.</w:t>
      </w:r>
      <w:r w:rsidRPr="002014CD">
        <w:t xml:space="preserve"> </w:t>
      </w:r>
    </w:p>
    <w:p w14:paraId="64AEAE1E" w14:textId="268C918E" w:rsidR="00BD4745" w:rsidRPr="002014CD" w:rsidRDefault="00BD4745" w:rsidP="00EF700A">
      <w:pPr>
        <w:pStyle w:val="Bullet1G"/>
      </w:pPr>
      <w:r w:rsidRPr="002014CD">
        <w:t xml:space="preserve">Todos los integrantes de la Comunidad Educativa (maestra o maestro, administrativa o administrativo, madre, padre de familia o estudiantes) que detecten una situación de violencia tienen la obligación de denunciar ante </w:t>
      </w:r>
      <w:r w:rsidR="00AA6A62">
        <w:t>las instancias correspondientes</w:t>
      </w:r>
      <w:r w:rsidR="00960AEB">
        <w:t>.</w:t>
      </w:r>
    </w:p>
    <w:p w14:paraId="1C5AA07F" w14:textId="79B8ADD4" w:rsidR="00BD4745" w:rsidRPr="002014CD" w:rsidRDefault="00BD4745" w:rsidP="00EF700A">
      <w:pPr>
        <w:pStyle w:val="Bullet1G"/>
      </w:pPr>
      <w:r w:rsidRPr="002014CD">
        <w:t>El Ministerio de Educación incorporó a profesionales Abogados Defensores en las Direcciones Departamentales de Educación, que brindan apoyo legal a las y los estudiantes víctimas d</w:t>
      </w:r>
      <w:r w:rsidR="00AA6A62">
        <w:t>e violencia sexual</w:t>
      </w:r>
      <w:r w:rsidR="00960AEB">
        <w:t>.</w:t>
      </w:r>
    </w:p>
    <w:p w14:paraId="5BCBFBAE" w14:textId="1B022B18" w:rsidR="00BD4745" w:rsidRPr="002014CD" w:rsidRDefault="00BD4745" w:rsidP="00EF700A">
      <w:pPr>
        <w:pStyle w:val="Bullet1G"/>
        <w:rPr>
          <w:shd w:val="clear" w:color="auto" w:fill="FFFFFF"/>
          <w:lang w:eastAsia="es-BO"/>
        </w:rPr>
      </w:pPr>
      <w:r w:rsidRPr="002014CD">
        <w:t xml:space="preserve">Se elaboraron lineamientos para la construcción Plan de Convivencia Pacífica y Armónica aprobado con Resolución Ministerial </w:t>
      </w:r>
      <w:proofErr w:type="spellStart"/>
      <w:r w:rsidRPr="002014CD">
        <w:t>N</w:t>
      </w:r>
      <w:r w:rsidR="003C15F4">
        <w:t>º</w:t>
      </w:r>
      <w:proofErr w:type="spellEnd"/>
      <w:r w:rsidRPr="002014CD">
        <w:t xml:space="preserve"> 0208/2021.</w:t>
      </w:r>
    </w:p>
    <w:p w14:paraId="3B83305B" w14:textId="77777777" w:rsidR="00BD4745" w:rsidRPr="002014CD" w:rsidRDefault="00BD4745">
      <w:pPr>
        <w:pStyle w:val="H1G"/>
        <w:rPr>
          <w:lang w:val="es-ES_tradnl"/>
        </w:rPr>
      </w:pPr>
      <w:r w:rsidRPr="002014CD">
        <w:tab/>
      </w:r>
      <w:r w:rsidRPr="002014CD">
        <w:tab/>
      </w:r>
      <w:r w:rsidRPr="002014CD">
        <w:rPr>
          <w:lang w:val="es-ES_tradnl"/>
        </w:rPr>
        <w:t>Uso excesivo de la fuerza (arts. 2, 6, 7 y 14</w:t>
      </w:r>
      <w:r w:rsidRPr="002014CD">
        <w:t xml:space="preserve">) </w:t>
      </w:r>
    </w:p>
    <w:p w14:paraId="32E2ED59" w14:textId="3DA9BBD1" w:rsidR="00BD4745" w:rsidRPr="002014CD" w:rsidRDefault="00EF700A">
      <w:pPr>
        <w:pStyle w:val="H23G"/>
      </w:pPr>
      <w:r>
        <w:tab/>
      </w:r>
      <w:r w:rsidR="00BD4745" w:rsidRPr="002014CD">
        <w:t>13.</w:t>
      </w:r>
      <w:r>
        <w:tab/>
      </w:r>
      <w:r w:rsidR="0052731F" w:rsidRPr="00ED0B85">
        <w:t xml:space="preserve">Respuesta al </w:t>
      </w:r>
      <w:r w:rsidR="0052731F" w:rsidRPr="001A1E5D">
        <w:t>párrafo 1</w:t>
      </w:r>
      <w:r w:rsidR="0052731F">
        <w:t>3</w:t>
      </w:r>
      <w:r w:rsidR="0052731F" w:rsidRPr="001A1E5D">
        <w:t xml:space="preserve"> </w:t>
      </w:r>
      <w:r w:rsidR="0052731F" w:rsidRPr="001A1E5D">
        <w:rPr>
          <w:lang w:val="es-ES_tradnl"/>
        </w:rPr>
        <w:t xml:space="preserve">de </w:t>
      </w:r>
      <w:r w:rsidR="0052731F">
        <w:rPr>
          <w:lang w:val="es-ES_tradnl"/>
        </w:rPr>
        <w:t>la lista de cuestiones</w:t>
      </w:r>
    </w:p>
    <w:p w14:paraId="2626D6CE" w14:textId="6FED7BAF" w:rsidR="00BD4745" w:rsidRPr="00EF700A" w:rsidRDefault="0098102E" w:rsidP="00EF700A">
      <w:pPr>
        <w:pStyle w:val="SingleTxtG"/>
      </w:pPr>
      <w:r w:rsidRPr="00EF700A">
        <w:rPr>
          <w:rFonts w:eastAsiaTheme="minorHAnsi"/>
          <w:lang w:val="es-BO" w:eastAsia="en-US"/>
        </w:rPr>
        <w:t>93.</w:t>
      </w:r>
      <w:r w:rsidRPr="00EF700A">
        <w:rPr>
          <w:rFonts w:eastAsiaTheme="minorHAnsi"/>
          <w:lang w:val="es-BO" w:eastAsia="en-US"/>
        </w:rPr>
        <w:tab/>
      </w:r>
      <w:r w:rsidR="00BD4745" w:rsidRPr="00EF700A">
        <w:t xml:space="preserve">Respecto a los hechos acontecidos en Pando y Sucre de 2008, la Fiscalía Departamental de La Paz proporcionó información del Caso </w:t>
      </w:r>
      <w:proofErr w:type="spellStart"/>
      <w:r w:rsidR="00BD4745" w:rsidRPr="00EF700A">
        <w:t>LPZ0806950</w:t>
      </w:r>
      <w:proofErr w:type="spellEnd"/>
      <w:r w:rsidR="00BD4745" w:rsidRPr="00EF700A">
        <w:t xml:space="preserve"> con fecha de inicio de proceso el 17 de septiembre de 2008, determinándose como partes procesales los siguientes:</w:t>
      </w:r>
    </w:p>
    <w:p w14:paraId="406D4CAF" w14:textId="33971512" w:rsidR="00BD4745" w:rsidRPr="002014CD" w:rsidRDefault="0098102E" w:rsidP="0098102E">
      <w:pPr>
        <w:pStyle w:val="Bullet1G"/>
        <w:numPr>
          <w:ilvl w:val="0"/>
          <w:numId w:val="0"/>
        </w:numPr>
        <w:tabs>
          <w:tab w:val="left" w:pos="1701"/>
        </w:tabs>
        <w:ind w:left="1701" w:hanging="170"/>
      </w:pPr>
      <w:r w:rsidRPr="002014CD">
        <w:t>•</w:t>
      </w:r>
      <w:r w:rsidRPr="002014CD">
        <w:tab/>
      </w:r>
      <w:r w:rsidR="00BD4745" w:rsidRPr="002014CD">
        <w:t>Denunciante: de Oficio</w:t>
      </w:r>
      <w:r w:rsidR="00960AEB">
        <w:t>.</w:t>
      </w:r>
      <w:r w:rsidR="00BD4745" w:rsidRPr="002014CD">
        <w:t xml:space="preserve"> </w:t>
      </w:r>
    </w:p>
    <w:p w14:paraId="3C23BF60" w14:textId="46102CB4" w:rsidR="00BD4745" w:rsidRPr="002014CD" w:rsidRDefault="0098102E" w:rsidP="0098102E">
      <w:pPr>
        <w:pStyle w:val="Bullet1G"/>
        <w:numPr>
          <w:ilvl w:val="0"/>
          <w:numId w:val="0"/>
        </w:numPr>
        <w:tabs>
          <w:tab w:val="left" w:pos="1701"/>
        </w:tabs>
        <w:ind w:left="1701" w:hanging="170"/>
      </w:pPr>
      <w:r w:rsidRPr="002014CD">
        <w:t>•</w:t>
      </w:r>
      <w:r w:rsidRPr="002014CD">
        <w:tab/>
      </w:r>
      <w:r w:rsidR="00BD4745" w:rsidRPr="002014CD">
        <w:t xml:space="preserve">Victima: Ramiro </w:t>
      </w:r>
      <w:proofErr w:type="spellStart"/>
      <w:r w:rsidR="00BD4745" w:rsidRPr="002014CD">
        <w:t>Tiñini</w:t>
      </w:r>
      <w:proofErr w:type="spellEnd"/>
      <w:r w:rsidR="00BD4745" w:rsidRPr="002014CD">
        <w:t xml:space="preserve"> Alvarado</w:t>
      </w:r>
      <w:r w:rsidR="00960AEB">
        <w:t>.</w:t>
      </w:r>
    </w:p>
    <w:p w14:paraId="42718BA2" w14:textId="6F173659" w:rsidR="00BD4745" w:rsidRPr="002014CD" w:rsidRDefault="0098102E" w:rsidP="0098102E">
      <w:pPr>
        <w:pStyle w:val="Bullet1G"/>
        <w:numPr>
          <w:ilvl w:val="0"/>
          <w:numId w:val="0"/>
        </w:numPr>
        <w:tabs>
          <w:tab w:val="left" w:pos="1701"/>
        </w:tabs>
        <w:ind w:left="1701" w:hanging="170"/>
      </w:pPr>
      <w:r w:rsidRPr="002014CD">
        <w:t>•</w:t>
      </w:r>
      <w:r w:rsidRPr="002014CD">
        <w:tab/>
      </w:r>
      <w:r w:rsidR="00BD4745" w:rsidRPr="002014CD">
        <w:t xml:space="preserve">Denunciados: Leopoldo Fernández Ferreira, Juan Marcelo Mejido Flores y otros, por los delitos: “Terrorismo, Asesinato, Homicidio, Lesiones Graves y Leves y Asociación Delictuosa y otros”. - Estado Actual: hasta agosto de 2021, se emitió Sentencia Condenatoria en contra de Leopoldo Fernández Ferreira (con pena de 15 años por el delito de Homicidio), Hernán Justiniano Negrete, (con pena 8 años por el delito Homicidio en grado de complicidad) </w:t>
      </w:r>
      <w:proofErr w:type="spellStart"/>
      <w:r w:rsidR="00BD4745" w:rsidRPr="002014CD">
        <w:t>Ivin</w:t>
      </w:r>
      <w:proofErr w:type="spellEnd"/>
      <w:r w:rsidR="00BD4745" w:rsidRPr="002014CD">
        <w:t xml:space="preserve"> Ventura </w:t>
      </w:r>
      <w:proofErr w:type="spellStart"/>
      <w:r w:rsidR="00BD4745" w:rsidRPr="002014CD">
        <w:t>Vogoth</w:t>
      </w:r>
      <w:proofErr w:type="spellEnd"/>
      <w:r w:rsidR="00BD4745" w:rsidRPr="002014CD">
        <w:t xml:space="preserve"> (9 años por el delito de Homicidio en grado de complicidad), Juan Marcelo Mejido Flores (5 años por el delito de lesiones graves y leves), Esta resolución fue apelada tanto por el Ministerio Público como por los acusados, encontrándose a la fecha pendiente de resolverse.</w:t>
      </w:r>
    </w:p>
    <w:p w14:paraId="2EC733DC" w14:textId="758FD512" w:rsidR="00BD4745" w:rsidRPr="00EF700A" w:rsidRDefault="0098102E" w:rsidP="00EF700A">
      <w:pPr>
        <w:pStyle w:val="SingleTxtG"/>
      </w:pPr>
      <w:r w:rsidRPr="00EF700A">
        <w:rPr>
          <w:rFonts w:eastAsiaTheme="minorHAnsi"/>
          <w:lang w:val="es-BO" w:eastAsia="en-US"/>
        </w:rPr>
        <w:t>94.</w:t>
      </w:r>
      <w:r w:rsidRPr="00EF700A">
        <w:rPr>
          <w:rFonts w:eastAsiaTheme="minorHAnsi"/>
          <w:lang w:val="es-BO" w:eastAsia="en-US"/>
        </w:rPr>
        <w:tab/>
      </w:r>
      <w:r w:rsidR="00BD4745" w:rsidRPr="00EF700A">
        <w:t xml:space="preserve">Asimismo, dentro de los hechos acontecidos en Pando y Sucre de 2008, la Fiscalía Departamental de Chuquisaca instauró el Caso </w:t>
      </w:r>
      <w:proofErr w:type="spellStart"/>
      <w:r w:rsidR="00BD4745" w:rsidRPr="00EF700A">
        <w:t>N</w:t>
      </w:r>
      <w:r w:rsidR="003C15F4">
        <w:t>º</w:t>
      </w:r>
      <w:proofErr w:type="spellEnd"/>
      <w:r w:rsidR="00BD4745" w:rsidRPr="00EF700A">
        <w:t xml:space="preserve"> </w:t>
      </w:r>
      <w:proofErr w:type="spellStart"/>
      <w:r w:rsidR="00BD4745" w:rsidRPr="00EF700A">
        <w:t>FIS0801076</w:t>
      </w:r>
      <w:proofErr w:type="spellEnd"/>
      <w:r w:rsidR="00BD4745" w:rsidRPr="00EF700A">
        <w:t xml:space="preserve"> con fecha de inicio en mayo de 2008 determinándose como partes procesales los siguientes:</w:t>
      </w:r>
    </w:p>
    <w:p w14:paraId="2058DD36" w14:textId="29EE1205" w:rsidR="00BD4745" w:rsidRPr="002014CD" w:rsidRDefault="0098102E" w:rsidP="0098102E">
      <w:pPr>
        <w:pStyle w:val="Bullet1G"/>
        <w:numPr>
          <w:ilvl w:val="0"/>
          <w:numId w:val="0"/>
        </w:numPr>
        <w:tabs>
          <w:tab w:val="left" w:pos="1701"/>
        </w:tabs>
        <w:ind w:left="1701" w:hanging="170"/>
      </w:pPr>
      <w:r w:rsidRPr="002014CD">
        <w:t>•</w:t>
      </w:r>
      <w:r w:rsidRPr="002014CD">
        <w:tab/>
      </w:r>
      <w:r w:rsidR="00BD4745" w:rsidRPr="002014CD">
        <w:t>Querellante: Ángel Vall</w:t>
      </w:r>
      <w:r w:rsidR="00AA6A62">
        <w:t>ejos en su Condición de víctima</w:t>
      </w:r>
      <w:r w:rsidR="00960AEB">
        <w:t>.</w:t>
      </w:r>
    </w:p>
    <w:p w14:paraId="0C2B2A80" w14:textId="2D3614AC" w:rsidR="00BD4745" w:rsidRPr="002014CD" w:rsidRDefault="0098102E" w:rsidP="0098102E">
      <w:pPr>
        <w:pStyle w:val="Bullet1G"/>
        <w:numPr>
          <w:ilvl w:val="0"/>
          <w:numId w:val="0"/>
        </w:numPr>
        <w:tabs>
          <w:tab w:val="left" w:pos="1701"/>
        </w:tabs>
        <w:ind w:left="1701" w:hanging="170"/>
      </w:pPr>
      <w:r w:rsidRPr="002014CD">
        <w:t>•</w:t>
      </w:r>
      <w:r w:rsidRPr="002014CD">
        <w:tab/>
      </w:r>
      <w:r w:rsidR="00BD4745" w:rsidRPr="002014CD">
        <w:t xml:space="preserve">Querellados: Jaime Barrón Poveda, Aydee Nava Andrade, Fidel Herrera </w:t>
      </w:r>
      <w:proofErr w:type="spellStart"/>
      <w:r w:rsidR="00BD4745" w:rsidRPr="002014CD">
        <w:t>Ressini</w:t>
      </w:r>
      <w:proofErr w:type="spellEnd"/>
      <w:r w:rsidR="00BD4745" w:rsidRPr="002014CD">
        <w:t xml:space="preserve">, </w:t>
      </w:r>
      <w:proofErr w:type="spellStart"/>
      <w:r w:rsidR="00BD4745" w:rsidRPr="002014CD">
        <w:t>Jhon</w:t>
      </w:r>
      <w:proofErr w:type="spellEnd"/>
      <w:r w:rsidR="00BD4745" w:rsidRPr="002014CD">
        <w:t xml:space="preserve"> Caba, Sabina Cuellar Leaños y otros, por los delitos: Lesiones graves y leves, Sedición, Vejaciones y torturas, Coacción, Amenazas, Privación de Libertad, Fabricación, comercio o tenencia de substancias explosivas, asfixiantes, etc. Desordenes o Perturbaciones Públicas, </w:t>
      </w:r>
      <w:r w:rsidR="00AA6A62">
        <w:t>Instigación Pública a delinquir</w:t>
      </w:r>
      <w:r w:rsidR="00960AEB">
        <w:t>.</w:t>
      </w:r>
    </w:p>
    <w:p w14:paraId="6F0A27B8" w14:textId="1EFAD0A6" w:rsidR="00BD4745" w:rsidRPr="002014CD" w:rsidRDefault="0098102E" w:rsidP="0098102E">
      <w:pPr>
        <w:pStyle w:val="Bullet1G"/>
        <w:numPr>
          <w:ilvl w:val="0"/>
          <w:numId w:val="0"/>
        </w:numPr>
        <w:tabs>
          <w:tab w:val="left" w:pos="1701"/>
        </w:tabs>
        <w:ind w:left="1701" w:hanging="170"/>
      </w:pPr>
      <w:r w:rsidRPr="002014CD">
        <w:lastRenderedPageBreak/>
        <w:t>•</w:t>
      </w:r>
      <w:r w:rsidRPr="002014CD">
        <w:tab/>
      </w:r>
      <w:r w:rsidR="00BD4745" w:rsidRPr="002014CD">
        <w:t>Estado Actual: Extinción de la Acción Penal por Prescripción, formulada por los encausados, al respecto el Ministerio Público formuló reclamo fundado en delitos de lesa humanidad, no obstante, la Sala Penal I del Tribunal Departamental de Justicia de Chuquisaca, dispuso el archivo de obrados.</w:t>
      </w:r>
    </w:p>
    <w:p w14:paraId="44A10CB2" w14:textId="08FED9A7" w:rsidR="00BD4745" w:rsidRPr="00EF700A" w:rsidRDefault="0098102E" w:rsidP="00EF700A">
      <w:pPr>
        <w:pStyle w:val="SingleTxtG"/>
      </w:pPr>
      <w:r w:rsidRPr="00EF700A">
        <w:rPr>
          <w:rFonts w:eastAsiaTheme="minorHAnsi"/>
          <w:lang w:val="es-BO" w:eastAsia="en-US"/>
        </w:rPr>
        <w:t>95.</w:t>
      </w:r>
      <w:r w:rsidRPr="00EF700A">
        <w:rPr>
          <w:rFonts w:eastAsiaTheme="minorHAnsi"/>
          <w:lang w:val="es-BO" w:eastAsia="en-US"/>
        </w:rPr>
        <w:tab/>
      </w:r>
      <w:r w:rsidR="00BD4745" w:rsidRPr="00EF700A">
        <w:t xml:space="preserve">Además, el Tribunal de Sentencia El tribunal de Sentencia de la Ciudad de Padilla, pronunció Sentencia Condenatoria </w:t>
      </w:r>
      <w:proofErr w:type="spellStart"/>
      <w:r w:rsidR="00BD4745" w:rsidRPr="00EF700A">
        <w:t>N</w:t>
      </w:r>
      <w:r w:rsidR="00A164D8">
        <w:t>º</w:t>
      </w:r>
      <w:proofErr w:type="spellEnd"/>
      <w:r w:rsidR="00BD4745" w:rsidRPr="00EF700A">
        <w:t xml:space="preserve"> 04/2016 de fecha 02 de febrero de 2016 contra Jaime Barrón, </w:t>
      </w:r>
      <w:proofErr w:type="spellStart"/>
      <w:r w:rsidR="00BD4745" w:rsidRPr="00EF700A">
        <w:t>Jhon</w:t>
      </w:r>
      <w:proofErr w:type="spellEnd"/>
      <w:r w:rsidR="00BD4745" w:rsidRPr="00EF700A">
        <w:t xml:space="preserve"> Cava, Sabina Cuellar, Fidel Herrera, Aydee Nava, </w:t>
      </w:r>
      <w:proofErr w:type="spellStart"/>
      <w:r w:rsidR="00BD4745" w:rsidRPr="00EF700A">
        <w:t>Epifania</w:t>
      </w:r>
      <w:proofErr w:type="spellEnd"/>
      <w:r w:rsidR="00BD4745" w:rsidRPr="00EF700A">
        <w:t xml:space="preserve"> Terrazas, Jamil </w:t>
      </w:r>
      <w:proofErr w:type="spellStart"/>
      <w:r w:rsidR="00BD4745" w:rsidRPr="00EF700A">
        <w:t>Pileo</w:t>
      </w:r>
      <w:proofErr w:type="spellEnd"/>
      <w:r w:rsidR="00BD4745" w:rsidRPr="00EF700A">
        <w:t xml:space="preserve">, Juan Antonio, Jesús Mendoza, Juan Carlos Zambrana, Cristian Jaime Flores Vedia, Franz Quispe Fernández, Juan Carlos Zambrana, Iván Álvaro Ríos y Flavio </w:t>
      </w:r>
      <w:proofErr w:type="spellStart"/>
      <w:r w:rsidR="00BD4745" w:rsidRPr="00EF700A">
        <w:t>Huallpa</w:t>
      </w:r>
      <w:proofErr w:type="spellEnd"/>
      <w:r w:rsidR="00BD4745" w:rsidRPr="00EF700A">
        <w:t xml:space="preserve"> Flores que son declarados coautores del ilícito “coacción agravada”. </w:t>
      </w:r>
    </w:p>
    <w:p w14:paraId="13C2341F" w14:textId="38E93188" w:rsidR="00BD4745" w:rsidRPr="00EF700A" w:rsidRDefault="0098102E" w:rsidP="00EF700A">
      <w:pPr>
        <w:pStyle w:val="SingleTxtG"/>
      </w:pPr>
      <w:r w:rsidRPr="00EF700A">
        <w:rPr>
          <w:rFonts w:eastAsiaTheme="minorHAnsi"/>
          <w:lang w:val="es-BO" w:eastAsia="en-US"/>
        </w:rPr>
        <w:t>96.</w:t>
      </w:r>
      <w:r w:rsidRPr="00EF700A">
        <w:rPr>
          <w:rFonts w:eastAsiaTheme="minorHAnsi"/>
          <w:lang w:val="es-BO" w:eastAsia="en-US"/>
        </w:rPr>
        <w:tab/>
      </w:r>
      <w:r w:rsidR="00BD4745" w:rsidRPr="00EF700A">
        <w:t xml:space="preserve">En relación al resarcimiento de las víctimas, el entonces Ministerio de Justicia, proporcionó lista oficial con los nombres de las personas fallecidas en los sucesos acaecidos los días 24 y 25 de noviembre de 2007 en el Departamento de Chuquisaca y en coordinación con la Unidad de Apoyo a la Gestión Social del Ministerio de la Presidencia, se realizó el pago único de asistencia social humanitaria para los familiares de los fallecidos consiste en un pago único y global de Bs 50.000.- (Cincuenta Mil 00/100 bolivianos), en favor de los familiares de los fallecidos, la acción se dispuso mediante Decreto Supremo </w:t>
      </w:r>
      <w:proofErr w:type="spellStart"/>
      <w:r w:rsidR="00BD4745" w:rsidRPr="00EF700A">
        <w:t>Nº</w:t>
      </w:r>
      <w:proofErr w:type="spellEnd"/>
      <w:r w:rsidR="00BD4745" w:rsidRPr="00EF700A">
        <w:t xml:space="preserve"> 29759 de 24 de octubre de 2008, que disponía otorgar asistencia social humanitaria a los familiares de las víctimas en dicho conflicto, a fin de alivianar su situación. </w:t>
      </w:r>
    </w:p>
    <w:p w14:paraId="374D4354" w14:textId="0648A2DE" w:rsidR="00BD4745" w:rsidRPr="004B0800" w:rsidRDefault="0098102E" w:rsidP="00EF700A">
      <w:pPr>
        <w:pStyle w:val="SingleTxtG"/>
      </w:pPr>
      <w:r w:rsidRPr="004B0800">
        <w:rPr>
          <w:rFonts w:eastAsiaTheme="minorHAnsi"/>
          <w:lang w:eastAsia="en-US"/>
        </w:rPr>
        <w:t>97.</w:t>
      </w:r>
      <w:r w:rsidRPr="004B0800">
        <w:rPr>
          <w:rFonts w:eastAsiaTheme="minorHAnsi"/>
          <w:lang w:eastAsia="en-US"/>
        </w:rPr>
        <w:tab/>
      </w:r>
      <w:r w:rsidR="00BD4745" w:rsidRPr="004B0800">
        <w:t>Respecto a las investigaciones efectuadas relacionados por los actos de violencia que han tenido lugar en el marco del proceso electoral de octubre de 2019, la Fiscalía General del Estado proporciona información por intervención de la Fiscalías Departamentales, conformidad a los siguientes datos:</w:t>
      </w:r>
    </w:p>
    <w:p w14:paraId="25F0B469" w14:textId="33F08554" w:rsidR="00BD4745" w:rsidRPr="002014CD" w:rsidRDefault="0098102E" w:rsidP="0098102E">
      <w:pPr>
        <w:pStyle w:val="Bullet1G"/>
        <w:numPr>
          <w:ilvl w:val="0"/>
          <w:numId w:val="0"/>
        </w:numPr>
        <w:tabs>
          <w:tab w:val="left" w:pos="1701"/>
        </w:tabs>
        <w:ind w:left="1701" w:hanging="170"/>
      </w:pPr>
      <w:r w:rsidRPr="002014CD">
        <w:t>•</w:t>
      </w:r>
      <w:r w:rsidRPr="002014CD">
        <w:tab/>
      </w:r>
      <w:r w:rsidR="00BD4745" w:rsidRPr="002014CD">
        <w:t>La Fiscalía Departamental de La Paz informó que se dio inicio a 10 procesos penales, de los cuales 7 estaban tipificados como Vejaciones y Torturas, los cuales merecieron Resoluciones de Rechazo; 2 casos por los tipos Vejaciones y Torturas se encuentran en etapa preliminar y 1 caso denominado “</w:t>
      </w:r>
      <w:proofErr w:type="spellStart"/>
      <w:r w:rsidR="00BD4745" w:rsidRPr="002014CD">
        <w:t>Senkata</w:t>
      </w:r>
      <w:proofErr w:type="spellEnd"/>
      <w:r w:rsidR="00BD4745" w:rsidRPr="002014CD">
        <w:t xml:space="preserve">” por los delitos de Lesiones Graves y Leves y Homicidio, actualmente se </w:t>
      </w:r>
      <w:r w:rsidR="00AA6A62">
        <w:t>encuentra en Etapa Preparatoria</w:t>
      </w:r>
      <w:r w:rsidR="00A164D8">
        <w:t>.</w:t>
      </w:r>
      <w:r w:rsidR="00BD4745" w:rsidRPr="002014CD">
        <w:t xml:space="preserve"> </w:t>
      </w:r>
    </w:p>
    <w:p w14:paraId="7BFEBC73" w14:textId="2D37C10E" w:rsidR="00BD4745" w:rsidRPr="002014CD" w:rsidRDefault="0098102E" w:rsidP="0098102E">
      <w:pPr>
        <w:pStyle w:val="Bullet1G"/>
        <w:numPr>
          <w:ilvl w:val="0"/>
          <w:numId w:val="0"/>
        </w:numPr>
        <w:tabs>
          <w:tab w:val="left" w:pos="1701"/>
        </w:tabs>
        <w:ind w:left="1701" w:hanging="170"/>
      </w:pPr>
      <w:r w:rsidRPr="002014CD">
        <w:t>•</w:t>
      </w:r>
      <w:r w:rsidRPr="002014CD">
        <w:tab/>
      </w:r>
      <w:r w:rsidR="00BD4745" w:rsidRPr="002014CD">
        <w:t>La Fiscalía Departamental de Cochabamba informó 9 casos; de los cuales 5 fueron calificados como Lesiones Graves y Leves, emitiéndose Resolución de Rechazo; 2 casos calificados como Lesiones Graves y Leves, fabricación, comercio o tenencia de sustancias explosivas, asfixiantes, Homicidio en Riña o a Consecuencia de Agresión,</w:t>
      </w:r>
      <w:r w:rsidR="00BD4745" w:rsidRPr="002014CD">
        <w:rPr>
          <w:i/>
          <w:iCs/>
        </w:rPr>
        <w:t xml:space="preserve"> </w:t>
      </w:r>
      <w:r w:rsidR="00BD4745" w:rsidRPr="002014CD">
        <w:t>instigación publica a delinquir entre otros; 1 caso tipificado como Lesiones Graves y Leves se encuentran en etapa preliminar, finalmente el caso denominado “Sacaba” calificado como lesiones graves y leves, homicidio,</w:t>
      </w:r>
      <w:r w:rsidR="00BD4745" w:rsidRPr="002014CD">
        <w:rPr>
          <w:i/>
          <w:iCs/>
        </w:rPr>
        <w:t xml:space="preserve"> </w:t>
      </w:r>
      <w:r w:rsidR="00BD4745" w:rsidRPr="002014CD">
        <w:t xml:space="preserve">lesiones gravísimas, asesinato, actualmente se </w:t>
      </w:r>
      <w:r w:rsidR="00AA6A62">
        <w:t>encuentra en etapa preparatoria</w:t>
      </w:r>
      <w:r w:rsidR="00A164D8">
        <w:t>.</w:t>
      </w:r>
    </w:p>
    <w:p w14:paraId="76908D26" w14:textId="3228D954" w:rsidR="00BD4745" w:rsidRPr="002014CD" w:rsidRDefault="0098102E" w:rsidP="0098102E">
      <w:pPr>
        <w:pStyle w:val="Bullet1G"/>
        <w:numPr>
          <w:ilvl w:val="0"/>
          <w:numId w:val="0"/>
        </w:numPr>
        <w:tabs>
          <w:tab w:val="left" w:pos="1701"/>
        </w:tabs>
        <w:ind w:left="1701" w:hanging="170"/>
      </w:pPr>
      <w:r w:rsidRPr="002014CD">
        <w:t>•</w:t>
      </w:r>
      <w:r w:rsidRPr="002014CD">
        <w:tab/>
      </w:r>
      <w:r w:rsidR="00BD4745" w:rsidRPr="002014CD">
        <w:t>La Fiscalía Departamental de Potosí informó 1 caso, calificado como homicidio y homicidio en grado de tentativa, se encuentra en la etapa preparatoria.</w:t>
      </w:r>
    </w:p>
    <w:p w14:paraId="35F32A7B" w14:textId="68B2E5DA" w:rsidR="00BD4745" w:rsidRPr="00EF700A" w:rsidRDefault="0098102E" w:rsidP="00EF700A">
      <w:pPr>
        <w:pStyle w:val="SingleTxtG"/>
        <w:rPr>
          <w:lang w:val="es-ES_tradnl"/>
        </w:rPr>
      </w:pPr>
      <w:r w:rsidRPr="00EF700A">
        <w:rPr>
          <w:rFonts w:eastAsiaTheme="minorHAnsi"/>
          <w:lang w:val="es-ES_tradnl" w:eastAsia="en-US"/>
        </w:rPr>
        <w:t>98.</w:t>
      </w:r>
      <w:r w:rsidRPr="00EF700A">
        <w:rPr>
          <w:rFonts w:eastAsiaTheme="minorHAnsi"/>
          <w:lang w:val="es-ES_tradnl" w:eastAsia="en-US"/>
        </w:rPr>
        <w:tab/>
      </w:r>
      <w:r w:rsidR="00BD4745" w:rsidRPr="00EF700A">
        <w:t xml:space="preserve">Por su parte el Ministerio de Gobierno se constituyó parte procesal, en los distritos judiciales de La Paz y Cochabamba, contra los sindicados </w:t>
      </w:r>
      <w:r w:rsidR="00BD4745" w:rsidRPr="00EF700A">
        <w:rPr>
          <w:lang w:val="es-ES_tradnl"/>
        </w:rPr>
        <w:t xml:space="preserve">Luis Fernando López Julio, Arturo Carlos Murillo </w:t>
      </w:r>
      <w:proofErr w:type="spellStart"/>
      <w:r w:rsidR="00BD4745" w:rsidRPr="00EF700A">
        <w:rPr>
          <w:lang w:val="es-ES_tradnl"/>
        </w:rPr>
        <w:t>Prijic</w:t>
      </w:r>
      <w:proofErr w:type="spellEnd"/>
      <w:r w:rsidR="00BD4745" w:rsidRPr="00EF700A">
        <w:rPr>
          <w:lang w:val="es-ES_tradnl"/>
        </w:rPr>
        <w:t xml:space="preserve">, Víctor Hugo Zamora Castedo, Luis Fernando Valverde </w:t>
      </w:r>
      <w:proofErr w:type="spellStart"/>
      <w:r w:rsidR="00BD4745" w:rsidRPr="00EF700A">
        <w:rPr>
          <w:lang w:val="es-ES_tradnl"/>
        </w:rPr>
        <w:t>Ferrufino</w:t>
      </w:r>
      <w:proofErr w:type="spellEnd"/>
      <w:r w:rsidR="00BD4745" w:rsidRPr="00EF700A">
        <w:rPr>
          <w:lang w:val="es-ES_tradnl"/>
        </w:rPr>
        <w:t xml:space="preserve">, Franko Orlando Suarez Gonzales, Sergio Carlos Orellana Centellas, Rodolfo Antonio Montero </w:t>
      </w:r>
      <w:proofErr w:type="spellStart"/>
      <w:r w:rsidR="00BD4745" w:rsidRPr="00EF700A">
        <w:rPr>
          <w:lang w:val="es-ES_tradnl"/>
        </w:rPr>
        <w:t>Torricos</w:t>
      </w:r>
      <w:proofErr w:type="spellEnd"/>
      <w:r w:rsidR="00BD4745" w:rsidRPr="00EF700A">
        <w:rPr>
          <w:lang w:val="es-ES_tradnl"/>
        </w:rPr>
        <w:t xml:space="preserve">, Jaime Zurita Trujillo, Juan Carlos </w:t>
      </w:r>
      <w:proofErr w:type="spellStart"/>
      <w:r w:rsidR="00BD4745" w:rsidRPr="00EF700A">
        <w:rPr>
          <w:lang w:val="es-ES_tradnl"/>
        </w:rPr>
        <w:t>Juchani</w:t>
      </w:r>
      <w:proofErr w:type="spellEnd"/>
      <w:r w:rsidR="00BD4745" w:rsidRPr="00EF700A">
        <w:rPr>
          <w:lang w:val="es-ES_tradnl"/>
        </w:rPr>
        <w:t xml:space="preserve"> </w:t>
      </w:r>
      <w:proofErr w:type="spellStart"/>
      <w:r w:rsidR="00BD4745" w:rsidRPr="00EF700A">
        <w:rPr>
          <w:lang w:val="es-ES_tradnl"/>
        </w:rPr>
        <w:t>Sacaico</w:t>
      </w:r>
      <w:proofErr w:type="spellEnd"/>
      <w:r w:rsidR="00BD4745" w:rsidRPr="00EF700A">
        <w:rPr>
          <w:lang w:val="es-ES_tradnl"/>
        </w:rPr>
        <w:t xml:space="preserve"> y Alfredo Cuellar por los delitos de Homicidio, Lesiones Graves y Leves y Asesinato.</w:t>
      </w:r>
    </w:p>
    <w:p w14:paraId="4F89C5F7" w14:textId="3C12B232" w:rsidR="00BD4745" w:rsidRPr="004B0800" w:rsidRDefault="0098102E" w:rsidP="00EF700A">
      <w:pPr>
        <w:pStyle w:val="SingleTxtG"/>
      </w:pPr>
      <w:r w:rsidRPr="004B0800">
        <w:rPr>
          <w:rFonts w:eastAsiaTheme="minorHAnsi"/>
          <w:lang w:eastAsia="en-US"/>
        </w:rPr>
        <w:t>99.</w:t>
      </w:r>
      <w:r w:rsidRPr="004B0800">
        <w:rPr>
          <w:rFonts w:eastAsiaTheme="minorHAnsi"/>
          <w:lang w:eastAsia="en-US"/>
        </w:rPr>
        <w:tab/>
      </w:r>
      <w:r w:rsidR="00BD4745" w:rsidRPr="004B0800">
        <w:t xml:space="preserve">En relación a las medidas adoptadas para prevenir y eliminar el uso excesivo de la fuerza por parte de los miembros de las fuerzas del orden, se informa lo que el Ministerio de Gobierno mediante el Departamento Nacional de Recursos Humanos, Capacitación y Difusión, durante la gestión 2021 emitió memorándums circulares dirigidos a las Direcciones Departamentales de Derechos Humanos a nivel nacional, con la finalidad de que planifique, organice y desarrolle capacitaciones en temas relacionados al uso de la fuerza y armas de fuego. </w:t>
      </w:r>
    </w:p>
    <w:p w14:paraId="0B0BE1CA" w14:textId="4EF6123F" w:rsidR="00BD4745" w:rsidRPr="00EF700A" w:rsidRDefault="0098102E" w:rsidP="00EF700A">
      <w:pPr>
        <w:pStyle w:val="SingleTxtG"/>
      </w:pPr>
      <w:r w:rsidRPr="00EF700A">
        <w:rPr>
          <w:rFonts w:eastAsiaTheme="minorHAnsi"/>
          <w:lang w:val="es-BO" w:eastAsia="en-US"/>
        </w:rPr>
        <w:t>100.</w:t>
      </w:r>
      <w:r w:rsidRPr="00EF700A">
        <w:rPr>
          <w:rFonts w:eastAsiaTheme="minorHAnsi"/>
          <w:lang w:val="es-BO" w:eastAsia="en-US"/>
        </w:rPr>
        <w:tab/>
      </w:r>
      <w:r w:rsidR="00BD4745" w:rsidRPr="00EF700A">
        <w:t xml:space="preserve">Entre el 1 de enero al 31 de diciembre de 2020, se realizaron 163 capacitaciones de forma presencial y virtual, en uso de la fuerza y armas de fuego, con temas sobre estándares internacionales de empleo de la fuerza y las armas de fuego aplicables al control de seguridad </w:t>
      </w:r>
      <w:r w:rsidR="00BD4745" w:rsidRPr="00EF700A">
        <w:lastRenderedPageBreak/>
        <w:t>pública, restablecimiento del orden público, teniendo un total de 852 participantes funcionarios policiales, de los cuales 125 fueron damas y 754 varones.</w:t>
      </w:r>
    </w:p>
    <w:p w14:paraId="2910A15B" w14:textId="7445592C" w:rsidR="00BD4745" w:rsidRPr="00EF700A" w:rsidRDefault="0098102E" w:rsidP="00EF700A">
      <w:pPr>
        <w:pStyle w:val="SingleTxtG"/>
      </w:pPr>
      <w:r w:rsidRPr="00EF700A">
        <w:rPr>
          <w:rFonts w:eastAsiaTheme="minorHAnsi"/>
          <w:lang w:val="es-BO" w:eastAsia="en-US"/>
        </w:rPr>
        <w:t>101.</w:t>
      </w:r>
      <w:r w:rsidRPr="00EF700A">
        <w:rPr>
          <w:rFonts w:eastAsiaTheme="minorHAnsi"/>
          <w:lang w:val="es-BO" w:eastAsia="en-US"/>
        </w:rPr>
        <w:tab/>
      </w:r>
      <w:r w:rsidR="00BD4745" w:rsidRPr="00EF700A">
        <w:t>Para la gestión 2021 del 01 de enero al 31 de julio, se desarrollaron 135 capacitaciones presenciales y virtuales en uso de la fuerza y armas de fuego, con temas sobre estándares internacionales de empleo de la fuerza y las armas de fuego aplicables al control de seguridad pública, restablecimiento del orden público, teniendo un total de 833 participantes funcionarios públicos policiales, de los cuales 132 fueron damas y 701 varones.</w:t>
      </w:r>
    </w:p>
    <w:p w14:paraId="05868537" w14:textId="38D3B60D" w:rsidR="00BD4745" w:rsidRPr="00EF700A" w:rsidRDefault="0098102E" w:rsidP="00EF700A">
      <w:pPr>
        <w:pStyle w:val="SingleTxtG"/>
      </w:pPr>
      <w:r w:rsidRPr="00EF700A">
        <w:rPr>
          <w:rFonts w:eastAsiaTheme="minorHAnsi"/>
          <w:lang w:val="es-BO" w:eastAsia="en-US"/>
        </w:rPr>
        <w:t>102.</w:t>
      </w:r>
      <w:r w:rsidRPr="00EF700A">
        <w:rPr>
          <w:rFonts w:eastAsiaTheme="minorHAnsi"/>
          <w:lang w:val="es-BO" w:eastAsia="en-US"/>
        </w:rPr>
        <w:tab/>
      </w:r>
      <w:r w:rsidR="00BD4745" w:rsidRPr="00EF700A">
        <w:t>Asimismo en las gestiones 2020 y 2021, se desplegó capacitaciones presenciales y virtuales relacionadas a personas privadas de libertad, esquema de sensibilización “Derechos Humanos de los privados de Libertad”, llevándose a cabo en las ciudades de La Paz, Cochabamba y Santa Cruz, 21 capacitaciones con 347 participantes funcionarios públicos policiales, de los cuales 94 fueron damas y 253 varones en la gestión 2020; 28 capacitaciones con 173 participantes funcionarios públicos policiales, de los cuales 56 fueron damas y 117 varones, correspondientes a la gestión 2020</w:t>
      </w:r>
      <w:r w:rsidR="00AA6A62">
        <w:t>.</w:t>
      </w:r>
    </w:p>
    <w:p w14:paraId="6E18E224" w14:textId="39345F2D" w:rsidR="00BD4745" w:rsidRPr="00EF700A" w:rsidRDefault="0098102E" w:rsidP="00EF700A">
      <w:pPr>
        <w:pStyle w:val="SingleTxtG"/>
      </w:pPr>
      <w:r w:rsidRPr="00EF700A">
        <w:rPr>
          <w:rFonts w:eastAsiaTheme="minorHAnsi"/>
          <w:lang w:val="es-BO" w:eastAsia="en-US"/>
        </w:rPr>
        <w:t>103.</w:t>
      </w:r>
      <w:r w:rsidRPr="00EF700A">
        <w:rPr>
          <w:rFonts w:eastAsiaTheme="minorHAnsi"/>
          <w:lang w:val="es-BO" w:eastAsia="en-US"/>
        </w:rPr>
        <w:tab/>
      </w:r>
      <w:r w:rsidR="00BD4745" w:rsidRPr="00EF700A">
        <w:t xml:space="preserve">Respecto a posibles denuncias por uso excesivo de la fuerza y sobre su resultado, la Fuerza Especial de Lucha Contra el Crimen de siete departamentos del país, a agosto de 2021 informó que no cuenta con registro de caso o denuncia </w:t>
      </w:r>
      <w:proofErr w:type="spellStart"/>
      <w:r w:rsidR="00BD4745" w:rsidRPr="00EF700A">
        <w:t>aperturada</w:t>
      </w:r>
      <w:proofErr w:type="spellEnd"/>
      <w:r w:rsidR="00BD4745" w:rsidRPr="00EF700A">
        <w:t xml:space="preserve"> bajo la figura de uso excesivo de la fuerza por parte de los efectivos policiales en diferentes intervenciones.</w:t>
      </w:r>
    </w:p>
    <w:p w14:paraId="17CC1A10" w14:textId="0A8FBAD8" w:rsidR="00BD4745" w:rsidRPr="00EF700A" w:rsidRDefault="0098102E" w:rsidP="00EF700A">
      <w:pPr>
        <w:pStyle w:val="SingleTxtG"/>
      </w:pPr>
      <w:r w:rsidRPr="00EF700A">
        <w:rPr>
          <w:rFonts w:eastAsiaTheme="minorHAnsi"/>
          <w:lang w:val="es-BO" w:eastAsia="en-US"/>
        </w:rPr>
        <w:t>104.</w:t>
      </w:r>
      <w:r w:rsidRPr="00EF700A">
        <w:rPr>
          <w:rFonts w:eastAsiaTheme="minorHAnsi"/>
          <w:lang w:val="es-BO" w:eastAsia="en-US"/>
        </w:rPr>
        <w:tab/>
      </w:r>
      <w:r w:rsidR="00BD4745" w:rsidRPr="00EF700A">
        <w:t>La figura de uso excesivo de la fuerza, dentro de las Fuerzas Armadas del Estado, es regulado a través del Manual del Uso de la Fuerza en conflictos internos, aprobado por el Decreto Supremo No. 27977 de 14 de enero de 2005, la norma regula el accionar sobre el empleo de fuerzas militares y armas en conflictos internos.</w:t>
      </w:r>
    </w:p>
    <w:p w14:paraId="75EC9750" w14:textId="4C0A0390" w:rsidR="00BD4745" w:rsidRPr="00EF700A" w:rsidRDefault="0098102E" w:rsidP="00EF700A">
      <w:pPr>
        <w:pStyle w:val="SingleTxtG"/>
      </w:pPr>
      <w:r w:rsidRPr="00EF700A">
        <w:rPr>
          <w:rFonts w:eastAsiaTheme="minorHAnsi"/>
          <w:lang w:val="es-BO" w:eastAsia="en-US"/>
        </w:rPr>
        <w:t>105.</w:t>
      </w:r>
      <w:r w:rsidRPr="00EF700A">
        <w:rPr>
          <w:rFonts w:eastAsiaTheme="minorHAnsi"/>
          <w:lang w:val="es-BO" w:eastAsia="en-US"/>
        </w:rPr>
        <w:tab/>
      </w:r>
      <w:r w:rsidR="00BD4745" w:rsidRPr="00EF700A">
        <w:t>En relación a las denuncias</w:t>
      </w:r>
      <w:r w:rsidR="00BD4745" w:rsidRPr="00EF700A">
        <w:rPr>
          <w:i/>
        </w:rPr>
        <w:t xml:space="preserve"> </w:t>
      </w:r>
      <w:r w:rsidR="00BD4745" w:rsidRPr="00EF700A">
        <w:t xml:space="preserve">sobre vulneraciones a de los </w:t>
      </w:r>
      <w:proofErr w:type="spellStart"/>
      <w:proofErr w:type="gramStart"/>
      <w:r w:rsidR="00BD4745" w:rsidRPr="00EF700A">
        <w:t>DD.HH</w:t>
      </w:r>
      <w:proofErr w:type="spellEnd"/>
      <w:proofErr w:type="gramEnd"/>
      <w:r w:rsidR="00BD4745" w:rsidRPr="00EF700A">
        <w:t xml:space="preserve">, al interior de las Fuerzas Armadas, se creó el observatorio por ejes temáticos: género, violencia, racismo y discriminación, promoviendo capacitación en </w:t>
      </w:r>
      <w:proofErr w:type="spellStart"/>
      <w:r w:rsidR="00BD4745" w:rsidRPr="00EF700A">
        <w:t>DD.HH</w:t>
      </w:r>
      <w:proofErr w:type="spellEnd"/>
      <w:r w:rsidR="00BD4745" w:rsidRPr="00EF700A">
        <w:t xml:space="preserve">. y </w:t>
      </w:r>
      <w:proofErr w:type="spellStart"/>
      <w:r w:rsidR="00BD4745" w:rsidRPr="00EF700A">
        <w:t>D.I.H</w:t>
      </w:r>
      <w:proofErr w:type="spellEnd"/>
      <w:r w:rsidR="00BD4745" w:rsidRPr="00EF700A">
        <w:t>., dirigido a personal militar y civil, a través de talleres, seminarios, con el objeto de prevenir y proteger el respeto a los Derechos Humanos.</w:t>
      </w:r>
    </w:p>
    <w:p w14:paraId="13809FD5" w14:textId="3B241761" w:rsidR="00BD4745" w:rsidRPr="00EF700A" w:rsidRDefault="0098102E" w:rsidP="00EF700A">
      <w:pPr>
        <w:pStyle w:val="SingleTxtG"/>
      </w:pPr>
      <w:r w:rsidRPr="00EF700A">
        <w:rPr>
          <w:rFonts w:eastAsiaTheme="minorHAnsi"/>
          <w:lang w:val="es-BO" w:eastAsia="en-US"/>
        </w:rPr>
        <w:t>106.</w:t>
      </w:r>
      <w:r w:rsidRPr="00EF700A">
        <w:rPr>
          <w:rFonts w:eastAsiaTheme="minorHAnsi"/>
          <w:lang w:val="es-BO" w:eastAsia="en-US"/>
        </w:rPr>
        <w:tab/>
      </w:r>
      <w:r w:rsidR="00BD4745" w:rsidRPr="00EF700A">
        <w:t xml:space="preserve">El Ministerio de Defensa, entre las medidas adoptadas para combatir todo uso excesivo de la fuerza, al interior de las FF.AA., procedió con la adecuación de los programas y </w:t>
      </w:r>
      <w:proofErr w:type="spellStart"/>
      <w:r w:rsidR="00BD4745" w:rsidRPr="00EF700A">
        <w:t>currícula</w:t>
      </w:r>
      <w:proofErr w:type="spellEnd"/>
      <w:r w:rsidR="00BD4745" w:rsidRPr="00EF700A">
        <w:t xml:space="preserve"> académica, enfatizándose más en la carga horaria en los institutos de formación militar en lo relativo a la materia de Derechos Humanos Derecho Internacional Humanitario. </w:t>
      </w:r>
    </w:p>
    <w:p w14:paraId="4880587D" w14:textId="5126E4C2" w:rsidR="00BD4745" w:rsidRPr="002014CD" w:rsidRDefault="00BD4745">
      <w:pPr>
        <w:pStyle w:val="H1G"/>
      </w:pPr>
      <w:r w:rsidRPr="002014CD">
        <w:tab/>
      </w:r>
      <w:r w:rsidRPr="002014CD">
        <w:tab/>
        <w:t>Personas privadas de libertad y condiciones de detención</w:t>
      </w:r>
      <w:r w:rsidR="003C15F4">
        <w:br/>
      </w:r>
      <w:r w:rsidRPr="002014CD">
        <w:rPr>
          <w:bCs/>
        </w:rPr>
        <w:t>(arts. 6, 7, 9, 10, 14 y 26)</w:t>
      </w:r>
    </w:p>
    <w:p w14:paraId="7ECF9065" w14:textId="5C22D991" w:rsidR="00BD4745" w:rsidRPr="002014CD" w:rsidRDefault="00EF700A">
      <w:pPr>
        <w:pStyle w:val="H23G"/>
      </w:pPr>
      <w:r>
        <w:tab/>
      </w:r>
      <w:r w:rsidR="00BD4745" w:rsidRPr="002014CD">
        <w:t>14.</w:t>
      </w:r>
      <w:r>
        <w:tab/>
      </w:r>
      <w:r w:rsidR="0052731F" w:rsidRPr="00ED0B85">
        <w:t xml:space="preserve">Respuesta al </w:t>
      </w:r>
      <w:r w:rsidR="0052731F" w:rsidRPr="001A1E5D">
        <w:t>párrafo 1</w:t>
      </w:r>
      <w:r w:rsidR="0052731F">
        <w:t>4</w:t>
      </w:r>
      <w:r w:rsidR="0052731F" w:rsidRPr="001A1E5D">
        <w:t xml:space="preserve"> </w:t>
      </w:r>
      <w:r w:rsidR="0052731F" w:rsidRPr="001A1E5D">
        <w:rPr>
          <w:lang w:val="es-ES_tradnl"/>
        </w:rPr>
        <w:t xml:space="preserve">de </w:t>
      </w:r>
      <w:r w:rsidR="0052731F">
        <w:rPr>
          <w:lang w:val="es-ES_tradnl"/>
        </w:rPr>
        <w:t>la lista de cuestiones</w:t>
      </w:r>
    </w:p>
    <w:p w14:paraId="7BE35C7D" w14:textId="0CAFD080" w:rsidR="00BD4745" w:rsidRPr="00EF700A" w:rsidRDefault="0098102E" w:rsidP="00EF700A">
      <w:pPr>
        <w:pStyle w:val="SingleTxtG"/>
        <w:rPr>
          <w:lang w:val="es-ES_tradnl"/>
        </w:rPr>
      </w:pPr>
      <w:r w:rsidRPr="00EF700A">
        <w:rPr>
          <w:rFonts w:eastAsiaTheme="minorHAnsi"/>
          <w:lang w:val="es-ES_tradnl" w:eastAsia="en-US"/>
        </w:rPr>
        <w:t>107.</w:t>
      </w:r>
      <w:r w:rsidRPr="00EF700A">
        <w:rPr>
          <w:rFonts w:eastAsiaTheme="minorHAnsi"/>
          <w:lang w:val="es-ES_tradnl" w:eastAsia="en-US"/>
        </w:rPr>
        <w:tab/>
      </w:r>
      <w:r w:rsidR="00BD4745" w:rsidRPr="00EF700A">
        <w:t xml:space="preserve">Se promulgó la Ley de Abreviación Procesal y de Fortalecimiento de la Lucha Integral Contra la Violencia a Niñas, Niños, Adolescentes y Mujeres (Ley </w:t>
      </w:r>
      <w:proofErr w:type="spellStart"/>
      <w:r w:rsidR="00BD4745" w:rsidRPr="00EF700A">
        <w:t>Nº</w:t>
      </w:r>
      <w:proofErr w:type="spellEnd"/>
      <w:r w:rsidR="00BD4745" w:rsidRPr="00EF700A">
        <w:t xml:space="preserve"> 1173), cuyo objetivo es lograr una pronta y oportuna resolución de causas penales, brindar protección a las víctimas de violencia (mujeres y </w:t>
      </w:r>
      <w:proofErr w:type="spellStart"/>
      <w:r w:rsidR="00BD4745" w:rsidRPr="00EF700A">
        <w:t>NNA</w:t>
      </w:r>
      <w:proofErr w:type="spellEnd"/>
      <w:r w:rsidR="00BD4745" w:rsidRPr="00EF700A">
        <w:t>), evitar la revictimización, reducir el porcentaje de detenciones preventivas y favorecer a mujeres embarazadas, madres lactantes con hijos menores de un año y niños con discapacidad menores de 6 años que vivan bajo custodia de la persona imputada y personas adultas mayores; así como el derecho al acceso a la tecnología entre otros aspectos.</w:t>
      </w:r>
    </w:p>
    <w:p w14:paraId="5C601388" w14:textId="42064430" w:rsidR="00BD4745" w:rsidRPr="00EF700A" w:rsidRDefault="0098102E" w:rsidP="00EF700A">
      <w:pPr>
        <w:pStyle w:val="SingleTxtG"/>
      </w:pPr>
      <w:r w:rsidRPr="00EF700A">
        <w:rPr>
          <w:rFonts w:eastAsiaTheme="minorHAnsi"/>
          <w:lang w:eastAsia="en-US"/>
        </w:rPr>
        <w:t>108.</w:t>
      </w:r>
      <w:r w:rsidRPr="00EF700A">
        <w:rPr>
          <w:rFonts w:eastAsiaTheme="minorHAnsi"/>
          <w:lang w:eastAsia="en-US"/>
        </w:rPr>
        <w:tab/>
      </w:r>
      <w:r w:rsidR="00BD4745" w:rsidRPr="00EF700A">
        <w:rPr>
          <w:lang w:val="es-ES_tradnl"/>
        </w:rPr>
        <w:t xml:space="preserve">En cuanto a las medidas alternativas a la detención preventiva, la Dirección de Régimen Penitenciario, firmó convenios y acuerdos con Universidades y Organismos no Gubernamentales, con el objeto de brindar asesoría jurídica que difundan los mecanismos procesales. Asimismo </w:t>
      </w:r>
      <w:r w:rsidR="00BD4745" w:rsidRPr="00EF700A">
        <w:t xml:space="preserve">se habilitó espacios para la realización de las audiencias virtuales, con la asignación de un equipo de computación, laptop o celular independiente y conectividad de internet y la presencia de la persona privada de libertad, desarrollándose 9.535 audiencias virtuales en la Gestión 2020 y </w:t>
      </w:r>
      <w:r w:rsidR="00BD4745" w:rsidRPr="00EF700A">
        <w:rPr>
          <w:bCs/>
        </w:rPr>
        <w:t xml:space="preserve">3.296 </w:t>
      </w:r>
      <w:r w:rsidR="00BD4745" w:rsidRPr="00EF700A">
        <w:t>audiencias virtuales, en 37 recintos penitenciarios de los nueve departamentos del país durante la gestión 2021, el resultado fue que los privados de libertad podían acceder a la detención domiciliaria, libertad condicional o una medida sustitutiva a la detención preventiva.</w:t>
      </w:r>
    </w:p>
    <w:p w14:paraId="6CDA2670" w14:textId="14CE3581" w:rsidR="00BD4745" w:rsidRPr="00EF700A" w:rsidRDefault="0098102E" w:rsidP="00EF700A">
      <w:pPr>
        <w:pStyle w:val="SingleTxtG"/>
      </w:pPr>
      <w:r w:rsidRPr="00EF700A">
        <w:rPr>
          <w:rFonts w:eastAsiaTheme="minorHAnsi"/>
          <w:lang w:val="es-BO" w:eastAsia="en-US"/>
        </w:rPr>
        <w:lastRenderedPageBreak/>
        <w:t>109.</w:t>
      </w:r>
      <w:r w:rsidRPr="00EF700A">
        <w:rPr>
          <w:rFonts w:eastAsiaTheme="minorHAnsi"/>
          <w:lang w:val="es-BO" w:eastAsia="en-US"/>
        </w:rPr>
        <w:tab/>
      </w:r>
      <w:r w:rsidR="00BD4745" w:rsidRPr="00EF700A">
        <w:t xml:space="preserve">Además, el Régimen Penitenciario realizó nóminas de </w:t>
      </w:r>
      <w:proofErr w:type="spellStart"/>
      <w:r w:rsidR="00BD4745" w:rsidRPr="00EF700A">
        <w:t>PPL</w:t>
      </w:r>
      <w:proofErr w:type="spellEnd"/>
      <w:r w:rsidR="00BD4745" w:rsidRPr="00EF700A">
        <w:t xml:space="preserve"> de los grupos vulnerables y a petición de privado de libertad, los Tribunales Departamentales de Justicia y del </w:t>
      </w:r>
      <w:proofErr w:type="spellStart"/>
      <w:r w:rsidR="00BD4745" w:rsidRPr="00EF700A">
        <w:t>SEPDEP</w:t>
      </w:r>
      <w:proofErr w:type="spellEnd"/>
      <w:r w:rsidR="00BD4745" w:rsidRPr="00EF700A">
        <w:t xml:space="preserve"> determinaron salida alternativa o arresto domiciliario.</w:t>
      </w:r>
    </w:p>
    <w:p w14:paraId="08019552" w14:textId="4F0B35A1" w:rsidR="00BD4745" w:rsidRPr="00EF700A" w:rsidRDefault="0098102E" w:rsidP="00EF700A">
      <w:pPr>
        <w:pStyle w:val="SingleTxtG"/>
      </w:pPr>
      <w:r w:rsidRPr="00EF700A">
        <w:rPr>
          <w:rFonts w:eastAsiaTheme="minorHAnsi"/>
          <w:lang w:val="es-BO" w:eastAsia="en-US"/>
        </w:rPr>
        <w:t>110.</w:t>
      </w:r>
      <w:r w:rsidRPr="00EF700A">
        <w:rPr>
          <w:rFonts w:eastAsiaTheme="minorHAnsi"/>
          <w:lang w:val="es-BO" w:eastAsia="en-US"/>
        </w:rPr>
        <w:tab/>
      </w:r>
      <w:r w:rsidR="00BD4745" w:rsidRPr="00EF700A">
        <w:t>Igualmente se desarrolló Jornadas de Descongestionamiento Judicial con el propósito de registrar solicitudes de amnistía e indulto, asimismo se identificó a los privados de libertad por el tipo de delito, tiempo de permanencia u otros datos, a efectos de la realización de audiencias y en su caso optar por alguna salida alternativa, con libertad inmediata u otro beneficio penitenciario.</w:t>
      </w:r>
    </w:p>
    <w:p w14:paraId="3FCA1D5E" w14:textId="4CA6AC04" w:rsidR="00BD4745" w:rsidRPr="00EF700A" w:rsidRDefault="0098102E" w:rsidP="00EF700A">
      <w:pPr>
        <w:pStyle w:val="SingleTxtG"/>
      </w:pPr>
      <w:r w:rsidRPr="00EF700A">
        <w:rPr>
          <w:rFonts w:eastAsiaTheme="minorHAnsi"/>
          <w:lang w:val="es-BO" w:eastAsia="en-US"/>
        </w:rPr>
        <w:t>111.</w:t>
      </w:r>
      <w:r w:rsidRPr="00EF700A">
        <w:rPr>
          <w:rFonts w:eastAsiaTheme="minorHAnsi"/>
          <w:lang w:val="es-BO" w:eastAsia="en-US"/>
        </w:rPr>
        <w:tab/>
      </w:r>
      <w:r w:rsidR="00BD4745" w:rsidRPr="00EF700A">
        <w:t>En cuanto al Sistema Penal para Adolescentes, dentro de los Centros de Orientación se aplica la medida socioeducativa como medida alternativa a la privación de libertad en observancia al Código Niña, Niño, Adolescente, teniendo a la fecha una población de 639 a nivel nacional.</w:t>
      </w:r>
    </w:p>
    <w:p w14:paraId="47D569ED" w14:textId="70D8506F" w:rsidR="00BD4745" w:rsidRPr="00EF700A" w:rsidRDefault="0098102E" w:rsidP="00EF700A">
      <w:pPr>
        <w:pStyle w:val="SingleTxtG"/>
      </w:pPr>
      <w:r w:rsidRPr="00EF700A">
        <w:rPr>
          <w:rFonts w:eastAsiaTheme="minorHAnsi"/>
          <w:lang w:val="es-BO" w:eastAsia="en-US"/>
        </w:rPr>
        <w:t>112.</w:t>
      </w:r>
      <w:r w:rsidRPr="00EF700A">
        <w:rPr>
          <w:rFonts w:eastAsiaTheme="minorHAnsi"/>
          <w:lang w:val="es-BO" w:eastAsia="en-US"/>
        </w:rPr>
        <w:tab/>
      </w:r>
      <w:r w:rsidR="00BD4745" w:rsidRPr="00EF700A">
        <w:t>En lo relativo al uso de brazaletes electrónicos, la</w:t>
      </w:r>
      <w:r w:rsidR="00BD4745" w:rsidRPr="00EF700A">
        <w:rPr>
          <w:bCs/>
        </w:rPr>
        <w:t xml:space="preserve"> Ley </w:t>
      </w:r>
      <w:proofErr w:type="spellStart"/>
      <w:r w:rsidR="00BD4745" w:rsidRPr="00EF700A">
        <w:rPr>
          <w:bCs/>
        </w:rPr>
        <w:t>Nº</w:t>
      </w:r>
      <w:proofErr w:type="spellEnd"/>
      <w:r w:rsidR="00BD4745" w:rsidRPr="00EF700A">
        <w:rPr>
          <w:bCs/>
        </w:rPr>
        <w:t xml:space="preserve"> 1226, 23 de septiembre de 2019 que modifica </w:t>
      </w:r>
      <w:r w:rsidR="00BD4745" w:rsidRPr="00EF700A">
        <w:t>la </w:t>
      </w:r>
      <w:r w:rsidR="000D06E8">
        <w:fldChar w:fldCharType="begin"/>
      </w:r>
      <w:r w:rsidR="000D06E8">
        <w:instrText xml:space="preserve"> HYPERLINK "http://www.lexivox.org/norms/BO-L-N1173.html" </w:instrText>
      </w:r>
      <w:r w:rsidR="000D06E8">
        <w:fldChar w:fldCharType="separate"/>
      </w:r>
      <w:r w:rsidR="00BD4745" w:rsidRPr="00EF700A">
        <w:t xml:space="preserve">Ley </w:t>
      </w:r>
      <w:proofErr w:type="spellStart"/>
      <w:r w:rsidR="00BD4745" w:rsidRPr="00EF700A">
        <w:t>Nº</w:t>
      </w:r>
      <w:proofErr w:type="spellEnd"/>
      <w:r w:rsidR="00BD4745" w:rsidRPr="00EF700A">
        <w:t xml:space="preserve"> 1173</w:t>
      </w:r>
      <w:r w:rsidR="000D06E8">
        <w:fldChar w:fldCharType="end"/>
      </w:r>
      <w:r w:rsidR="00BD4745" w:rsidRPr="00EF700A">
        <w:rPr>
          <w:bCs/>
        </w:rPr>
        <w:t xml:space="preserve"> de 3 de mayo de 2019, de Abreviación Procesal Penal y de Fortalecimiento de la Lucha Integral Contra la Violencia a Niñas, Niños, Adolescentes y Mujeres, prevé en las medidas cautelares personales </w:t>
      </w:r>
      <w:r w:rsidR="00BD4745" w:rsidRPr="00EF700A">
        <w:rPr>
          <w:iCs/>
        </w:rPr>
        <w:t xml:space="preserve">disponiendo el uso y funcionamiento técnico del dispositivo electrónico de vigilancia, rastreo o posicionamiento de su ubicación física, en ese contexto se implementó un proyecto piloto, para la implementación de dispositivos electrónicos de vigilancia de 500 manillas electrónicas. El objetivo principal de la implementación de estos </w:t>
      </w:r>
      <w:proofErr w:type="gramStart"/>
      <w:r w:rsidR="00BD4745" w:rsidRPr="00EF700A">
        <w:rPr>
          <w:iCs/>
        </w:rPr>
        <w:t>dispositivos,</w:t>
      </w:r>
      <w:proofErr w:type="gramEnd"/>
      <w:r w:rsidR="00BD4745" w:rsidRPr="00EF700A">
        <w:rPr>
          <w:iCs/>
        </w:rPr>
        <w:t xml:space="preserve"> es velar por la seguridad ciudadana, pero también humanizar el Sistema Penitenciario.</w:t>
      </w:r>
    </w:p>
    <w:p w14:paraId="614D8D93" w14:textId="5862CB78" w:rsidR="00BD4745" w:rsidRPr="00EF700A" w:rsidRDefault="0098102E" w:rsidP="00EF700A">
      <w:pPr>
        <w:pStyle w:val="SingleTxtG"/>
        <w:rPr>
          <w:iCs/>
        </w:rPr>
      </w:pPr>
      <w:r w:rsidRPr="00EF700A">
        <w:rPr>
          <w:rFonts w:eastAsiaTheme="minorHAnsi"/>
          <w:iCs/>
          <w:lang w:val="es-BO" w:eastAsia="en-US"/>
        </w:rPr>
        <w:t>113.</w:t>
      </w:r>
      <w:r w:rsidRPr="00EF700A">
        <w:rPr>
          <w:rFonts w:eastAsiaTheme="minorHAnsi"/>
          <w:iCs/>
          <w:lang w:val="es-BO" w:eastAsia="en-US"/>
        </w:rPr>
        <w:tab/>
      </w:r>
      <w:r w:rsidR="00BD4745" w:rsidRPr="00EF700A">
        <w:rPr>
          <w:iCs/>
        </w:rPr>
        <w:t xml:space="preserve">En relación con los decretos de indultos y amnistías, su cumplimiento se efectivizó observando los requisitos establecidos en cada uno de los Decretos, en ese sentido, si el decreto de amnistía establecía el requisito de ejecutoria de la sentencia de condena, se dio cumplimiento al mismo. </w:t>
      </w:r>
    </w:p>
    <w:p w14:paraId="773D307E" w14:textId="1C615996" w:rsidR="00BD4745" w:rsidRPr="00EF700A" w:rsidRDefault="0098102E" w:rsidP="00EF700A">
      <w:pPr>
        <w:pStyle w:val="SingleTxtG"/>
      </w:pPr>
      <w:r w:rsidRPr="00EF700A">
        <w:rPr>
          <w:rFonts w:eastAsiaTheme="minorHAnsi"/>
          <w:lang w:val="es-BO" w:eastAsia="en-US"/>
        </w:rPr>
        <w:t>114.</w:t>
      </w:r>
      <w:r w:rsidRPr="00EF700A">
        <w:rPr>
          <w:rFonts w:eastAsiaTheme="minorHAnsi"/>
          <w:lang w:val="es-BO" w:eastAsia="en-US"/>
        </w:rPr>
        <w:tab/>
      </w:r>
      <w:r w:rsidR="00BD4745" w:rsidRPr="00EF700A">
        <w:rPr>
          <w:iCs/>
        </w:rPr>
        <w:t xml:space="preserve">En cuanto a la Asistencia Letrada la </w:t>
      </w:r>
      <w:r w:rsidR="00BD4745" w:rsidRPr="00EF700A">
        <w:t>defensa material y técnica, se garantiza a través del área de Asistencia Legal al interior del Recinto Penitenciario brindando orientación jurídica, a través del Servicio Plurinacional de Defensa Publica (</w:t>
      </w:r>
      <w:proofErr w:type="spellStart"/>
      <w:r w:rsidR="00BD4745" w:rsidRPr="00EF700A">
        <w:t>SEPDEP</w:t>
      </w:r>
      <w:proofErr w:type="spellEnd"/>
      <w:r w:rsidR="00BD4745" w:rsidRPr="00EF700A">
        <w:t>) para la asignación de un abogado (defensor público) para brindar la defensa técnica en el proceso penal. En tal sentido, se brindó el servicio de orientación jurídica a 8.371 personas y se atendieron 546 solicitudes de defensa pública.</w:t>
      </w:r>
    </w:p>
    <w:p w14:paraId="017A47CA" w14:textId="7590B69C" w:rsidR="00BD4745" w:rsidRPr="00EF700A" w:rsidRDefault="0098102E" w:rsidP="00EF700A">
      <w:pPr>
        <w:pStyle w:val="SingleTxtG"/>
      </w:pPr>
      <w:r w:rsidRPr="00EF700A">
        <w:rPr>
          <w:rFonts w:eastAsiaTheme="minorHAnsi"/>
          <w:lang w:val="es-BO" w:eastAsia="en-US"/>
        </w:rPr>
        <w:t>115.</w:t>
      </w:r>
      <w:r w:rsidRPr="00EF700A">
        <w:rPr>
          <w:rFonts w:eastAsiaTheme="minorHAnsi"/>
          <w:lang w:val="es-BO" w:eastAsia="en-US"/>
        </w:rPr>
        <w:tab/>
      </w:r>
      <w:r w:rsidR="00BD4745" w:rsidRPr="00EF700A">
        <w:t>El 07 de diciembre de 2020, la Dirección General de Régimen Penitenciario suscribió un convenio con el Servicio Plurinacional de Defensa Pública (</w:t>
      </w:r>
      <w:proofErr w:type="spellStart"/>
      <w:r w:rsidR="00BD4745" w:rsidRPr="00EF700A">
        <w:t>SEPDEP</w:t>
      </w:r>
      <w:proofErr w:type="spellEnd"/>
      <w:r w:rsidR="00BD4745" w:rsidRPr="00EF700A">
        <w:t xml:space="preserve">), con el objetivo de implementar los Módulos de Consulta del </w:t>
      </w:r>
      <w:proofErr w:type="spellStart"/>
      <w:r w:rsidR="00BD4745" w:rsidRPr="00EF700A">
        <w:t>SEPDEP</w:t>
      </w:r>
      <w:proofErr w:type="spellEnd"/>
      <w:r w:rsidR="00BD4745" w:rsidRPr="00EF700A">
        <w:t xml:space="preserve"> en los Recintos Penitenciarios de San Pedro, El Abra y Centro de Rehabilitación Santa Cruz </w:t>
      </w:r>
      <w:proofErr w:type="spellStart"/>
      <w:r w:rsidR="00BD4745" w:rsidRPr="00EF700A">
        <w:t>Palmasola</w:t>
      </w:r>
      <w:proofErr w:type="spellEnd"/>
      <w:r w:rsidR="00BD4745" w:rsidRPr="00EF700A">
        <w:t xml:space="preserve">, para que la población privada de libertad pueda hacer seguimiento en el Sistema de Seguimiento de Causas respecto las acciones que realizan los Defensores Públicos. </w:t>
      </w:r>
    </w:p>
    <w:p w14:paraId="4B20C728" w14:textId="35D67AA8" w:rsidR="00BD4745" w:rsidRPr="00EF700A" w:rsidRDefault="0098102E" w:rsidP="00EF700A">
      <w:pPr>
        <w:pStyle w:val="SingleTxtG"/>
      </w:pPr>
      <w:r w:rsidRPr="00EF700A">
        <w:rPr>
          <w:rFonts w:eastAsiaTheme="minorHAnsi"/>
          <w:lang w:val="es-BO" w:eastAsia="en-US"/>
        </w:rPr>
        <w:t>116.</w:t>
      </w:r>
      <w:r w:rsidRPr="00EF700A">
        <w:rPr>
          <w:rFonts w:eastAsiaTheme="minorHAnsi"/>
          <w:lang w:val="es-BO" w:eastAsia="en-US"/>
        </w:rPr>
        <w:tab/>
      </w:r>
      <w:proofErr w:type="gramStart"/>
      <w:r w:rsidR="00BD4745" w:rsidRPr="00EF700A">
        <w:t>En relación a</w:t>
      </w:r>
      <w:proofErr w:type="gramEnd"/>
      <w:r w:rsidR="00BD4745" w:rsidRPr="00EF700A">
        <w:t xml:space="preserve"> los </w:t>
      </w:r>
      <w:r w:rsidR="00BD4745" w:rsidRPr="00EF700A">
        <w:rPr>
          <w:lang w:val="es-ES_tradnl"/>
        </w:rPr>
        <w:t>mecanismos que disponen las personas privadas de libertad para denunciar violaciones de los derechos, éstos son</w:t>
      </w:r>
      <w:r w:rsidR="00BD4745" w:rsidRPr="00EF700A">
        <w:t xml:space="preserve"> las audiencias, Libro de peticiones y quejas, Buzón de quejas en los recintos penitenciarios.</w:t>
      </w:r>
    </w:p>
    <w:p w14:paraId="43851AE8" w14:textId="40016984" w:rsidR="00BD4745" w:rsidRPr="002014CD" w:rsidRDefault="00EF700A">
      <w:pPr>
        <w:pStyle w:val="H23G"/>
      </w:pPr>
      <w:r>
        <w:tab/>
      </w:r>
      <w:r w:rsidR="00BD4745" w:rsidRPr="002014CD">
        <w:t>15.</w:t>
      </w:r>
      <w:r>
        <w:tab/>
      </w:r>
      <w:r w:rsidR="0052731F" w:rsidRPr="00ED0B85">
        <w:t xml:space="preserve">Respuesta al </w:t>
      </w:r>
      <w:r w:rsidR="0052731F" w:rsidRPr="001A1E5D">
        <w:t>párrafo 1</w:t>
      </w:r>
      <w:r w:rsidR="0052731F">
        <w:t>5</w:t>
      </w:r>
      <w:r w:rsidR="0052731F" w:rsidRPr="001A1E5D">
        <w:t xml:space="preserve"> </w:t>
      </w:r>
      <w:r w:rsidR="0052731F" w:rsidRPr="001A1E5D">
        <w:rPr>
          <w:lang w:val="es-ES_tradnl"/>
        </w:rPr>
        <w:t xml:space="preserve">de </w:t>
      </w:r>
      <w:r w:rsidR="0052731F">
        <w:rPr>
          <w:lang w:val="es-ES_tradnl"/>
        </w:rPr>
        <w:t xml:space="preserve">la lista de cuestiones </w:t>
      </w:r>
    </w:p>
    <w:p w14:paraId="6465FF42" w14:textId="2DF713D4" w:rsidR="00BD4745" w:rsidRPr="00EF700A" w:rsidRDefault="0098102E" w:rsidP="00EF700A">
      <w:pPr>
        <w:pStyle w:val="SingleTxtG"/>
      </w:pPr>
      <w:r w:rsidRPr="00EF700A">
        <w:rPr>
          <w:rFonts w:eastAsiaTheme="minorHAnsi"/>
          <w:lang w:eastAsia="en-US"/>
        </w:rPr>
        <w:t>117.</w:t>
      </w:r>
      <w:r w:rsidRPr="00EF700A">
        <w:rPr>
          <w:rFonts w:eastAsiaTheme="minorHAnsi"/>
          <w:lang w:eastAsia="en-US"/>
        </w:rPr>
        <w:tab/>
      </w:r>
      <w:r w:rsidR="00BD4745" w:rsidRPr="00EF700A">
        <w:t xml:space="preserve">En cuanto a las medidas adoptadas para reducir el hacinamiento en las prisiones, se asumieron medidas estatales como la aprobación de Amnistía e Indulto, audiencias virtuales, jornadas de descongestionamiento y la ampliación y construcción de nuevos centros penitenciarios, destinadas a reducir el hacinamiento y humanizar la reclusión de las personas privadas de libertad y actualmente se viene trabajando en un nuevo proyecto de Decreto Presidencial para conceder Amnistía e Indulto en procura de resguardar los derechos fundamentales de las personas privadas de libertad, velar por el cumplimiento del debido proceso y el acceso a una justicia eficaz y oportuna, toda vez que el Decreto Presidencial </w:t>
      </w:r>
      <w:proofErr w:type="spellStart"/>
      <w:r w:rsidR="00BD4745" w:rsidRPr="00EF700A">
        <w:t>N°4461</w:t>
      </w:r>
      <w:proofErr w:type="spellEnd"/>
      <w:r w:rsidR="00BD4745" w:rsidRPr="00EF700A">
        <w:t>, ha sido abrogado.</w:t>
      </w:r>
    </w:p>
    <w:p w14:paraId="37FE8408" w14:textId="5090BF0D" w:rsidR="00BD4745" w:rsidRPr="00EF700A" w:rsidRDefault="0098102E" w:rsidP="00EF700A">
      <w:pPr>
        <w:pStyle w:val="SingleTxtG"/>
      </w:pPr>
      <w:r w:rsidRPr="00EF700A">
        <w:rPr>
          <w:rFonts w:eastAsiaTheme="minorHAnsi"/>
          <w:lang w:val="es-BO" w:eastAsia="en-US"/>
        </w:rPr>
        <w:t>118.</w:t>
      </w:r>
      <w:r w:rsidRPr="00EF700A">
        <w:rPr>
          <w:rFonts w:eastAsiaTheme="minorHAnsi"/>
          <w:lang w:val="es-BO" w:eastAsia="en-US"/>
        </w:rPr>
        <w:tab/>
      </w:r>
      <w:r w:rsidR="00BD4745" w:rsidRPr="00EF700A">
        <w:t xml:space="preserve">Asimismo, los espacios físicos del Centro Penitenciario de </w:t>
      </w:r>
      <w:proofErr w:type="spellStart"/>
      <w:r w:rsidR="00BD4745" w:rsidRPr="00EF700A">
        <w:t>Palmasola</w:t>
      </w:r>
      <w:proofErr w:type="spellEnd"/>
      <w:r w:rsidR="00BD4745" w:rsidRPr="00EF700A">
        <w:t xml:space="preserve">/Santa Cruz, </w:t>
      </w:r>
      <w:proofErr w:type="spellStart"/>
      <w:r w:rsidR="00BD4745" w:rsidRPr="00EF700A">
        <w:t>Qalahuma</w:t>
      </w:r>
      <w:proofErr w:type="spellEnd"/>
      <w:r w:rsidR="00BD4745" w:rsidRPr="00EF700A">
        <w:t xml:space="preserve"> Varones - </w:t>
      </w:r>
      <w:proofErr w:type="spellStart"/>
      <w:r w:rsidR="00BD4745" w:rsidRPr="00EF700A">
        <w:t>Qalahuma</w:t>
      </w:r>
      <w:proofErr w:type="spellEnd"/>
      <w:r w:rsidR="00BD4745" w:rsidRPr="00EF700A">
        <w:t xml:space="preserve"> Mujeres en Viacha/La Paz, han sido mejorados y equipados. Además, se realizó la ampliación de los Recintos: </w:t>
      </w:r>
      <w:proofErr w:type="spellStart"/>
      <w:r w:rsidR="00BD4745" w:rsidRPr="00EF700A">
        <w:t>CERPROM</w:t>
      </w:r>
      <w:proofErr w:type="spellEnd"/>
      <w:r w:rsidR="00BD4745" w:rsidRPr="00EF700A">
        <w:t xml:space="preserve"> Montero (Santa Cruz) </w:t>
      </w:r>
      <w:r w:rsidR="00BD4745" w:rsidRPr="00EF700A">
        <w:rPr>
          <w:lang w:val="es-ES_tradnl"/>
        </w:rPr>
        <w:t xml:space="preserve">el cual cuenta con todas las características de interés humanitario como ser: suministro de agua, </w:t>
      </w:r>
      <w:r w:rsidR="00BD4745" w:rsidRPr="00EF700A">
        <w:rPr>
          <w:lang w:val="es-ES_tradnl"/>
        </w:rPr>
        <w:lastRenderedPageBreak/>
        <w:t>condiciones de higiene, dos consultorios de medicina general, un consultorio odontológico una enfermería dos salas de audiencias, etc.</w:t>
      </w:r>
      <w:r w:rsidR="00BD4745" w:rsidRPr="00EF700A">
        <w:t xml:space="preserve">; Recinto Penitenciario </w:t>
      </w:r>
      <w:proofErr w:type="spellStart"/>
      <w:r w:rsidR="00BD4745" w:rsidRPr="00EF700A">
        <w:t>Cantumarca</w:t>
      </w:r>
      <w:proofErr w:type="spellEnd"/>
      <w:r w:rsidR="00BD4745" w:rsidRPr="00EF700A">
        <w:t xml:space="preserve"> (Potosí), Construcción nueva del Recinto Penitenciario de Riberalta (Beni); además de los Proyectos de construcción de los Complejos Penitenciarios de: </w:t>
      </w:r>
      <w:proofErr w:type="spellStart"/>
      <w:r w:rsidR="00BD4745" w:rsidRPr="00EF700A">
        <w:t>Chonchocoro</w:t>
      </w:r>
      <w:proofErr w:type="spellEnd"/>
      <w:r w:rsidR="00BD4745" w:rsidRPr="00EF700A">
        <w:t xml:space="preserve"> (La Paz), </w:t>
      </w:r>
      <w:proofErr w:type="spellStart"/>
      <w:r w:rsidR="00BD4745" w:rsidRPr="00EF700A">
        <w:t>Palmasola</w:t>
      </w:r>
      <w:proofErr w:type="spellEnd"/>
      <w:r w:rsidR="00BD4745" w:rsidRPr="00EF700A">
        <w:t xml:space="preserve"> (Santa Cruz) y de Araní (Cochabamba). Producto de las medidas señaladas, el hacinamiento desde la gestión 2017, se redujo a un 50% con referencia al 2021; en el recinto penitenciario de </w:t>
      </w:r>
      <w:proofErr w:type="spellStart"/>
      <w:r w:rsidR="00BD4745" w:rsidRPr="00EF700A">
        <w:t>Palmasola</w:t>
      </w:r>
      <w:proofErr w:type="spellEnd"/>
      <w:r w:rsidR="00BD4745" w:rsidRPr="00EF700A">
        <w:t xml:space="preserve"> varones ha reducido el nivel de hacinamiento al 50% y en el recinto </w:t>
      </w:r>
      <w:proofErr w:type="spellStart"/>
      <w:r w:rsidR="00BD4745" w:rsidRPr="00EF700A">
        <w:t>Palmasola</w:t>
      </w:r>
      <w:proofErr w:type="spellEnd"/>
      <w:r w:rsidR="00BD4745" w:rsidRPr="00EF700A">
        <w:t xml:space="preserve"> mujeres no existe hacinamiento. </w:t>
      </w:r>
    </w:p>
    <w:p w14:paraId="3A1C06D1" w14:textId="1139BEA1" w:rsidR="00BD4745" w:rsidRPr="00EF700A" w:rsidRDefault="0098102E" w:rsidP="00EF700A">
      <w:pPr>
        <w:pStyle w:val="SingleTxtG"/>
      </w:pPr>
      <w:r w:rsidRPr="00EF700A">
        <w:rPr>
          <w:rFonts w:eastAsiaTheme="minorHAnsi"/>
          <w:lang w:val="es-BO" w:eastAsia="en-US"/>
        </w:rPr>
        <w:t>119.</w:t>
      </w:r>
      <w:r w:rsidRPr="00EF700A">
        <w:rPr>
          <w:rFonts w:eastAsiaTheme="minorHAnsi"/>
          <w:lang w:val="es-BO" w:eastAsia="en-US"/>
        </w:rPr>
        <w:tab/>
      </w:r>
      <w:r w:rsidR="00BD4745" w:rsidRPr="00EF700A">
        <w:t>Para agilizar procesos judiciales se apoyó con equipamiento para el desarrollo de las audiencias virtuales dentro los recintos penitenciarios, para evitar la retardación de justicia, realizándose 9535 audiencias durante la gestión 2020</w:t>
      </w:r>
      <w:r w:rsidR="00960AEB">
        <w:t xml:space="preserve"> </w:t>
      </w:r>
      <w:r w:rsidR="00BD4745" w:rsidRPr="00EF700A">
        <w:t>y 22.177 en la gestión 2021.</w:t>
      </w:r>
    </w:p>
    <w:p w14:paraId="603E4695" w14:textId="7B725F5B" w:rsidR="00BD4745" w:rsidRPr="00EF700A" w:rsidRDefault="0098102E" w:rsidP="00EF700A">
      <w:pPr>
        <w:pStyle w:val="SingleTxtG"/>
      </w:pPr>
      <w:r w:rsidRPr="00EF700A">
        <w:rPr>
          <w:rFonts w:eastAsiaTheme="minorHAnsi"/>
          <w:lang w:val="es-BO" w:eastAsia="en-US"/>
        </w:rPr>
        <w:t>120.</w:t>
      </w:r>
      <w:r w:rsidRPr="00EF700A">
        <w:rPr>
          <w:rFonts w:eastAsiaTheme="minorHAnsi"/>
          <w:lang w:val="es-BO" w:eastAsia="en-US"/>
        </w:rPr>
        <w:tab/>
      </w:r>
      <w:r w:rsidR="00BD4745" w:rsidRPr="00EF700A">
        <w:t xml:space="preserve">Respecto a las acciones de autogobierno en las prisiones, dentro de las medidas adoptadas para garantizar la pacífica convivencia al interior de los centros penitenciarios se tiene el incremento de talento humano para fortalecer el sistema de seguridad penitenciaria en los recintos penitenciarios donde se tiene hechos de violencia </w:t>
      </w:r>
      <w:proofErr w:type="gramStart"/>
      <w:r w:rsidR="00BD4745" w:rsidRPr="00EF700A">
        <w:t>intra carcelaria</w:t>
      </w:r>
      <w:proofErr w:type="gramEnd"/>
      <w:r w:rsidR="00BD4745" w:rsidRPr="00EF700A">
        <w:t>, incremento de personal paulatino paulatina en coordinación con la Dirección Nacional de Personal del Comando General de la Policía Boliviana.</w:t>
      </w:r>
    </w:p>
    <w:p w14:paraId="5026A6FB" w14:textId="6F52D983" w:rsidR="00BD4745" w:rsidRPr="00EF700A" w:rsidRDefault="0098102E" w:rsidP="00EF700A">
      <w:pPr>
        <w:pStyle w:val="SingleTxtG"/>
      </w:pPr>
      <w:r w:rsidRPr="00EF700A">
        <w:rPr>
          <w:rFonts w:eastAsiaTheme="minorHAnsi"/>
          <w:lang w:val="es-BO" w:eastAsia="en-US"/>
        </w:rPr>
        <w:t>121.</w:t>
      </w:r>
      <w:r w:rsidRPr="00EF700A">
        <w:rPr>
          <w:rFonts w:eastAsiaTheme="minorHAnsi"/>
          <w:lang w:val="es-BO" w:eastAsia="en-US"/>
        </w:rPr>
        <w:tab/>
      </w:r>
      <w:r w:rsidR="00BD4745" w:rsidRPr="00EF700A">
        <w:t xml:space="preserve">Asimismo, a fin de evitar la violencia carcelaria se tiene instruido mediante Memorándum Circular Fax </w:t>
      </w:r>
      <w:proofErr w:type="spellStart"/>
      <w:r w:rsidR="00BD4745" w:rsidRPr="00EF700A">
        <w:t>N</w:t>
      </w:r>
      <w:r w:rsidR="00960AEB">
        <w:t>º</w:t>
      </w:r>
      <w:proofErr w:type="spellEnd"/>
      <w:r w:rsidR="00960AEB">
        <w:t xml:space="preserve"> </w:t>
      </w:r>
      <w:r w:rsidR="00BD4745" w:rsidRPr="00EF700A">
        <w:t>11/2020 emitido por la Dirección Nacional de Régimen Penitenciario que refiere “Prevenir la muerte de personas que se encuentran bajo resguardo policial y castigar a los responsables. No tolerar actos de tortura u otro tipo de tratos crueles e inhumanos, identificándolos y remitiéndolo a las autoridades competentes a los presuntos responsables”.</w:t>
      </w:r>
    </w:p>
    <w:p w14:paraId="75E0D7C0" w14:textId="52331D94" w:rsidR="00BD4745" w:rsidRPr="00EF700A" w:rsidRDefault="0098102E" w:rsidP="00EF700A">
      <w:pPr>
        <w:pStyle w:val="SingleTxtG"/>
      </w:pPr>
      <w:r w:rsidRPr="00EF700A">
        <w:rPr>
          <w:rFonts w:eastAsiaTheme="minorHAnsi"/>
          <w:lang w:val="es-BO" w:eastAsia="en-US"/>
        </w:rPr>
        <w:t>122.</w:t>
      </w:r>
      <w:r w:rsidRPr="00EF700A">
        <w:rPr>
          <w:rFonts w:eastAsiaTheme="minorHAnsi"/>
          <w:lang w:val="es-BO" w:eastAsia="en-US"/>
        </w:rPr>
        <w:tab/>
      </w:r>
      <w:r w:rsidR="00BD4745" w:rsidRPr="00EF700A">
        <w:t>Asimismo, se tiene Memorándum Circular Fax No. 001/2021 emitido por la Dirección referida donde en su parte pertinente refiere “Extremar medidas de control en el servicio de seguridad interna y externa en el recinto penitenciario…”</w:t>
      </w:r>
      <w:r w:rsidR="00AA6A62">
        <w:t>.</w:t>
      </w:r>
      <w:r w:rsidR="00BD4745" w:rsidRPr="00EF700A">
        <w:t xml:space="preserve"> </w:t>
      </w:r>
    </w:p>
    <w:p w14:paraId="4DC1E885" w14:textId="586F6B2D" w:rsidR="00BD4745" w:rsidRPr="002014CD" w:rsidRDefault="00EF700A">
      <w:pPr>
        <w:pStyle w:val="H23G"/>
      </w:pPr>
      <w:r>
        <w:tab/>
      </w:r>
      <w:r w:rsidR="00BD4745" w:rsidRPr="002014CD">
        <w:t>16.</w:t>
      </w:r>
      <w:r>
        <w:tab/>
      </w:r>
      <w:r w:rsidR="0052731F" w:rsidRPr="00ED0B85">
        <w:t xml:space="preserve">Respuesta al </w:t>
      </w:r>
      <w:r w:rsidR="0052731F" w:rsidRPr="001A1E5D">
        <w:t>párrafo 1</w:t>
      </w:r>
      <w:r w:rsidR="0052731F">
        <w:t>6</w:t>
      </w:r>
      <w:r w:rsidR="0052731F" w:rsidRPr="001A1E5D">
        <w:t xml:space="preserve"> </w:t>
      </w:r>
      <w:r w:rsidR="0052731F" w:rsidRPr="001A1E5D">
        <w:rPr>
          <w:lang w:val="es-ES_tradnl"/>
        </w:rPr>
        <w:t xml:space="preserve">de </w:t>
      </w:r>
      <w:r w:rsidR="0052731F">
        <w:rPr>
          <w:lang w:val="es-ES_tradnl"/>
        </w:rPr>
        <w:t>la lista de cuestiones</w:t>
      </w:r>
    </w:p>
    <w:p w14:paraId="03BEA7FA" w14:textId="6DCDFEB0" w:rsidR="0098102E" w:rsidRPr="00EF700A" w:rsidRDefault="00EF700A" w:rsidP="006678D4">
      <w:pPr>
        <w:pStyle w:val="SingleTxtG"/>
        <w:rPr>
          <w:lang w:val="es-ES_tradnl"/>
        </w:rPr>
      </w:pPr>
      <w:r w:rsidRPr="00EF700A">
        <w:rPr>
          <w:rFonts w:eastAsiaTheme="minorHAnsi"/>
          <w:lang w:val="es-ES_tradnl" w:eastAsia="en-US"/>
        </w:rPr>
        <w:t>123.</w:t>
      </w:r>
      <w:r w:rsidRPr="00EF700A">
        <w:rPr>
          <w:rFonts w:eastAsiaTheme="minorHAnsi"/>
          <w:lang w:val="es-ES_tradnl" w:eastAsia="en-US"/>
        </w:rPr>
        <w:tab/>
      </w:r>
      <w:r w:rsidRPr="00EF700A">
        <w:rPr>
          <w:lang w:val="es-ES_tradnl"/>
        </w:rPr>
        <w:t>Sobre los sistemas alternativos de tutela para los menores</w:t>
      </w:r>
      <w:r w:rsidR="00AA6A62">
        <w:rPr>
          <w:lang w:val="es-ES_tradnl"/>
        </w:rPr>
        <w:t>:</w:t>
      </w:r>
    </w:p>
    <w:p w14:paraId="23021541" w14:textId="15BD0518" w:rsidR="00BD4745" w:rsidRPr="00EF700A" w:rsidRDefault="00BD4745" w:rsidP="00EF700A">
      <w:pPr>
        <w:pStyle w:val="Bullet1G"/>
        <w:rPr>
          <w:lang w:val="es-ES_tradnl"/>
        </w:rPr>
      </w:pPr>
      <w:r w:rsidRPr="00EF700A">
        <w:rPr>
          <w:lang w:val="es-ES_tradnl"/>
        </w:rPr>
        <w:t xml:space="preserve">El Estado prohíbe la presencia de niños en los centros de privación de libertad; es así que la Ley </w:t>
      </w:r>
      <w:proofErr w:type="spellStart"/>
      <w:r w:rsidRPr="00EF700A">
        <w:rPr>
          <w:lang w:val="es-ES_tradnl"/>
        </w:rPr>
        <w:t>Nº</w:t>
      </w:r>
      <w:proofErr w:type="spellEnd"/>
      <w:r w:rsidRPr="00EF700A">
        <w:rPr>
          <w:lang w:val="es-ES_tradnl"/>
        </w:rPr>
        <w:t xml:space="preserve"> 508 Código Niña, Niño y Adolescente, en su Artículo 106 establece los derechos y garantías de l</w:t>
      </w:r>
      <w:r w:rsidRPr="00EF700A">
        <w:t>a niña, niño o adolescente de madre o padre privados de libertad</w:t>
      </w:r>
      <w:r w:rsidRPr="00EF700A">
        <w:rPr>
          <w:i/>
        </w:rPr>
        <w:t xml:space="preserve">: “a) Permanecer con la madre o el padre que se encuentre en libertad; b) Si ambos se encuentran privados de libertad se le integrará a los familiares o a una familia sustituta de acuerdo a lo establecido por este Código y, de no ser posible, serán integrados en programas específicos o centros de acogimiento, mientras dure la privación de libertad, procurando que sea en la misma localidad donde sus padres se encuentren cumpliendo la medida; c) En forma excepcional, la niña o niño que no alcanzó seis (6) años de edad podrá permanecer con su madre, pero en ningún caso en los establecimientos penitenciarios para hombres. En espacios aledaños a los centros penitenciarios para mujeres se deberán habilitar centros de desarrollo infantil o guarderías; d) Acceder a programas de atención y apoyo para su desarrollo integral, </w:t>
      </w:r>
      <w:proofErr w:type="gramStart"/>
      <w:r w:rsidRPr="00EF700A">
        <w:rPr>
          <w:i/>
        </w:rPr>
        <w:t>de acuerdo a</w:t>
      </w:r>
      <w:proofErr w:type="gramEnd"/>
      <w:r w:rsidRPr="00EF700A">
        <w:rPr>
          <w:i/>
        </w:rPr>
        <w:t xml:space="preserve"> su situación; y e) Mantener los vínculos afectivos con su madre, padre o ambos, por lo que la familia ampliada, sustituta o el centro de acogimiento le facilitará visitas periódicas a los mismos”</w:t>
      </w:r>
      <w:r w:rsidRPr="00EF700A">
        <w:t xml:space="preserve">. </w:t>
      </w:r>
      <w:r w:rsidRPr="00EF700A">
        <w:rPr>
          <w:lang w:val="es-ES_tradnl"/>
        </w:rPr>
        <w:t xml:space="preserve">El Ministerio de Gobierno, a través de las autoridades de la Dirección General de Régimen Penitenciario, cuando corresponda, es responsable de su cumplimiento, además de la implementación de políticas públicas de infancia, la inversión social en niñez y los mecanismos de protección de derechos de </w:t>
      </w:r>
      <w:proofErr w:type="gramStart"/>
      <w:r w:rsidRPr="00EF700A">
        <w:rPr>
          <w:lang w:val="es-ES_tradnl"/>
        </w:rPr>
        <w:t>los niños y niñas</w:t>
      </w:r>
      <w:proofErr w:type="gramEnd"/>
      <w:r w:rsidRPr="00EF700A">
        <w:rPr>
          <w:lang w:val="es-ES_tradnl"/>
        </w:rPr>
        <w:t xml:space="preserve"> con un padre o madre privados de libertad, ante la inexistencia de alternativas que permitan a los padres contar con opciones reales y seguras para los niños.</w:t>
      </w:r>
    </w:p>
    <w:p w14:paraId="21F61769" w14:textId="71DC0D73" w:rsidR="00BD4745" w:rsidRPr="00EF700A" w:rsidRDefault="0098102E" w:rsidP="00EF700A">
      <w:pPr>
        <w:pStyle w:val="SingleTxtG"/>
      </w:pPr>
      <w:r w:rsidRPr="00EF700A">
        <w:rPr>
          <w:rFonts w:eastAsiaTheme="minorHAnsi"/>
          <w:lang w:val="es-BO" w:eastAsia="en-US"/>
        </w:rPr>
        <w:t>124.</w:t>
      </w:r>
      <w:r w:rsidRPr="00EF700A">
        <w:rPr>
          <w:rFonts w:eastAsiaTheme="minorHAnsi"/>
          <w:lang w:val="es-BO" w:eastAsia="en-US"/>
        </w:rPr>
        <w:tab/>
      </w:r>
      <w:r w:rsidR="00BD4745" w:rsidRPr="00EF700A">
        <w:t xml:space="preserve">Respecto al número de menores que vive en los centros penitenciarios. Se ha establecido también medidas afirmativas para la salida de </w:t>
      </w:r>
      <w:proofErr w:type="spellStart"/>
      <w:r w:rsidR="00BD4745" w:rsidRPr="00EF700A">
        <w:t>NNA</w:t>
      </w:r>
      <w:proofErr w:type="spellEnd"/>
      <w:r w:rsidR="00BD4745" w:rsidRPr="00EF700A">
        <w:t xml:space="preserve"> que viven en Centros Penitenciarios con sus progenitores, velando por su desarrollo integral, en coordinación con las Defensorías de la Niñez y Adolescencia Cumplidos los 6 años y 1 día se dispone su salida </w:t>
      </w:r>
      <w:r w:rsidR="00BD4745" w:rsidRPr="00EF700A">
        <w:lastRenderedPageBreak/>
        <w:t xml:space="preserve">y entrega a familiares, por lo que el número de </w:t>
      </w:r>
      <w:proofErr w:type="spellStart"/>
      <w:r w:rsidR="00BD4745" w:rsidRPr="00EF700A">
        <w:t>NNA</w:t>
      </w:r>
      <w:proofErr w:type="spellEnd"/>
      <w:r w:rsidR="00BD4745" w:rsidRPr="00EF700A">
        <w:t xml:space="preserve"> en estos recintos ha reducido en 30% </w:t>
      </w:r>
      <w:proofErr w:type="gramStart"/>
      <w:r w:rsidR="00BD4745" w:rsidRPr="00EF700A">
        <w:t>en relación a</w:t>
      </w:r>
      <w:proofErr w:type="gramEnd"/>
      <w:r w:rsidR="00BD4745" w:rsidRPr="00EF700A">
        <w:t xml:space="preserve"> la gestión 2017.</w:t>
      </w:r>
    </w:p>
    <w:p w14:paraId="78ECE4D8" w14:textId="45B65F39" w:rsidR="00BD4745" w:rsidRPr="004B0800" w:rsidRDefault="0098102E" w:rsidP="00EF700A">
      <w:pPr>
        <w:pStyle w:val="SingleTxtG"/>
        <w:rPr>
          <w:b/>
        </w:rPr>
      </w:pPr>
      <w:r w:rsidRPr="004B0800">
        <w:rPr>
          <w:rFonts w:eastAsiaTheme="minorHAnsi"/>
          <w:lang w:eastAsia="en-US"/>
        </w:rPr>
        <w:t>125.</w:t>
      </w:r>
      <w:r w:rsidRPr="004B0800">
        <w:rPr>
          <w:rFonts w:eastAsiaTheme="minorHAnsi"/>
          <w:lang w:eastAsia="en-US"/>
        </w:rPr>
        <w:tab/>
      </w:r>
      <w:r w:rsidR="00BD4745" w:rsidRPr="00EF700A">
        <w:t xml:space="preserve">Con relación a adolescentes con responsabilidad penal, el Estado promulgó la Ley </w:t>
      </w:r>
      <w:proofErr w:type="spellStart"/>
      <w:r w:rsidR="00BD4745" w:rsidRPr="00EF700A">
        <w:t>Nº</w:t>
      </w:r>
      <w:proofErr w:type="spellEnd"/>
      <w:r w:rsidR="00BD4745" w:rsidRPr="00EF700A">
        <w:t xml:space="preserve"> 548 de 17 de julio de 2014, Código Niña, Niño y Adolescentes, con el objeto de reconocer, desarrollar y regular el ejercicio de los derechos de </w:t>
      </w:r>
      <w:proofErr w:type="spellStart"/>
      <w:r w:rsidR="00BD4745" w:rsidRPr="00EF700A">
        <w:t>NNA</w:t>
      </w:r>
      <w:proofErr w:type="spellEnd"/>
      <w:r w:rsidR="00BD4745" w:rsidRPr="00EF700A">
        <w:t xml:space="preserve">, a través de la implementación </w:t>
      </w:r>
      <w:proofErr w:type="spellStart"/>
      <w:r w:rsidR="00AA6A62" w:rsidRPr="00EF700A">
        <w:t>d’un</w:t>
      </w:r>
      <w:proofErr w:type="spellEnd"/>
      <w:r w:rsidR="00BD4745" w:rsidRPr="00EF700A">
        <w:t xml:space="preserve"> Sistema Plurinacional Integral para garantizar esos derechos mediante la corresponsabilidad del Estado en todos sus niveles, la familia y la sociedad. Este Sistema está conformado por el Sistema Plurinacional de Protección Integral de </w:t>
      </w:r>
      <w:proofErr w:type="spellStart"/>
      <w:r w:rsidR="00BD4745" w:rsidRPr="00EF700A">
        <w:t>NNA</w:t>
      </w:r>
      <w:proofErr w:type="spellEnd"/>
      <w:r w:rsidR="00BD4745" w:rsidRPr="00EF700A">
        <w:t xml:space="preserve"> (</w:t>
      </w:r>
      <w:proofErr w:type="spellStart"/>
      <w:r w:rsidR="00BD4745" w:rsidRPr="00EF700A">
        <w:t>SIPROINA</w:t>
      </w:r>
      <w:proofErr w:type="spellEnd"/>
      <w:r w:rsidR="00BD4745" w:rsidRPr="00EF700A">
        <w:t>) y el Sistema Penal para Adolescentes.</w:t>
      </w:r>
    </w:p>
    <w:p w14:paraId="33141A2C" w14:textId="653E74D8" w:rsidR="00BD4745" w:rsidRPr="00EF700A" w:rsidRDefault="0098102E" w:rsidP="00EF700A">
      <w:pPr>
        <w:pStyle w:val="SingleTxtG"/>
      </w:pPr>
      <w:r w:rsidRPr="00EF700A">
        <w:rPr>
          <w:rFonts w:eastAsiaTheme="minorHAnsi"/>
          <w:lang w:val="es-BO" w:eastAsia="en-US"/>
        </w:rPr>
        <w:t>126.</w:t>
      </w:r>
      <w:r w:rsidRPr="00EF700A">
        <w:rPr>
          <w:rFonts w:eastAsiaTheme="minorHAnsi"/>
          <w:lang w:val="es-BO" w:eastAsia="en-US"/>
        </w:rPr>
        <w:tab/>
      </w:r>
      <w:r w:rsidR="00BD4745" w:rsidRPr="00EF700A">
        <w:t xml:space="preserve">En tal sentido, el país cuenta con un total de 17 Centros de Reintegración Social, los mismos que albergan a 394 adolescentes de los cuales 19 son mujeres y 375 son varones; y 9 Centros de Orientación que tienen a su cargo la atención de adolescentes con responsabilidad penal; población que asciende a 783, de los que 132 adolescentes se encuentran con la medida cautelar de detención preventiva. </w:t>
      </w:r>
    </w:p>
    <w:p w14:paraId="253CCC73" w14:textId="260DAB84" w:rsidR="00BD4745" w:rsidRPr="00EF700A" w:rsidRDefault="0098102E" w:rsidP="00EF700A">
      <w:pPr>
        <w:pStyle w:val="SingleTxtG"/>
      </w:pPr>
      <w:r w:rsidRPr="00EF700A">
        <w:rPr>
          <w:rFonts w:eastAsiaTheme="minorHAnsi"/>
          <w:lang w:val="es-BO" w:eastAsia="en-US"/>
        </w:rPr>
        <w:t>127.</w:t>
      </w:r>
      <w:r w:rsidRPr="00EF700A">
        <w:rPr>
          <w:rFonts w:eastAsiaTheme="minorHAnsi"/>
          <w:lang w:val="es-BO" w:eastAsia="en-US"/>
        </w:rPr>
        <w:tab/>
      </w:r>
      <w:r w:rsidR="00BD4745" w:rsidRPr="00EF700A">
        <w:t>Entre los avances que se tienen en el Sistema Penal para Adolescentes en el país, podemos señalar:</w:t>
      </w:r>
    </w:p>
    <w:p w14:paraId="287C0FAD" w14:textId="456F8F77" w:rsidR="00BD4745" w:rsidRPr="002014CD" w:rsidRDefault="0098102E" w:rsidP="0098102E">
      <w:pPr>
        <w:pStyle w:val="Bullet1G"/>
        <w:numPr>
          <w:ilvl w:val="0"/>
          <w:numId w:val="0"/>
        </w:numPr>
        <w:tabs>
          <w:tab w:val="left" w:pos="1701"/>
        </w:tabs>
        <w:ind w:left="1701" w:hanging="170"/>
      </w:pPr>
      <w:r w:rsidRPr="002014CD">
        <w:t>•</w:t>
      </w:r>
      <w:r w:rsidRPr="002014CD">
        <w:tab/>
      </w:r>
      <w:r w:rsidR="00BD4745" w:rsidRPr="002014CD">
        <w:t xml:space="preserve">Reducción de la medida cautelar de detención preventiva de un 92 % </w:t>
      </w:r>
      <w:r w:rsidR="00AA6A62">
        <w:t>en el 2012 a un 48 % en el 2018</w:t>
      </w:r>
      <w:r w:rsidR="00A164D8">
        <w:t>.</w:t>
      </w:r>
    </w:p>
    <w:p w14:paraId="3A7226A8" w14:textId="63DF9435" w:rsidR="00BD4745" w:rsidRPr="002014CD" w:rsidRDefault="0098102E" w:rsidP="0098102E">
      <w:pPr>
        <w:pStyle w:val="Bullet1G"/>
        <w:numPr>
          <w:ilvl w:val="0"/>
          <w:numId w:val="0"/>
        </w:numPr>
        <w:tabs>
          <w:tab w:val="left" w:pos="1701"/>
        </w:tabs>
        <w:ind w:left="1701" w:hanging="170"/>
      </w:pPr>
      <w:r w:rsidRPr="002014CD">
        <w:t>•</w:t>
      </w:r>
      <w:r w:rsidRPr="002014CD">
        <w:tab/>
      </w:r>
      <w:r w:rsidR="00BD4745" w:rsidRPr="002014CD">
        <w:t>La aplicación de mecanismos de justicia restaurativa que posibilitan el encuentro entre adolescentes y víctimas</w:t>
      </w:r>
      <w:r w:rsidR="00A164D8">
        <w:t>.</w:t>
      </w:r>
    </w:p>
    <w:p w14:paraId="4841C775" w14:textId="13459624" w:rsidR="00BD4745" w:rsidRPr="002014CD" w:rsidRDefault="0098102E" w:rsidP="0098102E">
      <w:pPr>
        <w:pStyle w:val="Bullet1G"/>
        <w:numPr>
          <w:ilvl w:val="0"/>
          <w:numId w:val="0"/>
        </w:numPr>
        <w:tabs>
          <w:tab w:val="left" w:pos="1701"/>
        </w:tabs>
        <w:ind w:left="1701" w:hanging="170"/>
      </w:pPr>
      <w:r w:rsidRPr="002014CD">
        <w:t>•</w:t>
      </w:r>
      <w:r w:rsidRPr="002014CD">
        <w:tab/>
      </w:r>
      <w:r w:rsidR="00BD4745" w:rsidRPr="002014CD">
        <w:t>La conformación de Mesas Departamentales de Justicia Penal para Adolescentes que posibilitaron la articulación de los integrantes del Sistema Penal para Adolescentes</w:t>
      </w:r>
      <w:r w:rsidR="00A164D8">
        <w:t>.</w:t>
      </w:r>
    </w:p>
    <w:p w14:paraId="1E8DB7D6" w14:textId="48FBDB53" w:rsidR="00BD4745" w:rsidRPr="002014CD" w:rsidRDefault="0098102E" w:rsidP="0098102E">
      <w:pPr>
        <w:pStyle w:val="Bullet1G"/>
        <w:numPr>
          <w:ilvl w:val="0"/>
          <w:numId w:val="0"/>
        </w:numPr>
        <w:tabs>
          <w:tab w:val="left" w:pos="1701"/>
        </w:tabs>
        <w:ind w:left="1701" w:hanging="170"/>
      </w:pPr>
      <w:r w:rsidRPr="002014CD">
        <w:t>•</w:t>
      </w:r>
      <w:r w:rsidRPr="002014CD">
        <w:tab/>
      </w:r>
      <w:r w:rsidR="00BD4745" w:rsidRPr="002014CD">
        <w:t>Se desarrollaron lineamientos, protocolos, manuales y guías para orientar el trabajo de las instituciones integrantes del Sistema Penal para Adolescentes.</w:t>
      </w:r>
    </w:p>
    <w:p w14:paraId="3DD24889" w14:textId="0F40EE1F" w:rsidR="00BD4745" w:rsidRPr="00EF700A" w:rsidRDefault="0098102E" w:rsidP="00EF700A">
      <w:pPr>
        <w:pStyle w:val="SingleTxtG"/>
      </w:pPr>
      <w:r w:rsidRPr="00EF700A">
        <w:rPr>
          <w:rFonts w:eastAsiaTheme="minorHAnsi"/>
          <w:lang w:val="es-BO" w:eastAsia="en-US"/>
        </w:rPr>
        <w:t>128.</w:t>
      </w:r>
      <w:r w:rsidRPr="00EF700A">
        <w:rPr>
          <w:rFonts w:eastAsiaTheme="minorHAnsi"/>
          <w:lang w:val="es-BO" w:eastAsia="en-US"/>
        </w:rPr>
        <w:tab/>
      </w:r>
      <w:r w:rsidR="00BD4745" w:rsidRPr="00EF700A">
        <w:t xml:space="preserve">Tomando en cuenta la emergencia sanitaria por la COVID-19, el Viceministerio de Igualdad de Oportunidades, ha solicitado a todos los Centros de Orientación y Reintegración Social dependientes de las Instancias Técnicas Departamentales de Gestión Social, remitan información sobre el estado situacional de las personas adolescentes con responsabilidad penal, a fin de generar estrategias de protección para </w:t>
      </w:r>
      <w:proofErr w:type="gramStart"/>
      <w:r w:rsidR="00BD4745" w:rsidRPr="00EF700A">
        <w:t>ésta</w:t>
      </w:r>
      <w:proofErr w:type="gramEnd"/>
      <w:r w:rsidR="00BD4745" w:rsidRPr="00EF700A">
        <w:t xml:space="preserve"> población vulnerable.</w:t>
      </w:r>
    </w:p>
    <w:p w14:paraId="473587A9" w14:textId="6F9D913B" w:rsidR="00BD4745" w:rsidRPr="002014CD" w:rsidRDefault="00BD4745">
      <w:pPr>
        <w:pStyle w:val="H1G"/>
      </w:pPr>
      <w:r w:rsidRPr="002014CD">
        <w:tab/>
      </w:r>
      <w:r w:rsidRPr="002014CD">
        <w:tab/>
        <w:t>Eliminación del trabajo forzoso y la trata de personas</w:t>
      </w:r>
      <w:r w:rsidR="003C15F4">
        <w:br/>
      </w:r>
      <w:r w:rsidRPr="002014CD">
        <w:rPr>
          <w:lang w:val="es-ES_tradnl"/>
        </w:rPr>
        <w:t>(arts. 7, 8, 14 y 24)</w:t>
      </w:r>
    </w:p>
    <w:p w14:paraId="6BA23AB4" w14:textId="0AD98072" w:rsidR="00BD4745" w:rsidRPr="002014CD" w:rsidRDefault="00EF700A">
      <w:pPr>
        <w:pStyle w:val="H23G"/>
      </w:pPr>
      <w:r>
        <w:tab/>
      </w:r>
      <w:r w:rsidR="00BD4745" w:rsidRPr="002014CD">
        <w:t>17.</w:t>
      </w:r>
      <w:r>
        <w:tab/>
      </w:r>
      <w:r w:rsidR="0052731F" w:rsidRPr="00ED0B85">
        <w:t xml:space="preserve">Respuesta al </w:t>
      </w:r>
      <w:r w:rsidR="0052731F" w:rsidRPr="001A1E5D">
        <w:t>párrafo 1</w:t>
      </w:r>
      <w:r w:rsidR="0052731F">
        <w:t>7</w:t>
      </w:r>
      <w:r w:rsidR="0052731F" w:rsidRPr="001A1E5D">
        <w:t xml:space="preserve"> </w:t>
      </w:r>
      <w:r w:rsidR="0052731F" w:rsidRPr="001A1E5D">
        <w:rPr>
          <w:lang w:val="es-ES_tradnl"/>
        </w:rPr>
        <w:t xml:space="preserve">de </w:t>
      </w:r>
      <w:r w:rsidR="0052731F">
        <w:rPr>
          <w:lang w:val="es-ES_tradnl"/>
        </w:rPr>
        <w:t>la lista de cuestiones</w:t>
      </w:r>
    </w:p>
    <w:p w14:paraId="49B30333" w14:textId="55213A34" w:rsidR="00BD4745" w:rsidRPr="00EF700A" w:rsidRDefault="0098102E" w:rsidP="00EF700A">
      <w:pPr>
        <w:pStyle w:val="SingleTxtG"/>
      </w:pPr>
      <w:r w:rsidRPr="00EF700A">
        <w:rPr>
          <w:rFonts w:eastAsiaTheme="minorHAnsi"/>
          <w:lang w:val="es-BO" w:eastAsia="en-US"/>
        </w:rPr>
        <w:t>129.</w:t>
      </w:r>
      <w:r w:rsidRPr="00EF700A">
        <w:rPr>
          <w:rFonts w:eastAsiaTheme="minorHAnsi"/>
          <w:lang w:val="es-BO" w:eastAsia="en-US"/>
        </w:rPr>
        <w:tab/>
      </w:r>
      <w:r w:rsidR="00BD4745" w:rsidRPr="00EF700A">
        <w:t xml:space="preserve">El Estado Boliviano, ha implementado el proyecto “Erradicación Progresiva del Trabajo Forzoso y otras Formas Análogas de Familias Indígenas en sectores de Chaco, Amazonía y Norte Integrado de Santa Cruz”, aprobado el 07 de mayo de 2014, fecha en que se suscribió el Convenio </w:t>
      </w:r>
      <w:proofErr w:type="spellStart"/>
      <w:r w:rsidR="00BD4745" w:rsidRPr="00EF700A">
        <w:t>N</w:t>
      </w:r>
      <w:r w:rsidR="00960AEB">
        <w:t>º</w:t>
      </w:r>
      <w:proofErr w:type="spellEnd"/>
      <w:r w:rsidR="00BD4745" w:rsidRPr="00EF700A">
        <w:t xml:space="preserve"> 81026161 entre el Estado Plurinacional de Bolivia y el Gobierno de Suiza.</w:t>
      </w:r>
    </w:p>
    <w:p w14:paraId="738EA672" w14:textId="1FC9F68D" w:rsidR="00BD4745" w:rsidRPr="00EF700A" w:rsidRDefault="0098102E" w:rsidP="00EF700A">
      <w:pPr>
        <w:pStyle w:val="SingleTxtG"/>
      </w:pPr>
      <w:r w:rsidRPr="00EF700A">
        <w:rPr>
          <w:rFonts w:eastAsiaTheme="minorHAnsi"/>
          <w:lang w:val="es-BO" w:eastAsia="en-US"/>
        </w:rPr>
        <w:t>130.</w:t>
      </w:r>
      <w:r w:rsidRPr="00EF700A">
        <w:rPr>
          <w:rFonts w:eastAsiaTheme="minorHAnsi"/>
          <w:lang w:val="es-BO" w:eastAsia="en-US"/>
        </w:rPr>
        <w:tab/>
      </w:r>
      <w:proofErr w:type="gramStart"/>
      <w:r w:rsidR="00BD4745" w:rsidRPr="00EF700A">
        <w:t>De acuerdo a</w:t>
      </w:r>
      <w:proofErr w:type="gramEnd"/>
      <w:r w:rsidR="00BD4745" w:rsidRPr="00EF700A">
        <w:t xml:space="preserve"> las características y componentes del proyecto se tenía tres lineamientos estratégicos: 1) </w:t>
      </w:r>
      <w:r w:rsidR="003C15F4">
        <w:t>p</w:t>
      </w:r>
      <w:r w:rsidR="00BD4745" w:rsidRPr="00EF700A">
        <w:t xml:space="preserve">resencia de Estado, 2) </w:t>
      </w:r>
      <w:r w:rsidR="003C15F4">
        <w:t>d</w:t>
      </w:r>
      <w:r w:rsidR="00BD4745" w:rsidRPr="00EF700A">
        <w:t>erechos Humanos Fundamentales, 3)</w:t>
      </w:r>
      <w:r w:rsidR="003C15F4">
        <w:t> f</w:t>
      </w:r>
      <w:r w:rsidR="00BD4745" w:rsidRPr="00EF700A">
        <w:t xml:space="preserve">ortalecimiento Institucional, focalizado en el Chaco y la Amazonía Boliviana y Norte Integrado de Santa Cruz. Todo ello enfocado en el marco de la Agenda Patriótica 2025 según el mandato de su pilar fundamental erradicación de la extrema pobreza, llegando a poblaciones de alta vulnerabilidad a través de las Jefaturas Regionales de Trabajo de Camiri, Montero, Trinidad y Riberalta, ampliando la intervención a Guayaramerín y Norte Integrado de Santa Cruz, con inspectores de Trabajo Forzoso dependientes de la Unidad de Derechos Fundamentales, dirigido a actores sociales focalizados entre trabajadores y trabajadoras de pueblos indígenas (zafra, estancias ganaderas, castañeros). Cabe resaltar en particular que en el modelo de las Inspectorías </w:t>
      </w:r>
      <w:proofErr w:type="gramStart"/>
      <w:r w:rsidR="00BD4745" w:rsidRPr="00EF700A">
        <w:t>socio-laborales</w:t>
      </w:r>
      <w:proofErr w:type="gramEnd"/>
      <w:r w:rsidR="00BD4745" w:rsidRPr="00EF700A">
        <w:t xml:space="preserve"> integrales participaban entre otros actores sociales las autoridades sindicales y originarias del lugar.</w:t>
      </w:r>
    </w:p>
    <w:p w14:paraId="42946B56" w14:textId="273DAC31" w:rsidR="00BD4745" w:rsidRPr="00EF700A" w:rsidRDefault="0098102E" w:rsidP="00EF700A">
      <w:pPr>
        <w:pStyle w:val="SingleTxtG"/>
      </w:pPr>
      <w:r w:rsidRPr="00EF700A">
        <w:rPr>
          <w:rFonts w:eastAsiaTheme="minorHAnsi"/>
          <w:lang w:val="es-BO" w:eastAsia="en-US"/>
        </w:rPr>
        <w:t>131.</w:t>
      </w:r>
      <w:r w:rsidRPr="00EF700A">
        <w:rPr>
          <w:rFonts w:eastAsiaTheme="minorHAnsi"/>
          <w:lang w:val="es-BO" w:eastAsia="en-US"/>
        </w:rPr>
        <w:tab/>
      </w:r>
      <w:r w:rsidR="00BD4745" w:rsidRPr="00EF700A">
        <w:t>De acuerdo a los objetivos programados para la Gestión 2014 “Al menos 5</w:t>
      </w:r>
      <w:r w:rsidR="00960AEB">
        <w:t>.</w:t>
      </w:r>
      <w:r w:rsidR="00BD4745" w:rsidRPr="00EF700A">
        <w:t>011 (2</w:t>
      </w:r>
      <w:r w:rsidR="00960AEB">
        <w:t xml:space="preserve"> </w:t>
      </w:r>
      <w:r w:rsidR="00BD4745" w:rsidRPr="00EF700A">
        <w:t xml:space="preserve">%) trabajadores y trabajadoras en situación de trabajo forzoso u otras formas análogas de las </w:t>
      </w:r>
      <w:r w:rsidR="00BD4745" w:rsidRPr="00EF700A">
        <w:lastRenderedPageBreak/>
        <w:t xml:space="preserve">regiones de Chaco y Amazonía Boliviana conocen sus derechos a través de acciones integrales que coadyuven al cumplimiento de derechos </w:t>
      </w:r>
      <w:proofErr w:type="gramStart"/>
      <w:r w:rsidR="00BD4745" w:rsidRPr="00EF700A">
        <w:t>socio-laborales</w:t>
      </w:r>
      <w:proofErr w:type="gramEnd"/>
      <w:r w:rsidR="00BD4745" w:rsidRPr="00EF700A">
        <w:t xml:space="preserve"> y derechos fundamentales de trabajo”. </w:t>
      </w:r>
    </w:p>
    <w:p w14:paraId="52E688E6" w14:textId="1A3E7EFB" w:rsidR="00BD4745" w:rsidRPr="00EF700A" w:rsidRDefault="0098102E" w:rsidP="00EF700A">
      <w:pPr>
        <w:pStyle w:val="SingleTxtG"/>
      </w:pPr>
      <w:r w:rsidRPr="00EF700A">
        <w:rPr>
          <w:rFonts w:eastAsiaTheme="minorHAnsi"/>
          <w:lang w:val="es-BO" w:eastAsia="en-US"/>
        </w:rPr>
        <w:t>132.</w:t>
      </w:r>
      <w:r w:rsidRPr="00EF700A">
        <w:rPr>
          <w:rFonts w:eastAsiaTheme="minorHAnsi"/>
          <w:lang w:val="es-BO" w:eastAsia="en-US"/>
        </w:rPr>
        <w:tab/>
      </w:r>
      <w:r w:rsidR="00BD4745" w:rsidRPr="00EF700A">
        <w:t>Por otra parte el Ministerio de Trabajo, Empleo y Previsión Social a través de la Unidad de Derechos Fundamentales, realiza acciones de verificación y control sobre la aplicación y cumplimiento de la normativa socio laboral en vigencia en el país, mediante inspectorías especializadas o integrales, sentando la presencia de Estado en regiones alejadas del país, estas acciones técnico-operativas se realizan en diversos establecimientos laborales (Empresas agrícolas, ganaderas, aserraderos o de industria maderera y otros) donde se restituyen derechos socio-laborales y fundamentales garantizando a los trabajadores y trabajadoras asalariados rurales el ejercicio de sus derechos, asegurando el cumplimiento del salario mínimo nacional establecido por ley.</w:t>
      </w:r>
    </w:p>
    <w:p w14:paraId="711EC468" w14:textId="4E7BC5DF" w:rsidR="00BD4745" w:rsidRPr="00EF700A" w:rsidRDefault="0098102E" w:rsidP="00EF700A">
      <w:pPr>
        <w:pStyle w:val="SingleTxtG"/>
      </w:pPr>
      <w:r w:rsidRPr="00EF700A">
        <w:rPr>
          <w:rFonts w:eastAsiaTheme="minorHAnsi"/>
          <w:lang w:val="es-BO" w:eastAsia="en-US"/>
        </w:rPr>
        <w:t>133.</w:t>
      </w:r>
      <w:r w:rsidRPr="00EF700A">
        <w:rPr>
          <w:rFonts w:eastAsiaTheme="minorHAnsi"/>
          <w:lang w:val="es-BO" w:eastAsia="en-US"/>
        </w:rPr>
        <w:tab/>
      </w:r>
      <w:r w:rsidR="00BD4745" w:rsidRPr="00EF700A">
        <w:t xml:space="preserve">Actualmente, mediante Decreto Supremo </w:t>
      </w:r>
      <w:proofErr w:type="spellStart"/>
      <w:r w:rsidR="00BD4745" w:rsidRPr="00EF700A">
        <w:t>Nº</w:t>
      </w:r>
      <w:proofErr w:type="spellEnd"/>
      <w:r w:rsidR="00BD4745" w:rsidRPr="00EF700A">
        <w:t xml:space="preserve"> 4501 de 1 de mayo de 2021 se ha establecido un salario mínimo nacional; asimismo, mediante inspectorías especializadas o integrales en zonas rurales, los empleadores están regularizando progresivamente el cumplimiento de los derechos socio-laborales de sus dependientes, lo que incluye la dotación de ropa de trabajo, seguro corto y largo plazo, cancelación de beneficios sociales y otros según el caso, que permite al Estado garantizar la protección de los derechos fundamentales del trabajo.</w:t>
      </w:r>
    </w:p>
    <w:p w14:paraId="4461B65A" w14:textId="3B6A0C4E" w:rsidR="00BD4745" w:rsidRPr="00EF700A" w:rsidRDefault="0098102E" w:rsidP="00EF700A">
      <w:pPr>
        <w:pStyle w:val="SingleTxtG"/>
      </w:pPr>
      <w:r w:rsidRPr="00EF700A">
        <w:rPr>
          <w:rFonts w:eastAsiaTheme="minorHAnsi"/>
          <w:lang w:val="es-BO" w:eastAsia="en-US"/>
        </w:rPr>
        <w:t>134.</w:t>
      </w:r>
      <w:r w:rsidRPr="00EF700A">
        <w:rPr>
          <w:rFonts w:eastAsiaTheme="minorHAnsi"/>
          <w:lang w:val="es-BO" w:eastAsia="en-US"/>
        </w:rPr>
        <w:tab/>
      </w:r>
      <w:r w:rsidR="00BD4745" w:rsidRPr="00EF700A">
        <w:t xml:space="preserve">Respecto a denuncias relacionadas a trabajo forzoso o en condiciones de servidumbre y sus resultados; así como las funciones del Instituto Nacional de Reforma Agraria con respecto a los casos remitidos a esta institución, el Parágrafo V del Artículo 15 de la Constitución Política del Estado, establece que ninguna persona podrá ser sometida a servidumbre ni esclavitud; asimismo, el Parágrafo I del Artículo 397, señala que el trabajo es la fuente fundamental para la adquisición y conservación de la propiedad agraria, por lo que las propiedades deberán cumplir con la función social o con la función económica social para salvaguardar su derecho de acuerdo a la naturaleza de la propiedad. </w:t>
      </w:r>
    </w:p>
    <w:p w14:paraId="739D7C2D" w14:textId="222D4B2C" w:rsidR="00BD4745" w:rsidRPr="00EF700A" w:rsidRDefault="0098102E" w:rsidP="00EF700A">
      <w:pPr>
        <w:pStyle w:val="SingleTxtG"/>
      </w:pPr>
      <w:r w:rsidRPr="00EF700A">
        <w:rPr>
          <w:rFonts w:eastAsiaTheme="minorHAnsi"/>
          <w:lang w:val="es-BO" w:eastAsia="en-US"/>
        </w:rPr>
        <w:t>135.</w:t>
      </w:r>
      <w:r w:rsidRPr="00EF700A">
        <w:rPr>
          <w:rFonts w:eastAsiaTheme="minorHAnsi"/>
          <w:lang w:val="es-BO" w:eastAsia="en-US"/>
        </w:rPr>
        <w:tab/>
      </w:r>
      <w:r w:rsidR="00BD4745" w:rsidRPr="00EF700A">
        <w:t xml:space="preserve">La Ley </w:t>
      </w:r>
      <w:proofErr w:type="spellStart"/>
      <w:r w:rsidR="00BD4745" w:rsidRPr="00EF700A">
        <w:t>Nº</w:t>
      </w:r>
      <w:proofErr w:type="spellEnd"/>
      <w:r w:rsidR="00BD4745" w:rsidRPr="00EF700A">
        <w:t xml:space="preserve"> 1715, de 18 de octubre de 1996, del Servicio Nacional de Reforma Agraria, modificada por la Ley </w:t>
      </w:r>
      <w:proofErr w:type="spellStart"/>
      <w:r w:rsidR="00BD4745" w:rsidRPr="00EF700A">
        <w:t>Nº</w:t>
      </w:r>
      <w:proofErr w:type="spellEnd"/>
      <w:r w:rsidR="00BD4745" w:rsidRPr="00EF700A">
        <w:t xml:space="preserve"> 3545, de 28 de noviembre de 2006, de Reconducción Comunitaria de la Reforma Agraria, establece que la función </w:t>
      </w:r>
      <w:proofErr w:type="spellStart"/>
      <w:r w:rsidR="00BD4745" w:rsidRPr="00EF700A">
        <w:t>económicosocial</w:t>
      </w:r>
      <w:proofErr w:type="spellEnd"/>
      <w:r w:rsidR="00BD4745" w:rsidRPr="00EF700A">
        <w:t xml:space="preserve">, en materia agraria, debe realizarse en beneficio de la sociedad, el interés colectivo y el de su propietario. Además, el Artículo 157 del Decreto Supremo No 29215, de 2 de agosto de 2007, determina que la existencia de un sistema </w:t>
      </w:r>
      <w:proofErr w:type="spellStart"/>
      <w:r w:rsidR="00BD4745" w:rsidRPr="00EF700A">
        <w:t>servidumbral</w:t>
      </w:r>
      <w:proofErr w:type="spellEnd"/>
      <w:r w:rsidR="00BD4745" w:rsidRPr="00EF700A">
        <w:t xml:space="preserve">, trabajo forzoso, </w:t>
      </w:r>
      <w:proofErr w:type="spellStart"/>
      <w:r w:rsidR="00BD4745" w:rsidRPr="00EF700A">
        <w:t>peonazgo</w:t>
      </w:r>
      <w:proofErr w:type="spellEnd"/>
      <w:r w:rsidR="00BD4745" w:rsidRPr="00EF700A">
        <w:t xml:space="preserve"> por deudas y/o esclavitud de familias o personas cautivas en el área rural, es contraria al beneficio de la sociedad y el interés colectivo y que por tanto implica el incumplimiento de la función económico-social. </w:t>
      </w:r>
    </w:p>
    <w:p w14:paraId="7BB1B03F" w14:textId="662F34EF" w:rsidR="00BD4745" w:rsidRPr="00EF700A" w:rsidRDefault="0098102E" w:rsidP="00EF700A">
      <w:pPr>
        <w:pStyle w:val="SingleTxtG"/>
      </w:pPr>
      <w:r w:rsidRPr="00EF700A">
        <w:rPr>
          <w:rFonts w:eastAsiaTheme="minorHAnsi"/>
          <w:lang w:val="es-BO" w:eastAsia="en-US"/>
        </w:rPr>
        <w:t>136.</w:t>
      </w:r>
      <w:r w:rsidRPr="00EF700A">
        <w:rPr>
          <w:rFonts w:eastAsiaTheme="minorHAnsi"/>
          <w:lang w:val="es-BO" w:eastAsia="en-US"/>
        </w:rPr>
        <w:tab/>
      </w:r>
      <w:r w:rsidR="00BD4745" w:rsidRPr="00EF700A">
        <w:t xml:space="preserve">Mediante Decreto Supremo </w:t>
      </w:r>
      <w:proofErr w:type="spellStart"/>
      <w:r w:rsidR="00BD4745" w:rsidRPr="00EF700A">
        <w:t>Nº</w:t>
      </w:r>
      <w:proofErr w:type="spellEnd"/>
      <w:r w:rsidR="00BD4745" w:rsidRPr="00EF700A">
        <w:t xml:space="preserve"> 29802, de 19 de noviembre de 2008, se ha establecido lo que en materia agraria se entenderá por sistemas </w:t>
      </w:r>
      <w:proofErr w:type="spellStart"/>
      <w:r w:rsidR="00BD4745" w:rsidRPr="00EF700A">
        <w:t>servidumbrales</w:t>
      </w:r>
      <w:proofErr w:type="spellEnd"/>
      <w:r w:rsidR="00BD4745" w:rsidRPr="00EF700A">
        <w:t xml:space="preserve">, trabajo forzoso, </w:t>
      </w:r>
      <w:proofErr w:type="spellStart"/>
      <w:r w:rsidR="00BD4745" w:rsidRPr="00EF700A">
        <w:t>peonazgo</w:t>
      </w:r>
      <w:proofErr w:type="spellEnd"/>
      <w:r w:rsidR="00BD4745" w:rsidRPr="00EF700A">
        <w:t xml:space="preserve"> por deudas y o esclavitud de familias o personas cautivas o formas análogas; asimismo, se ha precisado la atribución del Instituto Nacional de Reforma Agraria - </w:t>
      </w:r>
      <w:proofErr w:type="spellStart"/>
      <w:r w:rsidR="00BD4745" w:rsidRPr="00EF700A">
        <w:t>INRA</w:t>
      </w:r>
      <w:proofErr w:type="spellEnd"/>
      <w:r w:rsidR="00BD4745" w:rsidRPr="00EF700A">
        <w:t xml:space="preserve"> para verificar y establecer la existencia de estos sistemas </w:t>
      </w:r>
      <w:proofErr w:type="spellStart"/>
      <w:r w:rsidR="00BD4745" w:rsidRPr="00EF700A">
        <w:t>servidumbrales</w:t>
      </w:r>
      <w:proofErr w:type="spellEnd"/>
      <w:r w:rsidR="00BD4745" w:rsidRPr="00EF700A">
        <w:t xml:space="preserve">, trabajo forzoso o formas análogas, durante la verificación del cumplimiento de la Función </w:t>
      </w:r>
      <w:proofErr w:type="spellStart"/>
      <w:r w:rsidR="00BD4745" w:rsidRPr="00EF700A">
        <w:t>EconómicoSocial</w:t>
      </w:r>
      <w:proofErr w:type="spellEnd"/>
      <w:r w:rsidR="00BD4745" w:rsidRPr="00EF700A">
        <w:t>.</w:t>
      </w:r>
    </w:p>
    <w:p w14:paraId="6AC36249" w14:textId="7DB1D71B" w:rsidR="00BD4745" w:rsidRPr="00EF700A" w:rsidRDefault="0098102E" w:rsidP="00EF700A">
      <w:pPr>
        <w:pStyle w:val="SingleTxtG"/>
      </w:pPr>
      <w:r w:rsidRPr="00EF700A">
        <w:rPr>
          <w:rFonts w:eastAsiaTheme="minorHAnsi"/>
          <w:lang w:val="es-BO" w:eastAsia="en-US"/>
        </w:rPr>
        <w:t>137.</w:t>
      </w:r>
      <w:r w:rsidRPr="00EF700A">
        <w:rPr>
          <w:rFonts w:eastAsiaTheme="minorHAnsi"/>
          <w:lang w:val="es-BO" w:eastAsia="en-US"/>
        </w:rPr>
        <w:tab/>
      </w:r>
      <w:r w:rsidR="00BD4745" w:rsidRPr="00EF700A">
        <w:t xml:space="preserve">Respecto al número de denuncias relacionadas a trabajo forzoso o en condiciones de servidumbre, el </w:t>
      </w:r>
      <w:proofErr w:type="spellStart"/>
      <w:r w:rsidR="00BD4745" w:rsidRPr="00EF700A">
        <w:t>INRA</w:t>
      </w:r>
      <w:proofErr w:type="spellEnd"/>
      <w:r w:rsidR="00BD4745" w:rsidRPr="00EF700A">
        <w:t xml:space="preserve"> no registró ninguna.</w:t>
      </w:r>
    </w:p>
    <w:p w14:paraId="649E7F08" w14:textId="6A9A2412" w:rsidR="00BD4745" w:rsidRPr="002014CD" w:rsidRDefault="00EF700A">
      <w:pPr>
        <w:pStyle w:val="H23G"/>
      </w:pPr>
      <w:r>
        <w:tab/>
      </w:r>
      <w:r w:rsidR="00BD4745" w:rsidRPr="002014CD">
        <w:t>18.</w:t>
      </w:r>
      <w:r>
        <w:tab/>
      </w:r>
      <w:r w:rsidR="0052731F" w:rsidRPr="00ED0B85">
        <w:t xml:space="preserve">Respuesta al </w:t>
      </w:r>
      <w:r w:rsidR="0052731F" w:rsidRPr="001A1E5D">
        <w:t>párrafo 1</w:t>
      </w:r>
      <w:r w:rsidR="0052731F">
        <w:t>8</w:t>
      </w:r>
      <w:r w:rsidR="0052731F" w:rsidRPr="001A1E5D">
        <w:t xml:space="preserve"> </w:t>
      </w:r>
      <w:r w:rsidR="0052731F" w:rsidRPr="001A1E5D">
        <w:rPr>
          <w:lang w:val="es-ES_tradnl"/>
        </w:rPr>
        <w:t xml:space="preserve">de </w:t>
      </w:r>
      <w:r w:rsidR="0052731F">
        <w:rPr>
          <w:lang w:val="es-ES_tradnl"/>
        </w:rPr>
        <w:t>la lista de cuestiones</w:t>
      </w:r>
    </w:p>
    <w:p w14:paraId="2F7C410E" w14:textId="24E69134" w:rsidR="00BD4745" w:rsidRPr="00EF700A" w:rsidRDefault="0098102E" w:rsidP="00EF700A">
      <w:pPr>
        <w:pStyle w:val="SingleTxtG"/>
      </w:pPr>
      <w:r w:rsidRPr="00EF700A">
        <w:rPr>
          <w:rFonts w:eastAsiaTheme="minorHAnsi"/>
          <w:lang w:val="es-BO" w:eastAsia="en-US"/>
        </w:rPr>
        <w:t>138.</w:t>
      </w:r>
      <w:r w:rsidRPr="00EF700A">
        <w:rPr>
          <w:rFonts w:eastAsiaTheme="minorHAnsi"/>
          <w:lang w:val="es-BO" w:eastAsia="en-US"/>
        </w:rPr>
        <w:tab/>
      </w:r>
      <w:r w:rsidR="00BD4745" w:rsidRPr="00EF700A">
        <w:t xml:space="preserve">El Estado Boliviano sustentado en los principios, valores y mandatos constitucionales para garantizar a las niñas, niños y adolescentes, el ejercicio pleno, efectivo y preferente de sus derechos; implementa mecanismos e instrumentos públicos que permitan la prevención, protección y defensa de </w:t>
      </w:r>
      <w:proofErr w:type="gramStart"/>
      <w:r w:rsidR="00BD4745" w:rsidRPr="00EF700A">
        <w:t>los mismos</w:t>
      </w:r>
      <w:proofErr w:type="gramEnd"/>
      <w:r w:rsidR="00BD4745" w:rsidRPr="00EF700A">
        <w:t xml:space="preserve">. En este sentido, la normativa establece que la edad mínima para trabajar es de 14 años; asimismo, regula el trabajo por cuenta propia, por cuenta ajena y asalariado del hogar; prohíbe la explotación laboral y económica del </w:t>
      </w:r>
      <w:proofErr w:type="spellStart"/>
      <w:r w:rsidR="00BD4745" w:rsidRPr="00EF700A">
        <w:t>NNA</w:t>
      </w:r>
      <w:proofErr w:type="spellEnd"/>
      <w:r w:rsidR="00BD4745" w:rsidRPr="00EF700A">
        <w:t xml:space="preserve">, prohíbe expresamente los trabajos que por su naturaleza y condición sean peligrosos, insalubres o atentatorios a la dignidad, y aquellos que pongan en riesgo su permanencia en el sistema educativo. </w:t>
      </w:r>
    </w:p>
    <w:p w14:paraId="4CD8862F" w14:textId="0F0CFF09" w:rsidR="00BD4745" w:rsidRPr="00EF700A" w:rsidRDefault="0098102E" w:rsidP="00EF700A">
      <w:pPr>
        <w:pStyle w:val="SingleTxtG"/>
      </w:pPr>
      <w:r w:rsidRPr="00EF700A">
        <w:rPr>
          <w:rFonts w:eastAsiaTheme="minorHAnsi"/>
          <w:lang w:val="es-BO" w:eastAsia="en-US"/>
        </w:rPr>
        <w:lastRenderedPageBreak/>
        <w:t>139.</w:t>
      </w:r>
      <w:r w:rsidRPr="00EF700A">
        <w:rPr>
          <w:rFonts w:eastAsiaTheme="minorHAnsi"/>
          <w:lang w:val="es-BO" w:eastAsia="en-US"/>
        </w:rPr>
        <w:tab/>
      </w:r>
      <w:proofErr w:type="gramStart"/>
      <w:r w:rsidR="00BD4745" w:rsidRPr="00EF700A">
        <w:t>En virtud a</w:t>
      </w:r>
      <w:proofErr w:type="gramEnd"/>
      <w:r w:rsidR="00BD4745" w:rsidRPr="00EF700A">
        <w:t xml:space="preserve"> los mandatos constitucionales, el Estado promulgó la Ley </w:t>
      </w:r>
      <w:proofErr w:type="spellStart"/>
      <w:r w:rsidR="00BD4745" w:rsidRPr="00EF700A">
        <w:t>Nº</w:t>
      </w:r>
      <w:proofErr w:type="spellEnd"/>
      <w:r w:rsidR="00BD4745" w:rsidRPr="00EF700A">
        <w:t xml:space="preserve"> 548 de 17 de julio de 2014, Código Niña, Niño y Adolescente, con el objeto de reconocer, desarrollar y regular el ejercicio de los derechos de </w:t>
      </w:r>
      <w:proofErr w:type="spellStart"/>
      <w:r w:rsidR="00BD4745" w:rsidRPr="00EF700A">
        <w:t>NNA</w:t>
      </w:r>
      <w:proofErr w:type="spellEnd"/>
      <w:r w:rsidR="00BD4745" w:rsidRPr="00EF700A">
        <w:t xml:space="preserve">, a través de la implementación de un Sistema Plurinacional Integral para garantizar esos derechos mediante la corresponsabilidad del Estado en todos sus niveles, la familia y la sociedad. Este Sistema está conformado por el Sistema Plurinacional de Protección Integral de </w:t>
      </w:r>
      <w:proofErr w:type="spellStart"/>
      <w:r w:rsidR="00BD4745" w:rsidRPr="00EF700A">
        <w:t>NNA</w:t>
      </w:r>
      <w:proofErr w:type="spellEnd"/>
      <w:r w:rsidR="00BD4745" w:rsidRPr="00EF700A">
        <w:t xml:space="preserve"> (</w:t>
      </w:r>
      <w:proofErr w:type="spellStart"/>
      <w:r w:rsidR="00BD4745" w:rsidRPr="00EF700A">
        <w:t>SIPROINA</w:t>
      </w:r>
      <w:proofErr w:type="spellEnd"/>
      <w:r w:rsidR="00BD4745" w:rsidRPr="00EF700A">
        <w:t>) y el Sistema Penal para Adolescentes.</w:t>
      </w:r>
    </w:p>
    <w:p w14:paraId="29A09995" w14:textId="3666ABEB" w:rsidR="00BD4745" w:rsidRPr="00EF700A" w:rsidRDefault="0098102E" w:rsidP="00EF700A">
      <w:pPr>
        <w:pStyle w:val="SingleTxtG"/>
      </w:pPr>
      <w:r w:rsidRPr="00EF700A">
        <w:rPr>
          <w:rFonts w:eastAsiaTheme="minorHAnsi"/>
          <w:lang w:val="es-BO" w:eastAsia="en-US"/>
        </w:rPr>
        <w:t>140.</w:t>
      </w:r>
      <w:r w:rsidRPr="00EF700A">
        <w:rPr>
          <w:rFonts w:eastAsiaTheme="minorHAnsi"/>
          <w:lang w:val="es-BO" w:eastAsia="en-US"/>
        </w:rPr>
        <w:tab/>
      </w:r>
      <w:r w:rsidR="00BD4745" w:rsidRPr="00EF700A">
        <w:t xml:space="preserve">El </w:t>
      </w:r>
      <w:proofErr w:type="spellStart"/>
      <w:r w:rsidR="00BD4745" w:rsidRPr="00EF700A">
        <w:t>SIPPROINA</w:t>
      </w:r>
      <w:proofErr w:type="spellEnd"/>
      <w:r w:rsidR="00BD4745" w:rsidRPr="00EF700A">
        <w:t xml:space="preserve">, es el conjunto articulado de órganos, instancias, instituciones, organizaciones, entidades y servicios, encargado de ejecutar el Plan Plurinacional de la </w:t>
      </w:r>
      <w:proofErr w:type="spellStart"/>
      <w:r w:rsidR="00BD4745" w:rsidRPr="00EF700A">
        <w:t>NNA</w:t>
      </w:r>
      <w:proofErr w:type="spellEnd"/>
      <w:r w:rsidR="00BD4745" w:rsidRPr="00EF700A">
        <w:t xml:space="preserve">, cuyo objetivo es garantizar el pleno goce de los derechos de las </w:t>
      </w:r>
      <w:proofErr w:type="spellStart"/>
      <w:r w:rsidR="00BD4745" w:rsidRPr="00EF700A">
        <w:t>NNA</w:t>
      </w:r>
      <w:proofErr w:type="spellEnd"/>
      <w:r w:rsidR="00BD4745" w:rsidRPr="00EF700A">
        <w:t xml:space="preserve">, en todos los niveles de gobierno. En calidad de cabeza de sector y ente rector el Ministerio de Justicia y Transparencia Institucional emitió la Resolución Ministerial </w:t>
      </w:r>
      <w:proofErr w:type="spellStart"/>
      <w:r w:rsidR="00BD4745" w:rsidRPr="00EF700A">
        <w:t>N</w:t>
      </w:r>
      <w:r w:rsidR="00960AEB">
        <w:t>º</w:t>
      </w:r>
      <w:proofErr w:type="spellEnd"/>
      <w:r w:rsidR="00BD4745" w:rsidRPr="00EF700A">
        <w:t xml:space="preserve"> 040/2021 de 12 de abril de 2021, aprobando como prioridad institucional, los lineamientos para la atención y protección integral de </w:t>
      </w:r>
      <w:proofErr w:type="gramStart"/>
      <w:r w:rsidR="00BD4745" w:rsidRPr="00EF700A">
        <w:t>niñas y niños</w:t>
      </w:r>
      <w:proofErr w:type="gramEnd"/>
      <w:r w:rsidR="00BD4745" w:rsidRPr="00EF700A">
        <w:t xml:space="preserve"> menores de seis (6) años comprendidos en la primera infancia, bajo los siguientes ejes temáticos: a) Prevención de toda forma de violencia contra la primera infancia. b) Promoción y difusión de derechos de la primera infancia. c) Articulación de sistemas de información de los derechos de </w:t>
      </w:r>
      <w:proofErr w:type="gramStart"/>
      <w:r w:rsidR="00BD4745" w:rsidRPr="00EF700A">
        <w:t>las niñas y niños</w:t>
      </w:r>
      <w:proofErr w:type="gramEnd"/>
      <w:r w:rsidR="00BD4745" w:rsidRPr="00EF700A">
        <w:t xml:space="preserve"> menores de seis (6) años. d) Formulación de lineamientos para el funcionamiento y reapertura de Centros Infantiles para la primera infancia.</w:t>
      </w:r>
    </w:p>
    <w:p w14:paraId="1130C12C" w14:textId="2D6E3160" w:rsidR="00BD4745" w:rsidRPr="00EF700A" w:rsidRDefault="0098102E" w:rsidP="00EF700A">
      <w:pPr>
        <w:pStyle w:val="SingleTxtG"/>
      </w:pPr>
      <w:r w:rsidRPr="00EF700A">
        <w:rPr>
          <w:rFonts w:eastAsiaTheme="minorHAnsi"/>
          <w:lang w:val="es-BO" w:eastAsia="en-US"/>
        </w:rPr>
        <w:t>141.</w:t>
      </w:r>
      <w:r w:rsidRPr="00EF700A">
        <w:rPr>
          <w:rFonts w:eastAsiaTheme="minorHAnsi"/>
          <w:lang w:val="es-BO" w:eastAsia="en-US"/>
        </w:rPr>
        <w:tab/>
      </w:r>
      <w:r w:rsidR="00BD4745" w:rsidRPr="00EF700A">
        <w:t xml:space="preserve">Por otra parte, el Pleno del Consejo de Coordinación Sectorial e Intersectorial, mediante Resolución </w:t>
      </w:r>
      <w:proofErr w:type="spellStart"/>
      <w:r w:rsidR="00BD4745" w:rsidRPr="00EF700A">
        <w:t>Nº</w:t>
      </w:r>
      <w:proofErr w:type="spellEnd"/>
      <w:r w:rsidR="00BD4745" w:rsidRPr="00EF700A">
        <w:t xml:space="preserve"> 001/2015 de 09 de abril de 2015, las Políticas Públicas de la Niña, Niño y Adolescencia, plantearon como misión del Estado Plurinacional de Bolivia, la generación de condiciones para el ejercicio de los derechos de las niñas, niños y adolescentes, promoviendo su desarrollo integral, su participación y protagonismo; la erradicación de la violencia y otras situaciones de vulneración de sus derechos. Dichas acciones deben ser realizadas en alianza con los movimientos sociales, las familias, instituciones de la sociedad civil y la sociedad en su conjunto. </w:t>
      </w:r>
    </w:p>
    <w:p w14:paraId="166F78DF" w14:textId="4EE17752" w:rsidR="00BD4745" w:rsidRPr="00EF700A" w:rsidRDefault="0098102E" w:rsidP="00EF700A">
      <w:pPr>
        <w:pStyle w:val="SingleTxtG"/>
      </w:pPr>
      <w:r w:rsidRPr="00EF700A">
        <w:rPr>
          <w:rFonts w:eastAsiaTheme="minorHAnsi"/>
          <w:lang w:val="es-BO" w:eastAsia="en-US"/>
        </w:rPr>
        <w:t>142.</w:t>
      </w:r>
      <w:r w:rsidRPr="00EF700A">
        <w:rPr>
          <w:rFonts w:eastAsiaTheme="minorHAnsi"/>
          <w:lang w:val="es-BO" w:eastAsia="en-US"/>
        </w:rPr>
        <w:tab/>
      </w:r>
      <w:r w:rsidR="00BD4745" w:rsidRPr="00EF700A">
        <w:t xml:space="preserve">Asimismo, el 24 de septiembre de 2015, en cumplimiento al Artículo 15 de la Disposición Décima Segunda de la Ley </w:t>
      </w:r>
      <w:proofErr w:type="spellStart"/>
      <w:r w:rsidR="00BD4745" w:rsidRPr="00EF700A">
        <w:t>Nº</w:t>
      </w:r>
      <w:proofErr w:type="spellEnd"/>
      <w:r w:rsidR="00BD4745" w:rsidRPr="00EF700A">
        <w:t xml:space="preserve"> 548, el Ministerio de Justicia y Transparencia Institucional, en coordinación con los Ministerios de Gobierno y Salud, el Tribunal Supremo de Justicia y Fiscalía General del Estado, realizó una reunión de articulación del “Programa Integral de Lucha Contra la Violencia Sexual” con enfoques de prevención, atención y protección, siendo su objetivo general garantizar el ejercicio del derecho a la integridad sexual de las niñas, niños y adolescentes.</w:t>
      </w:r>
    </w:p>
    <w:p w14:paraId="4D7CCC37" w14:textId="29EB3D38" w:rsidR="00BD4745" w:rsidRPr="00EF700A" w:rsidRDefault="0098102E" w:rsidP="00EF700A">
      <w:pPr>
        <w:pStyle w:val="SingleTxtG"/>
      </w:pPr>
      <w:r w:rsidRPr="00EF700A">
        <w:rPr>
          <w:rFonts w:eastAsiaTheme="minorHAnsi"/>
          <w:lang w:val="es-BO" w:eastAsia="en-US"/>
        </w:rPr>
        <w:t>143.</w:t>
      </w:r>
      <w:r w:rsidRPr="00EF700A">
        <w:rPr>
          <w:rFonts w:eastAsiaTheme="minorHAnsi"/>
          <w:lang w:val="es-BO" w:eastAsia="en-US"/>
        </w:rPr>
        <w:tab/>
      </w:r>
      <w:r w:rsidR="00BD4745" w:rsidRPr="00EF700A">
        <w:t xml:space="preserve">Se tiene también la ejecución del Programa Integral de Lucha contra la Violencia Sexual, que tuvo como resultado la implementación del programa “Centro Especializado de Prevención y Atención Terapéutica </w:t>
      </w:r>
      <w:proofErr w:type="spellStart"/>
      <w:r w:rsidR="00BD4745" w:rsidRPr="00EF700A">
        <w:t>CEPAT</w:t>
      </w:r>
      <w:proofErr w:type="spellEnd"/>
      <w:r w:rsidR="00BD4745" w:rsidRPr="00EF700A">
        <w:t xml:space="preserve">” en varios departamentos de Bolivia, que es un servicio público gratuito que brinda servicios especializados en prevención primaria y secundaria a partir de la ejecución de talleres dirigidos a niñas, niños y adolescentes, madres y padres de familia, docentes y autoridades de Unidades Educativas de los municipios del departamento de La Paz, así como a grupos de alto riesgo para construir una cultura de respeto de los derechos de la niñez y la adolescencia. Asimismo, brinda atención, terapéutica sistémica breve, como parte de la prevención terciaria de la violencia sexual a niñas, niños y adolescentes víctimas de violencia sexual y sus familias a través de sesiones en cámara </w:t>
      </w:r>
      <w:proofErr w:type="spellStart"/>
      <w:r w:rsidR="00BD4745" w:rsidRPr="00EF700A">
        <w:t>gesell</w:t>
      </w:r>
      <w:proofErr w:type="spellEnd"/>
      <w:r w:rsidR="00BD4745" w:rsidRPr="00EF700A">
        <w:t xml:space="preserve">, terapia móvil y terapia en línea. </w:t>
      </w:r>
    </w:p>
    <w:p w14:paraId="47B34594" w14:textId="6C0088CE" w:rsidR="00BD4745" w:rsidRPr="00EF700A" w:rsidRDefault="0098102E" w:rsidP="00EF700A">
      <w:pPr>
        <w:pStyle w:val="SingleTxtG"/>
      </w:pPr>
      <w:r w:rsidRPr="00EF700A">
        <w:rPr>
          <w:rFonts w:eastAsiaTheme="minorHAnsi"/>
          <w:lang w:val="es-BO" w:eastAsia="en-US"/>
        </w:rPr>
        <w:t>144.</w:t>
      </w:r>
      <w:r w:rsidRPr="00EF700A">
        <w:rPr>
          <w:rFonts w:eastAsiaTheme="minorHAnsi"/>
          <w:lang w:val="es-BO" w:eastAsia="en-US"/>
        </w:rPr>
        <w:tab/>
      </w:r>
      <w:r w:rsidR="00BD4745" w:rsidRPr="00EF700A">
        <w:t xml:space="preserve">Asimismo, presenta los programas sobre Atención Integral a Víctimas de violencia SLIM, Atención Integral de Niños, Niñas, y Adolescentes víctimas de violencia, Prevención y Atención a la Violencia en el Municipio, atención terapéutica e integral a niñas, niños y adolescentes víctimas de todo tipo de violencia. </w:t>
      </w:r>
    </w:p>
    <w:p w14:paraId="43811250" w14:textId="11DFD4FC" w:rsidR="00BD4745" w:rsidRPr="00EF700A" w:rsidRDefault="0098102E" w:rsidP="00EF700A">
      <w:pPr>
        <w:pStyle w:val="SingleTxtG"/>
      </w:pPr>
      <w:r w:rsidRPr="00EF700A">
        <w:rPr>
          <w:rFonts w:eastAsiaTheme="minorHAnsi"/>
          <w:lang w:val="es-BO" w:eastAsia="en-US"/>
        </w:rPr>
        <w:t>145.</w:t>
      </w:r>
      <w:r w:rsidRPr="00EF700A">
        <w:rPr>
          <w:rFonts w:eastAsiaTheme="minorHAnsi"/>
          <w:lang w:val="es-BO" w:eastAsia="en-US"/>
        </w:rPr>
        <w:tab/>
      </w:r>
      <w:r w:rsidR="00BD4745" w:rsidRPr="00EF700A">
        <w:t xml:space="preserve">Mediante Decreto Supremo </w:t>
      </w:r>
      <w:proofErr w:type="spellStart"/>
      <w:r w:rsidR="00BD4745" w:rsidRPr="00EF700A">
        <w:t>Nº</w:t>
      </w:r>
      <w:proofErr w:type="spellEnd"/>
      <w:r w:rsidR="00BD4745" w:rsidRPr="00EF700A">
        <w:t xml:space="preserve"> 2944 de 12 de octubre de 2016, se autoriza al Instituto Nacional de Estadística – INE, incrementar la subpartida 25220 “Consultores Individuales de Línea”, para realizar la “Encuesta de Hogares” y la “Encuesta de Niñas, Niños y Adolescentes que realizan una actividad laboral o trabajan”, con el resultado de que el año 2016 se tenía a 739 mil niñas, niños y adolescentes en actividad laboral, valor que se redujo a 724 mil para el año 2019.</w:t>
      </w:r>
    </w:p>
    <w:p w14:paraId="49A84ED8" w14:textId="3E9EB6FB" w:rsidR="00BD4745" w:rsidRPr="00EF700A" w:rsidRDefault="0098102E" w:rsidP="00EF700A">
      <w:pPr>
        <w:pStyle w:val="SingleTxtG"/>
      </w:pPr>
      <w:r w:rsidRPr="00EF700A">
        <w:rPr>
          <w:rFonts w:eastAsiaTheme="minorHAnsi"/>
          <w:lang w:val="es-BO" w:eastAsia="en-US"/>
        </w:rPr>
        <w:lastRenderedPageBreak/>
        <w:t>146.</w:t>
      </w:r>
      <w:r w:rsidRPr="00EF700A">
        <w:rPr>
          <w:rFonts w:eastAsiaTheme="minorHAnsi"/>
          <w:lang w:val="es-BO" w:eastAsia="en-US"/>
        </w:rPr>
        <w:tab/>
      </w:r>
      <w:r w:rsidR="00BD4745" w:rsidRPr="00EF700A">
        <w:t>Entre el 2016 y 2019, se ha reducido el número de niñas, niños y adolescentes que realizan actividad laboral o trabajo peligroso, de 393 mil personas (13</w:t>
      </w:r>
      <w:r w:rsidR="003C15F4">
        <w:t xml:space="preserve"> </w:t>
      </w:r>
      <w:r w:rsidR="00BD4745" w:rsidRPr="00EF700A">
        <w:t>%) a 297 mil personas (9,7</w:t>
      </w:r>
      <w:r w:rsidR="003C15F4">
        <w:t xml:space="preserve"> </w:t>
      </w:r>
      <w:r w:rsidR="00BD4745" w:rsidRPr="00EF700A">
        <w:t xml:space="preserve">%), respectivamente. </w:t>
      </w:r>
    </w:p>
    <w:p w14:paraId="58E58EC2" w14:textId="2F679B63" w:rsidR="00BD4745" w:rsidRPr="00EF700A" w:rsidRDefault="0098102E" w:rsidP="00EF700A">
      <w:pPr>
        <w:pStyle w:val="SingleTxtG"/>
      </w:pPr>
      <w:r w:rsidRPr="00EF700A">
        <w:rPr>
          <w:rFonts w:eastAsiaTheme="minorHAnsi"/>
          <w:lang w:val="es-BO" w:eastAsia="en-US"/>
        </w:rPr>
        <w:t>147.</w:t>
      </w:r>
      <w:r w:rsidRPr="00EF700A">
        <w:rPr>
          <w:rFonts w:eastAsiaTheme="minorHAnsi"/>
          <w:lang w:val="es-BO" w:eastAsia="en-US"/>
        </w:rPr>
        <w:tab/>
      </w:r>
      <w:r w:rsidR="00BD4745" w:rsidRPr="00EF700A">
        <w:t xml:space="preserve">Por otra parte, de las inspecciones integrales efectuadas por el Ministerio de Trabajo, Empleo y Previsión Social, a la zafra de caña de azúcar en la región de Bermejo, Tarija, se puede aseverar que ya no existe trabajo infantil en ese sector. Esto se apoya con programas implementados en cooperación con UNICEF, como lo es el “TRIPLE SELLO”, a través del cual, ingenios azucareros reciben una certificación libre de trabajo infantil. Asimismo, según las últimas inspecciones efectuadas por el Ministerio de Trabajo, Empleo y Previsión Social, el trabajo infantil es inexistente en los centros mineros. Ambos, trabajos en la zafra y en la mina son considerados como trabajos peligrosos, así catalogados dentro de la legislación boliviana vigente. Finalmente, </w:t>
      </w:r>
      <w:proofErr w:type="gramStart"/>
      <w:r w:rsidR="00BD4745" w:rsidRPr="00EF700A">
        <w:t>señalar</w:t>
      </w:r>
      <w:proofErr w:type="gramEnd"/>
      <w:r w:rsidR="00BD4745" w:rsidRPr="00EF700A">
        <w:t xml:space="preserve"> que durante la gestión 2019 fueron realizadas 175 inspecciones con enfoque en trabajo infantil y adolescente, y durante la gestión 2020, este número se redujo a 43, durante el periodo del gobierno de facto. </w:t>
      </w:r>
    </w:p>
    <w:p w14:paraId="79A27D98" w14:textId="45C75B7D" w:rsidR="00BD4745" w:rsidRPr="00EF700A" w:rsidRDefault="0098102E" w:rsidP="00EF700A">
      <w:pPr>
        <w:pStyle w:val="SingleTxtG"/>
      </w:pPr>
      <w:r w:rsidRPr="00EF700A">
        <w:rPr>
          <w:rFonts w:eastAsiaTheme="minorHAnsi"/>
          <w:lang w:val="es-BO" w:eastAsia="en-US"/>
        </w:rPr>
        <w:t>148.</w:t>
      </w:r>
      <w:r w:rsidRPr="00EF700A">
        <w:rPr>
          <w:rFonts w:eastAsiaTheme="minorHAnsi"/>
          <w:lang w:val="es-BO" w:eastAsia="en-US"/>
        </w:rPr>
        <w:tab/>
      </w:r>
      <w:r w:rsidR="00BD4745" w:rsidRPr="00EF700A">
        <w:t xml:space="preserve">Respecto a los datos actualizados sobre las denuncias recibidas por trabajo infantil y explotación sexual y sus resultados, desde la Gestión 2017 al 31 de julio de 2021, muestran 15 casos de trabajo infantil y 35 casos de explotación sexual a nivel nacional, de </w:t>
      </w:r>
      <w:r w:rsidR="00AA6A62">
        <w:t>conformidad al siguiente cuadro.</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2"/>
        <w:gridCol w:w="1417"/>
        <w:gridCol w:w="1560"/>
        <w:gridCol w:w="860"/>
        <w:gridCol w:w="982"/>
        <w:gridCol w:w="709"/>
      </w:tblGrid>
      <w:tr w:rsidR="003C15F4" w:rsidRPr="003C15F4" w14:paraId="31D5F2FF" w14:textId="77777777" w:rsidTr="004B0800">
        <w:trPr>
          <w:trHeight w:val="240"/>
          <w:tblHeader/>
        </w:trPr>
        <w:tc>
          <w:tcPr>
            <w:tcW w:w="1842" w:type="dxa"/>
            <w:tcBorders>
              <w:top w:val="single" w:sz="4" w:space="0" w:color="auto"/>
              <w:bottom w:val="single" w:sz="12" w:space="0" w:color="auto"/>
            </w:tcBorders>
            <w:shd w:val="clear" w:color="auto" w:fill="auto"/>
            <w:vAlign w:val="bottom"/>
          </w:tcPr>
          <w:p w14:paraId="7CBD9C6E" w14:textId="77777777" w:rsidR="00BD4745" w:rsidRPr="003C15F4" w:rsidRDefault="00BD4745">
            <w:pPr>
              <w:spacing w:before="80" w:after="80" w:line="200" w:lineRule="exact"/>
              <w:rPr>
                <w:i/>
                <w:sz w:val="16"/>
              </w:rPr>
            </w:pPr>
          </w:p>
        </w:tc>
        <w:tc>
          <w:tcPr>
            <w:tcW w:w="1417" w:type="dxa"/>
            <w:tcBorders>
              <w:top w:val="single" w:sz="4" w:space="0" w:color="auto"/>
              <w:bottom w:val="single" w:sz="12" w:space="0" w:color="auto"/>
            </w:tcBorders>
            <w:shd w:val="clear" w:color="auto" w:fill="auto"/>
            <w:vAlign w:val="bottom"/>
          </w:tcPr>
          <w:p w14:paraId="11273248" w14:textId="1BDE26FF" w:rsidR="00BD4745" w:rsidRPr="003C15F4" w:rsidRDefault="00BD4745" w:rsidP="004B0800">
            <w:pPr>
              <w:spacing w:before="80" w:after="80" w:line="200" w:lineRule="exact"/>
              <w:ind w:left="113"/>
              <w:jc w:val="right"/>
              <w:rPr>
                <w:i/>
                <w:sz w:val="16"/>
              </w:rPr>
            </w:pPr>
            <w:r w:rsidRPr="003C15F4">
              <w:rPr>
                <w:i/>
                <w:sz w:val="16"/>
              </w:rPr>
              <w:t xml:space="preserve">Etapa </w:t>
            </w:r>
            <w:r w:rsidR="00802608">
              <w:rPr>
                <w:i/>
                <w:sz w:val="16"/>
              </w:rPr>
              <w:t>p</w:t>
            </w:r>
            <w:r w:rsidRPr="003C15F4">
              <w:rPr>
                <w:i/>
                <w:sz w:val="16"/>
              </w:rPr>
              <w:t>reliminar</w:t>
            </w:r>
          </w:p>
        </w:tc>
        <w:tc>
          <w:tcPr>
            <w:tcW w:w="1560" w:type="dxa"/>
            <w:tcBorders>
              <w:top w:val="single" w:sz="4" w:space="0" w:color="auto"/>
              <w:bottom w:val="single" w:sz="12" w:space="0" w:color="auto"/>
            </w:tcBorders>
            <w:shd w:val="clear" w:color="auto" w:fill="auto"/>
            <w:vAlign w:val="bottom"/>
          </w:tcPr>
          <w:p w14:paraId="27C0B39F" w14:textId="348AC932" w:rsidR="00BD4745" w:rsidRPr="003C15F4" w:rsidRDefault="00BD4745" w:rsidP="004B0800">
            <w:pPr>
              <w:spacing w:before="80" w:after="80" w:line="200" w:lineRule="exact"/>
              <w:ind w:left="113"/>
              <w:jc w:val="right"/>
              <w:rPr>
                <w:i/>
                <w:sz w:val="16"/>
              </w:rPr>
            </w:pPr>
            <w:r w:rsidRPr="003C15F4">
              <w:rPr>
                <w:i/>
                <w:sz w:val="16"/>
              </w:rPr>
              <w:t xml:space="preserve">Etapa </w:t>
            </w:r>
            <w:r w:rsidR="00802608">
              <w:rPr>
                <w:i/>
                <w:sz w:val="16"/>
              </w:rPr>
              <w:t>p</w:t>
            </w:r>
            <w:r w:rsidRPr="003C15F4">
              <w:rPr>
                <w:i/>
                <w:sz w:val="16"/>
              </w:rPr>
              <w:t>reparatoria</w:t>
            </w:r>
          </w:p>
        </w:tc>
        <w:tc>
          <w:tcPr>
            <w:tcW w:w="860" w:type="dxa"/>
            <w:tcBorders>
              <w:top w:val="single" w:sz="4" w:space="0" w:color="auto"/>
              <w:bottom w:val="single" w:sz="12" w:space="0" w:color="auto"/>
            </w:tcBorders>
            <w:shd w:val="clear" w:color="auto" w:fill="auto"/>
            <w:vAlign w:val="bottom"/>
          </w:tcPr>
          <w:p w14:paraId="26B7AED5" w14:textId="4B5564B8" w:rsidR="00BD4745" w:rsidRPr="003C15F4" w:rsidRDefault="00BD4745" w:rsidP="004B0800">
            <w:pPr>
              <w:spacing w:before="80" w:after="80" w:line="200" w:lineRule="exact"/>
              <w:ind w:left="113"/>
              <w:jc w:val="right"/>
              <w:rPr>
                <w:i/>
                <w:sz w:val="16"/>
              </w:rPr>
            </w:pPr>
            <w:r w:rsidRPr="003C15F4">
              <w:rPr>
                <w:i/>
                <w:sz w:val="16"/>
              </w:rPr>
              <w:t xml:space="preserve">Juicio </w:t>
            </w:r>
            <w:r w:rsidR="00802608">
              <w:rPr>
                <w:i/>
                <w:sz w:val="16"/>
              </w:rPr>
              <w:t>o</w:t>
            </w:r>
            <w:r w:rsidRPr="003C15F4">
              <w:rPr>
                <w:i/>
                <w:sz w:val="16"/>
              </w:rPr>
              <w:t>ral</w:t>
            </w:r>
          </w:p>
        </w:tc>
        <w:tc>
          <w:tcPr>
            <w:tcW w:w="982" w:type="dxa"/>
            <w:tcBorders>
              <w:top w:val="single" w:sz="4" w:space="0" w:color="auto"/>
              <w:bottom w:val="single" w:sz="12" w:space="0" w:color="auto"/>
            </w:tcBorders>
            <w:shd w:val="clear" w:color="auto" w:fill="auto"/>
            <w:vAlign w:val="bottom"/>
          </w:tcPr>
          <w:p w14:paraId="6FBAF393" w14:textId="77777777" w:rsidR="00BD4745" w:rsidRPr="003C15F4" w:rsidRDefault="00BD4745" w:rsidP="004B0800">
            <w:pPr>
              <w:spacing w:before="80" w:after="80" w:line="200" w:lineRule="exact"/>
              <w:ind w:left="113"/>
              <w:jc w:val="right"/>
              <w:rPr>
                <w:i/>
                <w:sz w:val="16"/>
              </w:rPr>
            </w:pPr>
            <w:r w:rsidRPr="003C15F4">
              <w:rPr>
                <w:i/>
                <w:sz w:val="16"/>
              </w:rPr>
              <w:t>Cerrado</w:t>
            </w:r>
          </w:p>
        </w:tc>
        <w:tc>
          <w:tcPr>
            <w:tcW w:w="709" w:type="dxa"/>
            <w:tcBorders>
              <w:top w:val="single" w:sz="4" w:space="0" w:color="auto"/>
              <w:bottom w:val="single" w:sz="12" w:space="0" w:color="auto"/>
            </w:tcBorders>
            <w:shd w:val="clear" w:color="auto" w:fill="auto"/>
            <w:vAlign w:val="bottom"/>
          </w:tcPr>
          <w:p w14:paraId="721F3234" w14:textId="6C8AC7F0" w:rsidR="00BD4745" w:rsidRPr="003C15F4" w:rsidRDefault="00802608" w:rsidP="004B0800">
            <w:pPr>
              <w:spacing w:before="80" w:after="80" w:line="200" w:lineRule="exact"/>
              <w:ind w:left="113"/>
              <w:jc w:val="right"/>
              <w:rPr>
                <w:i/>
                <w:sz w:val="16"/>
              </w:rPr>
            </w:pPr>
            <w:r w:rsidRPr="003C15F4">
              <w:rPr>
                <w:i/>
                <w:sz w:val="16"/>
              </w:rPr>
              <w:t>Total</w:t>
            </w:r>
          </w:p>
        </w:tc>
      </w:tr>
      <w:tr w:rsidR="003C15F4" w:rsidRPr="003C15F4" w14:paraId="2DBF356C" w14:textId="77777777" w:rsidTr="004B0800">
        <w:trPr>
          <w:trHeight w:val="240"/>
        </w:trPr>
        <w:tc>
          <w:tcPr>
            <w:tcW w:w="1842" w:type="dxa"/>
            <w:tcBorders>
              <w:top w:val="single" w:sz="12" w:space="0" w:color="auto"/>
            </w:tcBorders>
            <w:shd w:val="clear" w:color="auto" w:fill="auto"/>
          </w:tcPr>
          <w:p w14:paraId="77D7EF15" w14:textId="77777777" w:rsidR="00BD4745" w:rsidRPr="004B0800" w:rsidRDefault="00BD4745">
            <w:pPr>
              <w:spacing w:before="40" w:after="40" w:line="220" w:lineRule="exact"/>
              <w:rPr>
                <w:sz w:val="18"/>
              </w:rPr>
            </w:pPr>
            <w:r w:rsidRPr="004B0800">
              <w:rPr>
                <w:sz w:val="18"/>
              </w:rPr>
              <w:t xml:space="preserve">Trabajo infantil </w:t>
            </w:r>
          </w:p>
        </w:tc>
        <w:tc>
          <w:tcPr>
            <w:tcW w:w="1417" w:type="dxa"/>
            <w:tcBorders>
              <w:top w:val="single" w:sz="12" w:space="0" w:color="auto"/>
            </w:tcBorders>
            <w:shd w:val="clear" w:color="auto" w:fill="auto"/>
            <w:vAlign w:val="bottom"/>
          </w:tcPr>
          <w:p w14:paraId="31FBFFA7" w14:textId="77777777" w:rsidR="00BD4745" w:rsidRPr="003C15F4" w:rsidRDefault="00BD4745" w:rsidP="004B0800">
            <w:pPr>
              <w:spacing w:before="40" w:after="40" w:line="220" w:lineRule="exact"/>
              <w:ind w:left="113"/>
              <w:jc w:val="right"/>
              <w:rPr>
                <w:sz w:val="18"/>
              </w:rPr>
            </w:pPr>
            <w:r w:rsidRPr="003C15F4">
              <w:rPr>
                <w:sz w:val="18"/>
              </w:rPr>
              <w:t>1</w:t>
            </w:r>
          </w:p>
        </w:tc>
        <w:tc>
          <w:tcPr>
            <w:tcW w:w="1560" w:type="dxa"/>
            <w:tcBorders>
              <w:top w:val="single" w:sz="12" w:space="0" w:color="auto"/>
            </w:tcBorders>
            <w:shd w:val="clear" w:color="auto" w:fill="auto"/>
            <w:vAlign w:val="bottom"/>
          </w:tcPr>
          <w:p w14:paraId="2B8B696F" w14:textId="77777777" w:rsidR="00BD4745" w:rsidRPr="003C15F4" w:rsidRDefault="00BD4745" w:rsidP="004B0800">
            <w:pPr>
              <w:spacing w:before="40" w:after="40" w:line="220" w:lineRule="exact"/>
              <w:ind w:left="113"/>
              <w:jc w:val="right"/>
              <w:rPr>
                <w:sz w:val="18"/>
              </w:rPr>
            </w:pPr>
            <w:r w:rsidRPr="003C15F4">
              <w:rPr>
                <w:sz w:val="18"/>
              </w:rPr>
              <w:t>7</w:t>
            </w:r>
          </w:p>
        </w:tc>
        <w:tc>
          <w:tcPr>
            <w:tcW w:w="860" w:type="dxa"/>
            <w:tcBorders>
              <w:top w:val="single" w:sz="12" w:space="0" w:color="auto"/>
            </w:tcBorders>
            <w:shd w:val="clear" w:color="auto" w:fill="auto"/>
            <w:vAlign w:val="bottom"/>
          </w:tcPr>
          <w:p w14:paraId="1E5890E8" w14:textId="77777777" w:rsidR="00BD4745" w:rsidRPr="003C15F4" w:rsidRDefault="00BD4745" w:rsidP="004B0800">
            <w:pPr>
              <w:spacing w:before="40" w:after="40" w:line="220" w:lineRule="exact"/>
              <w:ind w:left="113"/>
              <w:jc w:val="right"/>
              <w:rPr>
                <w:sz w:val="18"/>
              </w:rPr>
            </w:pPr>
            <w:r w:rsidRPr="003C15F4">
              <w:rPr>
                <w:sz w:val="18"/>
              </w:rPr>
              <w:t>6</w:t>
            </w:r>
          </w:p>
        </w:tc>
        <w:tc>
          <w:tcPr>
            <w:tcW w:w="982" w:type="dxa"/>
            <w:tcBorders>
              <w:top w:val="single" w:sz="12" w:space="0" w:color="auto"/>
            </w:tcBorders>
            <w:shd w:val="clear" w:color="auto" w:fill="auto"/>
            <w:vAlign w:val="bottom"/>
          </w:tcPr>
          <w:p w14:paraId="46BBD5FE" w14:textId="77777777" w:rsidR="00BD4745" w:rsidRPr="003C15F4" w:rsidRDefault="00BD4745" w:rsidP="004B0800">
            <w:pPr>
              <w:spacing w:before="40" w:after="40" w:line="220" w:lineRule="exact"/>
              <w:ind w:left="113"/>
              <w:jc w:val="right"/>
              <w:rPr>
                <w:sz w:val="18"/>
              </w:rPr>
            </w:pPr>
            <w:r w:rsidRPr="003C15F4">
              <w:rPr>
                <w:sz w:val="18"/>
              </w:rPr>
              <w:t>1</w:t>
            </w:r>
          </w:p>
        </w:tc>
        <w:tc>
          <w:tcPr>
            <w:tcW w:w="709" w:type="dxa"/>
            <w:tcBorders>
              <w:top w:val="single" w:sz="12" w:space="0" w:color="auto"/>
            </w:tcBorders>
            <w:shd w:val="clear" w:color="auto" w:fill="auto"/>
            <w:vAlign w:val="bottom"/>
          </w:tcPr>
          <w:p w14:paraId="2F0D5694" w14:textId="77777777" w:rsidR="00BD4745" w:rsidRPr="004B0800" w:rsidRDefault="00BD4745" w:rsidP="004B0800">
            <w:pPr>
              <w:spacing w:before="40" w:after="40" w:line="220" w:lineRule="exact"/>
              <w:ind w:left="113"/>
              <w:jc w:val="right"/>
              <w:rPr>
                <w:sz w:val="18"/>
              </w:rPr>
            </w:pPr>
            <w:r w:rsidRPr="004B0800">
              <w:rPr>
                <w:sz w:val="18"/>
              </w:rPr>
              <w:t>15</w:t>
            </w:r>
          </w:p>
        </w:tc>
      </w:tr>
      <w:tr w:rsidR="003C15F4" w:rsidRPr="003C15F4" w14:paraId="6C61D0BA" w14:textId="77777777" w:rsidTr="004B0800">
        <w:trPr>
          <w:trHeight w:val="240"/>
        </w:trPr>
        <w:tc>
          <w:tcPr>
            <w:tcW w:w="1842" w:type="dxa"/>
            <w:tcBorders>
              <w:bottom w:val="single" w:sz="12" w:space="0" w:color="auto"/>
            </w:tcBorders>
            <w:shd w:val="clear" w:color="auto" w:fill="auto"/>
          </w:tcPr>
          <w:p w14:paraId="1B7138EB" w14:textId="77777777" w:rsidR="00BD4745" w:rsidRPr="004B0800" w:rsidRDefault="00BD4745">
            <w:pPr>
              <w:spacing w:before="40" w:after="40" w:line="220" w:lineRule="exact"/>
              <w:rPr>
                <w:sz w:val="18"/>
              </w:rPr>
            </w:pPr>
            <w:r w:rsidRPr="004B0800">
              <w:rPr>
                <w:sz w:val="18"/>
              </w:rPr>
              <w:t>Explotación sexual</w:t>
            </w:r>
          </w:p>
        </w:tc>
        <w:tc>
          <w:tcPr>
            <w:tcW w:w="1417" w:type="dxa"/>
            <w:tcBorders>
              <w:bottom w:val="single" w:sz="12" w:space="0" w:color="auto"/>
            </w:tcBorders>
            <w:shd w:val="clear" w:color="auto" w:fill="auto"/>
            <w:vAlign w:val="bottom"/>
          </w:tcPr>
          <w:p w14:paraId="61A14A30" w14:textId="77777777" w:rsidR="00BD4745" w:rsidRPr="003C15F4" w:rsidRDefault="00BD4745" w:rsidP="004B0800">
            <w:pPr>
              <w:spacing w:before="40" w:after="40" w:line="220" w:lineRule="exact"/>
              <w:ind w:left="113"/>
              <w:jc w:val="right"/>
              <w:rPr>
                <w:sz w:val="18"/>
              </w:rPr>
            </w:pPr>
            <w:r w:rsidRPr="003C15F4">
              <w:rPr>
                <w:sz w:val="18"/>
              </w:rPr>
              <w:t>8</w:t>
            </w:r>
          </w:p>
        </w:tc>
        <w:tc>
          <w:tcPr>
            <w:tcW w:w="1560" w:type="dxa"/>
            <w:tcBorders>
              <w:bottom w:val="single" w:sz="12" w:space="0" w:color="auto"/>
            </w:tcBorders>
            <w:shd w:val="clear" w:color="auto" w:fill="auto"/>
            <w:vAlign w:val="bottom"/>
          </w:tcPr>
          <w:p w14:paraId="03A803D5" w14:textId="77777777" w:rsidR="00BD4745" w:rsidRPr="003C15F4" w:rsidRDefault="00BD4745" w:rsidP="004B0800">
            <w:pPr>
              <w:spacing w:before="40" w:after="40" w:line="220" w:lineRule="exact"/>
              <w:ind w:left="113"/>
              <w:jc w:val="right"/>
              <w:rPr>
                <w:sz w:val="18"/>
              </w:rPr>
            </w:pPr>
            <w:r w:rsidRPr="003C15F4">
              <w:rPr>
                <w:sz w:val="18"/>
              </w:rPr>
              <w:t>17</w:t>
            </w:r>
          </w:p>
        </w:tc>
        <w:tc>
          <w:tcPr>
            <w:tcW w:w="860" w:type="dxa"/>
            <w:tcBorders>
              <w:bottom w:val="single" w:sz="12" w:space="0" w:color="auto"/>
            </w:tcBorders>
            <w:shd w:val="clear" w:color="auto" w:fill="auto"/>
            <w:vAlign w:val="bottom"/>
          </w:tcPr>
          <w:p w14:paraId="5FA7C789" w14:textId="77777777" w:rsidR="00BD4745" w:rsidRPr="003C15F4" w:rsidRDefault="00BD4745" w:rsidP="004B0800">
            <w:pPr>
              <w:spacing w:before="40" w:after="40" w:line="220" w:lineRule="exact"/>
              <w:ind w:left="113"/>
              <w:jc w:val="right"/>
              <w:rPr>
                <w:sz w:val="18"/>
              </w:rPr>
            </w:pPr>
            <w:r w:rsidRPr="003C15F4">
              <w:rPr>
                <w:sz w:val="18"/>
              </w:rPr>
              <w:t>9</w:t>
            </w:r>
          </w:p>
        </w:tc>
        <w:tc>
          <w:tcPr>
            <w:tcW w:w="982" w:type="dxa"/>
            <w:tcBorders>
              <w:bottom w:val="single" w:sz="12" w:space="0" w:color="auto"/>
            </w:tcBorders>
            <w:shd w:val="clear" w:color="auto" w:fill="auto"/>
            <w:vAlign w:val="bottom"/>
          </w:tcPr>
          <w:p w14:paraId="429EC5B6" w14:textId="77777777" w:rsidR="00BD4745" w:rsidRPr="003C15F4" w:rsidRDefault="00BD4745" w:rsidP="004B0800">
            <w:pPr>
              <w:spacing w:before="40" w:after="40" w:line="220" w:lineRule="exact"/>
              <w:ind w:left="113"/>
              <w:jc w:val="right"/>
              <w:rPr>
                <w:sz w:val="18"/>
              </w:rPr>
            </w:pPr>
            <w:r w:rsidRPr="003C15F4">
              <w:rPr>
                <w:sz w:val="18"/>
              </w:rPr>
              <w:t>1</w:t>
            </w:r>
          </w:p>
        </w:tc>
        <w:tc>
          <w:tcPr>
            <w:tcW w:w="709" w:type="dxa"/>
            <w:tcBorders>
              <w:bottom w:val="single" w:sz="12" w:space="0" w:color="auto"/>
            </w:tcBorders>
            <w:shd w:val="clear" w:color="auto" w:fill="auto"/>
            <w:vAlign w:val="bottom"/>
          </w:tcPr>
          <w:p w14:paraId="6013A305" w14:textId="77777777" w:rsidR="00BD4745" w:rsidRPr="004B0800" w:rsidRDefault="00BD4745" w:rsidP="004B0800">
            <w:pPr>
              <w:spacing w:before="40" w:after="40" w:line="220" w:lineRule="exact"/>
              <w:ind w:left="113"/>
              <w:jc w:val="right"/>
              <w:rPr>
                <w:sz w:val="18"/>
              </w:rPr>
            </w:pPr>
            <w:r w:rsidRPr="004B0800">
              <w:rPr>
                <w:sz w:val="18"/>
              </w:rPr>
              <w:t>35</w:t>
            </w:r>
          </w:p>
        </w:tc>
      </w:tr>
    </w:tbl>
    <w:p w14:paraId="0732D062" w14:textId="77777777" w:rsidR="00BD4745" w:rsidRPr="00EF700A" w:rsidRDefault="00BD4745" w:rsidP="004B0800">
      <w:pPr>
        <w:pStyle w:val="SingleTxtG"/>
        <w:spacing w:before="120" w:after="240"/>
        <w:ind w:firstLine="170"/>
        <w:jc w:val="left"/>
        <w:rPr>
          <w:color w:val="F79646"/>
          <w:sz w:val="18"/>
          <w:szCs w:val="18"/>
          <w:highlight w:val="yellow"/>
        </w:rPr>
      </w:pPr>
      <w:r w:rsidRPr="004B0800">
        <w:rPr>
          <w:bCs/>
          <w:i/>
          <w:iCs/>
          <w:sz w:val="18"/>
          <w:szCs w:val="18"/>
        </w:rPr>
        <w:t>Fuente:</w:t>
      </w:r>
      <w:r w:rsidRPr="00EF700A">
        <w:rPr>
          <w:sz w:val="18"/>
          <w:szCs w:val="18"/>
        </w:rPr>
        <w:t xml:space="preserve"> Ministerio Publico-Fiscalía General de Estado- Fiscalía Especializada en delitos de Violencia.</w:t>
      </w:r>
    </w:p>
    <w:p w14:paraId="4370EA63" w14:textId="2605D3B7" w:rsidR="00BD4745" w:rsidRPr="002014CD" w:rsidRDefault="0098102E" w:rsidP="00EF700A">
      <w:pPr>
        <w:pStyle w:val="SingleTxtG"/>
      </w:pPr>
      <w:r w:rsidRPr="00EE3206">
        <w:rPr>
          <w:rFonts w:eastAsiaTheme="minorHAnsi"/>
          <w:lang w:val="es-BO" w:eastAsia="en-US"/>
        </w:rPr>
        <w:t>149.</w:t>
      </w:r>
      <w:r w:rsidRPr="002014CD">
        <w:rPr>
          <w:rFonts w:eastAsiaTheme="minorHAnsi"/>
          <w:sz w:val="24"/>
          <w:szCs w:val="24"/>
          <w:lang w:val="es-BO" w:eastAsia="en-US"/>
        </w:rPr>
        <w:tab/>
      </w:r>
      <w:r w:rsidR="00BD4745" w:rsidRPr="002014CD">
        <w:t xml:space="preserve">Al respecto, el Ministerio Público, en cumplimiento de la </w:t>
      </w:r>
      <w:proofErr w:type="spellStart"/>
      <w:r w:rsidR="00BD4745" w:rsidRPr="002014CD">
        <w:t>CPE</w:t>
      </w:r>
      <w:proofErr w:type="spellEnd"/>
      <w:r w:rsidR="00BD4745" w:rsidRPr="002014CD">
        <w:t xml:space="preserve"> y la Ley </w:t>
      </w:r>
      <w:proofErr w:type="spellStart"/>
      <w:r w:rsidR="00BD4745" w:rsidRPr="002014CD">
        <w:t>N</w:t>
      </w:r>
      <w:r w:rsidR="003C15F4">
        <w:t>º</w:t>
      </w:r>
      <w:proofErr w:type="spellEnd"/>
      <w:r w:rsidR="00BD4745" w:rsidRPr="002014CD">
        <w:t xml:space="preserve"> 260 dispone Medidas de Protección de las víctimas directas e indirectas, según amerite el caso, precautelando el derecho a la vida, integridad física, emocional, sexual, patrimonial, económica y laboral, así como a la dignidad, como un mecanismo destinado a brindar apoyo y protección a las víctimas de violencia por trabajo infantil y/o explotación sexual, para impedir que continúen estos actos. Asimismo, ejerce la acción penal pública ante el conocimiento de un hecho de violencia, ya sea mediante denuncia escrita u oral.</w:t>
      </w:r>
    </w:p>
    <w:p w14:paraId="5DDCA6F0" w14:textId="4897EA66" w:rsidR="00BD4745" w:rsidRPr="002014CD" w:rsidRDefault="00EF700A">
      <w:pPr>
        <w:pStyle w:val="H23G"/>
      </w:pPr>
      <w:r>
        <w:tab/>
      </w:r>
      <w:r w:rsidR="00BD4745" w:rsidRPr="002014CD">
        <w:t>19.</w:t>
      </w:r>
      <w:r>
        <w:tab/>
      </w:r>
      <w:r w:rsidR="0052731F" w:rsidRPr="00ED0B85">
        <w:t xml:space="preserve">Respuesta al </w:t>
      </w:r>
      <w:r w:rsidR="0052731F" w:rsidRPr="001A1E5D">
        <w:t>párrafo 1</w:t>
      </w:r>
      <w:r w:rsidR="0052731F">
        <w:t>8</w:t>
      </w:r>
      <w:r w:rsidR="0052731F" w:rsidRPr="001A1E5D">
        <w:t xml:space="preserve"> </w:t>
      </w:r>
      <w:r w:rsidR="0052731F" w:rsidRPr="001A1E5D">
        <w:rPr>
          <w:lang w:val="es-ES_tradnl"/>
        </w:rPr>
        <w:t xml:space="preserve">de </w:t>
      </w:r>
      <w:r w:rsidR="0052731F">
        <w:rPr>
          <w:lang w:val="es-ES_tradnl"/>
        </w:rPr>
        <w:t>la lista de cuestiones</w:t>
      </w:r>
    </w:p>
    <w:p w14:paraId="74FD3042" w14:textId="41C11BD6" w:rsidR="00BD4745" w:rsidRPr="00EF700A" w:rsidRDefault="0098102E" w:rsidP="00EF700A">
      <w:pPr>
        <w:pStyle w:val="SingleTxtG"/>
      </w:pPr>
      <w:r w:rsidRPr="00EF700A">
        <w:t>150.</w:t>
      </w:r>
      <w:r w:rsidRPr="00EF700A">
        <w:tab/>
      </w:r>
      <w:r w:rsidR="00EF700A" w:rsidRPr="00EF700A">
        <w:t xml:space="preserve"> a) </w:t>
      </w:r>
      <w:r w:rsidR="00BD4745" w:rsidRPr="00EF700A">
        <w:t xml:space="preserve">El Estado Plurinacional de Bolivia, promovió la suscripción de Acuerdos Bilaterales con Perú y Argentina, para la protección de Víctimas de Trata y Tráfico de Personas y delitos conexos, en virtud del Art. 45 de la Ley </w:t>
      </w:r>
      <w:proofErr w:type="spellStart"/>
      <w:r w:rsidR="00BD4745" w:rsidRPr="00EF700A">
        <w:t>Nº</w:t>
      </w:r>
      <w:proofErr w:type="spellEnd"/>
      <w:r w:rsidR="00BD4745" w:rsidRPr="00EF700A">
        <w:t xml:space="preserve"> 263.</w:t>
      </w:r>
    </w:p>
    <w:p w14:paraId="30314379" w14:textId="07081982" w:rsidR="00BD4745" w:rsidRPr="00EF700A" w:rsidRDefault="0098102E" w:rsidP="00EF700A">
      <w:pPr>
        <w:pStyle w:val="SingleTxtG"/>
      </w:pPr>
      <w:r w:rsidRPr="00EF700A">
        <w:rPr>
          <w:rFonts w:eastAsiaTheme="minorHAnsi"/>
          <w:lang w:val="es-BO" w:eastAsia="en-US"/>
        </w:rPr>
        <w:t>151.</w:t>
      </w:r>
      <w:r w:rsidRPr="00EF700A">
        <w:rPr>
          <w:rFonts w:eastAsiaTheme="minorHAnsi"/>
          <w:lang w:val="es-BO" w:eastAsia="en-US"/>
        </w:rPr>
        <w:tab/>
      </w:r>
      <w:r w:rsidR="00BD4745" w:rsidRPr="00EF700A">
        <w:t xml:space="preserve">El acuerdo firmado con Perú fue ratificado mediante Ley </w:t>
      </w:r>
      <w:proofErr w:type="spellStart"/>
      <w:r w:rsidR="00BD4745" w:rsidRPr="00EF700A">
        <w:t>N</w:t>
      </w:r>
      <w:r w:rsidR="00CE3967">
        <w:t>º</w:t>
      </w:r>
      <w:proofErr w:type="spellEnd"/>
      <w:r w:rsidR="00BD4745" w:rsidRPr="00EF700A">
        <w:t xml:space="preserve"> 765 de 11 de diciembre de 2015, mismo que se encuentra en ejecución.</w:t>
      </w:r>
    </w:p>
    <w:p w14:paraId="6CF63738" w14:textId="0E43B43C" w:rsidR="00BD4745" w:rsidRPr="00EF700A" w:rsidRDefault="0098102E" w:rsidP="00EF700A">
      <w:pPr>
        <w:pStyle w:val="SingleTxtG"/>
      </w:pPr>
      <w:r w:rsidRPr="00EF700A">
        <w:rPr>
          <w:rFonts w:eastAsiaTheme="minorHAnsi"/>
          <w:lang w:val="es-BO" w:eastAsia="en-US"/>
        </w:rPr>
        <w:t>152.</w:t>
      </w:r>
      <w:r w:rsidRPr="00EF700A">
        <w:rPr>
          <w:rFonts w:eastAsiaTheme="minorHAnsi"/>
          <w:lang w:val="es-BO" w:eastAsia="en-US"/>
        </w:rPr>
        <w:tab/>
      </w:r>
      <w:r w:rsidR="00BD4745" w:rsidRPr="00EF700A">
        <w:t>Respecto al acuerdo firmado con Argentina, en una reunión técnica sostenida en junio de 2021, se definieron las actividades a ser desarrolladas por ambos países en los ámbitos de prevención, atención, protección, reintegración, sanción y persecución penal de delitos de trata y tráfico.</w:t>
      </w:r>
    </w:p>
    <w:p w14:paraId="3CB15D60" w14:textId="3BBD650E" w:rsidR="00BD4745" w:rsidRPr="00EF700A" w:rsidRDefault="0098102E" w:rsidP="00EF700A">
      <w:pPr>
        <w:pStyle w:val="SingleTxtG"/>
      </w:pPr>
      <w:r w:rsidRPr="00EF700A">
        <w:rPr>
          <w:rFonts w:eastAsiaTheme="minorHAnsi"/>
          <w:lang w:val="es-BO" w:eastAsia="en-US"/>
        </w:rPr>
        <w:t>153.</w:t>
      </w:r>
      <w:r w:rsidRPr="00EF700A">
        <w:rPr>
          <w:rFonts w:eastAsiaTheme="minorHAnsi"/>
          <w:lang w:val="es-BO" w:eastAsia="en-US"/>
        </w:rPr>
        <w:tab/>
      </w:r>
      <w:r w:rsidR="00BD4745" w:rsidRPr="00EF700A">
        <w:t xml:space="preserve">Por otra parte, mediante la Secretaria Técnica del Consejo Plurinacional contra la Trata y Tráfico de Personas, se ha trabajado en 8 Instrumentos Internacionales respecto a la trata y tráfico de personas, con las Repúblicas de Paraguay, Uruguay, Brasil y Chile; así también con España, Venezuela y Estados Unidos, además entre estos instrumentos se encuentra la firma de Protocolo contra el Tráfico Ilícito de Migrantes por Tierra, Mar y Aire que complementa la Convención de las Naciones Unidas contra la Delincuencia y Crimen Organizado Transnacional y Protocolo 2014, relativo al Convenio sobre Trabajo Forzoso. </w:t>
      </w:r>
    </w:p>
    <w:p w14:paraId="7B57F36E" w14:textId="5CC74A85" w:rsidR="00BD4745" w:rsidRPr="00EF700A" w:rsidRDefault="0098102E" w:rsidP="00EF700A">
      <w:pPr>
        <w:pStyle w:val="SingleTxtG"/>
      </w:pPr>
      <w:r w:rsidRPr="00EF700A">
        <w:rPr>
          <w:rFonts w:eastAsiaTheme="minorHAnsi"/>
          <w:lang w:val="es-BO" w:eastAsia="en-US"/>
        </w:rPr>
        <w:t>154.</w:t>
      </w:r>
      <w:r w:rsidRPr="00EF700A">
        <w:rPr>
          <w:rFonts w:eastAsiaTheme="minorHAnsi"/>
          <w:lang w:val="es-BO" w:eastAsia="en-US"/>
        </w:rPr>
        <w:tab/>
      </w:r>
      <w:r w:rsidR="00BD4745" w:rsidRPr="00EF700A">
        <w:t xml:space="preserve">Dichos Instrumentos se hallan en etapa de negociación, ratificación y suscripción. </w:t>
      </w:r>
    </w:p>
    <w:p w14:paraId="7822AEB4" w14:textId="3C72B091" w:rsidR="00BD4745" w:rsidRPr="00EF700A" w:rsidRDefault="0098102E" w:rsidP="00EF700A">
      <w:pPr>
        <w:pStyle w:val="SingleTxtG"/>
      </w:pPr>
      <w:r w:rsidRPr="00EF700A">
        <w:rPr>
          <w:rFonts w:eastAsiaTheme="minorHAnsi"/>
          <w:lang w:val="es-BO" w:eastAsia="en-US"/>
        </w:rPr>
        <w:t>155.</w:t>
      </w:r>
      <w:r w:rsidRPr="00EF700A">
        <w:rPr>
          <w:rFonts w:eastAsiaTheme="minorHAnsi"/>
          <w:lang w:val="es-BO" w:eastAsia="en-US"/>
        </w:rPr>
        <w:tab/>
      </w:r>
      <w:r w:rsidR="00EF700A" w:rsidRPr="00EF700A">
        <w:t xml:space="preserve">b) </w:t>
      </w:r>
      <w:r w:rsidR="00BD4745" w:rsidRPr="00EF700A">
        <w:t xml:space="preserve">Ejecución del Plan Nacional de Lucha contra la Trata y Tráfico de Personas 2015-2019, del que se desprende el Plan Multisectorial de Desarrollo Integral para la Lucha contra la Trata y Tráfico de Personas 2016-2020, el cual se constituyó en el documento base para la </w:t>
      </w:r>
      <w:r w:rsidR="00BD4745" w:rsidRPr="00EF700A">
        <w:lastRenderedPageBreak/>
        <w:t xml:space="preserve">elaboración de informes de “Ejecución de la Política Plurinacional de Lucha contra la Trata y Tráfico de Personas y Delitos Conexos”, así como el Plan Anual de Actividades que emite cada año el Consejo Plurinacional contra la Trata y Tráfico de Personas; por otra parte, a efectos de la elaboración del Plan 2021 – 2025, el 16 de diciembre de 2020, se suscribió el “Acuerdo Interinstitucional entre el Ministerio de Justicia y Transparencia Institucional y la Organización para las Migraciones </w:t>
      </w:r>
      <w:proofErr w:type="spellStart"/>
      <w:r w:rsidR="00BD4745" w:rsidRPr="00EF700A">
        <w:t>OIM</w:t>
      </w:r>
      <w:proofErr w:type="spellEnd"/>
      <w:r w:rsidR="00BD4745" w:rsidRPr="00EF700A">
        <w:t xml:space="preserve">”, firmándose el Acta de Constitución del Comité Técnico para la implementación del Proyecto </w:t>
      </w:r>
      <w:proofErr w:type="spellStart"/>
      <w:r w:rsidR="00BD4745" w:rsidRPr="00EF700A">
        <w:t>PX</w:t>
      </w:r>
      <w:proofErr w:type="spellEnd"/>
      <w:r w:rsidR="00BD4745" w:rsidRPr="00EF700A">
        <w:t xml:space="preserve"> 0.205, de Fortalecimiento de la capacidad del Gobierno Boliviano para combatir efectivamente la Trata de Personas y el Tráfico Ilícito de Migrantes, con el objetivo de promover a través del Proyecto </w:t>
      </w:r>
      <w:proofErr w:type="spellStart"/>
      <w:r w:rsidR="00BD4745" w:rsidRPr="00EF700A">
        <w:t>PX</w:t>
      </w:r>
      <w:proofErr w:type="spellEnd"/>
      <w:r w:rsidR="00BD4745" w:rsidRPr="00EF700A">
        <w:t xml:space="preserve"> 0205 la entrega de tres componentes: 1) </w:t>
      </w:r>
      <w:r w:rsidR="003C15F4">
        <w:t>u</w:t>
      </w:r>
      <w:r w:rsidR="00BD4745" w:rsidRPr="00EF700A">
        <w:t xml:space="preserve">na propuesta de política integral, 2) </w:t>
      </w:r>
      <w:r w:rsidR="003C15F4">
        <w:t>u</w:t>
      </w:r>
      <w:r w:rsidR="00BD4745" w:rsidRPr="00EF700A">
        <w:t xml:space="preserve">n Plan Multisectorial, 3) </w:t>
      </w:r>
      <w:r w:rsidR="003C15F4">
        <w:t>u</w:t>
      </w:r>
      <w:r w:rsidR="00BD4745" w:rsidRPr="00EF700A">
        <w:t>n modelo de Plan Departamental.</w:t>
      </w:r>
    </w:p>
    <w:p w14:paraId="65953762" w14:textId="6621CE47" w:rsidR="00BD4745" w:rsidRPr="00EF700A" w:rsidRDefault="0098102E" w:rsidP="00EF700A">
      <w:pPr>
        <w:pStyle w:val="SingleTxtG"/>
      </w:pPr>
      <w:r w:rsidRPr="00EF700A">
        <w:rPr>
          <w:rFonts w:eastAsiaTheme="minorHAnsi"/>
          <w:lang w:val="es-BO" w:eastAsia="en-US"/>
        </w:rPr>
        <w:t>156.</w:t>
      </w:r>
      <w:r w:rsidRPr="00EF700A">
        <w:rPr>
          <w:rFonts w:eastAsiaTheme="minorHAnsi"/>
          <w:lang w:val="es-BO" w:eastAsia="en-US"/>
        </w:rPr>
        <w:tab/>
      </w:r>
      <w:r w:rsidR="00EF700A" w:rsidRPr="00EF700A">
        <w:t xml:space="preserve">c) </w:t>
      </w:r>
      <w:r w:rsidR="00BD4745" w:rsidRPr="00EF700A">
        <w:t xml:space="preserve">Ejecución del Programa de Reinserción Laboral de Victimas de Trata y tráfico de Personas, que se encuentra a cargo del Ministerio de Trabajo, Empleo y Previsión Social, que en el marco de la Ley </w:t>
      </w:r>
      <w:proofErr w:type="spellStart"/>
      <w:r w:rsidR="00BD4745" w:rsidRPr="00EF700A">
        <w:t>Nº</w:t>
      </w:r>
      <w:proofErr w:type="spellEnd"/>
      <w:r w:rsidR="00BD4745" w:rsidRPr="00EF700A">
        <w:t xml:space="preserve"> 263 contra la Trata y Tráfico de Personas, adoptará un programa especial que viabilice la reinserción laboral de las víctimas de estos delitos.</w:t>
      </w:r>
    </w:p>
    <w:p w14:paraId="287A9E84" w14:textId="16EC8F3B" w:rsidR="00BD4745" w:rsidRPr="00EF700A" w:rsidRDefault="0098102E" w:rsidP="00EF700A">
      <w:pPr>
        <w:pStyle w:val="SingleTxtG"/>
      </w:pPr>
      <w:r w:rsidRPr="00EF700A">
        <w:rPr>
          <w:rFonts w:eastAsiaTheme="minorHAnsi"/>
          <w:lang w:val="es-BO" w:eastAsia="en-US"/>
        </w:rPr>
        <w:t>157.</w:t>
      </w:r>
      <w:r w:rsidRPr="00EF700A">
        <w:rPr>
          <w:rFonts w:eastAsiaTheme="minorHAnsi"/>
          <w:lang w:val="es-BO" w:eastAsia="en-US"/>
        </w:rPr>
        <w:tab/>
      </w:r>
      <w:r w:rsidR="00EF700A" w:rsidRPr="00EF700A">
        <w:t xml:space="preserve">d) </w:t>
      </w:r>
      <w:r w:rsidR="00BD4745" w:rsidRPr="00EF700A">
        <w:t xml:space="preserve">Se elaboró el Protocolo Único de Atención Especializada a Víctimas de Trata y Tráfico de Personas 2012, el cual se viene trabajando por el Ministerio de Justicia y Transparencia Institucional en coordinación con el Ministerio Público, en el marco de la Ley </w:t>
      </w:r>
      <w:proofErr w:type="spellStart"/>
      <w:r w:rsidR="00BD4745" w:rsidRPr="00EF700A">
        <w:t>Nº</w:t>
      </w:r>
      <w:proofErr w:type="spellEnd"/>
      <w:r w:rsidR="00BD4745" w:rsidRPr="00EF700A">
        <w:t xml:space="preserve"> 263 y la Ley </w:t>
      </w:r>
      <w:proofErr w:type="spellStart"/>
      <w:r w:rsidR="00BD4745" w:rsidRPr="00EF700A">
        <w:t>Nº</w:t>
      </w:r>
      <w:proofErr w:type="spellEnd"/>
      <w:r w:rsidR="00BD4745" w:rsidRPr="00EF700A">
        <w:t xml:space="preserve"> 1173. </w:t>
      </w:r>
    </w:p>
    <w:p w14:paraId="032007B9" w14:textId="6715E84D" w:rsidR="00BD4745" w:rsidRPr="00EF700A" w:rsidRDefault="0098102E" w:rsidP="00EF700A">
      <w:pPr>
        <w:pStyle w:val="SingleTxtG"/>
      </w:pPr>
      <w:r w:rsidRPr="00EF700A">
        <w:rPr>
          <w:rFonts w:eastAsiaTheme="minorHAnsi"/>
          <w:lang w:val="es-BO" w:eastAsia="en-US"/>
        </w:rPr>
        <w:t>158.</w:t>
      </w:r>
      <w:r w:rsidRPr="00EF700A">
        <w:rPr>
          <w:rFonts w:eastAsiaTheme="minorHAnsi"/>
          <w:lang w:val="es-BO" w:eastAsia="en-US"/>
        </w:rPr>
        <w:tab/>
      </w:r>
      <w:r w:rsidR="00EF700A" w:rsidRPr="00EF700A">
        <w:t xml:space="preserve">e) </w:t>
      </w:r>
      <w:r w:rsidR="00BD4745" w:rsidRPr="00EF700A">
        <w:t xml:space="preserve">Elaboración de la Guía para la Formulación de Planes Departamentales contra la Trata y Tráfico de Personas 2015, por el Consejo Plurinacional contra la Trata y Tráfico de Personas, en aplicación al Artículo 10, Numeral 4, y al Artículo 15 de la Ley </w:t>
      </w:r>
      <w:proofErr w:type="spellStart"/>
      <w:r w:rsidR="009C23DD">
        <w:t>Nº</w:t>
      </w:r>
      <w:proofErr w:type="spellEnd"/>
      <w:r w:rsidR="009C23DD">
        <w:t xml:space="preserve"> </w:t>
      </w:r>
      <w:r w:rsidR="00BD4745" w:rsidRPr="00EF700A">
        <w:t>263, para fortalecer el proceso de elaboración de Planes Departamentales de Lucha contra la Trata y Tráfico de Personas. Dicho documento recupera las lecciones aprendidas en el proceso de elaboración de la Política Plurinacional y el Plan Nacional Contra la Trata y Tráfico de Personas y delitos conexos 2013</w:t>
      </w:r>
      <w:r w:rsidR="003C15F4">
        <w:t>-</w:t>
      </w:r>
      <w:r w:rsidR="00BD4745" w:rsidRPr="00EF700A">
        <w:t xml:space="preserve">2017 y plantea líneas de acción para los Gobiernos Departamentales, Gobiernos Municipales de ciudades capitales, intermedias y fronterizas, para que en el marco de sus autonomías, elaboren y aprueben su Plan Departamental, señalando cuatro etapas referenciales para la elaboración del Plan Departamental, además se sugieren acciones para concretar la etapa, los responsables de su ejecución y los resultados esperados; posteriormente el 16 de diciembre de 2020 se suscribió el “Acuerdo Interinstitucional entre el Ministerio de Justicia y Transparencia Institucional y la Organización Internacional para las Migraciones, con el objeto de impulsar la elaboración e implementación del Plan Multisectorial, teniéndose también previsto un Modelo de Plan Departamental, el cual dará los lineamientos para la elaboración de los Planes Departamentales contra la Trata y Tráfico de Personas. </w:t>
      </w:r>
    </w:p>
    <w:p w14:paraId="7ED4E88B" w14:textId="4E7DD2B3" w:rsidR="00BD4745" w:rsidRPr="00EF700A" w:rsidRDefault="0098102E" w:rsidP="00EF700A">
      <w:pPr>
        <w:pStyle w:val="SingleTxtG"/>
      </w:pPr>
      <w:r w:rsidRPr="00EF700A">
        <w:rPr>
          <w:rFonts w:eastAsiaTheme="minorHAnsi"/>
          <w:lang w:val="es-BO" w:eastAsia="en-US"/>
        </w:rPr>
        <w:t>159.</w:t>
      </w:r>
      <w:r w:rsidRPr="00EF700A">
        <w:rPr>
          <w:rFonts w:eastAsiaTheme="minorHAnsi"/>
          <w:lang w:val="es-BO" w:eastAsia="en-US"/>
        </w:rPr>
        <w:tab/>
      </w:r>
      <w:r w:rsidR="00EF700A" w:rsidRPr="00EF700A">
        <w:t xml:space="preserve">f) </w:t>
      </w:r>
      <w:r w:rsidR="00BD4745" w:rsidRPr="00EF700A">
        <w:t xml:space="preserve">Elaboración del Protocolo de Repatriación de Víctimas de Trata y Tráfico de Personas de Nacionalidad Boliviana en el exterior, que establece secuencias a seguir por los Consulados o Secciones Consulares y Direcciones del Ministerio de Relaciones Exteriores y la Dirección General de lucha contra la Trata y Tráfico de Personas del Ministerio de Relaciones Exteriores y la Dirección General de lucha contra la Trata y Tráfico de Personas del Ministerio de Gobierno, con la finalidad de lograr la repatriación de ciudadanos bolivianos que fueron víctimas de trata de personas y tráfico ilícito de migrantes. </w:t>
      </w:r>
    </w:p>
    <w:p w14:paraId="48EA205F" w14:textId="3E318368" w:rsidR="00BD4745" w:rsidRPr="00EF700A" w:rsidRDefault="0098102E" w:rsidP="00EF700A">
      <w:pPr>
        <w:pStyle w:val="SingleTxtG"/>
      </w:pPr>
      <w:r w:rsidRPr="00EF700A">
        <w:rPr>
          <w:rFonts w:eastAsiaTheme="minorHAnsi"/>
          <w:lang w:val="es-BO" w:eastAsia="en-US"/>
        </w:rPr>
        <w:t>160.</w:t>
      </w:r>
      <w:r w:rsidRPr="00EF700A">
        <w:rPr>
          <w:rFonts w:eastAsiaTheme="minorHAnsi"/>
          <w:lang w:val="es-BO" w:eastAsia="en-US"/>
        </w:rPr>
        <w:tab/>
      </w:r>
      <w:r w:rsidR="00BD4745" w:rsidRPr="00EF700A">
        <w:t>En el ámbito de la prevención, desde la gestión 2013 hasta la gestión 2020 se realizaron diversas campañas contra la trata de personas y el tráfico ilícito de migrantes.</w:t>
      </w:r>
    </w:p>
    <w:p w14:paraId="58E8C170" w14:textId="03466D95" w:rsidR="00BD4745" w:rsidRPr="00EF700A" w:rsidRDefault="0098102E" w:rsidP="00EF700A">
      <w:pPr>
        <w:pStyle w:val="SingleTxtG"/>
      </w:pPr>
      <w:r w:rsidRPr="00EF700A">
        <w:rPr>
          <w:rFonts w:eastAsiaTheme="minorHAnsi"/>
          <w:lang w:val="es-BO" w:eastAsia="en-US"/>
        </w:rPr>
        <w:t>161.</w:t>
      </w:r>
      <w:r w:rsidRPr="00EF700A">
        <w:rPr>
          <w:rFonts w:eastAsiaTheme="minorHAnsi"/>
          <w:lang w:val="es-BO" w:eastAsia="en-US"/>
        </w:rPr>
        <w:tab/>
      </w:r>
      <w:r w:rsidR="00BD4745" w:rsidRPr="00EF700A">
        <w:t xml:space="preserve">Asimismo, a nivel nacional se han creado nueve Divisiones de Trata y Tráfico de Personas, dependientes de la Fuerza Especial de Lucha contra el Crimen </w:t>
      </w:r>
      <w:proofErr w:type="spellStart"/>
      <w:r w:rsidR="00BD4745" w:rsidRPr="00EF700A">
        <w:t>FELCC</w:t>
      </w:r>
      <w:proofErr w:type="spellEnd"/>
      <w:r w:rsidR="00BD4745" w:rsidRPr="00EF700A">
        <w:t xml:space="preserve"> de la Policía Boliviana, que tiene a su cargo la prevención, investigación y lucha contra los hechos delictivos y criminales como proxenetismo, trata de personas, tráfico de personas, pornografía, etc.</w:t>
      </w:r>
    </w:p>
    <w:p w14:paraId="7451D939" w14:textId="0F49B072" w:rsidR="00BD4745" w:rsidRPr="00EF700A" w:rsidRDefault="0098102E" w:rsidP="00EF700A">
      <w:pPr>
        <w:pStyle w:val="SingleTxtG"/>
      </w:pPr>
      <w:r w:rsidRPr="00EF700A">
        <w:rPr>
          <w:rFonts w:eastAsiaTheme="minorHAnsi"/>
          <w:lang w:val="es-BO" w:eastAsia="en-US"/>
        </w:rPr>
        <w:t>162.</w:t>
      </w:r>
      <w:r w:rsidRPr="00EF700A">
        <w:rPr>
          <w:rFonts w:eastAsiaTheme="minorHAnsi"/>
          <w:lang w:val="es-BO" w:eastAsia="en-US"/>
        </w:rPr>
        <w:tab/>
      </w:r>
      <w:r w:rsidR="00BD4745" w:rsidRPr="00EF700A">
        <w:t xml:space="preserve">Así también el Ministerio de Justicia en calidad de presidente del Consejo Plurinacional contra la Trata y Tráfico de personas, coordino con el Ministerio Público la actualización del Protocolo Único de Atención Especializada a Victimas de Trata y Tráfico de Personas aprobado mediante Resolución </w:t>
      </w:r>
      <w:proofErr w:type="spellStart"/>
      <w:r w:rsidR="00BD4745" w:rsidRPr="00EF700A">
        <w:t>FGE</w:t>
      </w:r>
      <w:proofErr w:type="spellEnd"/>
      <w:r w:rsidR="00BD4745" w:rsidRPr="00EF700A">
        <w:t>/</w:t>
      </w:r>
      <w:proofErr w:type="spellStart"/>
      <w:r w:rsidR="00BD4745" w:rsidRPr="00EF700A">
        <w:t>JLP</w:t>
      </w:r>
      <w:proofErr w:type="spellEnd"/>
      <w:r w:rsidR="00BD4745" w:rsidRPr="00EF700A">
        <w:t>/</w:t>
      </w:r>
      <w:proofErr w:type="spellStart"/>
      <w:r w:rsidR="00BD4745" w:rsidRPr="00EF700A">
        <w:t>DAJ</w:t>
      </w:r>
      <w:proofErr w:type="spellEnd"/>
      <w:r w:rsidR="00BD4745" w:rsidRPr="00EF700A">
        <w:t xml:space="preserve">/2017/2020 de 27 de noviembre de 2020 en el marco de la Ley </w:t>
      </w:r>
      <w:proofErr w:type="spellStart"/>
      <w:r w:rsidR="00BD4745" w:rsidRPr="00EF700A">
        <w:t>N</w:t>
      </w:r>
      <w:r w:rsidR="009C23DD">
        <w:t>º</w:t>
      </w:r>
      <w:proofErr w:type="spellEnd"/>
      <w:r w:rsidR="00BD4745" w:rsidRPr="00EF700A">
        <w:t xml:space="preserve"> 263 y la Ley </w:t>
      </w:r>
      <w:proofErr w:type="spellStart"/>
      <w:r w:rsidR="00BD4745" w:rsidRPr="00EF700A">
        <w:t>N</w:t>
      </w:r>
      <w:r w:rsidR="009C23DD">
        <w:t>º</w:t>
      </w:r>
      <w:proofErr w:type="spellEnd"/>
      <w:r w:rsidR="00BD4745" w:rsidRPr="00EF700A">
        <w:t xml:space="preserve"> 1173. </w:t>
      </w:r>
    </w:p>
    <w:p w14:paraId="0307635C" w14:textId="6C13A52A" w:rsidR="00BD4745" w:rsidRPr="00EF700A" w:rsidRDefault="0098102E" w:rsidP="00EF700A">
      <w:pPr>
        <w:pStyle w:val="SingleTxtG"/>
        <w:rPr>
          <w:shd w:val="clear" w:color="auto" w:fill="FFFFFF"/>
          <w:lang w:eastAsia="es-BO"/>
        </w:rPr>
      </w:pPr>
      <w:r w:rsidRPr="00EF700A">
        <w:rPr>
          <w:rFonts w:eastAsiaTheme="minorHAnsi"/>
          <w:lang w:val="es-BO" w:eastAsia="es-BO"/>
        </w:rPr>
        <w:lastRenderedPageBreak/>
        <w:t>163.</w:t>
      </w:r>
      <w:r w:rsidRPr="00EF700A">
        <w:rPr>
          <w:rFonts w:eastAsiaTheme="minorHAnsi"/>
          <w:lang w:val="es-BO" w:eastAsia="es-BO"/>
        </w:rPr>
        <w:tab/>
      </w:r>
      <w:r w:rsidR="00BD4745" w:rsidRPr="00EF700A">
        <w:t>Respecto al número de denuncias realizadas sobre hechos de trata y tráfico de personas y delitos conexo</w:t>
      </w:r>
      <w:r w:rsidR="00AA6A62">
        <w:t>s se tiene los siguientes datos.</w:t>
      </w:r>
    </w:p>
    <w:p w14:paraId="27480D60" w14:textId="12D14CCC" w:rsidR="00BD4745" w:rsidRPr="00B54D3D" w:rsidRDefault="003C15F4" w:rsidP="004B0800">
      <w:pPr>
        <w:pStyle w:val="H23G"/>
      </w:pPr>
      <w:r>
        <w:tab/>
      </w:r>
      <w:r>
        <w:tab/>
      </w:r>
      <w:r w:rsidR="00B54D3D" w:rsidRPr="00B54D3D">
        <w:t>Número de denuncias trata de personas, 2019-2021</w:t>
      </w:r>
    </w:p>
    <w:tbl>
      <w:tblPr>
        <w:tblW w:w="7370" w:type="dxa"/>
        <w:tblInd w:w="1134" w:type="dxa"/>
        <w:tblLayout w:type="fixed"/>
        <w:tblCellMar>
          <w:left w:w="0" w:type="dxa"/>
          <w:right w:w="0" w:type="dxa"/>
        </w:tblCellMar>
        <w:tblLook w:val="04A0" w:firstRow="1" w:lastRow="0" w:firstColumn="1" w:lastColumn="0" w:noHBand="0" w:noVBand="1"/>
      </w:tblPr>
      <w:tblGrid>
        <w:gridCol w:w="2525"/>
        <w:gridCol w:w="1615"/>
        <w:gridCol w:w="1615"/>
        <w:gridCol w:w="1615"/>
      </w:tblGrid>
      <w:tr w:rsidR="00B54D3D" w:rsidRPr="00B54D3D" w14:paraId="1BFEE1DD" w14:textId="77777777" w:rsidTr="00B54D3D">
        <w:trPr>
          <w:tblHeader/>
        </w:trPr>
        <w:tc>
          <w:tcPr>
            <w:tcW w:w="2525" w:type="dxa"/>
            <w:tcBorders>
              <w:top w:val="single" w:sz="4" w:space="0" w:color="auto"/>
              <w:bottom w:val="single" w:sz="12" w:space="0" w:color="auto"/>
            </w:tcBorders>
            <w:shd w:val="clear" w:color="auto" w:fill="auto"/>
            <w:noWrap/>
            <w:vAlign w:val="bottom"/>
            <w:hideMark/>
          </w:tcPr>
          <w:p w14:paraId="1235D666" w14:textId="4EE898E1" w:rsidR="00BD4745" w:rsidRPr="00B54D3D" w:rsidRDefault="00B54D3D" w:rsidP="00B54D3D">
            <w:pPr>
              <w:spacing w:before="80" w:after="80" w:line="200" w:lineRule="exact"/>
              <w:rPr>
                <w:bCs/>
                <w:i/>
                <w:sz w:val="16"/>
                <w:lang w:eastAsia="es-BO"/>
              </w:rPr>
            </w:pPr>
            <w:r w:rsidRPr="00B54D3D">
              <w:rPr>
                <w:bCs/>
                <w:i/>
                <w:sz w:val="16"/>
                <w:lang w:eastAsia="es-BO"/>
              </w:rPr>
              <w:t>Departamento</w:t>
            </w:r>
          </w:p>
        </w:tc>
        <w:tc>
          <w:tcPr>
            <w:tcW w:w="1615" w:type="dxa"/>
            <w:tcBorders>
              <w:top w:val="single" w:sz="4" w:space="0" w:color="auto"/>
              <w:bottom w:val="single" w:sz="12" w:space="0" w:color="auto"/>
            </w:tcBorders>
            <w:shd w:val="clear" w:color="auto" w:fill="auto"/>
            <w:noWrap/>
            <w:vAlign w:val="bottom"/>
            <w:hideMark/>
          </w:tcPr>
          <w:p w14:paraId="366EB536" w14:textId="77777777" w:rsidR="00BD4745" w:rsidRPr="00B54D3D" w:rsidRDefault="00BD4745" w:rsidP="00B54D3D">
            <w:pPr>
              <w:spacing w:before="80" w:after="80" w:line="200" w:lineRule="exact"/>
              <w:jc w:val="right"/>
              <w:rPr>
                <w:bCs/>
                <w:i/>
                <w:sz w:val="16"/>
                <w:lang w:eastAsia="es-BO"/>
              </w:rPr>
            </w:pPr>
            <w:r w:rsidRPr="00B54D3D">
              <w:rPr>
                <w:bCs/>
                <w:i/>
                <w:sz w:val="16"/>
                <w:lang w:eastAsia="es-BO"/>
              </w:rPr>
              <w:t>2019</w:t>
            </w:r>
          </w:p>
        </w:tc>
        <w:tc>
          <w:tcPr>
            <w:tcW w:w="1615" w:type="dxa"/>
            <w:tcBorders>
              <w:top w:val="single" w:sz="4" w:space="0" w:color="auto"/>
              <w:bottom w:val="single" w:sz="12" w:space="0" w:color="auto"/>
            </w:tcBorders>
            <w:shd w:val="clear" w:color="auto" w:fill="auto"/>
            <w:noWrap/>
            <w:vAlign w:val="bottom"/>
            <w:hideMark/>
          </w:tcPr>
          <w:p w14:paraId="502AAE42" w14:textId="77777777" w:rsidR="00BD4745" w:rsidRPr="00B54D3D" w:rsidRDefault="00BD4745" w:rsidP="00B54D3D">
            <w:pPr>
              <w:spacing w:before="80" w:after="80" w:line="200" w:lineRule="exact"/>
              <w:jc w:val="right"/>
              <w:rPr>
                <w:bCs/>
                <w:i/>
                <w:sz w:val="16"/>
                <w:lang w:eastAsia="es-BO"/>
              </w:rPr>
            </w:pPr>
            <w:r w:rsidRPr="00B54D3D">
              <w:rPr>
                <w:bCs/>
                <w:i/>
                <w:sz w:val="16"/>
                <w:lang w:eastAsia="es-BO"/>
              </w:rPr>
              <w:t>2020</w:t>
            </w:r>
          </w:p>
        </w:tc>
        <w:tc>
          <w:tcPr>
            <w:tcW w:w="1615" w:type="dxa"/>
            <w:tcBorders>
              <w:top w:val="single" w:sz="4" w:space="0" w:color="auto"/>
              <w:bottom w:val="single" w:sz="12" w:space="0" w:color="auto"/>
            </w:tcBorders>
            <w:shd w:val="clear" w:color="auto" w:fill="auto"/>
            <w:noWrap/>
            <w:vAlign w:val="bottom"/>
            <w:hideMark/>
          </w:tcPr>
          <w:p w14:paraId="106C0B6C" w14:textId="77777777" w:rsidR="00BD4745" w:rsidRPr="00B54D3D" w:rsidRDefault="00BD4745" w:rsidP="00B54D3D">
            <w:pPr>
              <w:spacing w:before="80" w:after="80" w:line="200" w:lineRule="exact"/>
              <w:jc w:val="right"/>
              <w:rPr>
                <w:bCs/>
                <w:i/>
                <w:sz w:val="16"/>
                <w:lang w:eastAsia="es-BO"/>
              </w:rPr>
            </w:pPr>
            <w:r w:rsidRPr="00B54D3D">
              <w:rPr>
                <w:bCs/>
                <w:i/>
                <w:sz w:val="16"/>
                <w:lang w:eastAsia="es-BO"/>
              </w:rPr>
              <w:t>2021</w:t>
            </w:r>
          </w:p>
        </w:tc>
      </w:tr>
      <w:tr w:rsidR="00B54D3D" w:rsidRPr="00B54D3D" w14:paraId="26951850" w14:textId="77777777" w:rsidTr="00B54D3D">
        <w:tc>
          <w:tcPr>
            <w:tcW w:w="2525" w:type="dxa"/>
            <w:tcBorders>
              <w:top w:val="single" w:sz="12" w:space="0" w:color="auto"/>
            </w:tcBorders>
            <w:shd w:val="clear" w:color="auto" w:fill="auto"/>
            <w:noWrap/>
            <w:hideMark/>
          </w:tcPr>
          <w:p w14:paraId="1C2B9488" w14:textId="25025AED" w:rsidR="00BD4745" w:rsidRPr="00B54D3D" w:rsidRDefault="00B54D3D" w:rsidP="00B54D3D">
            <w:pPr>
              <w:spacing w:before="40" w:after="40" w:line="220" w:lineRule="exact"/>
              <w:rPr>
                <w:sz w:val="18"/>
                <w:lang w:eastAsia="es-BO"/>
              </w:rPr>
            </w:pPr>
            <w:r w:rsidRPr="00B54D3D">
              <w:rPr>
                <w:sz w:val="18"/>
                <w:lang w:eastAsia="es-BO"/>
              </w:rPr>
              <w:t>La Paz</w:t>
            </w:r>
          </w:p>
        </w:tc>
        <w:tc>
          <w:tcPr>
            <w:tcW w:w="1615" w:type="dxa"/>
            <w:tcBorders>
              <w:top w:val="single" w:sz="12" w:space="0" w:color="auto"/>
            </w:tcBorders>
            <w:shd w:val="clear" w:color="auto" w:fill="auto"/>
            <w:noWrap/>
            <w:vAlign w:val="bottom"/>
            <w:hideMark/>
          </w:tcPr>
          <w:p w14:paraId="4EEDF68E" w14:textId="77777777" w:rsidR="00BD4745" w:rsidRPr="00B54D3D" w:rsidRDefault="00BD4745" w:rsidP="00B54D3D">
            <w:pPr>
              <w:spacing w:before="40" w:after="40" w:line="220" w:lineRule="exact"/>
              <w:jc w:val="right"/>
              <w:rPr>
                <w:sz w:val="18"/>
                <w:lang w:eastAsia="es-BO"/>
              </w:rPr>
            </w:pPr>
            <w:r w:rsidRPr="00B54D3D">
              <w:rPr>
                <w:sz w:val="18"/>
                <w:lang w:eastAsia="es-BO"/>
              </w:rPr>
              <w:t>167</w:t>
            </w:r>
          </w:p>
        </w:tc>
        <w:tc>
          <w:tcPr>
            <w:tcW w:w="1615" w:type="dxa"/>
            <w:tcBorders>
              <w:top w:val="single" w:sz="12" w:space="0" w:color="auto"/>
            </w:tcBorders>
            <w:shd w:val="clear" w:color="auto" w:fill="auto"/>
            <w:noWrap/>
            <w:vAlign w:val="bottom"/>
            <w:hideMark/>
          </w:tcPr>
          <w:p w14:paraId="1A187490" w14:textId="77777777" w:rsidR="00BD4745" w:rsidRPr="00B54D3D" w:rsidRDefault="00BD4745" w:rsidP="00B54D3D">
            <w:pPr>
              <w:spacing w:before="40" w:after="40" w:line="220" w:lineRule="exact"/>
              <w:jc w:val="right"/>
              <w:rPr>
                <w:sz w:val="18"/>
                <w:lang w:eastAsia="es-BO"/>
              </w:rPr>
            </w:pPr>
            <w:r w:rsidRPr="00B54D3D">
              <w:rPr>
                <w:sz w:val="18"/>
                <w:lang w:eastAsia="es-BO"/>
              </w:rPr>
              <w:t>175</w:t>
            </w:r>
          </w:p>
        </w:tc>
        <w:tc>
          <w:tcPr>
            <w:tcW w:w="1615" w:type="dxa"/>
            <w:tcBorders>
              <w:top w:val="single" w:sz="12" w:space="0" w:color="auto"/>
            </w:tcBorders>
            <w:shd w:val="clear" w:color="auto" w:fill="auto"/>
            <w:noWrap/>
            <w:vAlign w:val="bottom"/>
            <w:hideMark/>
          </w:tcPr>
          <w:p w14:paraId="373C7D06" w14:textId="77777777" w:rsidR="00BD4745" w:rsidRPr="00B54D3D" w:rsidRDefault="00BD4745" w:rsidP="00B54D3D">
            <w:pPr>
              <w:spacing w:before="40" w:after="40" w:line="220" w:lineRule="exact"/>
              <w:jc w:val="right"/>
              <w:rPr>
                <w:sz w:val="18"/>
                <w:lang w:eastAsia="es-BO"/>
              </w:rPr>
            </w:pPr>
            <w:r w:rsidRPr="00B54D3D">
              <w:rPr>
                <w:sz w:val="18"/>
                <w:lang w:eastAsia="es-BO"/>
              </w:rPr>
              <w:t>114</w:t>
            </w:r>
          </w:p>
        </w:tc>
      </w:tr>
      <w:tr w:rsidR="00B54D3D" w:rsidRPr="00B54D3D" w14:paraId="34E45280" w14:textId="77777777" w:rsidTr="00B54D3D">
        <w:tc>
          <w:tcPr>
            <w:tcW w:w="2525" w:type="dxa"/>
            <w:shd w:val="clear" w:color="auto" w:fill="auto"/>
            <w:noWrap/>
            <w:hideMark/>
          </w:tcPr>
          <w:p w14:paraId="40D27354" w14:textId="539BCE8D" w:rsidR="00BD4745" w:rsidRPr="00B54D3D" w:rsidRDefault="00B54D3D" w:rsidP="00B54D3D">
            <w:pPr>
              <w:spacing w:before="40" w:after="40" w:line="220" w:lineRule="exact"/>
              <w:rPr>
                <w:sz w:val="18"/>
                <w:lang w:eastAsia="es-BO"/>
              </w:rPr>
            </w:pPr>
            <w:r w:rsidRPr="00B54D3D">
              <w:rPr>
                <w:sz w:val="18"/>
                <w:lang w:eastAsia="es-BO"/>
              </w:rPr>
              <w:t>Santa Cruz</w:t>
            </w:r>
          </w:p>
        </w:tc>
        <w:tc>
          <w:tcPr>
            <w:tcW w:w="1615" w:type="dxa"/>
            <w:shd w:val="clear" w:color="auto" w:fill="auto"/>
            <w:noWrap/>
            <w:vAlign w:val="bottom"/>
            <w:hideMark/>
          </w:tcPr>
          <w:p w14:paraId="649F352E" w14:textId="77777777" w:rsidR="00BD4745" w:rsidRPr="00B54D3D" w:rsidRDefault="00BD4745" w:rsidP="00B54D3D">
            <w:pPr>
              <w:spacing w:before="40" w:after="40" w:line="220" w:lineRule="exact"/>
              <w:jc w:val="right"/>
              <w:rPr>
                <w:sz w:val="18"/>
                <w:lang w:eastAsia="es-BO"/>
              </w:rPr>
            </w:pPr>
            <w:r w:rsidRPr="00B54D3D">
              <w:rPr>
                <w:sz w:val="18"/>
                <w:lang w:eastAsia="es-BO"/>
              </w:rPr>
              <w:t>49</w:t>
            </w:r>
          </w:p>
        </w:tc>
        <w:tc>
          <w:tcPr>
            <w:tcW w:w="1615" w:type="dxa"/>
            <w:shd w:val="clear" w:color="auto" w:fill="auto"/>
            <w:noWrap/>
            <w:vAlign w:val="bottom"/>
            <w:hideMark/>
          </w:tcPr>
          <w:p w14:paraId="4AC8137B" w14:textId="77777777" w:rsidR="00BD4745" w:rsidRPr="00B54D3D" w:rsidRDefault="00BD4745" w:rsidP="00B54D3D">
            <w:pPr>
              <w:spacing w:before="40" w:after="40" w:line="220" w:lineRule="exact"/>
              <w:jc w:val="right"/>
              <w:rPr>
                <w:sz w:val="18"/>
                <w:lang w:eastAsia="es-BO"/>
              </w:rPr>
            </w:pPr>
            <w:r w:rsidRPr="00B54D3D">
              <w:rPr>
                <w:sz w:val="18"/>
                <w:lang w:eastAsia="es-BO"/>
              </w:rPr>
              <w:t>50</w:t>
            </w:r>
          </w:p>
        </w:tc>
        <w:tc>
          <w:tcPr>
            <w:tcW w:w="1615" w:type="dxa"/>
            <w:shd w:val="clear" w:color="auto" w:fill="auto"/>
            <w:noWrap/>
            <w:vAlign w:val="bottom"/>
            <w:hideMark/>
          </w:tcPr>
          <w:p w14:paraId="78A0337E" w14:textId="77777777" w:rsidR="00BD4745" w:rsidRPr="00B54D3D" w:rsidRDefault="00BD4745" w:rsidP="00B54D3D">
            <w:pPr>
              <w:spacing w:before="40" w:after="40" w:line="220" w:lineRule="exact"/>
              <w:jc w:val="right"/>
              <w:rPr>
                <w:sz w:val="18"/>
                <w:lang w:eastAsia="es-BO"/>
              </w:rPr>
            </w:pPr>
            <w:r w:rsidRPr="00B54D3D">
              <w:rPr>
                <w:sz w:val="18"/>
                <w:lang w:eastAsia="es-BO"/>
              </w:rPr>
              <w:t>73</w:t>
            </w:r>
          </w:p>
        </w:tc>
      </w:tr>
      <w:tr w:rsidR="00B54D3D" w:rsidRPr="00B54D3D" w14:paraId="14A20BC3" w14:textId="77777777" w:rsidTr="00B54D3D">
        <w:tc>
          <w:tcPr>
            <w:tcW w:w="2525" w:type="dxa"/>
            <w:shd w:val="clear" w:color="auto" w:fill="auto"/>
            <w:noWrap/>
            <w:hideMark/>
          </w:tcPr>
          <w:p w14:paraId="363DB75E" w14:textId="077C38A8" w:rsidR="00BD4745" w:rsidRPr="00B54D3D" w:rsidRDefault="00B54D3D" w:rsidP="00B54D3D">
            <w:pPr>
              <w:spacing w:before="40" w:after="40" w:line="220" w:lineRule="exact"/>
              <w:rPr>
                <w:sz w:val="18"/>
                <w:lang w:eastAsia="es-BO"/>
              </w:rPr>
            </w:pPr>
            <w:r w:rsidRPr="00B54D3D">
              <w:rPr>
                <w:sz w:val="18"/>
                <w:lang w:eastAsia="es-BO"/>
              </w:rPr>
              <w:t>Cochabamba</w:t>
            </w:r>
          </w:p>
        </w:tc>
        <w:tc>
          <w:tcPr>
            <w:tcW w:w="1615" w:type="dxa"/>
            <w:shd w:val="clear" w:color="auto" w:fill="auto"/>
            <w:noWrap/>
            <w:vAlign w:val="bottom"/>
            <w:hideMark/>
          </w:tcPr>
          <w:p w14:paraId="78B053D5" w14:textId="77777777" w:rsidR="00BD4745" w:rsidRPr="00B54D3D" w:rsidRDefault="00BD4745" w:rsidP="00B54D3D">
            <w:pPr>
              <w:spacing w:before="40" w:after="40" w:line="220" w:lineRule="exact"/>
              <w:jc w:val="right"/>
              <w:rPr>
                <w:sz w:val="18"/>
                <w:lang w:eastAsia="es-BO"/>
              </w:rPr>
            </w:pPr>
            <w:r w:rsidRPr="00B54D3D">
              <w:rPr>
                <w:sz w:val="18"/>
                <w:lang w:eastAsia="es-BO"/>
              </w:rPr>
              <w:t>56</w:t>
            </w:r>
          </w:p>
        </w:tc>
        <w:tc>
          <w:tcPr>
            <w:tcW w:w="1615" w:type="dxa"/>
            <w:shd w:val="clear" w:color="auto" w:fill="auto"/>
            <w:noWrap/>
            <w:vAlign w:val="bottom"/>
            <w:hideMark/>
          </w:tcPr>
          <w:p w14:paraId="1F8D058C" w14:textId="77777777" w:rsidR="00BD4745" w:rsidRPr="00B54D3D" w:rsidRDefault="00BD4745" w:rsidP="00B54D3D">
            <w:pPr>
              <w:spacing w:before="40" w:after="40" w:line="220" w:lineRule="exact"/>
              <w:jc w:val="right"/>
              <w:rPr>
                <w:sz w:val="18"/>
                <w:lang w:eastAsia="es-BO"/>
              </w:rPr>
            </w:pPr>
            <w:r w:rsidRPr="00B54D3D">
              <w:rPr>
                <w:sz w:val="18"/>
                <w:lang w:eastAsia="es-BO"/>
              </w:rPr>
              <w:t>41</w:t>
            </w:r>
          </w:p>
        </w:tc>
        <w:tc>
          <w:tcPr>
            <w:tcW w:w="1615" w:type="dxa"/>
            <w:shd w:val="clear" w:color="auto" w:fill="auto"/>
            <w:noWrap/>
            <w:vAlign w:val="bottom"/>
            <w:hideMark/>
          </w:tcPr>
          <w:p w14:paraId="001A8662" w14:textId="77777777" w:rsidR="00BD4745" w:rsidRPr="00B54D3D" w:rsidRDefault="00BD4745" w:rsidP="00B54D3D">
            <w:pPr>
              <w:spacing w:before="40" w:after="40" w:line="220" w:lineRule="exact"/>
              <w:jc w:val="right"/>
              <w:rPr>
                <w:sz w:val="18"/>
                <w:lang w:eastAsia="es-BO"/>
              </w:rPr>
            </w:pPr>
            <w:r w:rsidRPr="00B54D3D">
              <w:rPr>
                <w:sz w:val="18"/>
                <w:lang w:eastAsia="es-BO"/>
              </w:rPr>
              <w:t>64</w:t>
            </w:r>
          </w:p>
        </w:tc>
      </w:tr>
      <w:tr w:rsidR="00B54D3D" w:rsidRPr="00B54D3D" w14:paraId="0B269398" w14:textId="77777777" w:rsidTr="00B54D3D">
        <w:tc>
          <w:tcPr>
            <w:tcW w:w="2525" w:type="dxa"/>
            <w:shd w:val="clear" w:color="auto" w:fill="auto"/>
            <w:noWrap/>
            <w:hideMark/>
          </w:tcPr>
          <w:p w14:paraId="27A9E71F" w14:textId="766434FD" w:rsidR="00BD4745" w:rsidRPr="00B54D3D" w:rsidRDefault="00B54D3D" w:rsidP="00B54D3D">
            <w:pPr>
              <w:spacing w:before="40" w:after="40" w:line="220" w:lineRule="exact"/>
              <w:rPr>
                <w:sz w:val="18"/>
                <w:lang w:eastAsia="es-BO"/>
              </w:rPr>
            </w:pPr>
            <w:r w:rsidRPr="00B54D3D">
              <w:rPr>
                <w:sz w:val="18"/>
                <w:lang w:eastAsia="es-BO"/>
              </w:rPr>
              <w:t>Beni</w:t>
            </w:r>
          </w:p>
        </w:tc>
        <w:tc>
          <w:tcPr>
            <w:tcW w:w="1615" w:type="dxa"/>
            <w:shd w:val="clear" w:color="auto" w:fill="auto"/>
            <w:noWrap/>
            <w:vAlign w:val="bottom"/>
            <w:hideMark/>
          </w:tcPr>
          <w:p w14:paraId="3C1469B5" w14:textId="77777777" w:rsidR="00BD4745" w:rsidRPr="00B54D3D" w:rsidRDefault="00BD4745" w:rsidP="00B54D3D">
            <w:pPr>
              <w:spacing w:before="40" w:after="40" w:line="220" w:lineRule="exact"/>
              <w:jc w:val="right"/>
              <w:rPr>
                <w:sz w:val="18"/>
                <w:lang w:eastAsia="es-BO"/>
              </w:rPr>
            </w:pPr>
            <w:r w:rsidRPr="00B54D3D">
              <w:rPr>
                <w:sz w:val="18"/>
                <w:lang w:eastAsia="es-BO"/>
              </w:rPr>
              <w:t>11</w:t>
            </w:r>
          </w:p>
        </w:tc>
        <w:tc>
          <w:tcPr>
            <w:tcW w:w="1615" w:type="dxa"/>
            <w:shd w:val="clear" w:color="auto" w:fill="auto"/>
            <w:noWrap/>
            <w:vAlign w:val="bottom"/>
            <w:hideMark/>
          </w:tcPr>
          <w:p w14:paraId="762821D0" w14:textId="77777777" w:rsidR="00BD4745" w:rsidRPr="00B54D3D" w:rsidRDefault="00BD4745" w:rsidP="00B54D3D">
            <w:pPr>
              <w:spacing w:before="40" w:after="40" w:line="220" w:lineRule="exact"/>
              <w:jc w:val="right"/>
              <w:rPr>
                <w:sz w:val="18"/>
                <w:lang w:eastAsia="es-BO"/>
              </w:rPr>
            </w:pPr>
            <w:r w:rsidRPr="00B54D3D">
              <w:rPr>
                <w:sz w:val="18"/>
                <w:lang w:eastAsia="es-BO"/>
              </w:rPr>
              <w:t>4</w:t>
            </w:r>
          </w:p>
        </w:tc>
        <w:tc>
          <w:tcPr>
            <w:tcW w:w="1615" w:type="dxa"/>
            <w:shd w:val="clear" w:color="auto" w:fill="auto"/>
            <w:noWrap/>
            <w:vAlign w:val="bottom"/>
            <w:hideMark/>
          </w:tcPr>
          <w:p w14:paraId="7CA61954" w14:textId="77777777" w:rsidR="00BD4745" w:rsidRPr="00B54D3D" w:rsidRDefault="00BD4745" w:rsidP="00B54D3D">
            <w:pPr>
              <w:spacing w:before="40" w:after="40" w:line="220" w:lineRule="exact"/>
              <w:jc w:val="right"/>
              <w:rPr>
                <w:sz w:val="18"/>
                <w:lang w:eastAsia="es-BO"/>
              </w:rPr>
            </w:pPr>
            <w:r w:rsidRPr="00B54D3D">
              <w:rPr>
                <w:sz w:val="18"/>
                <w:lang w:eastAsia="es-BO"/>
              </w:rPr>
              <w:t>10</w:t>
            </w:r>
          </w:p>
        </w:tc>
      </w:tr>
      <w:tr w:rsidR="00B54D3D" w:rsidRPr="00B54D3D" w14:paraId="7B54BDD7" w14:textId="77777777" w:rsidTr="00B54D3D">
        <w:tc>
          <w:tcPr>
            <w:tcW w:w="2525" w:type="dxa"/>
            <w:shd w:val="clear" w:color="auto" w:fill="auto"/>
            <w:noWrap/>
            <w:hideMark/>
          </w:tcPr>
          <w:p w14:paraId="61F8ED3B" w14:textId="45126F14" w:rsidR="00BD4745" w:rsidRPr="00B54D3D" w:rsidRDefault="00B54D3D" w:rsidP="00B54D3D">
            <w:pPr>
              <w:spacing w:before="40" w:after="40" w:line="220" w:lineRule="exact"/>
              <w:rPr>
                <w:sz w:val="18"/>
                <w:lang w:eastAsia="es-BO"/>
              </w:rPr>
            </w:pPr>
            <w:r w:rsidRPr="00B54D3D">
              <w:rPr>
                <w:sz w:val="18"/>
                <w:lang w:eastAsia="es-BO"/>
              </w:rPr>
              <w:t>Oruro</w:t>
            </w:r>
          </w:p>
        </w:tc>
        <w:tc>
          <w:tcPr>
            <w:tcW w:w="1615" w:type="dxa"/>
            <w:shd w:val="clear" w:color="auto" w:fill="auto"/>
            <w:noWrap/>
            <w:vAlign w:val="bottom"/>
            <w:hideMark/>
          </w:tcPr>
          <w:p w14:paraId="25B1E76C" w14:textId="77777777" w:rsidR="00BD4745" w:rsidRPr="00B54D3D" w:rsidRDefault="00BD4745" w:rsidP="00B54D3D">
            <w:pPr>
              <w:spacing w:before="40" w:after="40" w:line="220" w:lineRule="exact"/>
              <w:jc w:val="right"/>
              <w:rPr>
                <w:sz w:val="18"/>
                <w:lang w:eastAsia="es-BO"/>
              </w:rPr>
            </w:pPr>
            <w:r w:rsidRPr="00B54D3D">
              <w:rPr>
                <w:sz w:val="18"/>
                <w:lang w:eastAsia="es-BO"/>
              </w:rPr>
              <w:t>41</w:t>
            </w:r>
          </w:p>
        </w:tc>
        <w:tc>
          <w:tcPr>
            <w:tcW w:w="1615" w:type="dxa"/>
            <w:shd w:val="clear" w:color="auto" w:fill="auto"/>
            <w:noWrap/>
            <w:vAlign w:val="bottom"/>
            <w:hideMark/>
          </w:tcPr>
          <w:p w14:paraId="3507DECB" w14:textId="77777777" w:rsidR="00BD4745" w:rsidRPr="00B54D3D" w:rsidRDefault="00BD4745" w:rsidP="00B54D3D">
            <w:pPr>
              <w:spacing w:before="40" w:after="40" w:line="220" w:lineRule="exact"/>
              <w:jc w:val="right"/>
              <w:rPr>
                <w:sz w:val="18"/>
                <w:lang w:eastAsia="es-BO"/>
              </w:rPr>
            </w:pPr>
            <w:r w:rsidRPr="00B54D3D">
              <w:rPr>
                <w:sz w:val="18"/>
                <w:lang w:eastAsia="es-BO"/>
              </w:rPr>
              <w:t>6</w:t>
            </w:r>
          </w:p>
        </w:tc>
        <w:tc>
          <w:tcPr>
            <w:tcW w:w="1615" w:type="dxa"/>
            <w:shd w:val="clear" w:color="auto" w:fill="auto"/>
            <w:noWrap/>
            <w:vAlign w:val="bottom"/>
            <w:hideMark/>
          </w:tcPr>
          <w:p w14:paraId="09FAF34E" w14:textId="77777777" w:rsidR="00BD4745" w:rsidRPr="00B54D3D" w:rsidRDefault="00BD4745" w:rsidP="00B54D3D">
            <w:pPr>
              <w:spacing w:before="40" w:after="40" w:line="220" w:lineRule="exact"/>
              <w:jc w:val="right"/>
              <w:rPr>
                <w:sz w:val="18"/>
                <w:lang w:eastAsia="es-BO"/>
              </w:rPr>
            </w:pPr>
            <w:r w:rsidRPr="00B54D3D">
              <w:rPr>
                <w:sz w:val="18"/>
                <w:lang w:eastAsia="es-BO"/>
              </w:rPr>
              <w:t>8</w:t>
            </w:r>
          </w:p>
        </w:tc>
      </w:tr>
      <w:tr w:rsidR="00B54D3D" w:rsidRPr="00B54D3D" w14:paraId="654BA3B1" w14:textId="77777777" w:rsidTr="00B54D3D">
        <w:tc>
          <w:tcPr>
            <w:tcW w:w="2525" w:type="dxa"/>
            <w:shd w:val="clear" w:color="auto" w:fill="auto"/>
            <w:noWrap/>
            <w:hideMark/>
          </w:tcPr>
          <w:p w14:paraId="7D03DE62" w14:textId="746EC2B7" w:rsidR="00BD4745" w:rsidRPr="00B54D3D" w:rsidRDefault="00B54D3D" w:rsidP="00B54D3D">
            <w:pPr>
              <w:spacing w:before="40" w:after="40" w:line="220" w:lineRule="exact"/>
              <w:rPr>
                <w:sz w:val="18"/>
                <w:lang w:eastAsia="es-BO"/>
              </w:rPr>
            </w:pPr>
            <w:r w:rsidRPr="00B54D3D">
              <w:rPr>
                <w:sz w:val="18"/>
                <w:lang w:eastAsia="es-BO"/>
              </w:rPr>
              <w:t>Tarija</w:t>
            </w:r>
          </w:p>
        </w:tc>
        <w:tc>
          <w:tcPr>
            <w:tcW w:w="1615" w:type="dxa"/>
            <w:shd w:val="clear" w:color="auto" w:fill="auto"/>
            <w:noWrap/>
            <w:vAlign w:val="bottom"/>
            <w:hideMark/>
          </w:tcPr>
          <w:p w14:paraId="18774A6B" w14:textId="77777777" w:rsidR="00BD4745" w:rsidRPr="00B54D3D" w:rsidRDefault="00BD4745" w:rsidP="00B54D3D">
            <w:pPr>
              <w:spacing w:before="40" w:after="40" w:line="220" w:lineRule="exact"/>
              <w:jc w:val="right"/>
              <w:rPr>
                <w:sz w:val="18"/>
                <w:lang w:eastAsia="es-BO"/>
              </w:rPr>
            </w:pPr>
            <w:r w:rsidRPr="00B54D3D">
              <w:rPr>
                <w:sz w:val="18"/>
                <w:lang w:eastAsia="es-BO"/>
              </w:rPr>
              <w:t>23</w:t>
            </w:r>
          </w:p>
        </w:tc>
        <w:tc>
          <w:tcPr>
            <w:tcW w:w="1615" w:type="dxa"/>
            <w:shd w:val="clear" w:color="auto" w:fill="auto"/>
            <w:noWrap/>
            <w:vAlign w:val="bottom"/>
            <w:hideMark/>
          </w:tcPr>
          <w:p w14:paraId="336EA53E" w14:textId="77777777" w:rsidR="00BD4745" w:rsidRPr="00B54D3D" w:rsidRDefault="00BD4745" w:rsidP="00B54D3D">
            <w:pPr>
              <w:spacing w:before="40" w:after="40" w:line="220" w:lineRule="exact"/>
              <w:jc w:val="right"/>
              <w:rPr>
                <w:sz w:val="18"/>
                <w:lang w:eastAsia="es-BO"/>
              </w:rPr>
            </w:pPr>
            <w:r w:rsidRPr="00B54D3D">
              <w:rPr>
                <w:sz w:val="18"/>
                <w:lang w:eastAsia="es-BO"/>
              </w:rPr>
              <w:t>15</w:t>
            </w:r>
          </w:p>
        </w:tc>
        <w:tc>
          <w:tcPr>
            <w:tcW w:w="1615" w:type="dxa"/>
            <w:shd w:val="clear" w:color="auto" w:fill="auto"/>
            <w:noWrap/>
            <w:vAlign w:val="bottom"/>
            <w:hideMark/>
          </w:tcPr>
          <w:p w14:paraId="36C6021B" w14:textId="77777777" w:rsidR="00BD4745" w:rsidRPr="00B54D3D" w:rsidRDefault="00BD4745" w:rsidP="00B54D3D">
            <w:pPr>
              <w:spacing w:before="40" w:after="40" w:line="220" w:lineRule="exact"/>
              <w:jc w:val="right"/>
              <w:rPr>
                <w:sz w:val="18"/>
                <w:lang w:eastAsia="es-BO"/>
              </w:rPr>
            </w:pPr>
            <w:r w:rsidRPr="00B54D3D">
              <w:rPr>
                <w:sz w:val="18"/>
                <w:lang w:eastAsia="es-BO"/>
              </w:rPr>
              <w:t>7</w:t>
            </w:r>
          </w:p>
        </w:tc>
      </w:tr>
      <w:tr w:rsidR="00B54D3D" w:rsidRPr="00B54D3D" w14:paraId="1C02C6B6" w14:textId="77777777" w:rsidTr="00B54D3D">
        <w:tc>
          <w:tcPr>
            <w:tcW w:w="2525" w:type="dxa"/>
            <w:shd w:val="clear" w:color="auto" w:fill="auto"/>
            <w:noWrap/>
            <w:hideMark/>
          </w:tcPr>
          <w:p w14:paraId="21D3ADFF" w14:textId="678D13A1" w:rsidR="00BD4745" w:rsidRPr="00B54D3D" w:rsidRDefault="00B54D3D" w:rsidP="00B54D3D">
            <w:pPr>
              <w:spacing w:before="40" w:after="40" w:line="220" w:lineRule="exact"/>
              <w:rPr>
                <w:sz w:val="18"/>
                <w:lang w:eastAsia="es-BO"/>
              </w:rPr>
            </w:pPr>
            <w:r w:rsidRPr="00B54D3D">
              <w:rPr>
                <w:sz w:val="18"/>
                <w:lang w:eastAsia="es-BO"/>
              </w:rPr>
              <w:t>Chuquisaca</w:t>
            </w:r>
          </w:p>
        </w:tc>
        <w:tc>
          <w:tcPr>
            <w:tcW w:w="1615" w:type="dxa"/>
            <w:shd w:val="clear" w:color="auto" w:fill="auto"/>
            <w:noWrap/>
            <w:vAlign w:val="bottom"/>
            <w:hideMark/>
          </w:tcPr>
          <w:p w14:paraId="50C6CA4E" w14:textId="77777777" w:rsidR="00BD4745" w:rsidRPr="00B54D3D" w:rsidRDefault="00BD4745" w:rsidP="00B54D3D">
            <w:pPr>
              <w:spacing w:before="40" w:after="40" w:line="220" w:lineRule="exact"/>
              <w:jc w:val="right"/>
              <w:rPr>
                <w:sz w:val="18"/>
                <w:lang w:eastAsia="es-BO"/>
              </w:rPr>
            </w:pPr>
            <w:r w:rsidRPr="00B54D3D">
              <w:rPr>
                <w:sz w:val="18"/>
                <w:lang w:eastAsia="es-BO"/>
              </w:rPr>
              <w:t>5</w:t>
            </w:r>
          </w:p>
        </w:tc>
        <w:tc>
          <w:tcPr>
            <w:tcW w:w="1615" w:type="dxa"/>
            <w:shd w:val="clear" w:color="auto" w:fill="auto"/>
            <w:noWrap/>
            <w:vAlign w:val="bottom"/>
            <w:hideMark/>
          </w:tcPr>
          <w:p w14:paraId="754BF4CA" w14:textId="77777777" w:rsidR="00BD4745" w:rsidRPr="00B54D3D" w:rsidRDefault="00BD4745" w:rsidP="00B54D3D">
            <w:pPr>
              <w:spacing w:before="40" w:after="40" w:line="220" w:lineRule="exact"/>
              <w:jc w:val="right"/>
              <w:rPr>
                <w:sz w:val="18"/>
                <w:lang w:eastAsia="es-BO"/>
              </w:rPr>
            </w:pPr>
            <w:r w:rsidRPr="00B54D3D">
              <w:rPr>
                <w:sz w:val="18"/>
                <w:lang w:eastAsia="es-BO"/>
              </w:rPr>
              <w:t>4</w:t>
            </w:r>
          </w:p>
        </w:tc>
        <w:tc>
          <w:tcPr>
            <w:tcW w:w="1615" w:type="dxa"/>
            <w:shd w:val="clear" w:color="auto" w:fill="auto"/>
            <w:noWrap/>
            <w:vAlign w:val="bottom"/>
            <w:hideMark/>
          </w:tcPr>
          <w:p w14:paraId="7DFADD25" w14:textId="77777777" w:rsidR="00BD4745" w:rsidRPr="00B54D3D" w:rsidRDefault="00BD4745" w:rsidP="00B54D3D">
            <w:pPr>
              <w:spacing w:before="40" w:after="40" w:line="220" w:lineRule="exact"/>
              <w:jc w:val="right"/>
              <w:rPr>
                <w:sz w:val="18"/>
                <w:lang w:eastAsia="es-BO"/>
              </w:rPr>
            </w:pPr>
            <w:r w:rsidRPr="00B54D3D">
              <w:rPr>
                <w:sz w:val="18"/>
                <w:lang w:eastAsia="es-BO"/>
              </w:rPr>
              <w:t>7</w:t>
            </w:r>
          </w:p>
        </w:tc>
      </w:tr>
      <w:tr w:rsidR="00B54D3D" w:rsidRPr="00B54D3D" w14:paraId="399E3888" w14:textId="77777777" w:rsidTr="00B54D3D">
        <w:tc>
          <w:tcPr>
            <w:tcW w:w="2525" w:type="dxa"/>
            <w:shd w:val="clear" w:color="auto" w:fill="auto"/>
            <w:noWrap/>
            <w:hideMark/>
          </w:tcPr>
          <w:p w14:paraId="318DE7BE" w14:textId="18FBA7D5" w:rsidR="00BD4745" w:rsidRPr="00B54D3D" w:rsidRDefault="00B54D3D" w:rsidP="00B54D3D">
            <w:pPr>
              <w:spacing w:before="40" w:after="40" w:line="220" w:lineRule="exact"/>
              <w:rPr>
                <w:sz w:val="18"/>
                <w:lang w:eastAsia="es-BO"/>
              </w:rPr>
            </w:pPr>
            <w:r w:rsidRPr="00B54D3D">
              <w:rPr>
                <w:sz w:val="18"/>
                <w:lang w:eastAsia="es-BO"/>
              </w:rPr>
              <w:t>Potosí</w:t>
            </w:r>
          </w:p>
        </w:tc>
        <w:tc>
          <w:tcPr>
            <w:tcW w:w="1615" w:type="dxa"/>
            <w:shd w:val="clear" w:color="auto" w:fill="auto"/>
            <w:noWrap/>
            <w:vAlign w:val="bottom"/>
            <w:hideMark/>
          </w:tcPr>
          <w:p w14:paraId="2C0043A2" w14:textId="77777777" w:rsidR="00BD4745" w:rsidRPr="00B54D3D" w:rsidRDefault="00BD4745" w:rsidP="00B54D3D">
            <w:pPr>
              <w:spacing w:before="40" w:after="40" w:line="220" w:lineRule="exact"/>
              <w:jc w:val="right"/>
              <w:rPr>
                <w:sz w:val="18"/>
                <w:lang w:eastAsia="es-BO"/>
              </w:rPr>
            </w:pPr>
            <w:r w:rsidRPr="00B54D3D">
              <w:rPr>
                <w:sz w:val="18"/>
                <w:lang w:eastAsia="es-BO"/>
              </w:rPr>
              <w:t>17</w:t>
            </w:r>
          </w:p>
        </w:tc>
        <w:tc>
          <w:tcPr>
            <w:tcW w:w="1615" w:type="dxa"/>
            <w:shd w:val="clear" w:color="auto" w:fill="auto"/>
            <w:noWrap/>
            <w:vAlign w:val="bottom"/>
            <w:hideMark/>
          </w:tcPr>
          <w:p w14:paraId="212F6F00" w14:textId="77777777" w:rsidR="00BD4745" w:rsidRPr="00B54D3D" w:rsidRDefault="00BD4745" w:rsidP="00B54D3D">
            <w:pPr>
              <w:spacing w:before="40" w:after="40" w:line="220" w:lineRule="exact"/>
              <w:jc w:val="right"/>
              <w:rPr>
                <w:sz w:val="18"/>
                <w:lang w:eastAsia="es-BO"/>
              </w:rPr>
            </w:pPr>
            <w:r w:rsidRPr="00B54D3D">
              <w:rPr>
                <w:sz w:val="18"/>
                <w:lang w:eastAsia="es-BO"/>
              </w:rPr>
              <w:t>4</w:t>
            </w:r>
          </w:p>
        </w:tc>
        <w:tc>
          <w:tcPr>
            <w:tcW w:w="1615" w:type="dxa"/>
            <w:shd w:val="clear" w:color="auto" w:fill="auto"/>
            <w:noWrap/>
            <w:vAlign w:val="bottom"/>
            <w:hideMark/>
          </w:tcPr>
          <w:p w14:paraId="33C221FA" w14:textId="77777777" w:rsidR="00BD4745" w:rsidRPr="00B54D3D" w:rsidRDefault="00BD4745" w:rsidP="00B54D3D">
            <w:pPr>
              <w:spacing w:before="40" w:after="40" w:line="220" w:lineRule="exact"/>
              <w:jc w:val="right"/>
              <w:rPr>
                <w:sz w:val="18"/>
                <w:lang w:eastAsia="es-BO"/>
              </w:rPr>
            </w:pPr>
            <w:r w:rsidRPr="00B54D3D">
              <w:rPr>
                <w:sz w:val="18"/>
                <w:lang w:eastAsia="es-BO"/>
              </w:rPr>
              <w:t>5</w:t>
            </w:r>
          </w:p>
        </w:tc>
      </w:tr>
      <w:tr w:rsidR="00B54D3D" w:rsidRPr="00B54D3D" w14:paraId="672A42EB" w14:textId="77777777" w:rsidTr="004B0800">
        <w:tc>
          <w:tcPr>
            <w:tcW w:w="2525" w:type="dxa"/>
            <w:tcBorders>
              <w:bottom w:val="single" w:sz="4" w:space="0" w:color="auto"/>
            </w:tcBorders>
            <w:shd w:val="clear" w:color="auto" w:fill="auto"/>
            <w:noWrap/>
            <w:hideMark/>
          </w:tcPr>
          <w:p w14:paraId="05EB828A" w14:textId="1E306045" w:rsidR="00BD4745" w:rsidRPr="00B54D3D" w:rsidRDefault="00B54D3D" w:rsidP="00B54D3D">
            <w:pPr>
              <w:spacing w:before="40" w:after="40" w:line="220" w:lineRule="exact"/>
              <w:rPr>
                <w:sz w:val="18"/>
                <w:lang w:eastAsia="es-BO"/>
              </w:rPr>
            </w:pPr>
            <w:r w:rsidRPr="00B54D3D">
              <w:rPr>
                <w:sz w:val="18"/>
                <w:lang w:eastAsia="es-BO"/>
              </w:rPr>
              <w:t>Pando</w:t>
            </w:r>
          </w:p>
        </w:tc>
        <w:tc>
          <w:tcPr>
            <w:tcW w:w="1615" w:type="dxa"/>
            <w:tcBorders>
              <w:bottom w:val="single" w:sz="4" w:space="0" w:color="auto"/>
            </w:tcBorders>
            <w:shd w:val="clear" w:color="auto" w:fill="auto"/>
            <w:noWrap/>
            <w:vAlign w:val="bottom"/>
            <w:hideMark/>
          </w:tcPr>
          <w:p w14:paraId="36FBA666" w14:textId="77777777" w:rsidR="00BD4745" w:rsidRPr="00B54D3D" w:rsidRDefault="00BD4745" w:rsidP="00B54D3D">
            <w:pPr>
              <w:spacing w:before="40" w:after="40" w:line="220" w:lineRule="exact"/>
              <w:jc w:val="right"/>
              <w:rPr>
                <w:sz w:val="18"/>
                <w:lang w:eastAsia="es-BO"/>
              </w:rPr>
            </w:pPr>
            <w:r w:rsidRPr="00B54D3D">
              <w:rPr>
                <w:sz w:val="18"/>
                <w:lang w:eastAsia="es-BO"/>
              </w:rPr>
              <w:t>4</w:t>
            </w:r>
          </w:p>
        </w:tc>
        <w:tc>
          <w:tcPr>
            <w:tcW w:w="1615" w:type="dxa"/>
            <w:tcBorders>
              <w:bottom w:val="single" w:sz="4" w:space="0" w:color="auto"/>
            </w:tcBorders>
            <w:shd w:val="clear" w:color="auto" w:fill="auto"/>
            <w:noWrap/>
            <w:vAlign w:val="bottom"/>
            <w:hideMark/>
          </w:tcPr>
          <w:p w14:paraId="6F2B6EB8" w14:textId="77777777" w:rsidR="00BD4745" w:rsidRPr="00B54D3D" w:rsidRDefault="00BD4745" w:rsidP="00B54D3D">
            <w:pPr>
              <w:spacing w:before="40" w:after="40" w:line="220" w:lineRule="exact"/>
              <w:jc w:val="right"/>
              <w:rPr>
                <w:sz w:val="18"/>
                <w:lang w:eastAsia="es-BO"/>
              </w:rPr>
            </w:pPr>
            <w:r w:rsidRPr="00B54D3D">
              <w:rPr>
                <w:sz w:val="18"/>
                <w:lang w:eastAsia="es-BO"/>
              </w:rPr>
              <w:t>6</w:t>
            </w:r>
          </w:p>
        </w:tc>
        <w:tc>
          <w:tcPr>
            <w:tcW w:w="1615" w:type="dxa"/>
            <w:tcBorders>
              <w:bottom w:val="single" w:sz="4" w:space="0" w:color="auto"/>
            </w:tcBorders>
            <w:shd w:val="clear" w:color="auto" w:fill="auto"/>
            <w:noWrap/>
            <w:vAlign w:val="bottom"/>
            <w:hideMark/>
          </w:tcPr>
          <w:p w14:paraId="7043769C" w14:textId="77777777" w:rsidR="00BD4745" w:rsidRPr="00B54D3D" w:rsidRDefault="00BD4745" w:rsidP="00B54D3D">
            <w:pPr>
              <w:spacing w:before="40" w:after="40" w:line="220" w:lineRule="exact"/>
              <w:jc w:val="right"/>
              <w:rPr>
                <w:sz w:val="18"/>
                <w:lang w:eastAsia="es-BO"/>
              </w:rPr>
            </w:pPr>
            <w:r w:rsidRPr="00B54D3D">
              <w:rPr>
                <w:sz w:val="18"/>
                <w:lang w:eastAsia="es-BO"/>
              </w:rPr>
              <w:t>1</w:t>
            </w:r>
          </w:p>
        </w:tc>
      </w:tr>
      <w:tr w:rsidR="00B54D3D" w:rsidRPr="003C15F4" w14:paraId="4E179EB2" w14:textId="77777777" w:rsidTr="004B0800">
        <w:tc>
          <w:tcPr>
            <w:tcW w:w="2525" w:type="dxa"/>
            <w:tcBorders>
              <w:top w:val="single" w:sz="4" w:space="0" w:color="auto"/>
              <w:bottom w:val="single" w:sz="12" w:space="0" w:color="auto"/>
            </w:tcBorders>
            <w:shd w:val="clear" w:color="auto" w:fill="auto"/>
            <w:noWrap/>
            <w:hideMark/>
          </w:tcPr>
          <w:p w14:paraId="5B562223" w14:textId="6D699388" w:rsidR="00BD4745" w:rsidRPr="003C15F4" w:rsidRDefault="00B54D3D" w:rsidP="004B0800">
            <w:pPr>
              <w:spacing w:before="80" w:after="80" w:line="220" w:lineRule="exact"/>
              <w:ind w:left="283"/>
              <w:rPr>
                <w:b/>
                <w:bCs/>
                <w:sz w:val="18"/>
                <w:lang w:eastAsia="es-BO"/>
              </w:rPr>
            </w:pPr>
            <w:r w:rsidRPr="003C15F4">
              <w:rPr>
                <w:b/>
                <w:bCs/>
                <w:sz w:val="18"/>
                <w:lang w:eastAsia="es-BO"/>
              </w:rPr>
              <w:t>Total</w:t>
            </w:r>
          </w:p>
        </w:tc>
        <w:tc>
          <w:tcPr>
            <w:tcW w:w="1615" w:type="dxa"/>
            <w:tcBorders>
              <w:top w:val="single" w:sz="4" w:space="0" w:color="auto"/>
              <w:bottom w:val="single" w:sz="12" w:space="0" w:color="auto"/>
            </w:tcBorders>
            <w:shd w:val="clear" w:color="auto" w:fill="auto"/>
            <w:noWrap/>
            <w:vAlign w:val="bottom"/>
            <w:hideMark/>
          </w:tcPr>
          <w:p w14:paraId="126880B8" w14:textId="77777777" w:rsidR="00BD4745" w:rsidRPr="003C15F4" w:rsidRDefault="00BD4745" w:rsidP="004B0800">
            <w:pPr>
              <w:spacing w:before="80" w:after="80" w:line="220" w:lineRule="exact"/>
              <w:jc w:val="right"/>
              <w:rPr>
                <w:b/>
                <w:bCs/>
                <w:sz w:val="18"/>
                <w:lang w:eastAsia="es-BO"/>
              </w:rPr>
            </w:pPr>
            <w:r w:rsidRPr="003C15F4">
              <w:rPr>
                <w:b/>
                <w:bCs/>
                <w:sz w:val="18"/>
                <w:lang w:eastAsia="es-BO"/>
              </w:rPr>
              <w:t>373</w:t>
            </w:r>
          </w:p>
        </w:tc>
        <w:tc>
          <w:tcPr>
            <w:tcW w:w="1615" w:type="dxa"/>
            <w:tcBorders>
              <w:top w:val="single" w:sz="4" w:space="0" w:color="auto"/>
              <w:bottom w:val="single" w:sz="12" w:space="0" w:color="auto"/>
            </w:tcBorders>
            <w:shd w:val="clear" w:color="auto" w:fill="auto"/>
            <w:noWrap/>
            <w:vAlign w:val="bottom"/>
            <w:hideMark/>
          </w:tcPr>
          <w:p w14:paraId="4E1ECAD1" w14:textId="77777777" w:rsidR="00BD4745" w:rsidRPr="003C15F4" w:rsidRDefault="00BD4745" w:rsidP="004B0800">
            <w:pPr>
              <w:spacing w:before="80" w:after="80" w:line="220" w:lineRule="exact"/>
              <w:jc w:val="right"/>
              <w:rPr>
                <w:b/>
                <w:bCs/>
                <w:sz w:val="18"/>
                <w:lang w:eastAsia="es-BO"/>
              </w:rPr>
            </w:pPr>
            <w:r w:rsidRPr="003C15F4">
              <w:rPr>
                <w:b/>
                <w:bCs/>
                <w:sz w:val="18"/>
                <w:lang w:eastAsia="es-BO"/>
              </w:rPr>
              <w:t>305</w:t>
            </w:r>
          </w:p>
        </w:tc>
        <w:tc>
          <w:tcPr>
            <w:tcW w:w="1615" w:type="dxa"/>
            <w:tcBorders>
              <w:top w:val="single" w:sz="4" w:space="0" w:color="auto"/>
              <w:bottom w:val="single" w:sz="12" w:space="0" w:color="auto"/>
            </w:tcBorders>
            <w:shd w:val="clear" w:color="auto" w:fill="auto"/>
            <w:noWrap/>
            <w:vAlign w:val="bottom"/>
            <w:hideMark/>
          </w:tcPr>
          <w:p w14:paraId="0E5781B4" w14:textId="77777777" w:rsidR="00BD4745" w:rsidRPr="003C15F4" w:rsidRDefault="00BD4745" w:rsidP="004B0800">
            <w:pPr>
              <w:spacing w:before="80" w:after="80" w:line="220" w:lineRule="exact"/>
              <w:jc w:val="right"/>
              <w:rPr>
                <w:b/>
                <w:bCs/>
                <w:sz w:val="18"/>
                <w:lang w:eastAsia="es-BO"/>
              </w:rPr>
            </w:pPr>
            <w:r w:rsidRPr="003C15F4">
              <w:rPr>
                <w:b/>
                <w:bCs/>
                <w:sz w:val="18"/>
                <w:lang w:eastAsia="es-BO"/>
              </w:rPr>
              <w:t>289</w:t>
            </w:r>
          </w:p>
        </w:tc>
      </w:tr>
    </w:tbl>
    <w:p w14:paraId="7B2FF75D" w14:textId="2A2C0DB1" w:rsidR="00BD4745" w:rsidRPr="00B54D3D" w:rsidRDefault="00BD4745" w:rsidP="004B0800">
      <w:pPr>
        <w:pStyle w:val="SingleTxtG"/>
        <w:spacing w:before="120" w:after="240"/>
        <w:ind w:firstLine="170"/>
        <w:jc w:val="left"/>
        <w:rPr>
          <w:sz w:val="18"/>
          <w:szCs w:val="18"/>
          <w:lang w:eastAsia="es-BO"/>
        </w:rPr>
      </w:pPr>
      <w:r w:rsidRPr="004B0800">
        <w:rPr>
          <w:bCs/>
          <w:i/>
          <w:sz w:val="18"/>
          <w:szCs w:val="18"/>
          <w:lang w:eastAsia="es-BO"/>
        </w:rPr>
        <w:t>Fuente:</w:t>
      </w:r>
      <w:r w:rsidRPr="00B54D3D">
        <w:rPr>
          <w:sz w:val="18"/>
          <w:szCs w:val="18"/>
          <w:lang w:eastAsia="es-BO"/>
        </w:rPr>
        <w:t xml:space="preserve"> Elaborado por </w:t>
      </w:r>
      <w:proofErr w:type="spellStart"/>
      <w:r w:rsidRPr="00B54D3D">
        <w:rPr>
          <w:sz w:val="18"/>
          <w:szCs w:val="18"/>
          <w:lang w:eastAsia="es-BO"/>
        </w:rPr>
        <w:t>OBSCD</w:t>
      </w:r>
      <w:proofErr w:type="spellEnd"/>
      <w:r w:rsidRPr="00B54D3D">
        <w:rPr>
          <w:sz w:val="18"/>
          <w:szCs w:val="18"/>
          <w:lang w:eastAsia="es-BO"/>
        </w:rPr>
        <w:t>, con base a información proporcionada por la Policía Boliviana, agosto 2021</w:t>
      </w:r>
    </w:p>
    <w:p w14:paraId="0770EF78" w14:textId="1902AFE7" w:rsidR="00BD4745" w:rsidRPr="00B54D3D" w:rsidRDefault="00CE3967" w:rsidP="004B0800">
      <w:pPr>
        <w:pStyle w:val="H23G"/>
        <w:rPr>
          <w:rFonts w:eastAsia="Calibri"/>
        </w:rPr>
      </w:pPr>
      <w:r>
        <w:tab/>
      </w:r>
      <w:r>
        <w:tab/>
      </w:r>
      <w:r w:rsidR="00B54D3D" w:rsidRPr="00B54D3D">
        <w:t>Número de denuncias trata de personas 2019-2021</w:t>
      </w:r>
      <w:r>
        <w:rPr>
          <w:rFonts w:eastAsia="Calibri"/>
        </w:rPr>
        <w:br/>
      </w:r>
      <w:bookmarkStart w:id="4" w:name="_Hlk93483655"/>
      <w:r w:rsidR="00BD4745" w:rsidRPr="004B0800">
        <w:rPr>
          <w:rFonts w:eastAsia="Calibri"/>
          <w:b w:val="0"/>
          <w:bCs/>
          <w:sz w:val="16"/>
          <w:szCs w:val="16"/>
        </w:rPr>
        <w:t>(Expresado en porcentaje)</w:t>
      </w:r>
    </w:p>
    <w:bookmarkEnd w:id="4"/>
    <w:p w14:paraId="12B7DD69" w14:textId="296D9DFA" w:rsidR="00CE3967" w:rsidRDefault="00CE3967" w:rsidP="004B0800">
      <w:pPr>
        <w:pStyle w:val="SingleTxtG"/>
        <w:spacing w:before="120" w:after="240"/>
        <w:rPr>
          <w:bCs/>
          <w:sz w:val="18"/>
          <w:szCs w:val="18"/>
          <w:lang w:eastAsia="es-BO"/>
        </w:rPr>
      </w:pPr>
      <w:r w:rsidRPr="001F15B5">
        <w:rPr>
          <w:noProof/>
          <w:lang w:val="en-GB" w:eastAsia="en-GB"/>
        </w:rPr>
        <w:drawing>
          <wp:inline distT="0" distB="0" distL="0" distR="0" wp14:anchorId="5AF8D256" wp14:editId="0BF61E3F">
            <wp:extent cx="5129759" cy="1489116"/>
            <wp:effectExtent l="19050" t="19050" r="13970" b="158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026" r="1326" b="831"/>
                    <a:stretch/>
                  </pic:blipFill>
                  <pic:spPr bwMode="auto">
                    <a:xfrm>
                      <a:off x="0" y="0"/>
                      <a:ext cx="5158980" cy="1497599"/>
                    </a:xfrm>
                    <a:prstGeom prst="rect">
                      <a:avLst/>
                    </a:prstGeom>
                    <a:noFill/>
                    <a:ln w="6350">
                      <a:solidFill>
                        <a:schemeClr val="accent1"/>
                      </a:solidFill>
                    </a:ln>
                    <a:extLst>
                      <a:ext uri="{53640926-AAD7-44D8-BBD7-CCE9431645EC}">
                        <a14:shadowObscured xmlns:a14="http://schemas.microsoft.com/office/drawing/2010/main"/>
                      </a:ext>
                    </a:extLst>
                  </pic:spPr>
                </pic:pic>
              </a:graphicData>
            </a:graphic>
          </wp:inline>
        </w:drawing>
      </w:r>
    </w:p>
    <w:p w14:paraId="05800539" w14:textId="77777777" w:rsidR="00CE3967" w:rsidRDefault="00CE3967" w:rsidP="00CE3967">
      <w:pPr>
        <w:pStyle w:val="SingleTxtG"/>
        <w:spacing w:before="120" w:after="240"/>
        <w:ind w:firstLine="170"/>
        <w:jc w:val="left"/>
        <w:rPr>
          <w:bCs/>
          <w:sz w:val="18"/>
          <w:szCs w:val="18"/>
          <w:lang w:eastAsia="es-BO"/>
        </w:rPr>
      </w:pPr>
      <w:r w:rsidRPr="002D2EFE">
        <w:rPr>
          <w:bCs/>
          <w:i/>
          <w:iCs/>
          <w:sz w:val="18"/>
          <w:szCs w:val="18"/>
          <w:lang w:eastAsia="es-BO"/>
        </w:rPr>
        <w:t>Fuente:</w:t>
      </w:r>
      <w:r w:rsidRPr="002D2EFE">
        <w:rPr>
          <w:bCs/>
          <w:sz w:val="18"/>
          <w:szCs w:val="18"/>
          <w:lang w:eastAsia="es-BO"/>
        </w:rPr>
        <w:t xml:space="preserve"> Elaborado por </w:t>
      </w:r>
      <w:proofErr w:type="spellStart"/>
      <w:r w:rsidRPr="002D2EFE">
        <w:rPr>
          <w:bCs/>
          <w:sz w:val="18"/>
          <w:szCs w:val="18"/>
          <w:lang w:eastAsia="es-BO"/>
        </w:rPr>
        <w:t>OBSCD</w:t>
      </w:r>
      <w:proofErr w:type="spellEnd"/>
      <w:r w:rsidRPr="002D2EFE">
        <w:rPr>
          <w:bCs/>
          <w:sz w:val="18"/>
          <w:szCs w:val="18"/>
          <w:lang w:eastAsia="es-BO"/>
        </w:rPr>
        <w:t>, con base a información proporcionada por la Policía Boliviana, agosto 2021</w:t>
      </w:r>
      <w:r>
        <w:rPr>
          <w:bCs/>
          <w:sz w:val="18"/>
          <w:szCs w:val="18"/>
          <w:lang w:eastAsia="es-BO"/>
        </w:rPr>
        <w:t>.</w:t>
      </w:r>
    </w:p>
    <w:p w14:paraId="21DFA5D4" w14:textId="1DD59E2E" w:rsidR="00BD4745" w:rsidRPr="00B54D3D" w:rsidRDefault="00CE3967" w:rsidP="004B0800">
      <w:pPr>
        <w:pStyle w:val="H23G"/>
      </w:pPr>
      <w:r>
        <w:tab/>
      </w:r>
      <w:r>
        <w:tab/>
      </w:r>
      <w:r w:rsidR="00B54D3D" w:rsidRPr="00B54D3D">
        <w:t>Denuncias de trata de personas según sexo y grupo de edad</w:t>
      </w:r>
      <w:r w:rsidR="00BD4745" w:rsidRPr="00B54D3D">
        <w:t>, 2019</w:t>
      </w:r>
      <w:r>
        <w:t>-</w:t>
      </w:r>
      <w:r w:rsidR="00BD4745" w:rsidRPr="00B54D3D">
        <w:t>2021</w:t>
      </w:r>
    </w:p>
    <w:tbl>
      <w:tblPr>
        <w:tblW w:w="8100" w:type="dxa"/>
        <w:tblInd w:w="1134" w:type="dxa"/>
        <w:tblBorders>
          <w:top w:val="single" w:sz="4" w:space="0" w:color="auto"/>
        </w:tblBorders>
        <w:tblCellMar>
          <w:left w:w="0" w:type="dxa"/>
          <w:right w:w="0" w:type="dxa"/>
        </w:tblCellMar>
        <w:tblLook w:val="04A0" w:firstRow="1" w:lastRow="0" w:firstColumn="1" w:lastColumn="0" w:noHBand="0" w:noVBand="1"/>
      </w:tblPr>
      <w:tblGrid>
        <w:gridCol w:w="2900"/>
        <w:gridCol w:w="1152"/>
        <w:gridCol w:w="1376"/>
        <w:gridCol w:w="1376"/>
        <w:gridCol w:w="1376"/>
      </w:tblGrid>
      <w:tr w:rsidR="00355E32" w:rsidRPr="00355E32" w14:paraId="2C1D83BD" w14:textId="77777777" w:rsidTr="004B0800">
        <w:trPr>
          <w:trHeight w:val="240"/>
          <w:tblHeader/>
        </w:trPr>
        <w:tc>
          <w:tcPr>
            <w:tcW w:w="2884" w:type="dxa"/>
            <w:tcBorders>
              <w:top w:val="single" w:sz="4" w:space="0" w:color="auto"/>
              <w:bottom w:val="single" w:sz="4" w:space="0" w:color="auto"/>
            </w:tcBorders>
            <w:shd w:val="clear" w:color="auto" w:fill="auto"/>
            <w:vAlign w:val="bottom"/>
            <w:hideMark/>
          </w:tcPr>
          <w:p w14:paraId="67245A0D" w14:textId="27220216" w:rsidR="00BD4745" w:rsidRPr="00355E32" w:rsidRDefault="00B54D3D">
            <w:pPr>
              <w:spacing w:before="80" w:after="80" w:line="200" w:lineRule="exact"/>
              <w:rPr>
                <w:bCs/>
                <w:i/>
                <w:sz w:val="16"/>
                <w:lang w:eastAsia="es-BO"/>
              </w:rPr>
            </w:pPr>
            <w:r w:rsidRPr="00355E32">
              <w:rPr>
                <w:bCs/>
                <w:i/>
                <w:sz w:val="16"/>
                <w:lang w:eastAsia="es-BO"/>
              </w:rPr>
              <w:t>Sexo y grupo de edad</w:t>
            </w:r>
          </w:p>
        </w:tc>
        <w:tc>
          <w:tcPr>
            <w:tcW w:w="1136" w:type="dxa"/>
            <w:tcBorders>
              <w:top w:val="single" w:sz="4" w:space="0" w:color="auto"/>
              <w:bottom w:val="single" w:sz="4" w:space="0" w:color="auto"/>
            </w:tcBorders>
            <w:shd w:val="clear" w:color="auto" w:fill="auto"/>
            <w:noWrap/>
            <w:vAlign w:val="bottom"/>
            <w:hideMark/>
          </w:tcPr>
          <w:p w14:paraId="789F9B1B" w14:textId="77777777" w:rsidR="00BD4745" w:rsidRPr="00355E32" w:rsidRDefault="00BD4745" w:rsidP="004B0800">
            <w:pPr>
              <w:spacing w:before="80" w:after="80" w:line="200" w:lineRule="exact"/>
              <w:ind w:left="113"/>
              <w:jc w:val="right"/>
              <w:rPr>
                <w:bCs/>
                <w:i/>
                <w:sz w:val="16"/>
                <w:lang w:eastAsia="es-BO"/>
              </w:rPr>
            </w:pPr>
            <w:r w:rsidRPr="00355E32">
              <w:rPr>
                <w:bCs/>
                <w:i/>
                <w:sz w:val="16"/>
                <w:lang w:eastAsia="es-BO"/>
              </w:rPr>
              <w:t>2019</w:t>
            </w:r>
          </w:p>
        </w:tc>
        <w:tc>
          <w:tcPr>
            <w:tcW w:w="1360" w:type="dxa"/>
            <w:tcBorders>
              <w:top w:val="single" w:sz="4" w:space="0" w:color="auto"/>
              <w:bottom w:val="single" w:sz="4" w:space="0" w:color="auto"/>
            </w:tcBorders>
            <w:shd w:val="clear" w:color="auto" w:fill="auto"/>
            <w:noWrap/>
            <w:vAlign w:val="bottom"/>
            <w:hideMark/>
          </w:tcPr>
          <w:p w14:paraId="1E0E5AB7" w14:textId="77777777" w:rsidR="00BD4745" w:rsidRPr="00355E32" w:rsidRDefault="00BD4745" w:rsidP="004B0800">
            <w:pPr>
              <w:spacing w:before="80" w:after="80" w:line="200" w:lineRule="exact"/>
              <w:ind w:left="113"/>
              <w:jc w:val="right"/>
              <w:rPr>
                <w:bCs/>
                <w:i/>
                <w:sz w:val="16"/>
                <w:lang w:eastAsia="es-BO"/>
              </w:rPr>
            </w:pPr>
            <w:r w:rsidRPr="00355E32">
              <w:rPr>
                <w:bCs/>
                <w:i/>
                <w:sz w:val="16"/>
                <w:lang w:eastAsia="es-BO"/>
              </w:rPr>
              <w:t>2020</w:t>
            </w:r>
          </w:p>
        </w:tc>
        <w:tc>
          <w:tcPr>
            <w:tcW w:w="1360" w:type="dxa"/>
            <w:tcBorders>
              <w:top w:val="single" w:sz="4" w:space="0" w:color="auto"/>
              <w:bottom w:val="single" w:sz="4" w:space="0" w:color="auto"/>
            </w:tcBorders>
            <w:shd w:val="clear" w:color="auto" w:fill="auto"/>
            <w:noWrap/>
            <w:vAlign w:val="bottom"/>
            <w:hideMark/>
          </w:tcPr>
          <w:p w14:paraId="27BAD45B" w14:textId="77777777" w:rsidR="00BD4745" w:rsidRPr="00355E32" w:rsidRDefault="00BD4745" w:rsidP="004B0800">
            <w:pPr>
              <w:spacing w:before="80" w:after="80" w:line="200" w:lineRule="exact"/>
              <w:ind w:left="113"/>
              <w:jc w:val="right"/>
              <w:rPr>
                <w:bCs/>
                <w:i/>
                <w:sz w:val="16"/>
                <w:lang w:eastAsia="es-BO"/>
              </w:rPr>
            </w:pPr>
            <w:r w:rsidRPr="00355E32">
              <w:rPr>
                <w:bCs/>
                <w:i/>
                <w:sz w:val="16"/>
                <w:lang w:eastAsia="es-BO"/>
              </w:rPr>
              <w:t>2021*</w:t>
            </w:r>
          </w:p>
        </w:tc>
        <w:tc>
          <w:tcPr>
            <w:tcW w:w="1360" w:type="dxa"/>
            <w:tcBorders>
              <w:top w:val="single" w:sz="4" w:space="0" w:color="auto"/>
              <w:bottom w:val="single" w:sz="4" w:space="0" w:color="auto"/>
            </w:tcBorders>
            <w:shd w:val="clear" w:color="auto" w:fill="auto"/>
            <w:noWrap/>
            <w:vAlign w:val="bottom"/>
            <w:hideMark/>
          </w:tcPr>
          <w:p w14:paraId="4571718A" w14:textId="7612099E" w:rsidR="00BD4745" w:rsidRPr="00355E32" w:rsidRDefault="00355E32" w:rsidP="004B0800">
            <w:pPr>
              <w:spacing w:before="80" w:after="80" w:line="200" w:lineRule="exact"/>
              <w:ind w:left="113"/>
              <w:jc w:val="right"/>
              <w:rPr>
                <w:bCs/>
                <w:i/>
                <w:sz w:val="16"/>
                <w:lang w:eastAsia="es-BO"/>
              </w:rPr>
            </w:pPr>
            <w:r w:rsidRPr="00355E32">
              <w:rPr>
                <w:bCs/>
                <w:i/>
                <w:sz w:val="16"/>
                <w:lang w:eastAsia="es-BO"/>
              </w:rPr>
              <w:t>Total</w:t>
            </w:r>
          </w:p>
        </w:tc>
      </w:tr>
      <w:tr w:rsidR="00355E32" w:rsidRPr="00355E32" w14:paraId="7EEA3D78" w14:textId="77777777" w:rsidTr="004B0800">
        <w:trPr>
          <w:trHeight w:val="240"/>
        </w:trPr>
        <w:tc>
          <w:tcPr>
            <w:tcW w:w="2884" w:type="dxa"/>
            <w:tcBorders>
              <w:top w:val="single" w:sz="4" w:space="0" w:color="auto"/>
              <w:bottom w:val="single" w:sz="12" w:space="0" w:color="auto"/>
            </w:tcBorders>
            <w:shd w:val="clear" w:color="auto" w:fill="auto"/>
            <w:noWrap/>
            <w:hideMark/>
          </w:tcPr>
          <w:p w14:paraId="0353C3E1" w14:textId="50CBCF9F" w:rsidR="00BD4745" w:rsidRPr="00355E32" w:rsidRDefault="00355E32" w:rsidP="004B0800">
            <w:pPr>
              <w:spacing w:before="80" w:after="80" w:line="220" w:lineRule="exact"/>
              <w:ind w:left="283"/>
              <w:rPr>
                <w:b/>
                <w:bCs/>
                <w:sz w:val="18"/>
                <w:lang w:eastAsia="es-BO"/>
              </w:rPr>
            </w:pPr>
            <w:r w:rsidRPr="004B0800">
              <w:rPr>
                <w:b/>
                <w:bCs/>
                <w:sz w:val="18"/>
                <w:lang w:eastAsia="es-BO"/>
              </w:rPr>
              <w:t>Total</w:t>
            </w:r>
          </w:p>
        </w:tc>
        <w:tc>
          <w:tcPr>
            <w:tcW w:w="1136" w:type="dxa"/>
            <w:tcBorders>
              <w:top w:val="single" w:sz="4" w:space="0" w:color="auto"/>
              <w:bottom w:val="single" w:sz="12" w:space="0" w:color="auto"/>
            </w:tcBorders>
            <w:shd w:val="clear" w:color="auto" w:fill="auto"/>
            <w:noWrap/>
            <w:vAlign w:val="bottom"/>
            <w:hideMark/>
          </w:tcPr>
          <w:p w14:paraId="3F8E3687" w14:textId="77777777" w:rsidR="00BD4745" w:rsidRPr="00355E32" w:rsidRDefault="00BD4745" w:rsidP="004B0800">
            <w:pPr>
              <w:spacing w:before="80" w:after="80" w:line="220" w:lineRule="exact"/>
              <w:jc w:val="right"/>
              <w:rPr>
                <w:b/>
                <w:bCs/>
                <w:sz w:val="18"/>
                <w:lang w:eastAsia="es-BO"/>
              </w:rPr>
            </w:pPr>
            <w:r w:rsidRPr="00355E32">
              <w:rPr>
                <w:b/>
                <w:bCs/>
                <w:sz w:val="18"/>
                <w:lang w:eastAsia="es-BO"/>
              </w:rPr>
              <w:t>373</w:t>
            </w:r>
          </w:p>
        </w:tc>
        <w:tc>
          <w:tcPr>
            <w:tcW w:w="1360" w:type="dxa"/>
            <w:tcBorders>
              <w:top w:val="single" w:sz="4" w:space="0" w:color="auto"/>
              <w:bottom w:val="single" w:sz="12" w:space="0" w:color="auto"/>
            </w:tcBorders>
            <w:shd w:val="clear" w:color="auto" w:fill="auto"/>
            <w:noWrap/>
            <w:vAlign w:val="bottom"/>
            <w:hideMark/>
          </w:tcPr>
          <w:p w14:paraId="4DCE9DD4" w14:textId="77777777" w:rsidR="00BD4745" w:rsidRPr="00355E32" w:rsidRDefault="00BD4745" w:rsidP="004B0800">
            <w:pPr>
              <w:spacing w:before="80" w:after="80" w:line="220" w:lineRule="exact"/>
              <w:jc w:val="right"/>
              <w:rPr>
                <w:b/>
                <w:bCs/>
                <w:sz w:val="18"/>
                <w:lang w:eastAsia="es-BO"/>
              </w:rPr>
            </w:pPr>
            <w:r w:rsidRPr="00355E32">
              <w:rPr>
                <w:b/>
                <w:bCs/>
                <w:sz w:val="18"/>
                <w:lang w:eastAsia="es-BO"/>
              </w:rPr>
              <w:t>305</w:t>
            </w:r>
          </w:p>
        </w:tc>
        <w:tc>
          <w:tcPr>
            <w:tcW w:w="1360" w:type="dxa"/>
            <w:tcBorders>
              <w:top w:val="single" w:sz="4" w:space="0" w:color="auto"/>
              <w:bottom w:val="single" w:sz="12" w:space="0" w:color="auto"/>
            </w:tcBorders>
            <w:shd w:val="clear" w:color="auto" w:fill="auto"/>
            <w:noWrap/>
            <w:vAlign w:val="bottom"/>
            <w:hideMark/>
          </w:tcPr>
          <w:p w14:paraId="0A89B51F" w14:textId="77777777" w:rsidR="00BD4745" w:rsidRPr="00355E32" w:rsidRDefault="00BD4745" w:rsidP="004B0800">
            <w:pPr>
              <w:spacing w:before="80" w:after="80" w:line="220" w:lineRule="exact"/>
              <w:jc w:val="right"/>
              <w:rPr>
                <w:b/>
                <w:bCs/>
                <w:sz w:val="18"/>
                <w:lang w:eastAsia="es-BO"/>
              </w:rPr>
            </w:pPr>
            <w:r w:rsidRPr="00355E32">
              <w:rPr>
                <w:b/>
                <w:bCs/>
                <w:sz w:val="18"/>
                <w:lang w:eastAsia="es-BO"/>
              </w:rPr>
              <w:t>289</w:t>
            </w:r>
          </w:p>
        </w:tc>
        <w:tc>
          <w:tcPr>
            <w:tcW w:w="1360" w:type="dxa"/>
            <w:tcBorders>
              <w:top w:val="single" w:sz="4" w:space="0" w:color="auto"/>
              <w:bottom w:val="single" w:sz="12" w:space="0" w:color="auto"/>
            </w:tcBorders>
            <w:shd w:val="clear" w:color="auto" w:fill="auto"/>
            <w:noWrap/>
            <w:vAlign w:val="bottom"/>
            <w:hideMark/>
          </w:tcPr>
          <w:p w14:paraId="5FF61757" w14:textId="77777777" w:rsidR="00BD4745" w:rsidRPr="00355E32" w:rsidRDefault="00BD4745" w:rsidP="004B0800">
            <w:pPr>
              <w:spacing w:before="80" w:after="80" w:line="220" w:lineRule="exact"/>
              <w:jc w:val="right"/>
              <w:rPr>
                <w:b/>
                <w:bCs/>
                <w:sz w:val="18"/>
                <w:lang w:eastAsia="es-BO"/>
              </w:rPr>
            </w:pPr>
            <w:r w:rsidRPr="00355E32">
              <w:rPr>
                <w:b/>
                <w:bCs/>
                <w:sz w:val="18"/>
                <w:lang w:eastAsia="es-BO"/>
              </w:rPr>
              <w:t>967</w:t>
            </w:r>
          </w:p>
        </w:tc>
      </w:tr>
      <w:tr w:rsidR="00355E32" w:rsidRPr="00355E32" w14:paraId="768926F0" w14:textId="77777777" w:rsidTr="00355E32">
        <w:trPr>
          <w:trHeight w:val="240"/>
        </w:trPr>
        <w:tc>
          <w:tcPr>
            <w:tcW w:w="2884" w:type="dxa"/>
            <w:tcBorders>
              <w:top w:val="single" w:sz="12" w:space="0" w:color="auto"/>
            </w:tcBorders>
            <w:shd w:val="clear" w:color="auto" w:fill="auto"/>
            <w:noWrap/>
            <w:hideMark/>
          </w:tcPr>
          <w:p w14:paraId="7B450EC4" w14:textId="77777777" w:rsidR="00BD4745" w:rsidRPr="004B0800" w:rsidRDefault="00BD4745">
            <w:pPr>
              <w:spacing w:before="40" w:after="40" w:line="220" w:lineRule="exact"/>
              <w:rPr>
                <w:bCs/>
                <w:sz w:val="18"/>
                <w:lang w:eastAsia="es-BO"/>
              </w:rPr>
            </w:pPr>
            <w:r w:rsidRPr="004B0800">
              <w:rPr>
                <w:bCs/>
                <w:sz w:val="18"/>
                <w:lang w:eastAsia="es-BO"/>
              </w:rPr>
              <w:t>Hombre</w:t>
            </w:r>
          </w:p>
        </w:tc>
        <w:tc>
          <w:tcPr>
            <w:tcW w:w="1136" w:type="dxa"/>
            <w:tcBorders>
              <w:top w:val="single" w:sz="12" w:space="0" w:color="auto"/>
            </w:tcBorders>
            <w:shd w:val="clear" w:color="auto" w:fill="auto"/>
            <w:noWrap/>
            <w:vAlign w:val="bottom"/>
            <w:hideMark/>
          </w:tcPr>
          <w:p w14:paraId="23545DE1"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125</w:t>
            </w:r>
          </w:p>
        </w:tc>
        <w:tc>
          <w:tcPr>
            <w:tcW w:w="1360" w:type="dxa"/>
            <w:tcBorders>
              <w:top w:val="single" w:sz="12" w:space="0" w:color="auto"/>
            </w:tcBorders>
            <w:shd w:val="clear" w:color="auto" w:fill="auto"/>
            <w:noWrap/>
            <w:vAlign w:val="bottom"/>
            <w:hideMark/>
          </w:tcPr>
          <w:p w14:paraId="76A25122"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105</w:t>
            </w:r>
          </w:p>
        </w:tc>
        <w:tc>
          <w:tcPr>
            <w:tcW w:w="1360" w:type="dxa"/>
            <w:tcBorders>
              <w:top w:val="single" w:sz="12" w:space="0" w:color="auto"/>
            </w:tcBorders>
            <w:shd w:val="clear" w:color="auto" w:fill="auto"/>
            <w:noWrap/>
            <w:vAlign w:val="bottom"/>
            <w:hideMark/>
          </w:tcPr>
          <w:p w14:paraId="4C0F81BB"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109</w:t>
            </w:r>
          </w:p>
        </w:tc>
        <w:tc>
          <w:tcPr>
            <w:tcW w:w="1360" w:type="dxa"/>
            <w:tcBorders>
              <w:top w:val="single" w:sz="12" w:space="0" w:color="auto"/>
            </w:tcBorders>
            <w:shd w:val="clear" w:color="auto" w:fill="auto"/>
            <w:noWrap/>
            <w:vAlign w:val="bottom"/>
            <w:hideMark/>
          </w:tcPr>
          <w:p w14:paraId="09F0D0DB"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339</w:t>
            </w:r>
          </w:p>
        </w:tc>
      </w:tr>
      <w:tr w:rsidR="00355E32" w:rsidRPr="00355E32" w14:paraId="28FAA269" w14:textId="77777777" w:rsidTr="004B0800">
        <w:trPr>
          <w:trHeight w:val="240"/>
        </w:trPr>
        <w:tc>
          <w:tcPr>
            <w:tcW w:w="2884" w:type="dxa"/>
            <w:shd w:val="clear" w:color="auto" w:fill="auto"/>
            <w:noWrap/>
            <w:hideMark/>
          </w:tcPr>
          <w:p w14:paraId="06A7CD09" w14:textId="42E8C16A" w:rsidR="00BD4745" w:rsidRPr="00355E32" w:rsidRDefault="00BD4745" w:rsidP="004B0800">
            <w:pPr>
              <w:spacing w:before="40" w:after="40" w:line="220" w:lineRule="exact"/>
              <w:rPr>
                <w:sz w:val="18"/>
                <w:lang w:eastAsia="es-BO"/>
              </w:rPr>
            </w:pPr>
            <w:r w:rsidRPr="00355E32">
              <w:rPr>
                <w:sz w:val="18"/>
                <w:lang w:eastAsia="es-BO"/>
              </w:rPr>
              <w:t>01 a 10</w:t>
            </w:r>
          </w:p>
        </w:tc>
        <w:tc>
          <w:tcPr>
            <w:tcW w:w="1136" w:type="dxa"/>
            <w:shd w:val="clear" w:color="auto" w:fill="auto"/>
            <w:noWrap/>
            <w:vAlign w:val="bottom"/>
            <w:hideMark/>
          </w:tcPr>
          <w:p w14:paraId="6E7191E2"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13</w:t>
            </w:r>
          </w:p>
        </w:tc>
        <w:tc>
          <w:tcPr>
            <w:tcW w:w="1360" w:type="dxa"/>
            <w:shd w:val="clear" w:color="auto" w:fill="auto"/>
            <w:noWrap/>
            <w:vAlign w:val="bottom"/>
            <w:hideMark/>
          </w:tcPr>
          <w:p w14:paraId="15F66D1C"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14</w:t>
            </w:r>
          </w:p>
        </w:tc>
        <w:tc>
          <w:tcPr>
            <w:tcW w:w="1360" w:type="dxa"/>
            <w:shd w:val="clear" w:color="auto" w:fill="auto"/>
            <w:noWrap/>
            <w:vAlign w:val="bottom"/>
            <w:hideMark/>
          </w:tcPr>
          <w:p w14:paraId="29C49521"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3</w:t>
            </w:r>
          </w:p>
        </w:tc>
        <w:tc>
          <w:tcPr>
            <w:tcW w:w="1360" w:type="dxa"/>
            <w:shd w:val="clear" w:color="auto" w:fill="auto"/>
            <w:noWrap/>
            <w:vAlign w:val="bottom"/>
            <w:hideMark/>
          </w:tcPr>
          <w:p w14:paraId="7599D12D"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30</w:t>
            </w:r>
          </w:p>
        </w:tc>
      </w:tr>
      <w:tr w:rsidR="00355E32" w:rsidRPr="00355E32" w14:paraId="74740913" w14:textId="77777777" w:rsidTr="004B0800">
        <w:trPr>
          <w:trHeight w:val="240"/>
        </w:trPr>
        <w:tc>
          <w:tcPr>
            <w:tcW w:w="2884" w:type="dxa"/>
            <w:shd w:val="clear" w:color="auto" w:fill="auto"/>
            <w:noWrap/>
            <w:hideMark/>
          </w:tcPr>
          <w:p w14:paraId="323561C0" w14:textId="77777777" w:rsidR="00BD4745" w:rsidRPr="00355E32" w:rsidRDefault="00BD4745" w:rsidP="004B0800">
            <w:pPr>
              <w:spacing w:before="40" w:after="40" w:line="220" w:lineRule="exact"/>
              <w:rPr>
                <w:sz w:val="18"/>
                <w:lang w:eastAsia="es-BO"/>
              </w:rPr>
            </w:pPr>
            <w:r w:rsidRPr="00355E32">
              <w:rPr>
                <w:sz w:val="18"/>
                <w:lang w:eastAsia="es-BO"/>
              </w:rPr>
              <w:t>11 a 18</w:t>
            </w:r>
          </w:p>
        </w:tc>
        <w:tc>
          <w:tcPr>
            <w:tcW w:w="1136" w:type="dxa"/>
            <w:shd w:val="clear" w:color="auto" w:fill="auto"/>
            <w:noWrap/>
            <w:vAlign w:val="bottom"/>
            <w:hideMark/>
          </w:tcPr>
          <w:p w14:paraId="44F3C0CA"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24</w:t>
            </w:r>
          </w:p>
        </w:tc>
        <w:tc>
          <w:tcPr>
            <w:tcW w:w="1360" w:type="dxa"/>
            <w:shd w:val="clear" w:color="auto" w:fill="auto"/>
            <w:noWrap/>
            <w:vAlign w:val="bottom"/>
            <w:hideMark/>
          </w:tcPr>
          <w:p w14:paraId="5637EE82"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18</w:t>
            </w:r>
          </w:p>
        </w:tc>
        <w:tc>
          <w:tcPr>
            <w:tcW w:w="1360" w:type="dxa"/>
            <w:shd w:val="clear" w:color="auto" w:fill="auto"/>
            <w:noWrap/>
            <w:vAlign w:val="bottom"/>
            <w:hideMark/>
          </w:tcPr>
          <w:p w14:paraId="3AC5C4FF"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22</w:t>
            </w:r>
          </w:p>
        </w:tc>
        <w:tc>
          <w:tcPr>
            <w:tcW w:w="1360" w:type="dxa"/>
            <w:shd w:val="clear" w:color="auto" w:fill="auto"/>
            <w:noWrap/>
            <w:vAlign w:val="bottom"/>
            <w:hideMark/>
          </w:tcPr>
          <w:p w14:paraId="50234753"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64</w:t>
            </w:r>
          </w:p>
        </w:tc>
      </w:tr>
      <w:tr w:rsidR="00355E32" w:rsidRPr="00355E32" w14:paraId="40EDD3BB" w14:textId="77777777" w:rsidTr="004B0800">
        <w:trPr>
          <w:trHeight w:val="240"/>
        </w:trPr>
        <w:tc>
          <w:tcPr>
            <w:tcW w:w="2884" w:type="dxa"/>
            <w:shd w:val="clear" w:color="auto" w:fill="auto"/>
            <w:noWrap/>
            <w:hideMark/>
          </w:tcPr>
          <w:p w14:paraId="228D1A83" w14:textId="77777777" w:rsidR="00BD4745" w:rsidRPr="00355E32" w:rsidRDefault="00BD4745" w:rsidP="004B0800">
            <w:pPr>
              <w:spacing w:before="40" w:after="40" w:line="220" w:lineRule="exact"/>
              <w:rPr>
                <w:sz w:val="18"/>
                <w:lang w:eastAsia="es-BO"/>
              </w:rPr>
            </w:pPr>
            <w:r w:rsidRPr="00355E32">
              <w:rPr>
                <w:sz w:val="18"/>
                <w:lang w:eastAsia="es-BO"/>
              </w:rPr>
              <w:t>19 a 35</w:t>
            </w:r>
          </w:p>
        </w:tc>
        <w:tc>
          <w:tcPr>
            <w:tcW w:w="1136" w:type="dxa"/>
            <w:shd w:val="clear" w:color="auto" w:fill="auto"/>
            <w:noWrap/>
            <w:vAlign w:val="bottom"/>
            <w:hideMark/>
          </w:tcPr>
          <w:p w14:paraId="1A3EC9C4"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22</w:t>
            </w:r>
          </w:p>
        </w:tc>
        <w:tc>
          <w:tcPr>
            <w:tcW w:w="1360" w:type="dxa"/>
            <w:shd w:val="clear" w:color="auto" w:fill="auto"/>
            <w:noWrap/>
            <w:vAlign w:val="bottom"/>
            <w:hideMark/>
          </w:tcPr>
          <w:p w14:paraId="75CF2430"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25</w:t>
            </w:r>
          </w:p>
        </w:tc>
        <w:tc>
          <w:tcPr>
            <w:tcW w:w="1360" w:type="dxa"/>
            <w:shd w:val="clear" w:color="auto" w:fill="auto"/>
            <w:noWrap/>
            <w:vAlign w:val="bottom"/>
            <w:hideMark/>
          </w:tcPr>
          <w:p w14:paraId="26AC4A4A"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23</w:t>
            </w:r>
          </w:p>
        </w:tc>
        <w:tc>
          <w:tcPr>
            <w:tcW w:w="1360" w:type="dxa"/>
            <w:shd w:val="clear" w:color="auto" w:fill="auto"/>
            <w:noWrap/>
            <w:vAlign w:val="bottom"/>
            <w:hideMark/>
          </w:tcPr>
          <w:p w14:paraId="3AAAAE4F"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70</w:t>
            </w:r>
          </w:p>
        </w:tc>
      </w:tr>
      <w:tr w:rsidR="00355E32" w:rsidRPr="00355E32" w14:paraId="6550E55B" w14:textId="77777777" w:rsidTr="004B0800">
        <w:trPr>
          <w:trHeight w:val="240"/>
        </w:trPr>
        <w:tc>
          <w:tcPr>
            <w:tcW w:w="2884" w:type="dxa"/>
            <w:shd w:val="clear" w:color="auto" w:fill="auto"/>
            <w:noWrap/>
            <w:hideMark/>
          </w:tcPr>
          <w:p w14:paraId="7EE08E43" w14:textId="77777777" w:rsidR="00BD4745" w:rsidRPr="00355E32" w:rsidRDefault="00BD4745" w:rsidP="004B0800">
            <w:pPr>
              <w:spacing w:before="40" w:after="40" w:line="220" w:lineRule="exact"/>
              <w:rPr>
                <w:sz w:val="18"/>
                <w:lang w:eastAsia="es-BO"/>
              </w:rPr>
            </w:pPr>
            <w:r w:rsidRPr="00355E32">
              <w:rPr>
                <w:sz w:val="18"/>
                <w:lang w:eastAsia="es-BO"/>
              </w:rPr>
              <w:t>36 a 50</w:t>
            </w:r>
          </w:p>
        </w:tc>
        <w:tc>
          <w:tcPr>
            <w:tcW w:w="1136" w:type="dxa"/>
            <w:shd w:val="clear" w:color="auto" w:fill="auto"/>
            <w:noWrap/>
            <w:vAlign w:val="bottom"/>
            <w:hideMark/>
          </w:tcPr>
          <w:p w14:paraId="07BE9EAC"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12</w:t>
            </w:r>
          </w:p>
        </w:tc>
        <w:tc>
          <w:tcPr>
            <w:tcW w:w="1360" w:type="dxa"/>
            <w:shd w:val="clear" w:color="auto" w:fill="auto"/>
            <w:noWrap/>
            <w:vAlign w:val="bottom"/>
            <w:hideMark/>
          </w:tcPr>
          <w:p w14:paraId="36D9E98D"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23</w:t>
            </w:r>
          </w:p>
        </w:tc>
        <w:tc>
          <w:tcPr>
            <w:tcW w:w="1360" w:type="dxa"/>
            <w:shd w:val="clear" w:color="auto" w:fill="auto"/>
            <w:noWrap/>
            <w:vAlign w:val="bottom"/>
            <w:hideMark/>
          </w:tcPr>
          <w:p w14:paraId="60E1A17C"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18</w:t>
            </w:r>
          </w:p>
        </w:tc>
        <w:tc>
          <w:tcPr>
            <w:tcW w:w="1360" w:type="dxa"/>
            <w:shd w:val="clear" w:color="auto" w:fill="auto"/>
            <w:noWrap/>
            <w:vAlign w:val="bottom"/>
            <w:hideMark/>
          </w:tcPr>
          <w:p w14:paraId="4AFCF507"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53</w:t>
            </w:r>
          </w:p>
        </w:tc>
      </w:tr>
      <w:tr w:rsidR="00355E32" w:rsidRPr="00355E32" w14:paraId="26115CDF" w14:textId="77777777" w:rsidTr="004B0800">
        <w:trPr>
          <w:trHeight w:val="240"/>
        </w:trPr>
        <w:tc>
          <w:tcPr>
            <w:tcW w:w="2884" w:type="dxa"/>
            <w:shd w:val="clear" w:color="auto" w:fill="auto"/>
            <w:noWrap/>
            <w:hideMark/>
          </w:tcPr>
          <w:p w14:paraId="6B7BCFC3" w14:textId="77777777" w:rsidR="00BD4745" w:rsidRPr="00355E32" w:rsidRDefault="00BD4745" w:rsidP="004B0800">
            <w:pPr>
              <w:spacing w:before="40" w:after="40" w:line="220" w:lineRule="exact"/>
              <w:rPr>
                <w:sz w:val="18"/>
                <w:lang w:eastAsia="es-BO"/>
              </w:rPr>
            </w:pPr>
            <w:r w:rsidRPr="00355E32">
              <w:rPr>
                <w:sz w:val="18"/>
                <w:lang w:eastAsia="es-BO"/>
              </w:rPr>
              <w:t>51 a 60</w:t>
            </w:r>
          </w:p>
        </w:tc>
        <w:tc>
          <w:tcPr>
            <w:tcW w:w="1136" w:type="dxa"/>
            <w:shd w:val="clear" w:color="auto" w:fill="auto"/>
            <w:noWrap/>
            <w:vAlign w:val="bottom"/>
            <w:hideMark/>
          </w:tcPr>
          <w:p w14:paraId="07DE67C6"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6</w:t>
            </w:r>
          </w:p>
        </w:tc>
        <w:tc>
          <w:tcPr>
            <w:tcW w:w="1360" w:type="dxa"/>
            <w:shd w:val="clear" w:color="auto" w:fill="auto"/>
            <w:noWrap/>
            <w:vAlign w:val="bottom"/>
            <w:hideMark/>
          </w:tcPr>
          <w:p w14:paraId="7A3FDB30"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8</w:t>
            </w:r>
          </w:p>
        </w:tc>
        <w:tc>
          <w:tcPr>
            <w:tcW w:w="1360" w:type="dxa"/>
            <w:shd w:val="clear" w:color="auto" w:fill="auto"/>
            <w:noWrap/>
            <w:vAlign w:val="bottom"/>
            <w:hideMark/>
          </w:tcPr>
          <w:p w14:paraId="7EC8AC7B"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7</w:t>
            </w:r>
          </w:p>
        </w:tc>
        <w:tc>
          <w:tcPr>
            <w:tcW w:w="1360" w:type="dxa"/>
            <w:shd w:val="clear" w:color="auto" w:fill="auto"/>
            <w:noWrap/>
            <w:vAlign w:val="bottom"/>
            <w:hideMark/>
          </w:tcPr>
          <w:p w14:paraId="738DE830"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21</w:t>
            </w:r>
          </w:p>
        </w:tc>
      </w:tr>
      <w:tr w:rsidR="00355E32" w:rsidRPr="00355E32" w14:paraId="60482D4A" w14:textId="77777777" w:rsidTr="004B0800">
        <w:trPr>
          <w:trHeight w:val="240"/>
        </w:trPr>
        <w:tc>
          <w:tcPr>
            <w:tcW w:w="2884" w:type="dxa"/>
            <w:shd w:val="clear" w:color="auto" w:fill="auto"/>
            <w:noWrap/>
            <w:hideMark/>
          </w:tcPr>
          <w:p w14:paraId="03248BFD" w14:textId="77777777" w:rsidR="00BD4745" w:rsidRPr="00355E32" w:rsidRDefault="00BD4745" w:rsidP="004B0800">
            <w:pPr>
              <w:spacing w:before="40" w:after="40" w:line="220" w:lineRule="exact"/>
              <w:rPr>
                <w:sz w:val="18"/>
                <w:lang w:eastAsia="es-BO"/>
              </w:rPr>
            </w:pPr>
            <w:r w:rsidRPr="00355E32">
              <w:rPr>
                <w:sz w:val="18"/>
                <w:lang w:eastAsia="es-BO"/>
              </w:rPr>
              <w:t>61 a más</w:t>
            </w:r>
          </w:p>
        </w:tc>
        <w:tc>
          <w:tcPr>
            <w:tcW w:w="1136" w:type="dxa"/>
            <w:shd w:val="clear" w:color="auto" w:fill="auto"/>
            <w:noWrap/>
            <w:vAlign w:val="bottom"/>
            <w:hideMark/>
          </w:tcPr>
          <w:p w14:paraId="2C1B2C7F"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3</w:t>
            </w:r>
          </w:p>
        </w:tc>
        <w:tc>
          <w:tcPr>
            <w:tcW w:w="1360" w:type="dxa"/>
            <w:shd w:val="clear" w:color="auto" w:fill="auto"/>
            <w:noWrap/>
            <w:vAlign w:val="bottom"/>
            <w:hideMark/>
          </w:tcPr>
          <w:p w14:paraId="2986D7D6"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8</w:t>
            </w:r>
          </w:p>
        </w:tc>
        <w:tc>
          <w:tcPr>
            <w:tcW w:w="1360" w:type="dxa"/>
            <w:shd w:val="clear" w:color="auto" w:fill="auto"/>
            <w:noWrap/>
            <w:vAlign w:val="bottom"/>
            <w:hideMark/>
          </w:tcPr>
          <w:p w14:paraId="3512F31A"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9</w:t>
            </w:r>
          </w:p>
        </w:tc>
        <w:tc>
          <w:tcPr>
            <w:tcW w:w="1360" w:type="dxa"/>
            <w:shd w:val="clear" w:color="auto" w:fill="auto"/>
            <w:noWrap/>
            <w:vAlign w:val="bottom"/>
            <w:hideMark/>
          </w:tcPr>
          <w:p w14:paraId="3304F56D"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20</w:t>
            </w:r>
          </w:p>
        </w:tc>
      </w:tr>
      <w:tr w:rsidR="00355E32" w:rsidRPr="00355E32" w14:paraId="4F9010A0" w14:textId="77777777" w:rsidTr="004B0800">
        <w:trPr>
          <w:trHeight w:val="240"/>
        </w:trPr>
        <w:tc>
          <w:tcPr>
            <w:tcW w:w="2884" w:type="dxa"/>
            <w:shd w:val="clear" w:color="auto" w:fill="auto"/>
            <w:noWrap/>
            <w:hideMark/>
          </w:tcPr>
          <w:p w14:paraId="4BFE4FCA" w14:textId="77777777" w:rsidR="00BD4745" w:rsidRPr="00355E32" w:rsidRDefault="00BD4745">
            <w:pPr>
              <w:spacing w:before="40" w:after="40" w:line="220" w:lineRule="exact"/>
              <w:rPr>
                <w:sz w:val="18"/>
                <w:lang w:eastAsia="es-BO"/>
              </w:rPr>
            </w:pPr>
            <w:r w:rsidRPr="00355E32">
              <w:rPr>
                <w:sz w:val="18"/>
                <w:lang w:eastAsia="es-BO"/>
              </w:rPr>
              <w:t>Por determinar</w:t>
            </w:r>
          </w:p>
        </w:tc>
        <w:tc>
          <w:tcPr>
            <w:tcW w:w="1136" w:type="dxa"/>
            <w:shd w:val="clear" w:color="auto" w:fill="auto"/>
            <w:noWrap/>
            <w:vAlign w:val="bottom"/>
            <w:hideMark/>
          </w:tcPr>
          <w:p w14:paraId="7647E567"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45</w:t>
            </w:r>
          </w:p>
        </w:tc>
        <w:tc>
          <w:tcPr>
            <w:tcW w:w="1360" w:type="dxa"/>
            <w:shd w:val="clear" w:color="auto" w:fill="auto"/>
            <w:noWrap/>
            <w:vAlign w:val="bottom"/>
            <w:hideMark/>
          </w:tcPr>
          <w:p w14:paraId="3F388546"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9</w:t>
            </w:r>
          </w:p>
        </w:tc>
        <w:tc>
          <w:tcPr>
            <w:tcW w:w="1360" w:type="dxa"/>
            <w:shd w:val="clear" w:color="auto" w:fill="auto"/>
            <w:noWrap/>
            <w:vAlign w:val="bottom"/>
            <w:hideMark/>
          </w:tcPr>
          <w:p w14:paraId="765D94C9"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27</w:t>
            </w:r>
          </w:p>
        </w:tc>
        <w:tc>
          <w:tcPr>
            <w:tcW w:w="1360" w:type="dxa"/>
            <w:shd w:val="clear" w:color="auto" w:fill="auto"/>
            <w:noWrap/>
            <w:vAlign w:val="bottom"/>
            <w:hideMark/>
          </w:tcPr>
          <w:p w14:paraId="7F21D25C"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81</w:t>
            </w:r>
          </w:p>
        </w:tc>
      </w:tr>
      <w:tr w:rsidR="00355E32" w:rsidRPr="00355E32" w14:paraId="401F2F99" w14:textId="77777777" w:rsidTr="004B0800">
        <w:trPr>
          <w:trHeight w:val="240"/>
        </w:trPr>
        <w:tc>
          <w:tcPr>
            <w:tcW w:w="2884" w:type="dxa"/>
            <w:shd w:val="clear" w:color="auto" w:fill="auto"/>
            <w:noWrap/>
            <w:hideMark/>
          </w:tcPr>
          <w:p w14:paraId="64DAB80B" w14:textId="77777777" w:rsidR="00BD4745" w:rsidRPr="004B0800" w:rsidRDefault="00BD4745">
            <w:pPr>
              <w:spacing w:before="40" w:after="40" w:line="220" w:lineRule="exact"/>
              <w:rPr>
                <w:bCs/>
                <w:sz w:val="18"/>
                <w:lang w:eastAsia="es-BO"/>
              </w:rPr>
            </w:pPr>
            <w:r w:rsidRPr="004B0800">
              <w:rPr>
                <w:bCs/>
                <w:sz w:val="18"/>
                <w:lang w:eastAsia="es-BO"/>
              </w:rPr>
              <w:t>Mujer</w:t>
            </w:r>
          </w:p>
        </w:tc>
        <w:tc>
          <w:tcPr>
            <w:tcW w:w="1136" w:type="dxa"/>
            <w:shd w:val="clear" w:color="auto" w:fill="auto"/>
            <w:noWrap/>
            <w:vAlign w:val="bottom"/>
            <w:hideMark/>
          </w:tcPr>
          <w:p w14:paraId="35D369BE"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248</w:t>
            </w:r>
          </w:p>
        </w:tc>
        <w:tc>
          <w:tcPr>
            <w:tcW w:w="1360" w:type="dxa"/>
            <w:shd w:val="clear" w:color="auto" w:fill="auto"/>
            <w:noWrap/>
            <w:vAlign w:val="bottom"/>
            <w:hideMark/>
          </w:tcPr>
          <w:p w14:paraId="0A8C7F82"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200</w:t>
            </w:r>
          </w:p>
        </w:tc>
        <w:tc>
          <w:tcPr>
            <w:tcW w:w="1360" w:type="dxa"/>
            <w:shd w:val="clear" w:color="auto" w:fill="auto"/>
            <w:noWrap/>
            <w:vAlign w:val="bottom"/>
            <w:hideMark/>
          </w:tcPr>
          <w:p w14:paraId="4B045DC4"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180</w:t>
            </w:r>
          </w:p>
        </w:tc>
        <w:tc>
          <w:tcPr>
            <w:tcW w:w="1360" w:type="dxa"/>
            <w:shd w:val="clear" w:color="auto" w:fill="auto"/>
            <w:noWrap/>
            <w:vAlign w:val="bottom"/>
            <w:hideMark/>
          </w:tcPr>
          <w:p w14:paraId="018E033F"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628</w:t>
            </w:r>
          </w:p>
        </w:tc>
      </w:tr>
      <w:tr w:rsidR="00355E32" w:rsidRPr="00355E32" w14:paraId="3CD34389" w14:textId="77777777" w:rsidTr="004B0800">
        <w:trPr>
          <w:trHeight w:val="240"/>
        </w:trPr>
        <w:tc>
          <w:tcPr>
            <w:tcW w:w="2884" w:type="dxa"/>
            <w:shd w:val="clear" w:color="auto" w:fill="auto"/>
            <w:noWrap/>
            <w:hideMark/>
          </w:tcPr>
          <w:p w14:paraId="0771E4C4" w14:textId="77777777" w:rsidR="00BD4745" w:rsidRPr="00355E32" w:rsidRDefault="00BD4745">
            <w:pPr>
              <w:spacing w:before="40" w:after="40" w:line="220" w:lineRule="exact"/>
              <w:rPr>
                <w:sz w:val="18"/>
                <w:lang w:eastAsia="es-BO"/>
              </w:rPr>
            </w:pPr>
            <w:r w:rsidRPr="00355E32">
              <w:rPr>
                <w:sz w:val="18"/>
                <w:lang w:eastAsia="es-BO"/>
              </w:rPr>
              <w:t>01 a 10</w:t>
            </w:r>
          </w:p>
        </w:tc>
        <w:tc>
          <w:tcPr>
            <w:tcW w:w="1136" w:type="dxa"/>
            <w:shd w:val="clear" w:color="auto" w:fill="auto"/>
            <w:noWrap/>
            <w:vAlign w:val="bottom"/>
            <w:hideMark/>
          </w:tcPr>
          <w:p w14:paraId="3761EC86"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8</w:t>
            </w:r>
          </w:p>
        </w:tc>
        <w:tc>
          <w:tcPr>
            <w:tcW w:w="1360" w:type="dxa"/>
            <w:shd w:val="clear" w:color="auto" w:fill="auto"/>
            <w:noWrap/>
            <w:vAlign w:val="bottom"/>
            <w:hideMark/>
          </w:tcPr>
          <w:p w14:paraId="42BBA8CC"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21</w:t>
            </w:r>
          </w:p>
        </w:tc>
        <w:tc>
          <w:tcPr>
            <w:tcW w:w="1360" w:type="dxa"/>
            <w:shd w:val="clear" w:color="auto" w:fill="auto"/>
            <w:noWrap/>
            <w:vAlign w:val="bottom"/>
            <w:hideMark/>
          </w:tcPr>
          <w:p w14:paraId="344764F7"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7</w:t>
            </w:r>
          </w:p>
        </w:tc>
        <w:tc>
          <w:tcPr>
            <w:tcW w:w="1360" w:type="dxa"/>
            <w:shd w:val="clear" w:color="auto" w:fill="auto"/>
            <w:noWrap/>
            <w:vAlign w:val="bottom"/>
            <w:hideMark/>
          </w:tcPr>
          <w:p w14:paraId="31F91CD1"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36</w:t>
            </w:r>
          </w:p>
        </w:tc>
      </w:tr>
      <w:tr w:rsidR="00355E32" w:rsidRPr="00355E32" w14:paraId="4CB730AF" w14:textId="77777777" w:rsidTr="004B0800">
        <w:trPr>
          <w:trHeight w:val="240"/>
        </w:trPr>
        <w:tc>
          <w:tcPr>
            <w:tcW w:w="2884" w:type="dxa"/>
            <w:shd w:val="clear" w:color="auto" w:fill="auto"/>
            <w:noWrap/>
            <w:hideMark/>
          </w:tcPr>
          <w:p w14:paraId="0FD2AECC" w14:textId="77777777" w:rsidR="00BD4745" w:rsidRPr="00355E32" w:rsidRDefault="00BD4745">
            <w:pPr>
              <w:spacing w:before="40" w:after="40" w:line="220" w:lineRule="exact"/>
              <w:rPr>
                <w:sz w:val="18"/>
                <w:lang w:eastAsia="es-BO"/>
              </w:rPr>
            </w:pPr>
            <w:r w:rsidRPr="00355E32">
              <w:rPr>
                <w:sz w:val="18"/>
                <w:lang w:eastAsia="es-BO"/>
              </w:rPr>
              <w:t>11 a 18</w:t>
            </w:r>
          </w:p>
        </w:tc>
        <w:tc>
          <w:tcPr>
            <w:tcW w:w="1136" w:type="dxa"/>
            <w:shd w:val="clear" w:color="auto" w:fill="auto"/>
            <w:noWrap/>
            <w:vAlign w:val="bottom"/>
            <w:hideMark/>
          </w:tcPr>
          <w:p w14:paraId="20887B4A"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131</w:t>
            </w:r>
          </w:p>
        </w:tc>
        <w:tc>
          <w:tcPr>
            <w:tcW w:w="1360" w:type="dxa"/>
            <w:shd w:val="clear" w:color="auto" w:fill="auto"/>
            <w:noWrap/>
            <w:vAlign w:val="bottom"/>
            <w:hideMark/>
          </w:tcPr>
          <w:p w14:paraId="2EEE7BAF"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98</w:t>
            </w:r>
          </w:p>
        </w:tc>
        <w:tc>
          <w:tcPr>
            <w:tcW w:w="1360" w:type="dxa"/>
            <w:shd w:val="clear" w:color="auto" w:fill="auto"/>
            <w:noWrap/>
            <w:vAlign w:val="bottom"/>
            <w:hideMark/>
          </w:tcPr>
          <w:p w14:paraId="0E0BAC17"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87</w:t>
            </w:r>
          </w:p>
        </w:tc>
        <w:tc>
          <w:tcPr>
            <w:tcW w:w="1360" w:type="dxa"/>
            <w:shd w:val="clear" w:color="auto" w:fill="auto"/>
            <w:noWrap/>
            <w:vAlign w:val="bottom"/>
            <w:hideMark/>
          </w:tcPr>
          <w:p w14:paraId="70D594B7"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316</w:t>
            </w:r>
          </w:p>
        </w:tc>
      </w:tr>
      <w:tr w:rsidR="00355E32" w:rsidRPr="00355E32" w14:paraId="08963C3F" w14:textId="77777777" w:rsidTr="004B0800">
        <w:trPr>
          <w:trHeight w:val="240"/>
        </w:trPr>
        <w:tc>
          <w:tcPr>
            <w:tcW w:w="2884" w:type="dxa"/>
            <w:shd w:val="clear" w:color="auto" w:fill="auto"/>
            <w:noWrap/>
            <w:hideMark/>
          </w:tcPr>
          <w:p w14:paraId="2AD37B53" w14:textId="77777777" w:rsidR="00BD4745" w:rsidRPr="00355E32" w:rsidRDefault="00BD4745">
            <w:pPr>
              <w:spacing w:before="40" w:after="40" w:line="220" w:lineRule="exact"/>
              <w:rPr>
                <w:sz w:val="18"/>
                <w:lang w:eastAsia="es-BO"/>
              </w:rPr>
            </w:pPr>
            <w:r w:rsidRPr="00355E32">
              <w:rPr>
                <w:sz w:val="18"/>
                <w:lang w:eastAsia="es-BO"/>
              </w:rPr>
              <w:t>19 a 35</w:t>
            </w:r>
          </w:p>
        </w:tc>
        <w:tc>
          <w:tcPr>
            <w:tcW w:w="1136" w:type="dxa"/>
            <w:shd w:val="clear" w:color="auto" w:fill="auto"/>
            <w:noWrap/>
            <w:vAlign w:val="bottom"/>
            <w:hideMark/>
          </w:tcPr>
          <w:p w14:paraId="0E2ED926"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56</w:t>
            </w:r>
          </w:p>
        </w:tc>
        <w:tc>
          <w:tcPr>
            <w:tcW w:w="1360" w:type="dxa"/>
            <w:shd w:val="clear" w:color="auto" w:fill="auto"/>
            <w:noWrap/>
            <w:vAlign w:val="bottom"/>
            <w:hideMark/>
          </w:tcPr>
          <w:p w14:paraId="364D50E9"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54</w:t>
            </w:r>
          </w:p>
        </w:tc>
        <w:tc>
          <w:tcPr>
            <w:tcW w:w="1360" w:type="dxa"/>
            <w:shd w:val="clear" w:color="auto" w:fill="auto"/>
            <w:noWrap/>
            <w:vAlign w:val="bottom"/>
            <w:hideMark/>
          </w:tcPr>
          <w:p w14:paraId="4F25C6C5"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51</w:t>
            </w:r>
          </w:p>
        </w:tc>
        <w:tc>
          <w:tcPr>
            <w:tcW w:w="1360" w:type="dxa"/>
            <w:shd w:val="clear" w:color="auto" w:fill="auto"/>
            <w:noWrap/>
            <w:vAlign w:val="bottom"/>
            <w:hideMark/>
          </w:tcPr>
          <w:p w14:paraId="77476262"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161</w:t>
            </w:r>
          </w:p>
        </w:tc>
      </w:tr>
      <w:tr w:rsidR="00355E32" w:rsidRPr="00355E32" w14:paraId="299E4738" w14:textId="77777777" w:rsidTr="004B0800">
        <w:trPr>
          <w:trHeight w:val="240"/>
        </w:trPr>
        <w:tc>
          <w:tcPr>
            <w:tcW w:w="2884" w:type="dxa"/>
            <w:shd w:val="clear" w:color="auto" w:fill="auto"/>
            <w:noWrap/>
            <w:hideMark/>
          </w:tcPr>
          <w:p w14:paraId="0691ED12" w14:textId="77777777" w:rsidR="00BD4745" w:rsidRPr="00355E32" w:rsidRDefault="00BD4745">
            <w:pPr>
              <w:spacing w:before="40" w:after="40" w:line="220" w:lineRule="exact"/>
              <w:rPr>
                <w:sz w:val="18"/>
                <w:lang w:eastAsia="es-BO"/>
              </w:rPr>
            </w:pPr>
            <w:r w:rsidRPr="00355E32">
              <w:rPr>
                <w:sz w:val="18"/>
                <w:lang w:eastAsia="es-BO"/>
              </w:rPr>
              <w:lastRenderedPageBreak/>
              <w:t>36 a 50</w:t>
            </w:r>
          </w:p>
        </w:tc>
        <w:tc>
          <w:tcPr>
            <w:tcW w:w="1136" w:type="dxa"/>
            <w:shd w:val="clear" w:color="auto" w:fill="auto"/>
            <w:noWrap/>
            <w:vAlign w:val="bottom"/>
            <w:hideMark/>
          </w:tcPr>
          <w:p w14:paraId="27407726"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11</w:t>
            </w:r>
          </w:p>
        </w:tc>
        <w:tc>
          <w:tcPr>
            <w:tcW w:w="1360" w:type="dxa"/>
            <w:shd w:val="clear" w:color="auto" w:fill="auto"/>
            <w:noWrap/>
            <w:vAlign w:val="bottom"/>
            <w:hideMark/>
          </w:tcPr>
          <w:p w14:paraId="6F27BBB4"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14</w:t>
            </w:r>
          </w:p>
        </w:tc>
        <w:tc>
          <w:tcPr>
            <w:tcW w:w="1360" w:type="dxa"/>
            <w:shd w:val="clear" w:color="auto" w:fill="auto"/>
            <w:noWrap/>
            <w:vAlign w:val="bottom"/>
            <w:hideMark/>
          </w:tcPr>
          <w:p w14:paraId="6258CC7E"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21</w:t>
            </w:r>
          </w:p>
        </w:tc>
        <w:tc>
          <w:tcPr>
            <w:tcW w:w="1360" w:type="dxa"/>
            <w:shd w:val="clear" w:color="auto" w:fill="auto"/>
            <w:noWrap/>
            <w:vAlign w:val="bottom"/>
            <w:hideMark/>
          </w:tcPr>
          <w:p w14:paraId="03A9F164"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46</w:t>
            </w:r>
          </w:p>
        </w:tc>
      </w:tr>
      <w:tr w:rsidR="00355E32" w:rsidRPr="00355E32" w14:paraId="60F8ADD5" w14:textId="77777777" w:rsidTr="004B0800">
        <w:trPr>
          <w:trHeight w:val="240"/>
        </w:trPr>
        <w:tc>
          <w:tcPr>
            <w:tcW w:w="2884" w:type="dxa"/>
            <w:shd w:val="clear" w:color="auto" w:fill="auto"/>
            <w:noWrap/>
            <w:hideMark/>
          </w:tcPr>
          <w:p w14:paraId="381F0A88" w14:textId="77777777" w:rsidR="00BD4745" w:rsidRPr="00355E32" w:rsidRDefault="00BD4745">
            <w:pPr>
              <w:spacing w:before="40" w:after="40" w:line="220" w:lineRule="exact"/>
              <w:rPr>
                <w:sz w:val="18"/>
                <w:lang w:eastAsia="es-BO"/>
              </w:rPr>
            </w:pPr>
            <w:r w:rsidRPr="00355E32">
              <w:rPr>
                <w:sz w:val="18"/>
                <w:lang w:eastAsia="es-BO"/>
              </w:rPr>
              <w:t>51 a 60</w:t>
            </w:r>
          </w:p>
        </w:tc>
        <w:tc>
          <w:tcPr>
            <w:tcW w:w="1136" w:type="dxa"/>
            <w:shd w:val="clear" w:color="auto" w:fill="auto"/>
            <w:noWrap/>
            <w:vAlign w:val="bottom"/>
            <w:hideMark/>
          </w:tcPr>
          <w:p w14:paraId="19E3DF6C"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2</w:t>
            </w:r>
          </w:p>
        </w:tc>
        <w:tc>
          <w:tcPr>
            <w:tcW w:w="1360" w:type="dxa"/>
            <w:shd w:val="clear" w:color="auto" w:fill="auto"/>
            <w:noWrap/>
            <w:vAlign w:val="bottom"/>
            <w:hideMark/>
          </w:tcPr>
          <w:p w14:paraId="55FEE7CF"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1</w:t>
            </w:r>
          </w:p>
        </w:tc>
        <w:tc>
          <w:tcPr>
            <w:tcW w:w="1360" w:type="dxa"/>
            <w:shd w:val="clear" w:color="auto" w:fill="auto"/>
            <w:noWrap/>
            <w:vAlign w:val="bottom"/>
            <w:hideMark/>
          </w:tcPr>
          <w:p w14:paraId="2F0FC52B"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10</w:t>
            </w:r>
          </w:p>
        </w:tc>
        <w:tc>
          <w:tcPr>
            <w:tcW w:w="1360" w:type="dxa"/>
            <w:shd w:val="clear" w:color="auto" w:fill="auto"/>
            <w:noWrap/>
            <w:vAlign w:val="bottom"/>
            <w:hideMark/>
          </w:tcPr>
          <w:p w14:paraId="0B0BDBB7"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13</w:t>
            </w:r>
          </w:p>
        </w:tc>
      </w:tr>
      <w:tr w:rsidR="00355E32" w:rsidRPr="00355E32" w14:paraId="0B9B6CC0" w14:textId="77777777" w:rsidTr="004B0800">
        <w:trPr>
          <w:trHeight w:val="240"/>
        </w:trPr>
        <w:tc>
          <w:tcPr>
            <w:tcW w:w="2884" w:type="dxa"/>
            <w:shd w:val="clear" w:color="auto" w:fill="auto"/>
            <w:noWrap/>
            <w:hideMark/>
          </w:tcPr>
          <w:p w14:paraId="3F31A09E" w14:textId="77777777" w:rsidR="00BD4745" w:rsidRPr="00355E32" w:rsidRDefault="00BD4745">
            <w:pPr>
              <w:spacing w:before="40" w:after="40" w:line="220" w:lineRule="exact"/>
              <w:rPr>
                <w:sz w:val="18"/>
                <w:lang w:eastAsia="es-BO"/>
              </w:rPr>
            </w:pPr>
            <w:r w:rsidRPr="00355E32">
              <w:rPr>
                <w:sz w:val="18"/>
                <w:lang w:eastAsia="es-BO"/>
              </w:rPr>
              <w:t>61 a más</w:t>
            </w:r>
          </w:p>
        </w:tc>
        <w:tc>
          <w:tcPr>
            <w:tcW w:w="1136" w:type="dxa"/>
            <w:shd w:val="clear" w:color="auto" w:fill="auto"/>
            <w:noWrap/>
            <w:vAlign w:val="bottom"/>
            <w:hideMark/>
          </w:tcPr>
          <w:p w14:paraId="6DEB97E0"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2</w:t>
            </w:r>
          </w:p>
        </w:tc>
        <w:tc>
          <w:tcPr>
            <w:tcW w:w="1360" w:type="dxa"/>
            <w:shd w:val="clear" w:color="auto" w:fill="auto"/>
            <w:noWrap/>
            <w:vAlign w:val="bottom"/>
            <w:hideMark/>
          </w:tcPr>
          <w:p w14:paraId="022E5B59"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10</w:t>
            </w:r>
          </w:p>
        </w:tc>
        <w:tc>
          <w:tcPr>
            <w:tcW w:w="1360" w:type="dxa"/>
            <w:shd w:val="clear" w:color="auto" w:fill="auto"/>
            <w:noWrap/>
            <w:vAlign w:val="bottom"/>
            <w:hideMark/>
          </w:tcPr>
          <w:p w14:paraId="47731942"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4</w:t>
            </w:r>
          </w:p>
        </w:tc>
        <w:tc>
          <w:tcPr>
            <w:tcW w:w="1360" w:type="dxa"/>
            <w:shd w:val="clear" w:color="auto" w:fill="auto"/>
            <w:noWrap/>
            <w:vAlign w:val="bottom"/>
            <w:hideMark/>
          </w:tcPr>
          <w:p w14:paraId="259CCE19"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16</w:t>
            </w:r>
          </w:p>
        </w:tc>
      </w:tr>
      <w:tr w:rsidR="00355E32" w:rsidRPr="00355E32" w14:paraId="5762D8D0" w14:textId="77777777" w:rsidTr="004B0800">
        <w:trPr>
          <w:trHeight w:val="240"/>
        </w:trPr>
        <w:tc>
          <w:tcPr>
            <w:tcW w:w="2884" w:type="dxa"/>
            <w:tcBorders>
              <w:bottom w:val="single" w:sz="12" w:space="0" w:color="auto"/>
            </w:tcBorders>
            <w:shd w:val="clear" w:color="auto" w:fill="auto"/>
            <w:noWrap/>
            <w:hideMark/>
          </w:tcPr>
          <w:p w14:paraId="64A7C928" w14:textId="7BF300FE" w:rsidR="00BD4745" w:rsidRPr="00355E32" w:rsidRDefault="00BD4745">
            <w:pPr>
              <w:spacing w:before="40" w:after="40" w:line="220" w:lineRule="exact"/>
              <w:rPr>
                <w:sz w:val="18"/>
                <w:lang w:eastAsia="es-BO"/>
              </w:rPr>
            </w:pPr>
            <w:r w:rsidRPr="00355E32">
              <w:rPr>
                <w:sz w:val="18"/>
                <w:lang w:eastAsia="es-BO"/>
              </w:rPr>
              <w:t>Por determinar</w:t>
            </w:r>
            <w:r w:rsidR="00355E32">
              <w:rPr>
                <w:sz w:val="18"/>
                <w:lang w:eastAsia="es-BO"/>
              </w:rPr>
              <w:t xml:space="preserve"> </w:t>
            </w:r>
          </w:p>
        </w:tc>
        <w:tc>
          <w:tcPr>
            <w:tcW w:w="1136" w:type="dxa"/>
            <w:tcBorders>
              <w:bottom w:val="single" w:sz="12" w:space="0" w:color="auto"/>
            </w:tcBorders>
            <w:shd w:val="clear" w:color="auto" w:fill="auto"/>
            <w:noWrap/>
            <w:vAlign w:val="bottom"/>
            <w:hideMark/>
          </w:tcPr>
          <w:p w14:paraId="13DCE158"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38</w:t>
            </w:r>
          </w:p>
        </w:tc>
        <w:tc>
          <w:tcPr>
            <w:tcW w:w="1360" w:type="dxa"/>
            <w:tcBorders>
              <w:bottom w:val="single" w:sz="12" w:space="0" w:color="auto"/>
            </w:tcBorders>
            <w:shd w:val="clear" w:color="auto" w:fill="auto"/>
            <w:noWrap/>
            <w:vAlign w:val="bottom"/>
            <w:hideMark/>
          </w:tcPr>
          <w:p w14:paraId="1BBDB055"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2</w:t>
            </w:r>
          </w:p>
        </w:tc>
        <w:tc>
          <w:tcPr>
            <w:tcW w:w="1360" w:type="dxa"/>
            <w:tcBorders>
              <w:bottom w:val="single" w:sz="12" w:space="0" w:color="auto"/>
            </w:tcBorders>
            <w:shd w:val="clear" w:color="auto" w:fill="auto"/>
            <w:noWrap/>
            <w:vAlign w:val="bottom"/>
            <w:hideMark/>
          </w:tcPr>
          <w:p w14:paraId="57226BAB" w14:textId="77777777" w:rsidR="00BD4745" w:rsidRPr="00355E32" w:rsidRDefault="00BD4745" w:rsidP="004B0800">
            <w:pPr>
              <w:spacing w:before="40" w:after="40" w:line="220" w:lineRule="exact"/>
              <w:ind w:left="113"/>
              <w:jc w:val="right"/>
              <w:rPr>
                <w:sz w:val="18"/>
                <w:lang w:eastAsia="es-BO"/>
              </w:rPr>
            </w:pPr>
            <w:r w:rsidRPr="00355E32">
              <w:rPr>
                <w:sz w:val="18"/>
                <w:lang w:eastAsia="es-BO"/>
              </w:rPr>
              <w:t>0</w:t>
            </w:r>
          </w:p>
        </w:tc>
        <w:tc>
          <w:tcPr>
            <w:tcW w:w="1360" w:type="dxa"/>
            <w:tcBorders>
              <w:bottom w:val="single" w:sz="12" w:space="0" w:color="auto"/>
            </w:tcBorders>
            <w:shd w:val="clear" w:color="auto" w:fill="auto"/>
            <w:noWrap/>
            <w:vAlign w:val="bottom"/>
            <w:hideMark/>
          </w:tcPr>
          <w:p w14:paraId="5E896133" w14:textId="77777777" w:rsidR="00BD4745" w:rsidRPr="004B0800" w:rsidRDefault="00BD4745" w:rsidP="004B0800">
            <w:pPr>
              <w:spacing w:before="40" w:after="40" w:line="220" w:lineRule="exact"/>
              <w:ind w:left="113"/>
              <w:jc w:val="right"/>
              <w:rPr>
                <w:bCs/>
                <w:sz w:val="18"/>
                <w:lang w:eastAsia="es-BO"/>
              </w:rPr>
            </w:pPr>
            <w:r w:rsidRPr="004B0800">
              <w:rPr>
                <w:bCs/>
                <w:sz w:val="18"/>
                <w:lang w:eastAsia="es-BO"/>
              </w:rPr>
              <w:t>40</w:t>
            </w:r>
          </w:p>
        </w:tc>
      </w:tr>
    </w:tbl>
    <w:p w14:paraId="06248400" w14:textId="347A13A0" w:rsidR="00BD4745" w:rsidRPr="00B54D3D" w:rsidRDefault="00BD4745" w:rsidP="004B0800">
      <w:pPr>
        <w:pStyle w:val="SingleTxtG"/>
        <w:spacing w:before="120" w:after="240"/>
        <w:ind w:firstLine="170"/>
        <w:jc w:val="left"/>
        <w:rPr>
          <w:sz w:val="18"/>
          <w:szCs w:val="18"/>
          <w:lang w:eastAsia="es-BO"/>
        </w:rPr>
      </w:pPr>
      <w:r w:rsidRPr="004B0800">
        <w:rPr>
          <w:bCs/>
          <w:i/>
          <w:sz w:val="18"/>
          <w:szCs w:val="18"/>
          <w:lang w:eastAsia="es-BO"/>
        </w:rPr>
        <w:t>Fuente:</w:t>
      </w:r>
      <w:r w:rsidRPr="00B54D3D">
        <w:rPr>
          <w:sz w:val="18"/>
          <w:szCs w:val="18"/>
          <w:lang w:eastAsia="es-BO"/>
        </w:rPr>
        <w:t xml:space="preserve"> Elaborado por </w:t>
      </w:r>
      <w:proofErr w:type="spellStart"/>
      <w:r w:rsidRPr="00B54D3D">
        <w:rPr>
          <w:sz w:val="18"/>
          <w:szCs w:val="18"/>
          <w:lang w:eastAsia="es-BO"/>
        </w:rPr>
        <w:t>OBSCD</w:t>
      </w:r>
      <w:proofErr w:type="spellEnd"/>
      <w:r w:rsidRPr="00B54D3D">
        <w:rPr>
          <w:sz w:val="18"/>
          <w:szCs w:val="18"/>
          <w:lang w:eastAsia="es-BO"/>
        </w:rPr>
        <w:t>, con base a información proporcionada por la Policía Boliviana, agosto 2021</w:t>
      </w:r>
      <w:r w:rsidR="00355E32">
        <w:rPr>
          <w:sz w:val="18"/>
          <w:szCs w:val="18"/>
          <w:lang w:eastAsia="es-BO"/>
        </w:rPr>
        <w:t>.</w:t>
      </w:r>
    </w:p>
    <w:p w14:paraId="5DA20BDD" w14:textId="157CFD16" w:rsidR="00BD4745" w:rsidRPr="00B54D3D" w:rsidRDefault="00355E32" w:rsidP="004B0800">
      <w:pPr>
        <w:pStyle w:val="H23G"/>
      </w:pPr>
      <w:r>
        <w:tab/>
      </w:r>
      <w:r>
        <w:tab/>
      </w:r>
      <w:r w:rsidR="00B54D3D" w:rsidRPr="00B54D3D">
        <w:t xml:space="preserve">Denuncias de trata de personas por sexo y edad </w:t>
      </w:r>
      <w:r w:rsidR="00BD4745" w:rsidRPr="00B54D3D">
        <w:t>2019-2021</w:t>
      </w:r>
      <w:r>
        <w:br/>
      </w:r>
      <w:r w:rsidR="00BD4745" w:rsidRPr="004B0800">
        <w:rPr>
          <w:b w:val="0"/>
          <w:bCs/>
          <w:sz w:val="16"/>
          <w:szCs w:val="16"/>
        </w:rPr>
        <w:t>(</w:t>
      </w:r>
      <w:r w:rsidRPr="004B0800">
        <w:rPr>
          <w:b w:val="0"/>
          <w:bCs/>
          <w:sz w:val="16"/>
          <w:szCs w:val="16"/>
        </w:rPr>
        <w:t>En p</w:t>
      </w:r>
      <w:r w:rsidR="00BD4745" w:rsidRPr="004B0800">
        <w:rPr>
          <w:b w:val="0"/>
          <w:bCs/>
          <w:sz w:val="16"/>
          <w:szCs w:val="16"/>
        </w:rPr>
        <w:t>orcentaje)</w:t>
      </w:r>
    </w:p>
    <w:p w14:paraId="2CADF554" w14:textId="77777777" w:rsidR="00BD4745" w:rsidRPr="002014CD" w:rsidRDefault="00BD4745" w:rsidP="00B54D3D">
      <w:pPr>
        <w:keepNext/>
        <w:keepLines/>
        <w:spacing w:line="259" w:lineRule="auto"/>
        <w:ind w:right="49"/>
        <w:jc w:val="center"/>
        <w:rPr>
          <w:b/>
          <w:bCs/>
          <w:color w:val="F79646"/>
        </w:rPr>
      </w:pPr>
      <w:r w:rsidRPr="002014CD">
        <w:rPr>
          <w:rFonts w:eastAsia="Calibri"/>
          <w:noProof/>
          <w:color w:val="F79646"/>
          <w:lang w:val="en-GB" w:eastAsia="en-GB"/>
        </w:rPr>
        <w:drawing>
          <wp:inline distT="0" distB="0" distL="0" distR="0" wp14:anchorId="1737BF61" wp14:editId="1267E419">
            <wp:extent cx="4625439" cy="2707574"/>
            <wp:effectExtent l="0" t="0" r="381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A95B67" w14:textId="7705E312" w:rsidR="00BD4745" w:rsidRPr="004B0800" w:rsidRDefault="00BD4745" w:rsidP="004B0800">
      <w:pPr>
        <w:pStyle w:val="SingleTxtG"/>
        <w:spacing w:before="120" w:after="240"/>
        <w:ind w:firstLine="170"/>
        <w:jc w:val="left"/>
        <w:rPr>
          <w:bCs/>
          <w:sz w:val="18"/>
          <w:szCs w:val="18"/>
          <w:lang w:eastAsia="es-BO"/>
        </w:rPr>
      </w:pPr>
      <w:r w:rsidRPr="004B0800">
        <w:rPr>
          <w:bCs/>
          <w:i/>
          <w:iCs/>
          <w:sz w:val="18"/>
          <w:szCs w:val="18"/>
          <w:lang w:eastAsia="es-BO"/>
        </w:rPr>
        <w:t xml:space="preserve">Fuente: </w:t>
      </w:r>
      <w:r w:rsidRPr="004B0800">
        <w:rPr>
          <w:bCs/>
          <w:sz w:val="18"/>
          <w:szCs w:val="18"/>
          <w:lang w:eastAsia="es-BO"/>
        </w:rPr>
        <w:t xml:space="preserve">Elaborado por </w:t>
      </w:r>
      <w:proofErr w:type="spellStart"/>
      <w:r w:rsidRPr="004B0800">
        <w:rPr>
          <w:bCs/>
          <w:sz w:val="18"/>
          <w:szCs w:val="18"/>
          <w:lang w:eastAsia="es-BO"/>
        </w:rPr>
        <w:t>OBSCD</w:t>
      </w:r>
      <w:proofErr w:type="spellEnd"/>
      <w:r w:rsidRPr="004B0800">
        <w:rPr>
          <w:bCs/>
          <w:sz w:val="18"/>
          <w:szCs w:val="18"/>
          <w:lang w:eastAsia="es-BO"/>
        </w:rPr>
        <w:t>, con base a información proporcionada por la Policía Boliviana,</w:t>
      </w:r>
      <w:r w:rsidR="00355E32">
        <w:rPr>
          <w:bCs/>
          <w:sz w:val="18"/>
          <w:szCs w:val="18"/>
          <w:lang w:eastAsia="es-BO"/>
        </w:rPr>
        <w:t> </w:t>
      </w:r>
      <w:r w:rsidRPr="004B0800">
        <w:rPr>
          <w:bCs/>
          <w:sz w:val="18"/>
          <w:szCs w:val="18"/>
          <w:lang w:eastAsia="es-BO"/>
        </w:rPr>
        <w:t>2021</w:t>
      </w:r>
      <w:r w:rsidR="00355E32">
        <w:rPr>
          <w:bCs/>
          <w:sz w:val="18"/>
          <w:szCs w:val="18"/>
          <w:lang w:eastAsia="es-BO"/>
        </w:rPr>
        <w:t>.</w:t>
      </w:r>
    </w:p>
    <w:p w14:paraId="042447A0" w14:textId="4458CCC2" w:rsidR="00BD4745" w:rsidRPr="00B54D3D" w:rsidRDefault="0098102E" w:rsidP="00B54D3D">
      <w:pPr>
        <w:pStyle w:val="SingleTxtG"/>
        <w:rPr>
          <w:shd w:val="clear" w:color="auto" w:fill="FFFFFF"/>
          <w:lang w:eastAsia="es-BO"/>
        </w:rPr>
      </w:pPr>
      <w:r w:rsidRPr="00B54D3D">
        <w:rPr>
          <w:rFonts w:eastAsiaTheme="minorHAnsi"/>
          <w:lang w:val="es-BO" w:eastAsia="es-BO"/>
        </w:rPr>
        <w:t>164.</w:t>
      </w:r>
      <w:r w:rsidRPr="00B54D3D">
        <w:rPr>
          <w:rFonts w:eastAsiaTheme="minorHAnsi"/>
          <w:lang w:val="es-BO" w:eastAsia="es-BO"/>
        </w:rPr>
        <w:tab/>
      </w:r>
      <w:r w:rsidR="00BD4745" w:rsidRPr="00B54D3D">
        <w:rPr>
          <w:shd w:val="clear" w:color="auto" w:fill="FFFFFF"/>
          <w:lang w:eastAsia="es-BO"/>
        </w:rPr>
        <w:t xml:space="preserve">Con relación a las medidas </w:t>
      </w:r>
      <w:r w:rsidR="00BD4745" w:rsidRPr="00B54D3D">
        <w:t>protección, asistencia, incluyendo asistencia legal gratuita y rehabilitación</w:t>
      </w:r>
      <w:r w:rsidR="00BD4745" w:rsidRPr="00B54D3D">
        <w:rPr>
          <w:shd w:val="clear" w:color="auto" w:fill="FFFFFF"/>
          <w:lang w:eastAsia="es-BO"/>
        </w:rPr>
        <w:t>, se tiene la habilitación de 6 casas de acogida para la atención de víctimas de trata de personas, de las cuales 4 son estatales y 2 pertenecen a Organizaciones No Gubernamentales. En estos centros de acogida se brinda una atención a la salud mental, ya que cuentan con profesionales capacitados para contención y apoyo psicológico, inspección y supervisión con la finalidad de lograr la reintegración familiar y social. Asimismo, a través del Ministerio de Salud, se brinda servicio en atención y análisis de laboratorio para la valoración médica de la víctima.</w:t>
      </w:r>
    </w:p>
    <w:p w14:paraId="7EDC8A5B" w14:textId="4909867E" w:rsidR="00BD4745" w:rsidRPr="00B54D3D" w:rsidRDefault="0098102E" w:rsidP="00B54D3D">
      <w:pPr>
        <w:pStyle w:val="SingleTxtG"/>
        <w:rPr>
          <w:shd w:val="clear" w:color="auto" w:fill="FFFFFF"/>
          <w:lang w:eastAsia="es-BO"/>
        </w:rPr>
      </w:pPr>
      <w:r w:rsidRPr="00B54D3D">
        <w:rPr>
          <w:rFonts w:eastAsiaTheme="minorHAnsi"/>
          <w:lang w:val="es-BO" w:eastAsia="es-BO"/>
        </w:rPr>
        <w:t>165.</w:t>
      </w:r>
      <w:r w:rsidRPr="00B54D3D">
        <w:rPr>
          <w:rFonts w:eastAsiaTheme="minorHAnsi"/>
          <w:lang w:val="es-BO" w:eastAsia="es-BO"/>
        </w:rPr>
        <w:tab/>
      </w:r>
      <w:r w:rsidR="00BD4745" w:rsidRPr="00B54D3D">
        <w:rPr>
          <w:shd w:val="clear" w:color="auto" w:fill="FFFFFF"/>
          <w:lang w:eastAsia="es-BO"/>
        </w:rPr>
        <w:t>También, se ha gestionado junto a la Autoridad de Regulación y Fiscalización de Telecomunicaciones y Transportes la rehabilitación de la Línea gratuita 122 para denuncia y atención de casos de trata y tráfico de personas, actualmente se habilitó la línea en los municipios de La Paz, El Alto, Oruro, Cochabamba y Santa Cruz de la Sierra.</w:t>
      </w:r>
    </w:p>
    <w:p w14:paraId="6DB4BEF7" w14:textId="37E51E94" w:rsidR="00BD4745" w:rsidRPr="00B54D3D" w:rsidRDefault="0098102E" w:rsidP="00B54D3D">
      <w:pPr>
        <w:pStyle w:val="SingleTxtG"/>
        <w:rPr>
          <w:shd w:val="clear" w:color="auto" w:fill="FFFFFF"/>
          <w:lang w:eastAsia="es-BO"/>
        </w:rPr>
      </w:pPr>
      <w:r w:rsidRPr="00B54D3D">
        <w:rPr>
          <w:rFonts w:eastAsiaTheme="minorHAnsi"/>
          <w:lang w:val="es-BO" w:eastAsia="es-BO"/>
        </w:rPr>
        <w:t>166.</w:t>
      </w:r>
      <w:r w:rsidRPr="00B54D3D">
        <w:rPr>
          <w:rFonts w:eastAsiaTheme="minorHAnsi"/>
          <w:lang w:val="es-BO" w:eastAsia="es-BO"/>
        </w:rPr>
        <w:tab/>
      </w:r>
      <w:r w:rsidR="00BD4745" w:rsidRPr="00B54D3D">
        <w:rPr>
          <w:shd w:val="clear" w:color="auto" w:fill="FFFFFF"/>
          <w:lang w:eastAsia="es-BO"/>
        </w:rPr>
        <w:t>Respecto a los servicios legales, existe un trabajo de coordinación interinstitucional entre el Ministerio de Justicia y</w:t>
      </w:r>
      <w:r w:rsidR="00A164D8">
        <w:rPr>
          <w:shd w:val="clear" w:color="auto" w:fill="FFFFFF"/>
          <w:lang w:eastAsia="es-BO"/>
        </w:rPr>
        <w:t xml:space="preserve"> </w:t>
      </w:r>
      <w:r w:rsidR="00BD4745" w:rsidRPr="00B54D3D">
        <w:rPr>
          <w:shd w:val="clear" w:color="auto" w:fill="FFFFFF"/>
          <w:lang w:eastAsia="es-BO"/>
        </w:rPr>
        <w:t>Transparencia Institucional a través de los Servicios Integrales de Justicia Plurinacional (</w:t>
      </w:r>
      <w:proofErr w:type="spellStart"/>
      <w:r w:rsidR="00BD4745" w:rsidRPr="00B54D3D">
        <w:rPr>
          <w:shd w:val="clear" w:color="auto" w:fill="FFFFFF"/>
          <w:lang w:eastAsia="es-BO"/>
        </w:rPr>
        <w:t>SIJPLU</w:t>
      </w:r>
      <w:proofErr w:type="spellEnd"/>
      <w:r w:rsidR="00BD4745" w:rsidRPr="00B54D3D">
        <w:rPr>
          <w:shd w:val="clear" w:color="auto" w:fill="FFFFFF"/>
          <w:lang w:eastAsia="es-BO"/>
        </w:rPr>
        <w:t>) y el Servicio Plurinacional de Asistencia a la Víctima (</w:t>
      </w:r>
      <w:proofErr w:type="spellStart"/>
      <w:r w:rsidR="00BD4745" w:rsidRPr="00B54D3D">
        <w:rPr>
          <w:shd w:val="clear" w:color="auto" w:fill="FFFFFF"/>
          <w:lang w:eastAsia="es-BO"/>
        </w:rPr>
        <w:t>SEPDAVI</w:t>
      </w:r>
      <w:proofErr w:type="spellEnd"/>
      <w:r w:rsidR="00BD4745" w:rsidRPr="00B54D3D">
        <w:rPr>
          <w:shd w:val="clear" w:color="auto" w:fill="FFFFFF"/>
          <w:lang w:eastAsia="es-BO"/>
        </w:rPr>
        <w:t>); el Ministerio de Relaciones Exteriores; el Ministerio de Gobierno, a través de la Dirección General de Lucha contra la Trata y Tráfico de Personas (</w:t>
      </w:r>
      <w:proofErr w:type="spellStart"/>
      <w:r w:rsidR="00BD4745" w:rsidRPr="00B54D3D">
        <w:rPr>
          <w:shd w:val="clear" w:color="auto" w:fill="FFFFFF"/>
          <w:lang w:eastAsia="es-BO"/>
        </w:rPr>
        <w:t>DGTTP</w:t>
      </w:r>
      <w:proofErr w:type="spellEnd"/>
      <w:r w:rsidR="00BD4745" w:rsidRPr="00B54D3D">
        <w:rPr>
          <w:shd w:val="clear" w:color="auto" w:fill="FFFFFF"/>
          <w:lang w:eastAsia="es-BO"/>
        </w:rPr>
        <w:t>) y la Dirección General de Migración (</w:t>
      </w:r>
      <w:proofErr w:type="spellStart"/>
      <w:r w:rsidR="00BD4745" w:rsidRPr="00B54D3D">
        <w:rPr>
          <w:shd w:val="clear" w:color="auto" w:fill="FFFFFF"/>
          <w:lang w:eastAsia="es-BO"/>
        </w:rPr>
        <w:t>DIGEMIG</w:t>
      </w:r>
      <w:proofErr w:type="spellEnd"/>
      <w:r w:rsidR="00BD4745" w:rsidRPr="00B54D3D">
        <w:rPr>
          <w:shd w:val="clear" w:color="auto" w:fill="FFFFFF"/>
          <w:lang w:eastAsia="es-BO"/>
        </w:rPr>
        <w:t>); y los gobiernos subnacionales para brindar apoyo legal. De igual forma, se realizan los trámites de repatriación de manera coordinada, garantizando así la seguridad y derechos fundamentales de la víctima. </w:t>
      </w:r>
    </w:p>
    <w:p w14:paraId="4A0EF7F3" w14:textId="6BD2E31D" w:rsidR="00BD4745" w:rsidRPr="002014CD" w:rsidRDefault="00B54D3D" w:rsidP="004B0800">
      <w:pPr>
        <w:pStyle w:val="H1G"/>
      </w:pPr>
      <w:r>
        <w:lastRenderedPageBreak/>
        <w:tab/>
      </w:r>
      <w:r>
        <w:tab/>
      </w:r>
      <w:r w:rsidR="00BD4745" w:rsidRPr="00B54D3D">
        <w:t>Independencia</w:t>
      </w:r>
      <w:r w:rsidR="00BD4745" w:rsidRPr="002014CD">
        <w:t xml:space="preserve"> del Poder Judicial y administración de justicia</w:t>
      </w:r>
      <w:r w:rsidR="00355E32">
        <w:br/>
      </w:r>
      <w:r w:rsidR="00BD4745" w:rsidRPr="002014CD">
        <w:t>(arts. 2 y 14)</w:t>
      </w:r>
    </w:p>
    <w:p w14:paraId="3B4B069C" w14:textId="145FB717" w:rsidR="00BD4745" w:rsidRPr="002014CD" w:rsidRDefault="00B54D3D">
      <w:pPr>
        <w:pStyle w:val="H23G"/>
      </w:pPr>
      <w:r>
        <w:tab/>
      </w:r>
      <w:r w:rsidR="00BD4745" w:rsidRPr="002014CD">
        <w:t>20.</w:t>
      </w:r>
      <w:r>
        <w:tab/>
      </w:r>
      <w:r w:rsidR="0052731F" w:rsidRPr="00ED0B85">
        <w:t xml:space="preserve">Respuesta al </w:t>
      </w:r>
      <w:r w:rsidR="0052731F" w:rsidRPr="001A1E5D">
        <w:t xml:space="preserve">párrafo </w:t>
      </w:r>
      <w:r w:rsidR="0052731F">
        <w:t>20</w:t>
      </w:r>
      <w:r w:rsidR="0052731F" w:rsidRPr="001A1E5D">
        <w:t xml:space="preserve"> </w:t>
      </w:r>
      <w:r w:rsidR="0052731F" w:rsidRPr="001A1E5D">
        <w:rPr>
          <w:lang w:val="es-ES_tradnl"/>
        </w:rPr>
        <w:t xml:space="preserve">de </w:t>
      </w:r>
      <w:r w:rsidR="0052731F">
        <w:rPr>
          <w:lang w:val="es-ES_tradnl"/>
        </w:rPr>
        <w:t>la lista de cuestiones</w:t>
      </w:r>
    </w:p>
    <w:p w14:paraId="484966A3" w14:textId="756B8088" w:rsidR="00BD4745" w:rsidRPr="00B54D3D" w:rsidRDefault="0098102E" w:rsidP="00B54D3D">
      <w:pPr>
        <w:pStyle w:val="SingleTxtG"/>
      </w:pPr>
      <w:r w:rsidRPr="00B54D3D">
        <w:rPr>
          <w:rFonts w:eastAsiaTheme="minorHAnsi"/>
          <w:lang w:val="es-BO" w:eastAsia="en-US"/>
        </w:rPr>
        <w:t>167.</w:t>
      </w:r>
      <w:r w:rsidRPr="00B54D3D">
        <w:rPr>
          <w:rFonts w:eastAsiaTheme="minorHAnsi"/>
          <w:lang w:val="es-BO" w:eastAsia="en-US"/>
        </w:rPr>
        <w:tab/>
      </w:r>
      <w:r w:rsidR="00BD4745" w:rsidRPr="00B54D3D">
        <w:t>El Estado ha adoptado medidas de capacitación dirigidas a Jueces, Fiscales y Personal de la Policía para la formación de servidores públicos comprometidos en sus labores y así evitar la corrupción y la injerencia política en el desempeño de sus funciones. Así mismo a la cabeza del Ministerio de Justicia y Transparencia Institucional se viene trabajando en una reforma a la justicia que involucra la independencia de órganos.</w:t>
      </w:r>
    </w:p>
    <w:p w14:paraId="42F35E7F" w14:textId="07F7DAFC" w:rsidR="00BD4745" w:rsidRPr="00B54D3D" w:rsidRDefault="0098102E" w:rsidP="00B54D3D">
      <w:pPr>
        <w:pStyle w:val="SingleTxtG"/>
      </w:pPr>
      <w:r w:rsidRPr="00B54D3D">
        <w:rPr>
          <w:rFonts w:eastAsiaTheme="minorHAnsi"/>
          <w:lang w:val="es-BO" w:eastAsia="en-US"/>
        </w:rPr>
        <w:t>168.</w:t>
      </w:r>
      <w:r w:rsidRPr="00B54D3D">
        <w:rPr>
          <w:rFonts w:eastAsiaTheme="minorHAnsi"/>
          <w:lang w:val="es-BO" w:eastAsia="en-US"/>
        </w:rPr>
        <w:tab/>
      </w:r>
      <w:r w:rsidR="00BD4745" w:rsidRPr="00B54D3D">
        <w:t xml:space="preserve">Respecto a la implementación de la Ley </w:t>
      </w:r>
      <w:proofErr w:type="spellStart"/>
      <w:r w:rsidR="00BD4745" w:rsidRPr="00B54D3D">
        <w:t>N</w:t>
      </w:r>
      <w:r w:rsidR="009C23DD">
        <w:t>º</w:t>
      </w:r>
      <w:proofErr w:type="spellEnd"/>
      <w:r w:rsidR="00BD4745" w:rsidRPr="00B54D3D">
        <w:t xml:space="preserve"> 898 y sus resultados, el pasado 6 de septiembre de 2021, se llevó a cabo la 5ª Reunión de la Comisión de las Conclusiones de la Cumbre de Justicia, conforme el Artículo 3 de la citada Ley, donde se trataron temas referentes a los ejes de la Reforma al Sistema de Justicia que se encuentran en plena ejecución, la Subcomisión sobre la interoperabilidad de la Ley </w:t>
      </w:r>
      <w:proofErr w:type="spellStart"/>
      <w:r w:rsidR="00BD4745" w:rsidRPr="00B54D3D">
        <w:t>N</w:t>
      </w:r>
      <w:r w:rsidR="009C23DD">
        <w:t>º</w:t>
      </w:r>
      <w:proofErr w:type="spellEnd"/>
      <w:r w:rsidR="00BD4745" w:rsidRPr="00B54D3D">
        <w:t xml:space="preserve"> 1173, que viene trabajando la implementación de la interoperabilidad y la Subcomisión de la Carrera Judicial respecto a la elección de Jueces y Vocales.</w:t>
      </w:r>
    </w:p>
    <w:p w14:paraId="0D7CFB77" w14:textId="100001C9" w:rsidR="00BD4745" w:rsidRPr="00B54D3D" w:rsidRDefault="0098102E" w:rsidP="00B54D3D">
      <w:pPr>
        <w:pStyle w:val="SingleTxtG"/>
      </w:pPr>
      <w:r w:rsidRPr="00B54D3D">
        <w:rPr>
          <w:rFonts w:eastAsiaTheme="minorHAnsi"/>
          <w:lang w:val="es-BO" w:eastAsia="en-US"/>
        </w:rPr>
        <w:t>169.</w:t>
      </w:r>
      <w:r w:rsidRPr="00B54D3D">
        <w:rPr>
          <w:rFonts w:eastAsiaTheme="minorHAnsi"/>
          <w:lang w:val="es-BO" w:eastAsia="en-US"/>
        </w:rPr>
        <w:tab/>
      </w:r>
      <w:r w:rsidR="00BD4745" w:rsidRPr="00B54D3D">
        <w:t xml:space="preserve">Asimismo, la Subcomisión para trabajar el Anteproyecto de Código Procesal Agroambiental ha concluido su trabajo y presento el documento final y en la actualidad se encuentra en tratamiento en la Secretaria Técnica Unidad de Análisis de Política Económica y Social </w:t>
      </w:r>
      <w:proofErr w:type="spellStart"/>
      <w:r w:rsidR="00BD4745" w:rsidRPr="00B54D3D">
        <w:t>UDAPE</w:t>
      </w:r>
      <w:proofErr w:type="spellEnd"/>
      <w:r w:rsidR="00BD4745" w:rsidRPr="00B54D3D">
        <w:t>.</w:t>
      </w:r>
    </w:p>
    <w:p w14:paraId="0EC7C918" w14:textId="4A98B35D" w:rsidR="00BD4745" w:rsidRPr="00B54D3D" w:rsidRDefault="0098102E" w:rsidP="00B54D3D">
      <w:pPr>
        <w:pStyle w:val="SingleTxtG"/>
      </w:pPr>
      <w:r w:rsidRPr="00B54D3D">
        <w:rPr>
          <w:rFonts w:eastAsiaTheme="minorHAnsi"/>
          <w:lang w:val="es-BO" w:eastAsia="en-US"/>
        </w:rPr>
        <w:t>170.</w:t>
      </w:r>
      <w:r w:rsidRPr="00B54D3D">
        <w:rPr>
          <w:rFonts w:eastAsiaTheme="minorHAnsi"/>
          <w:lang w:val="es-BO" w:eastAsia="en-US"/>
        </w:rPr>
        <w:tab/>
      </w:r>
      <w:r w:rsidR="00BD4745" w:rsidRPr="00B54D3D">
        <w:t>Uno de los temas centrales que se ha definido en la Comisión de Seguimiento a las Conclusiones de la Cumbre de Justicia, tiene que ver con llevar adelante el proceso de Reforma del Sistema de Justicia, para dicho fin se han definido seis ejes sobre los cuales se viene trabajando en una proceso de socialización y recepción de inquietudes, observaciones y sugerencias, en inicio con las entidades del sector de justicia en todo el país, de forma paralela se recibirán sugerencias de los sectores más representativos de nuestra sociedad, sectores sociales, colegios de abogados, universidades y otros. Los ejes temáticos son: Balanceo del conflicto, Independencia Judicial, Acceso a la Justicia, Tecnologías de la Información y Comunicación, Desarrollo Normativo y Transparencia.</w:t>
      </w:r>
    </w:p>
    <w:p w14:paraId="217A4E6D" w14:textId="3C884855" w:rsidR="00BD4745" w:rsidRPr="00B54D3D" w:rsidRDefault="0098102E" w:rsidP="00B54D3D">
      <w:pPr>
        <w:pStyle w:val="SingleTxtG"/>
      </w:pPr>
      <w:r w:rsidRPr="00B54D3D">
        <w:rPr>
          <w:rFonts w:eastAsiaTheme="minorHAnsi"/>
          <w:lang w:val="es-BO" w:eastAsia="en-US"/>
        </w:rPr>
        <w:t>171.</w:t>
      </w:r>
      <w:r w:rsidRPr="00B54D3D">
        <w:rPr>
          <w:rFonts w:eastAsiaTheme="minorHAnsi"/>
          <w:lang w:val="es-BO" w:eastAsia="en-US"/>
        </w:rPr>
        <w:tab/>
      </w:r>
      <w:r w:rsidR="00BD4745" w:rsidRPr="00B54D3D">
        <w:t xml:space="preserve">Con la Ley </w:t>
      </w:r>
      <w:proofErr w:type="spellStart"/>
      <w:r w:rsidR="00BD4745" w:rsidRPr="00B54D3D">
        <w:t>Nº</w:t>
      </w:r>
      <w:proofErr w:type="spellEnd"/>
      <w:r w:rsidR="00BD4745" w:rsidRPr="00B54D3D">
        <w:t xml:space="preserve"> 929 se realizaron las siguientes modificaciones: a la Ley </w:t>
      </w:r>
      <w:proofErr w:type="spellStart"/>
      <w:r w:rsidR="00BD4745" w:rsidRPr="00B54D3D">
        <w:t>Nº</w:t>
      </w:r>
      <w:proofErr w:type="spellEnd"/>
      <w:r w:rsidR="00BD4745" w:rsidRPr="00B54D3D">
        <w:t xml:space="preserve"> 025 de 24 de junio de 2010 (Artículos 20, 34, 134, 135, 166, 174 y 182), a la Ley </w:t>
      </w:r>
      <w:proofErr w:type="spellStart"/>
      <w:r w:rsidR="00BD4745" w:rsidRPr="00B54D3D">
        <w:t>Nº</w:t>
      </w:r>
      <w:proofErr w:type="spellEnd"/>
      <w:r w:rsidR="00BD4745" w:rsidRPr="00B54D3D">
        <w:t xml:space="preserve"> 027 de 06 de julio de 2010 (Artículos 13, 19, 20 y 26), así como a la Ley </w:t>
      </w:r>
      <w:proofErr w:type="spellStart"/>
      <w:r w:rsidR="00BD4745" w:rsidRPr="00B54D3D">
        <w:t>Nº</w:t>
      </w:r>
      <w:proofErr w:type="spellEnd"/>
      <w:r w:rsidR="00BD4745" w:rsidRPr="00B54D3D">
        <w:t xml:space="preserve"> 026 de Régimen Electoral (Artículos 50, 76, 77, 79, 80, 81, 82, 84, 94 y 139).</w:t>
      </w:r>
    </w:p>
    <w:p w14:paraId="6C1F619E" w14:textId="587DD799" w:rsidR="00BD4745" w:rsidRPr="00B54D3D" w:rsidRDefault="0098102E" w:rsidP="00B54D3D">
      <w:pPr>
        <w:pStyle w:val="SingleTxtG"/>
      </w:pPr>
      <w:r w:rsidRPr="00B54D3D">
        <w:rPr>
          <w:rFonts w:eastAsiaTheme="minorHAnsi"/>
          <w:lang w:val="es-BO" w:eastAsia="en-US"/>
        </w:rPr>
        <w:t>172.</w:t>
      </w:r>
      <w:r w:rsidRPr="00B54D3D">
        <w:rPr>
          <w:rFonts w:eastAsiaTheme="minorHAnsi"/>
          <w:lang w:val="es-BO" w:eastAsia="en-US"/>
        </w:rPr>
        <w:tab/>
      </w:r>
      <w:r w:rsidR="00BD4745" w:rsidRPr="00B54D3D">
        <w:t>Respecto a la creación de juzgados, en cumplimiento de la Ley 348, se crearon Juzgados de Violencia Hacia la Mujer en función a la disponibilidad de recursos propios del Órgano Judicial, 18 Juzgados de Instrucción, 2 de Sentencia y 1 Tribunal de Sentencia. Posteriormente, en 2019, se crearon 6 juzgados adicionales con recursos del Tesoro General del Estado, contándose a la fecha con un total de 27 juzgados y tribunales especializados en materia de violencia y anticorrupción.</w:t>
      </w:r>
      <w:r w:rsidR="00BD4745" w:rsidRPr="00B54D3D">
        <w:tab/>
      </w:r>
      <w:r w:rsidR="00BD4745" w:rsidRPr="00B54D3D">
        <w:tab/>
      </w:r>
    </w:p>
    <w:p w14:paraId="0AF0E92E" w14:textId="76B09356" w:rsidR="00BD4745" w:rsidRPr="00B54D3D" w:rsidRDefault="0098102E" w:rsidP="00B54D3D">
      <w:pPr>
        <w:pStyle w:val="SingleTxtG"/>
      </w:pPr>
      <w:r w:rsidRPr="00B54D3D">
        <w:rPr>
          <w:rFonts w:eastAsiaTheme="minorHAnsi"/>
          <w:lang w:val="es-BO" w:eastAsia="en-US"/>
        </w:rPr>
        <w:t>173.</w:t>
      </w:r>
      <w:r w:rsidRPr="00B54D3D">
        <w:rPr>
          <w:rFonts w:eastAsiaTheme="minorHAnsi"/>
          <w:lang w:val="es-BO" w:eastAsia="en-US"/>
        </w:rPr>
        <w:tab/>
      </w:r>
      <w:r w:rsidR="00BD4745" w:rsidRPr="00B54D3D">
        <w:t xml:space="preserve">En la gestión 2018, se creó en primera instancia 27 juzgados con recursos propios del Órgano Judicial y 25 con recursos adicionales del Tesoro General de la Nación, durante la gestión 2019, se creó un Juzgado de Partido de Trabajo y Seguridad Social y en el marco de la Ley </w:t>
      </w:r>
      <w:proofErr w:type="spellStart"/>
      <w:r w:rsidR="00BD4745" w:rsidRPr="00B54D3D">
        <w:t>Nº</w:t>
      </w:r>
      <w:proofErr w:type="spellEnd"/>
      <w:r w:rsidR="00BD4745" w:rsidRPr="00B54D3D">
        <w:t xml:space="preserve"> 1173, se crearon 41 Juzgados de Sentencia penal con recursos adicionales del </w:t>
      </w:r>
      <w:proofErr w:type="spellStart"/>
      <w:r w:rsidR="00BD4745" w:rsidRPr="00B54D3D">
        <w:t>TGN</w:t>
      </w:r>
      <w:proofErr w:type="spellEnd"/>
      <w:r w:rsidR="00BD4745" w:rsidRPr="00B54D3D">
        <w:t>, haciendo un total en las dos gestiones de 94 juzgados creados.</w:t>
      </w:r>
    </w:p>
    <w:p w14:paraId="572E4A13" w14:textId="1705459B" w:rsidR="00BD4745" w:rsidRPr="00B54D3D" w:rsidRDefault="0098102E" w:rsidP="00B54D3D">
      <w:pPr>
        <w:pStyle w:val="SingleTxtG"/>
      </w:pPr>
      <w:r w:rsidRPr="00B54D3D">
        <w:rPr>
          <w:rFonts w:eastAsiaTheme="minorHAnsi"/>
          <w:lang w:val="es-BO" w:eastAsia="en-US"/>
        </w:rPr>
        <w:t>174.</w:t>
      </w:r>
      <w:r w:rsidRPr="00B54D3D">
        <w:rPr>
          <w:rFonts w:eastAsiaTheme="minorHAnsi"/>
          <w:lang w:val="es-BO" w:eastAsia="en-US"/>
        </w:rPr>
        <w:tab/>
      </w:r>
      <w:r w:rsidR="00BD4745" w:rsidRPr="00B54D3D">
        <w:t xml:space="preserve">Se promulgó la Ley de Abreviación Procesal y de Fortalecimiento de la Lucha Integral Contra la Violencia a Niñas, Niños, Adolescentes y Mujeres (Ley </w:t>
      </w:r>
      <w:proofErr w:type="spellStart"/>
      <w:r w:rsidR="00BD4745" w:rsidRPr="00B54D3D">
        <w:t>Nº</w:t>
      </w:r>
      <w:proofErr w:type="spellEnd"/>
      <w:r w:rsidR="00BD4745" w:rsidRPr="00B54D3D">
        <w:t xml:space="preserve"> 1173), cuyo objetivo es lograr una pronta y oportuna resolución de causas penales, brindar protección a las víctimas de violencia (mujeres y </w:t>
      </w:r>
      <w:proofErr w:type="spellStart"/>
      <w:r w:rsidR="00BD4745" w:rsidRPr="00B54D3D">
        <w:t>NNA</w:t>
      </w:r>
      <w:proofErr w:type="spellEnd"/>
      <w:r w:rsidR="00BD4745" w:rsidRPr="00B54D3D">
        <w:t>), evitar la revictimización, reducir el porcentaje de detenciones preventivas y favorecer a mujeres embarazadas, madres lactantes con hijos menores de un año y niños con discapacidad menores de 6 años que vivan bajo custodia de la persona imputada y personas adultas mayores; así como el derecho al acceso a la tecnología entre otros aspectos.</w:t>
      </w:r>
    </w:p>
    <w:p w14:paraId="25DC95DE" w14:textId="310C3C91" w:rsidR="00BD4745" w:rsidRPr="00B54D3D" w:rsidRDefault="0098102E" w:rsidP="00B54D3D">
      <w:pPr>
        <w:pStyle w:val="SingleTxtG"/>
        <w:rPr>
          <w:spacing w:val="-4"/>
        </w:rPr>
      </w:pPr>
      <w:r w:rsidRPr="00B54D3D">
        <w:rPr>
          <w:rFonts w:eastAsiaTheme="minorHAnsi"/>
          <w:spacing w:val="-4"/>
          <w:lang w:val="es-BO" w:eastAsia="en-US"/>
        </w:rPr>
        <w:t>175.</w:t>
      </w:r>
      <w:r w:rsidRPr="00B54D3D">
        <w:rPr>
          <w:rFonts w:eastAsiaTheme="minorHAnsi"/>
          <w:spacing w:val="-4"/>
          <w:lang w:val="es-BO" w:eastAsia="en-US"/>
        </w:rPr>
        <w:tab/>
      </w:r>
      <w:r w:rsidR="00BD4745" w:rsidRPr="00B54D3D">
        <w:t xml:space="preserve">Asimismo, se promulgó la Ley </w:t>
      </w:r>
      <w:proofErr w:type="spellStart"/>
      <w:r w:rsidR="00BD4745" w:rsidRPr="00B54D3D">
        <w:t>Nº</w:t>
      </w:r>
      <w:proofErr w:type="spellEnd"/>
      <w:r w:rsidR="00BD4745" w:rsidRPr="00B54D3D">
        <w:t xml:space="preserve"> </w:t>
      </w:r>
      <w:r w:rsidR="00BD4745" w:rsidRPr="00B54D3D">
        <w:rPr>
          <w:lang w:val="es-ES_tradnl"/>
        </w:rPr>
        <w:t xml:space="preserve">586 de 30 de octubre de 2014, </w:t>
      </w:r>
      <w:r w:rsidR="00BD4745" w:rsidRPr="00B54D3D">
        <w:t xml:space="preserve">de Descongestionamiento y Efectivización del Sistema Procesal Penal, que implementa </w:t>
      </w:r>
      <w:r w:rsidR="00BD4745" w:rsidRPr="00B54D3D">
        <w:lastRenderedPageBreak/>
        <w:t xml:space="preserve">procedimientos para agilizar la tramitación de las causas penales, a efecto de descongestionar el sistema penal y reducir la retardación de justicia para garantizar una justicia pronta, oportuna y eficaz, en el marco de la Constitución Política del Estado, además establece principios de celeridad y un régimen de máxima duración de los procesos en el marco de la convencionalidad, modifica en parte el Código de Procedimiento Penal, respecto a la creación de tribunales de sentencia integrado por 3 jueces técnicos competentes para conocer la sustentación y resolución del juicio en todos los delitos de acción pública suprimiéndose la composición de 3 jueces ciudadanos como lo disponía el Artículo 60 de la Ley </w:t>
      </w:r>
      <w:proofErr w:type="spellStart"/>
      <w:r w:rsidR="00BD4745" w:rsidRPr="00B54D3D">
        <w:t>Nº</w:t>
      </w:r>
      <w:proofErr w:type="spellEnd"/>
      <w:r w:rsidR="00BD4745" w:rsidRPr="00B54D3D">
        <w:t xml:space="preserve"> 025 de 24 de junio de 2010; estableciendo además la cesación de la detención preventiva cuando: su duración exceda el mínimo legal de la pena establecida para el delito más grave que se juzga, su duración exceda los 12 meses sin que se haya dictado acusación o de 24 meses sin que se hubiere dictado sentencia, excepto en delitos de corrupción, seguridad del Estado, feminicidio, asesinato, violación a infante, niña, niño o adolescente e infanticidio, la persona privada de libertad acredite encontrarse con enfermedad terminal</w:t>
      </w:r>
      <w:r w:rsidR="00BD4745" w:rsidRPr="00B54D3D">
        <w:rPr>
          <w:spacing w:val="-4"/>
        </w:rPr>
        <w:t>.</w:t>
      </w:r>
    </w:p>
    <w:p w14:paraId="1A6E2CC2" w14:textId="295A74AC" w:rsidR="00BD4745" w:rsidRPr="002014CD" w:rsidRDefault="00B54D3D">
      <w:pPr>
        <w:pStyle w:val="H1G"/>
      </w:pPr>
      <w:r>
        <w:tab/>
      </w:r>
      <w:r>
        <w:tab/>
      </w:r>
      <w:r w:rsidR="00BD4745" w:rsidRPr="002014CD">
        <w:t xml:space="preserve">Libertad de expresión y violencia contra personas defensoras de derechos humanos y periodistas </w:t>
      </w:r>
      <w:r w:rsidR="00BD4745" w:rsidRPr="002014CD">
        <w:rPr>
          <w:lang w:val="es-ES_tradnl"/>
        </w:rPr>
        <w:t>(arts.</w:t>
      </w:r>
      <w:r w:rsidR="00BD4745" w:rsidRPr="002014CD">
        <w:t xml:space="preserve"> 6, 7, 9, 17, 19</w:t>
      </w:r>
      <w:r w:rsidR="00BD4745" w:rsidRPr="002014CD">
        <w:rPr>
          <w:lang w:val="es-ES_tradnl"/>
        </w:rPr>
        <w:t xml:space="preserve"> y 22)</w:t>
      </w:r>
    </w:p>
    <w:p w14:paraId="0FB7D06B" w14:textId="5F25CB01" w:rsidR="00BD4745" w:rsidRPr="002014CD" w:rsidRDefault="00B54D3D">
      <w:pPr>
        <w:pStyle w:val="H23G"/>
      </w:pPr>
      <w:r>
        <w:tab/>
      </w:r>
      <w:r w:rsidR="00BD4745" w:rsidRPr="002014CD">
        <w:t>21.</w:t>
      </w:r>
      <w:r>
        <w:tab/>
      </w:r>
      <w:r w:rsidR="0052731F" w:rsidRPr="00ED0B85">
        <w:t xml:space="preserve">Respuesta al </w:t>
      </w:r>
      <w:r w:rsidR="0052731F" w:rsidRPr="001A1E5D">
        <w:t xml:space="preserve">párrafo </w:t>
      </w:r>
      <w:r w:rsidR="0052731F">
        <w:t>2</w:t>
      </w:r>
      <w:r w:rsidR="0052731F" w:rsidRPr="001A1E5D">
        <w:t xml:space="preserve">1 </w:t>
      </w:r>
      <w:r w:rsidR="0052731F" w:rsidRPr="001A1E5D">
        <w:rPr>
          <w:lang w:val="es-ES_tradnl"/>
        </w:rPr>
        <w:t xml:space="preserve">de </w:t>
      </w:r>
      <w:r w:rsidR="0052731F">
        <w:rPr>
          <w:lang w:val="es-ES_tradnl"/>
        </w:rPr>
        <w:t>la lista de cuestiones</w:t>
      </w:r>
    </w:p>
    <w:p w14:paraId="19C3465B" w14:textId="47E9C57F" w:rsidR="00BD4745" w:rsidRPr="00B54D3D" w:rsidRDefault="0098102E" w:rsidP="00B54D3D">
      <w:pPr>
        <w:pStyle w:val="SingleTxtG"/>
      </w:pPr>
      <w:r w:rsidRPr="00B54D3D">
        <w:rPr>
          <w:rFonts w:eastAsiaTheme="minorHAnsi"/>
          <w:lang w:val="es-BO" w:eastAsia="en-US"/>
        </w:rPr>
        <w:t>176.</w:t>
      </w:r>
      <w:r w:rsidRPr="00B54D3D">
        <w:rPr>
          <w:rFonts w:eastAsiaTheme="minorHAnsi"/>
          <w:lang w:val="es-BO" w:eastAsia="en-US"/>
        </w:rPr>
        <w:tab/>
      </w:r>
      <w:proofErr w:type="gramStart"/>
      <w:r w:rsidR="00BD4745" w:rsidRPr="00B54D3D">
        <w:t>En relación a</w:t>
      </w:r>
      <w:proofErr w:type="gramEnd"/>
      <w:r w:rsidR="00BD4745" w:rsidRPr="00B54D3D">
        <w:t xml:space="preserve"> la protección de periodistas, la Policía Boliviana emitió el Memorándum Circular Fax </w:t>
      </w:r>
      <w:proofErr w:type="spellStart"/>
      <w:r w:rsidR="00BD4745" w:rsidRPr="00B54D3D">
        <w:t>N</w:t>
      </w:r>
      <w:r w:rsidR="00355E32">
        <w:t>º</w:t>
      </w:r>
      <w:proofErr w:type="spellEnd"/>
      <w:r w:rsidR="00BD4745" w:rsidRPr="00B54D3D">
        <w:t xml:space="preserve"> 196/2019 de 4 de noviembre de 2019 por el que se instruye </w:t>
      </w:r>
      <w:r w:rsidR="00BD4745" w:rsidRPr="00B54D3D">
        <w:rPr>
          <w:i/>
        </w:rPr>
        <w:t>“tomar las previsiones suficientes a fin de brindar garantías constitucionales a los trabajadores de prensa en la cobertura periodística y proteger el derecho a la información de la población”.</w:t>
      </w:r>
    </w:p>
    <w:p w14:paraId="736ECE59" w14:textId="6E4A74B2" w:rsidR="00BD4745" w:rsidRPr="00B54D3D" w:rsidRDefault="0098102E" w:rsidP="00B54D3D">
      <w:pPr>
        <w:pStyle w:val="SingleTxtG"/>
        <w:rPr>
          <w:b/>
        </w:rPr>
      </w:pPr>
      <w:r w:rsidRPr="00B54D3D">
        <w:rPr>
          <w:rFonts w:eastAsiaTheme="minorHAnsi"/>
          <w:lang w:val="es-BO" w:eastAsia="en-US"/>
        </w:rPr>
        <w:t>177.</w:t>
      </w:r>
      <w:r w:rsidRPr="00B54D3D">
        <w:rPr>
          <w:rFonts w:eastAsiaTheme="minorHAnsi"/>
          <w:lang w:val="es-BO" w:eastAsia="en-US"/>
        </w:rPr>
        <w:tab/>
      </w:r>
      <w:r w:rsidR="00BD4745" w:rsidRPr="00B54D3D">
        <w:t xml:space="preserve">En relación a los defensores de derechos humanos cabe resaltar que el Ministerio de Justicia y Transparencia Institucional emitió la Resolución Ministerial </w:t>
      </w:r>
      <w:proofErr w:type="spellStart"/>
      <w:r w:rsidR="00BD4745" w:rsidRPr="00B54D3D">
        <w:t>N</w:t>
      </w:r>
      <w:r w:rsidR="009C23DD">
        <w:t>º</w:t>
      </w:r>
      <w:proofErr w:type="spellEnd"/>
      <w:r w:rsidR="00BD4745" w:rsidRPr="00B54D3D">
        <w:t xml:space="preserve"> 143/2020 de 09 de diciembre de 2020, en cumplimiento a los preceptos contenidos en la Constitución Política del Estado, que dispone en su parte pertinente:</w:t>
      </w:r>
      <w:r w:rsidR="00BD4745" w:rsidRPr="00B54D3D">
        <w:rPr>
          <w:b/>
        </w:rPr>
        <w:t xml:space="preserve"> “</w:t>
      </w:r>
      <w:r w:rsidR="00BD4745" w:rsidRPr="00B54D3D">
        <w:rPr>
          <w:i/>
        </w:rPr>
        <w:t>PRIMERO.- Se dispone, promover y divulgar la “Declaración sobre el derecho y el deber de los individuos, los grupos y las instituciones de promover y proteger los derechos humanos y las libertades fundamentales universalmente reconocidos, aprobada en el Quincuagésimo tercer periodo de sesiones de la Asamblea General de la Organización de las Naciones Unidas mediante Resolución A/RES/53/144 de 8 de marzo de 1999”, a través del Viceministerio de Justicia y Derechos Fundamentales dependiente del Ministerio de Justicia y Transparencia Institucional (…)”.</w:t>
      </w:r>
    </w:p>
    <w:p w14:paraId="7CEF1C7F" w14:textId="6F60DF04" w:rsidR="00BD4745" w:rsidRPr="00B54D3D" w:rsidRDefault="0098102E" w:rsidP="00B54D3D">
      <w:pPr>
        <w:pStyle w:val="SingleTxtG"/>
        <w:rPr>
          <w:i/>
        </w:rPr>
      </w:pPr>
      <w:r w:rsidRPr="00B54D3D">
        <w:rPr>
          <w:rFonts w:eastAsiaTheme="minorHAnsi"/>
          <w:lang w:val="es-BO" w:eastAsia="en-US"/>
        </w:rPr>
        <w:t>178.</w:t>
      </w:r>
      <w:r w:rsidRPr="00B54D3D">
        <w:rPr>
          <w:rFonts w:eastAsiaTheme="minorHAnsi"/>
          <w:i/>
          <w:lang w:val="es-BO" w:eastAsia="en-US"/>
        </w:rPr>
        <w:tab/>
      </w:r>
      <w:r w:rsidR="00BD4745" w:rsidRPr="00B54D3D">
        <w:t xml:space="preserve">Entre marzo y mayo de 2020 el Gobierno Transitorio emitió Decretos Supremos que limitaban la libertad de expresión, lo cual provocó alarma entre los trabajadores de la prensa. Ante esta situación, el 14 de mayo de 2021 la Defensoría del Pueblo presentó una acción de inconstitucionalidad abstracta contra el Decreto Supremo </w:t>
      </w:r>
      <w:proofErr w:type="spellStart"/>
      <w:r w:rsidR="00BD4745" w:rsidRPr="00B54D3D">
        <w:t>N</w:t>
      </w:r>
      <w:r w:rsidR="009C23DD">
        <w:t>º</w:t>
      </w:r>
      <w:proofErr w:type="spellEnd"/>
      <w:r w:rsidR="00BD4745" w:rsidRPr="00B54D3D">
        <w:t xml:space="preserve"> 4231 de 7 de mayo de 2020 y normas conexas en grave negación a la libre expresión. Se consideraron inconstitucionales los alcances la Disposición Adicional Única del Decreto Supremo </w:t>
      </w:r>
      <w:proofErr w:type="spellStart"/>
      <w:r w:rsidR="00BD4745" w:rsidRPr="00B54D3D">
        <w:t>Nº</w:t>
      </w:r>
      <w:proofErr w:type="spellEnd"/>
      <w:r w:rsidR="00BD4745" w:rsidRPr="00B54D3D">
        <w:t xml:space="preserve"> 4231 cuyo tenor y enunciado normativo es el que sigue: “</w:t>
      </w:r>
      <w:r w:rsidR="00BD4745" w:rsidRPr="00B54D3D">
        <w:rPr>
          <w:i/>
        </w:rPr>
        <w:t xml:space="preserve">DISPOSICIÓN ADICIONAL ÚNICA “Se modifican el Parágrafo II del Artículo 7 del Decreto Supremo </w:t>
      </w:r>
      <w:proofErr w:type="spellStart"/>
      <w:r w:rsidR="00BD4745" w:rsidRPr="00B54D3D">
        <w:rPr>
          <w:i/>
        </w:rPr>
        <w:t>N</w:t>
      </w:r>
      <w:r w:rsidR="009C23DD">
        <w:rPr>
          <w:i/>
        </w:rPr>
        <w:t>º</w:t>
      </w:r>
      <w:proofErr w:type="spellEnd"/>
      <w:r w:rsidR="00BD4745" w:rsidRPr="00B54D3D">
        <w:rPr>
          <w:i/>
        </w:rPr>
        <w:t xml:space="preserve"> 4199, de 21 de marzo de 2020; y el Parágrafo II del Artículo 13 del Decreto Supremo </w:t>
      </w:r>
      <w:proofErr w:type="spellStart"/>
      <w:r w:rsidR="00BD4745" w:rsidRPr="00B54D3D">
        <w:rPr>
          <w:i/>
        </w:rPr>
        <w:t>N</w:t>
      </w:r>
      <w:r w:rsidR="009C23DD">
        <w:rPr>
          <w:i/>
        </w:rPr>
        <w:t>º</w:t>
      </w:r>
      <w:proofErr w:type="spellEnd"/>
      <w:r w:rsidR="00BD4745" w:rsidRPr="00B54D3D">
        <w:rPr>
          <w:i/>
        </w:rPr>
        <w:t xml:space="preserve"> 4200, de 25 de marzo de 2020, con el siguiente texto: II. Las personas que inciten el incumplimiento del presente Decreto Supremo o difundan información de cualquier índole, sea en forma escrita, impresa, artística y/o por cualquier otro procedimiento que pongan en riesgo o afecten a la salud pública, generando incertidumbre en la población, serán pasibles a denuncias por la comisión de delitos tipificados en el Código Penal.”</w:t>
      </w:r>
      <w:r w:rsidR="00AA6A62">
        <w:rPr>
          <w:i/>
        </w:rPr>
        <w:t>.</w:t>
      </w:r>
      <w:r w:rsidR="00BD4745" w:rsidRPr="00B54D3D">
        <w:rPr>
          <w:i/>
        </w:rPr>
        <w:t xml:space="preserve"> </w:t>
      </w:r>
    </w:p>
    <w:p w14:paraId="7C253130" w14:textId="7258862D" w:rsidR="00BD4745" w:rsidRPr="00B54D3D" w:rsidRDefault="0098102E" w:rsidP="00B54D3D">
      <w:pPr>
        <w:pStyle w:val="SingleTxtG"/>
        <w:rPr>
          <w:bCs/>
        </w:rPr>
      </w:pPr>
      <w:r w:rsidRPr="00B54D3D">
        <w:rPr>
          <w:rFonts w:eastAsiaTheme="minorHAnsi"/>
          <w:bCs/>
          <w:lang w:val="es-BO" w:eastAsia="en-US"/>
        </w:rPr>
        <w:t>179.</w:t>
      </w:r>
      <w:r w:rsidRPr="00B54D3D">
        <w:rPr>
          <w:rFonts w:eastAsiaTheme="minorHAnsi"/>
          <w:bCs/>
          <w:lang w:val="es-BO" w:eastAsia="en-US"/>
        </w:rPr>
        <w:tab/>
      </w:r>
      <w:r w:rsidR="00BD4745" w:rsidRPr="00B54D3D">
        <w:t xml:space="preserve">Respecto a los requisitos para otorgar la personería jurídica a organizaciones no gubernamentales, estos se encuentran establecidos en la </w:t>
      </w:r>
      <w:r w:rsidR="00BD4745" w:rsidRPr="00B54D3D">
        <w:rPr>
          <w:bCs/>
        </w:rPr>
        <w:t xml:space="preserve">Ley </w:t>
      </w:r>
      <w:proofErr w:type="spellStart"/>
      <w:r w:rsidR="00BD4745" w:rsidRPr="00B54D3D">
        <w:rPr>
          <w:bCs/>
        </w:rPr>
        <w:t>N</w:t>
      </w:r>
      <w:r w:rsidR="009C23DD">
        <w:rPr>
          <w:bCs/>
        </w:rPr>
        <w:t>º</w:t>
      </w:r>
      <w:proofErr w:type="spellEnd"/>
      <w:r w:rsidR="00BD4745" w:rsidRPr="00B54D3D">
        <w:rPr>
          <w:bCs/>
        </w:rPr>
        <w:t xml:space="preserve"> 351</w:t>
      </w:r>
      <w:r w:rsidR="009C23DD">
        <w:rPr>
          <w:bCs/>
        </w:rPr>
        <w:t xml:space="preserve"> </w:t>
      </w:r>
      <w:r w:rsidR="00BD4745" w:rsidRPr="00B54D3D">
        <w:rPr>
          <w:bCs/>
        </w:rPr>
        <w:t xml:space="preserve">de otorgación de personalidades jurídicas, de 19 de marzo de 2013, y el Decreto Supremo </w:t>
      </w:r>
      <w:proofErr w:type="spellStart"/>
      <w:r w:rsidR="00BD4745" w:rsidRPr="00B54D3D">
        <w:rPr>
          <w:bCs/>
        </w:rPr>
        <w:t>Nº</w:t>
      </w:r>
      <w:proofErr w:type="spellEnd"/>
      <w:r w:rsidR="00BD4745" w:rsidRPr="00B54D3D">
        <w:rPr>
          <w:bCs/>
        </w:rPr>
        <w:t xml:space="preserve"> 1987 de 30 de abril de 2014 Reglamento Parcial de la citada Ley. </w:t>
      </w:r>
    </w:p>
    <w:p w14:paraId="39DD04C9" w14:textId="03E082FE" w:rsidR="00BD4745" w:rsidRPr="002014CD" w:rsidRDefault="00B54D3D">
      <w:pPr>
        <w:pStyle w:val="H1G"/>
      </w:pPr>
      <w:r>
        <w:lastRenderedPageBreak/>
        <w:tab/>
      </w:r>
      <w:r>
        <w:tab/>
      </w:r>
      <w:r w:rsidR="00BD4745" w:rsidRPr="002014CD">
        <w:t>Derechos del niño y certificados de nacimiento (arts. 16, 23 y 24)</w:t>
      </w:r>
    </w:p>
    <w:p w14:paraId="6F0D60B8" w14:textId="49205193" w:rsidR="00BD4745" w:rsidRPr="002014CD" w:rsidRDefault="00B54D3D">
      <w:pPr>
        <w:pStyle w:val="H23G"/>
      </w:pPr>
      <w:r>
        <w:tab/>
      </w:r>
      <w:r w:rsidR="00BD4745" w:rsidRPr="002014CD">
        <w:t>22.</w:t>
      </w:r>
      <w:r>
        <w:tab/>
      </w:r>
      <w:r w:rsidR="0052731F" w:rsidRPr="00ED0B85">
        <w:t xml:space="preserve">Respuesta al </w:t>
      </w:r>
      <w:r w:rsidR="0052731F" w:rsidRPr="001A1E5D">
        <w:t xml:space="preserve">párrafo </w:t>
      </w:r>
      <w:r w:rsidR="0052731F">
        <w:t>22</w:t>
      </w:r>
      <w:r w:rsidR="0052731F" w:rsidRPr="001A1E5D">
        <w:t xml:space="preserve"> </w:t>
      </w:r>
      <w:r w:rsidR="0052731F" w:rsidRPr="001A1E5D">
        <w:rPr>
          <w:lang w:val="es-ES_tradnl"/>
        </w:rPr>
        <w:t xml:space="preserve">de </w:t>
      </w:r>
      <w:r w:rsidR="0052731F">
        <w:rPr>
          <w:lang w:val="es-ES_tradnl"/>
        </w:rPr>
        <w:t>la lista de cuestiones</w:t>
      </w:r>
    </w:p>
    <w:p w14:paraId="6F445A8B" w14:textId="77E65D86" w:rsidR="00BD4745" w:rsidRPr="00B54D3D" w:rsidRDefault="0098102E" w:rsidP="00B54D3D">
      <w:pPr>
        <w:pStyle w:val="SingleTxtG"/>
      </w:pPr>
      <w:r w:rsidRPr="00B54D3D">
        <w:rPr>
          <w:rFonts w:eastAsiaTheme="minorHAnsi"/>
          <w:lang w:val="es-BO" w:eastAsia="en-US"/>
        </w:rPr>
        <w:t>180.</w:t>
      </w:r>
      <w:r w:rsidRPr="00B54D3D">
        <w:rPr>
          <w:rFonts w:eastAsiaTheme="minorHAnsi"/>
          <w:lang w:val="es-BO" w:eastAsia="en-US"/>
        </w:rPr>
        <w:tab/>
      </w:r>
      <w:r w:rsidR="00BD4745" w:rsidRPr="00B54D3D">
        <w:t xml:space="preserve">La </w:t>
      </w:r>
      <w:proofErr w:type="spellStart"/>
      <w:r w:rsidR="00BD4745" w:rsidRPr="00B54D3D">
        <w:t>CPE</w:t>
      </w:r>
      <w:proofErr w:type="spellEnd"/>
      <w:r w:rsidR="00BD4745" w:rsidRPr="00B54D3D">
        <w:t xml:space="preserve">, reconoce en el Artículo 142, la nacionalidad boliviana por nacimiento las personas nacidas en el territorio boliviano, exceptuando a las hijas e hijos de personal extranjero en misión diplomática, igualmente establece la posibilidad de adquirir la nacionalidad boliviana por naturalización. La ciudadanía boliviana implica el reconocimiento de los derechos y los deberes establecidos en la </w:t>
      </w:r>
      <w:proofErr w:type="spellStart"/>
      <w:r w:rsidR="00BD4745" w:rsidRPr="00B54D3D">
        <w:t>CPE</w:t>
      </w:r>
      <w:proofErr w:type="spellEnd"/>
      <w:r w:rsidR="00BD4745" w:rsidRPr="00B54D3D">
        <w:t xml:space="preserve"> y en el resto del ordenamiento jurídico nacional.</w:t>
      </w:r>
    </w:p>
    <w:p w14:paraId="2C526F53" w14:textId="4E78E4BF" w:rsidR="00BD4745" w:rsidRPr="00B54D3D" w:rsidRDefault="0098102E" w:rsidP="00B54D3D">
      <w:pPr>
        <w:pStyle w:val="SingleTxtG"/>
      </w:pPr>
      <w:r w:rsidRPr="00B54D3D">
        <w:rPr>
          <w:rFonts w:eastAsiaTheme="minorHAnsi"/>
          <w:lang w:val="es-BO" w:eastAsia="en-US"/>
        </w:rPr>
        <w:t>181.</w:t>
      </w:r>
      <w:r w:rsidRPr="00B54D3D">
        <w:rPr>
          <w:rFonts w:eastAsiaTheme="minorHAnsi"/>
          <w:lang w:val="es-BO" w:eastAsia="en-US"/>
        </w:rPr>
        <w:tab/>
      </w:r>
      <w:r w:rsidR="00BD4745" w:rsidRPr="00B54D3D">
        <w:t>De igual manera, el Artículo 108 del Código Niño, Niña Adolescente, estable que “La niña, niño o adolescente adquiere la nacionalidad boliviana desde el momento de su nacimiento en el territorio del Estado Plurinacional, así como las nacidas y nacidos en el extranjero de madre o padre bolivianos, de acuerdo con lo establecido por la Constitución Política del Estado, sin ningún otro requisito”.</w:t>
      </w:r>
    </w:p>
    <w:p w14:paraId="71857B1F" w14:textId="5B9ED7D0" w:rsidR="00BD4745" w:rsidRPr="00B54D3D" w:rsidRDefault="0098102E" w:rsidP="00B54D3D">
      <w:pPr>
        <w:pStyle w:val="SingleTxtG"/>
      </w:pPr>
      <w:r w:rsidRPr="00B54D3D">
        <w:rPr>
          <w:rFonts w:eastAsiaTheme="minorHAnsi"/>
          <w:lang w:val="es-BO" w:eastAsia="en-US"/>
        </w:rPr>
        <w:t>182.</w:t>
      </w:r>
      <w:r w:rsidRPr="00B54D3D">
        <w:rPr>
          <w:rFonts w:eastAsiaTheme="minorHAnsi"/>
          <w:lang w:val="es-BO" w:eastAsia="en-US"/>
        </w:rPr>
        <w:tab/>
      </w:r>
      <w:r w:rsidR="00BD4745" w:rsidRPr="00B54D3D">
        <w:t>Con relación a la inscripción de nacimientos, el Artículo 113, manda que el “</w:t>
      </w:r>
      <w:r w:rsidR="00BD4745" w:rsidRPr="00B54D3D">
        <w:rPr>
          <w:i/>
        </w:rPr>
        <w:t>La o el Oficial de Registro Civil, al momento de la inscripción, podrá orientar a la madre, padre, guardadora o guardador, tutora o tutor, para asignar nombres que no sean motivo de discriminación</w:t>
      </w:r>
      <w:r w:rsidR="00BD4745" w:rsidRPr="00B54D3D">
        <w:t>”, estableciendo además que “</w:t>
      </w:r>
      <w:r w:rsidR="00BD4745" w:rsidRPr="00B54D3D">
        <w:rPr>
          <w:i/>
        </w:rPr>
        <w:t>Es obligación de la o el Oficial de Registro Civil, respetar los nombres y apellidos originarios asignados por la madre, padre o autoridad de una nación o pueblo indígena originario campesino</w:t>
      </w:r>
      <w:r w:rsidR="00BD4745" w:rsidRPr="00B54D3D">
        <w:t xml:space="preserve">”. En este mismo sentido, el Artículo 5 del Reglamento para la Inscripción de Nacimientos del Servicio de Registro Cívico – </w:t>
      </w:r>
      <w:proofErr w:type="spellStart"/>
      <w:r w:rsidR="00BD4745" w:rsidRPr="00B54D3D">
        <w:t>SERECÍ</w:t>
      </w:r>
      <w:proofErr w:type="spellEnd"/>
      <w:r w:rsidR="00BD4745" w:rsidRPr="00B54D3D">
        <w:t>, establece que los Oficiales de Registro Civil al inscribir partidas de nacimiento de personas pertenecientes a un pueblo indígena u originario, deben consignar sus nombres y apellidos respetando su identidad cultural y conforme establecen normas legales vigentes, de esta manera se garantiza el derecho a la identidad respetando la identidad cultural.</w:t>
      </w:r>
    </w:p>
    <w:p w14:paraId="28D14867" w14:textId="65C85AD9" w:rsidR="00BD4745" w:rsidRPr="00B54D3D" w:rsidRDefault="0098102E" w:rsidP="00B54D3D">
      <w:pPr>
        <w:pStyle w:val="SingleTxtG"/>
      </w:pPr>
      <w:r w:rsidRPr="00B54D3D">
        <w:rPr>
          <w:rFonts w:eastAsiaTheme="minorHAnsi"/>
          <w:lang w:val="es-BO" w:eastAsia="en-US"/>
        </w:rPr>
        <w:t>183.</w:t>
      </w:r>
      <w:r w:rsidRPr="00B54D3D">
        <w:rPr>
          <w:rFonts w:eastAsiaTheme="minorHAnsi"/>
          <w:lang w:val="es-BO" w:eastAsia="en-US"/>
        </w:rPr>
        <w:tab/>
      </w:r>
      <w:r w:rsidR="00BD4745" w:rsidRPr="00B54D3D">
        <w:t xml:space="preserve">Por otro lado, el Artículo 114 del Código Niño, Niña y Adolescente determina la inscripción en el Registro Civil, así como el derecho a recibir el primer Certificado de Nacimiento, en forma gratuita. </w:t>
      </w:r>
    </w:p>
    <w:p w14:paraId="7FD35FDF" w14:textId="13DE42D0" w:rsidR="00BD4745" w:rsidRPr="00B54D3D" w:rsidRDefault="0098102E" w:rsidP="00B54D3D">
      <w:pPr>
        <w:pStyle w:val="SingleTxtG"/>
      </w:pPr>
      <w:r w:rsidRPr="00B54D3D">
        <w:rPr>
          <w:rFonts w:eastAsiaTheme="minorHAnsi"/>
          <w:lang w:val="es-BO" w:eastAsia="en-US"/>
        </w:rPr>
        <w:t>184.</w:t>
      </w:r>
      <w:r w:rsidRPr="00B54D3D">
        <w:rPr>
          <w:rFonts w:eastAsiaTheme="minorHAnsi"/>
          <w:lang w:val="es-BO" w:eastAsia="en-US"/>
        </w:rPr>
        <w:tab/>
      </w:r>
      <w:r w:rsidR="00BD4745" w:rsidRPr="00B54D3D">
        <w:t xml:space="preserve">De igual manera el Artículo 120 del mismo Código determina que la niña, niño y adolescente tiene derecho al reconocimiento, respeto y fomento del conocimiento y la vivencia de la cultura a la que pertenece o con la que se identifica, así como de participar libre y plenamente en la vida cultural y artística </w:t>
      </w:r>
      <w:proofErr w:type="gramStart"/>
      <w:r w:rsidR="00BD4745" w:rsidRPr="00B54D3D">
        <w:t>de acuerdo a</w:t>
      </w:r>
      <w:proofErr w:type="gramEnd"/>
      <w:r w:rsidR="00BD4745" w:rsidRPr="00B54D3D">
        <w:t xml:space="preserve"> su identidad y comunidad.</w:t>
      </w:r>
    </w:p>
    <w:p w14:paraId="6B11E0A6" w14:textId="71F1817A" w:rsidR="00BD4745" w:rsidRPr="00B54D3D" w:rsidRDefault="0098102E" w:rsidP="00B54D3D">
      <w:pPr>
        <w:pStyle w:val="SingleTxtG"/>
      </w:pPr>
      <w:r w:rsidRPr="00B54D3D">
        <w:rPr>
          <w:rFonts w:eastAsiaTheme="minorHAnsi"/>
          <w:lang w:val="es-BO" w:eastAsia="en-US"/>
        </w:rPr>
        <w:t>185.</w:t>
      </w:r>
      <w:r w:rsidRPr="00B54D3D">
        <w:rPr>
          <w:rFonts w:eastAsiaTheme="minorHAnsi"/>
          <w:lang w:val="es-BO" w:eastAsia="en-US"/>
        </w:rPr>
        <w:tab/>
      </w:r>
      <w:r w:rsidR="00BD4745" w:rsidRPr="00B54D3D">
        <w:t>En ese contexto, se establecieron las siguientes medidas:</w:t>
      </w:r>
    </w:p>
    <w:p w14:paraId="27E43D36" w14:textId="5DDABA63" w:rsidR="00BD4745" w:rsidRPr="002014CD" w:rsidRDefault="00B54D3D" w:rsidP="00B54D3D">
      <w:pPr>
        <w:pStyle w:val="SingleTxtG"/>
      </w:pPr>
      <w:r>
        <w:tab/>
      </w:r>
      <w:r w:rsidR="0098102E" w:rsidRPr="002014CD">
        <w:t>1.</w:t>
      </w:r>
      <w:r w:rsidR="0098102E" w:rsidRPr="002014CD">
        <w:tab/>
      </w:r>
      <w:r w:rsidR="00BD4745" w:rsidRPr="002014CD">
        <w:t>El registro y el primer certificado de nacimiento para niñas, niñ</w:t>
      </w:r>
      <w:r w:rsidR="00AA6A62">
        <w:t>os y adolescentes son gratuitos;</w:t>
      </w:r>
    </w:p>
    <w:p w14:paraId="7A0D12A9" w14:textId="0671591D" w:rsidR="00BD4745" w:rsidRPr="002014CD" w:rsidRDefault="00B54D3D" w:rsidP="00B54D3D">
      <w:pPr>
        <w:pStyle w:val="SingleTxtG"/>
      </w:pPr>
      <w:r>
        <w:tab/>
      </w:r>
      <w:r w:rsidR="0098102E" w:rsidRPr="002014CD">
        <w:t>2.</w:t>
      </w:r>
      <w:r w:rsidR="0098102E" w:rsidRPr="002014CD">
        <w:tab/>
      </w:r>
      <w:r w:rsidR="00BD4745" w:rsidRPr="002014CD">
        <w:t>El plazo para el registro de nacimiento es de 12 años</w:t>
      </w:r>
      <w:r w:rsidR="00AA6A62">
        <w:t>;</w:t>
      </w:r>
    </w:p>
    <w:p w14:paraId="6291D9A0" w14:textId="47EAE66A" w:rsidR="00BD4745" w:rsidRPr="002014CD" w:rsidRDefault="00B54D3D" w:rsidP="00B54D3D">
      <w:pPr>
        <w:pStyle w:val="SingleTxtG"/>
      </w:pPr>
      <w:r>
        <w:tab/>
      </w:r>
      <w:r w:rsidR="0098102E" w:rsidRPr="002014CD">
        <w:t>3.</w:t>
      </w:r>
      <w:r w:rsidR="0098102E" w:rsidRPr="002014CD">
        <w:tab/>
      </w:r>
      <w:r w:rsidR="00BD4745" w:rsidRPr="002014CD">
        <w:t>Se tiene como prueba del nacimiento de una niña o niño: Certificado de nacido vivo, libreta escolar, cualquier documento donde figure el nombre del niño o niña o, la declaración jurada de dos testigos, mayores de edad con documentos de identidad</w:t>
      </w:r>
      <w:r w:rsidR="00AA6A62">
        <w:t>;</w:t>
      </w:r>
    </w:p>
    <w:p w14:paraId="1056AF43" w14:textId="1EFF7A1B" w:rsidR="00BD4745" w:rsidRPr="002014CD" w:rsidRDefault="00B54D3D" w:rsidP="00B54D3D">
      <w:pPr>
        <w:pStyle w:val="SingleTxtG"/>
      </w:pPr>
      <w:r>
        <w:tab/>
      </w:r>
      <w:r w:rsidR="0098102E" w:rsidRPr="002014CD">
        <w:t>4.</w:t>
      </w:r>
      <w:r w:rsidR="0098102E" w:rsidRPr="002014CD">
        <w:tab/>
      </w:r>
      <w:r w:rsidR="00BD4745" w:rsidRPr="002014CD">
        <w:t>Los solicitantes del registro pueden ser: Padres o tutor, en su ausencia los parientes hasta el tercer grado de parentesco consanguíneo, a falta de ellos las autoridades municipales, eclesiásticas, administrativas y judiciales, organizaciones comunitarias, directores de casa de acogida pública o privada cuando se trate de niñas o niños abandonados</w:t>
      </w:r>
      <w:r w:rsidR="00AA6A62">
        <w:t>;</w:t>
      </w:r>
    </w:p>
    <w:p w14:paraId="688E5289" w14:textId="52C6747D" w:rsidR="00BD4745" w:rsidRPr="002014CD" w:rsidRDefault="00B54D3D" w:rsidP="00B54D3D">
      <w:pPr>
        <w:pStyle w:val="SingleTxtG"/>
      </w:pPr>
      <w:r>
        <w:tab/>
      </w:r>
      <w:r w:rsidR="0098102E" w:rsidRPr="002014CD">
        <w:t>5.</w:t>
      </w:r>
      <w:r w:rsidR="0098102E" w:rsidRPr="002014CD">
        <w:tab/>
      </w:r>
      <w:r w:rsidR="00BD4745" w:rsidRPr="002014CD">
        <w:t>Vencido el plazo para el registro, éste procede previo trámite administrativo</w:t>
      </w:r>
      <w:r w:rsidR="00AA6A62">
        <w:t>;</w:t>
      </w:r>
    </w:p>
    <w:p w14:paraId="370150A0" w14:textId="1735BEA1" w:rsidR="00BD4745" w:rsidRPr="002014CD" w:rsidRDefault="00B54D3D" w:rsidP="00B54D3D">
      <w:pPr>
        <w:pStyle w:val="SingleTxtG"/>
      </w:pPr>
      <w:r>
        <w:tab/>
      </w:r>
      <w:r w:rsidR="0098102E" w:rsidRPr="002014CD">
        <w:t>6.</w:t>
      </w:r>
      <w:r w:rsidR="0098102E" w:rsidRPr="002014CD">
        <w:tab/>
      </w:r>
      <w:r w:rsidR="00BD4745" w:rsidRPr="002014CD">
        <w:t>A través de la Resolución TSE-</w:t>
      </w:r>
      <w:proofErr w:type="spellStart"/>
      <w:r w:rsidR="00BD4745" w:rsidRPr="002014CD">
        <w:t>RSP</w:t>
      </w:r>
      <w:proofErr w:type="spellEnd"/>
      <w:r w:rsidR="00BD4745" w:rsidRPr="002014CD">
        <w:t xml:space="preserve">-ADM </w:t>
      </w:r>
      <w:proofErr w:type="spellStart"/>
      <w:r w:rsidR="00BD4745" w:rsidRPr="002014CD">
        <w:t>Nº</w:t>
      </w:r>
      <w:proofErr w:type="spellEnd"/>
      <w:r w:rsidR="00BD4745" w:rsidRPr="002014CD">
        <w:t xml:space="preserve"> 055/2019 de 23 de enero de 2019 se aprobó el registro de la identidad cultural de una Nación o Pueblo Indígena Originario Campesino</w:t>
      </w:r>
      <w:r w:rsidR="00AA6A62">
        <w:t>;</w:t>
      </w:r>
    </w:p>
    <w:p w14:paraId="487ED175" w14:textId="2CE787C2" w:rsidR="00BD4745" w:rsidRPr="002014CD" w:rsidRDefault="00B54D3D" w:rsidP="00B54D3D">
      <w:pPr>
        <w:pStyle w:val="SingleTxtG"/>
      </w:pPr>
      <w:r>
        <w:tab/>
      </w:r>
      <w:r w:rsidR="0098102E" w:rsidRPr="002014CD">
        <w:t>7.</w:t>
      </w:r>
      <w:r w:rsidR="0098102E" w:rsidRPr="002014CD">
        <w:tab/>
      </w:r>
      <w:r w:rsidR="00BD4745" w:rsidRPr="002014CD">
        <w:t>El Servicio de Registro Cívico tiene cobertura nacional.</w:t>
      </w:r>
    </w:p>
    <w:p w14:paraId="44364C59" w14:textId="084D9486" w:rsidR="00BD4745" w:rsidRPr="002014CD" w:rsidRDefault="00B54D3D">
      <w:pPr>
        <w:pStyle w:val="H1G"/>
      </w:pPr>
      <w:r>
        <w:lastRenderedPageBreak/>
        <w:tab/>
      </w:r>
      <w:r>
        <w:tab/>
      </w:r>
      <w:r w:rsidR="00BD4745" w:rsidRPr="002014CD">
        <w:t>Migrantes, solicitantes de asilo y refugiados</w:t>
      </w:r>
      <w:r w:rsidR="00A164D8">
        <w:br/>
      </w:r>
      <w:r w:rsidR="00BD4745" w:rsidRPr="002014CD">
        <w:t xml:space="preserve">(arts. 2, 9, 10, </w:t>
      </w:r>
      <w:r w:rsidR="00BD4745" w:rsidRPr="002014CD">
        <w:rPr>
          <w:bCs/>
          <w:iCs/>
        </w:rPr>
        <w:t>12, 13 y 26)</w:t>
      </w:r>
    </w:p>
    <w:p w14:paraId="721BB9D0" w14:textId="23479D77" w:rsidR="00BD4745" w:rsidRPr="002014CD" w:rsidRDefault="00B54D3D">
      <w:pPr>
        <w:pStyle w:val="H23G"/>
        <w:rPr>
          <w:lang w:val="es-ES_tradnl"/>
        </w:rPr>
      </w:pPr>
      <w:r>
        <w:tab/>
      </w:r>
      <w:r w:rsidR="00BD4745" w:rsidRPr="002014CD">
        <w:t>23.</w:t>
      </w:r>
      <w:r>
        <w:tab/>
      </w:r>
      <w:r w:rsidR="0052731F" w:rsidRPr="00ED0B85">
        <w:t xml:space="preserve">Respuesta al </w:t>
      </w:r>
      <w:r w:rsidR="0052731F" w:rsidRPr="001A1E5D">
        <w:t xml:space="preserve">párrafo </w:t>
      </w:r>
      <w:r w:rsidR="0052731F">
        <w:t xml:space="preserve">23 </w:t>
      </w:r>
      <w:r w:rsidR="0052731F" w:rsidRPr="001A1E5D">
        <w:rPr>
          <w:lang w:val="es-ES_tradnl"/>
        </w:rPr>
        <w:t xml:space="preserve">de </w:t>
      </w:r>
      <w:r w:rsidR="0052731F">
        <w:rPr>
          <w:lang w:val="es-ES_tradnl"/>
        </w:rPr>
        <w:t>la lista de cuestiones</w:t>
      </w:r>
    </w:p>
    <w:p w14:paraId="2CB44558" w14:textId="266D0BF9" w:rsidR="00BD4745" w:rsidRPr="00B54D3D" w:rsidRDefault="00355E32" w:rsidP="004B0800">
      <w:pPr>
        <w:pStyle w:val="H23G"/>
      </w:pPr>
      <w:r>
        <w:rPr>
          <w:lang w:val="es-ES_tradnl"/>
        </w:rPr>
        <w:tab/>
      </w:r>
      <w:r>
        <w:rPr>
          <w:lang w:val="es-ES_tradnl"/>
        </w:rPr>
        <w:tab/>
      </w:r>
      <w:r w:rsidR="00BD4745" w:rsidRPr="00B54D3D">
        <w:rPr>
          <w:lang w:val="es-ES_tradnl"/>
        </w:rPr>
        <w:t>Datos estadíst</w:t>
      </w:r>
      <w:r w:rsidR="00AA6A62">
        <w:rPr>
          <w:lang w:val="es-ES_tradnl"/>
        </w:rPr>
        <w:t>icos sobre número de refugiados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095"/>
        <w:gridCol w:w="2108"/>
        <w:gridCol w:w="2167"/>
      </w:tblGrid>
      <w:tr w:rsidR="00A4292E" w:rsidRPr="00A4292E" w14:paraId="165E91F1" w14:textId="77777777" w:rsidTr="004B0800">
        <w:trPr>
          <w:trHeight w:val="240"/>
          <w:tblHeader/>
        </w:trPr>
        <w:tc>
          <w:tcPr>
            <w:tcW w:w="3127" w:type="dxa"/>
            <w:tcBorders>
              <w:top w:val="single" w:sz="4" w:space="0" w:color="auto"/>
              <w:bottom w:val="single" w:sz="12" w:space="0" w:color="auto"/>
            </w:tcBorders>
            <w:shd w:val="clear" w:color="auto" w:fill="auto"/>
            <w:vAlign w:val="bottom"/>
          </w:tcPr>
          <w:p w14:paraId="1AD50049" w14:textId="77777777" w:rsidR="00BD4745" w:rsidRPr="00A4292E" w:rsidRDefault="00BD4745">
            <w:pPr>
              <w:spacing w:before="80" w:after="80" w:line="200" w:lineRule="exact"/>
              <w:rPr>
                <w:bCs/>
                <w:i/>
                <w:sz w:val="16"/>
                <w:lang w:eastAsia="es-BO"/>
              </w:rPr>
            </w:pPr>
            <w:r w:rsidRPr="00A4292E">
              <w:rPr>
                <w:bCs/>
                <w:i/>
                <w:sz w:val="16"/>
                <w:lang w:eastAsia="es-BO"/>
              </w:rPr>
              <w:t>Gestión</w:t>
            </w:r>
          </w:p>
        </w:tc>
        <w:tc>
          <w:tcPr>
            <w:tcW w:w="2092" w:type="dxa"/>
            <w:tcBorders>
              <w:top w:val="single" w:sz="4" w:space="0" w:color="auto"/>
              <w:bottom w:val="single" w:sz="12" w:space="0" w:color="auto"/>
            </w:tcBorders>
            <w:shd w:val="clear" w:color="auto" w:fill="auto"/>
            <w:noWrap/>
            <w:vAlign w:val="bottom"/>
            <w:hideMark/>
          </w:tcPr>
          <w:p w14:paraId="7878B6A6" w14:textId="77777777" w:rsidR="00BD4745" w:rsidRPr="00A4292E" w:rsidRDefault="00BD4745" w:rsidP="004B0800">
            <w:pPr>
              <w:spacing w:before="80" w:after="80" w:line="200" w:lineRule="exact"/>
              <w:ind w:left="113"/>
              <w:jc w:val="right"/>
              <w:rPr>
                <w:bCs/>
                <w:i/>
                <w:sz w:val="16"/>
                <w:lang w:eastAsia="es-BO"/>
              </w:rPr>
            </w:pPr>
            <w:r w:rsidRPr="00A4292E">
              <w:rPr>
                <w:bCs/>
                <w:i/>
                <w:sz w:val="16"/>
                <w:lang w:eastAsia="es-BO"/>
              </w:rPr>
              <w:t>Solicitantes</w:t>
            </w:r>
          </w:p>
        </w:tc>
        <w:tc>
          <w:tcPr>
            <w:tcW w:w="2151" w:type="dxa"/>
            <w:tcBorders>
              <w:top w:val="single" w:sz="4" w:space="0" w:color="auto"/>
              <w:bottom w:val="single" w:sz="12" w:space="0" w:color="auto"/>
            </w:tcBorders>
            <w:shd w:val="clear" w:color="auto" w:fill="auto"/>
            <w:noWrap/>
            <w:vAlign w:val="bottom"/>
            <w:hideMark/>
          </w:tcPr>
          <w:p w14:paraId="4A03FF1B" w14:textId="77777777" w:rsidR="00BD4745" w:rsidRPr="00A4292E" w:rsidRDefault="00BD4745" w:rsidP="004B0800">
            <w:pPr>
              <w:spacing w:before="80" w:after="80" w:line="200" w:lineRule="exact"/>
              <w:ind w:left="113"/>
              <w:jc w:val="right"/>
              <w:rPr>
                <w:bCs/>
                <w:i/>
                <w:sz w:val="16"/>
                <w:lang w:eastAsia="es-BO"/>
              </w:rPr>
            </w:pPr>
            <w:r w:rsidRPr="00A4292E">
              <w:rPr>
                <w:bCs/>
                <w:i/>
                <w:sz w:val="16"/>
                <w:lang w:eastAsia="es-BO"/>
              </w:rPr>
              <w:t>Refugiados</w:t>
            </w:r>
          </w:p>
        </w:tc>
      </w:tr>
      <w:tr w:rsidR="00A4292E" w:rsidRPr="00A4292E" w14:paraId="1A24F9FB" w14:textId="77777777" w:rsidTr="004B0800">
        <w:trPr>
          <w:trHeight w:val="240"/>
        </w:trPr>
        <w:tc>
          <w:tcPr>
            <w:tcW w:w="3127" w:type="dxa"/>
            <w:tcBorders>
              <w:top w:val="single" w:sz="12" w:space="0" w:color="auto"/>
            </w:tcBorders>
            <w:shd w:val="clear" w:color="auto" w:fill="auto"/>
          </w:tcPr>
          <w:p w14:paraId="451189F1" w14:textId="77777777" w:rsidR="00BD4745" w:rsidRPr="004B0800" w:rsidRDefault="00BD4745">
            <w:pPr>
              <w:spacing w:before="40" w:after="40" w:line="220" w:lineRule="exact"/>
              <w:rPr>
                <w:sz w:val="18"/>
                <w:lang w:eastAsia="es-BO"/>
              </w:rPr>
            </w:pPr>
            <w:r w:rsidRPr="004B0800">
              <w:rPr>
                <w:sz w:val="18"/>
                <w:lang w:eastAsia="es-BO"/>
              </w:rPr>
              <w:t>2014</w:t>
            </w:r>
          </w:p>
        </w:tc>
        <w:tc>
          <w:tcPr>
            <w:tcW w:w="2092" w:type="dxa"/>
            <w:tcBorders>
              <w:top w:val="single" w:sz="12" w:space="0" w:color="auto"/>
            </w:tcBorders>
            <w:shd w:val="clear" w:color="auto" w:fill="auto"/>
            <w:noWrap/>
            <w:vAlign w:val="bottom"/>
            <w:hideMark/>
          </w:tcPr>
          <w:p w14:paraId="4CE5AFA7"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29</w:t>
            </w:r>
          </w:p>
        </w:tc>
        <w:tc>
          <w:tcPr>
            <w:tcW w:w="2151" w:type="dxa"/>
            <w:tcBorders>
              <w:top w:val="single" w:sz="12" w:space="0" w:color="auto"/>
            </w:tcBorders>
            <w:shd w:val="clear" w:color="auto" w:fill="auto"/>
            <w:noWrap/>
            <w:vAlign w:val="bottom"/>
            <w:hideMark/>
          </w:tcPr>
          <w:p w14:paraId="22906FFD"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18</w:t>
            </w:r>
          </w:p>
        </w:tc>
      </w:tr>
      <w:tr w:rsidR="00A4292E" w:rsidRPr="00A4292E" w14:paraId="2B8013C1" w14:textId="77777777" w:rsidTr="004B0800">
        <w:trPr>
          <w:trHeight w:val="240"/>
        </w:trPr>
        <w:tc>
          <w:tcPr>
            <w:tcW w:w="3127" w:type="dxa"/>
            <w:shd w:val="clear" w:color="auto" w:fill="auto"/>
          </w:tcPr>
          <w:p w14:paraId="1796C716" w14:textId="77777777" w:rsidR="00BD4745" w:rsidRPr="004B0800" w:rsidRDefault="00BD4745">
            <w:pPr>
              <w:spacing w:before="40" w:after="40" w:line="220" w:lineRule="exact"/>
              <w:rPr>
                <w:sz w:val="18"/>
                <w:lang w:eastAsia="es-BO"/>
              </w:rPr>
            </w:pPr>
            <w:r w:rsidRPr="004B0800">
              <w:rPr>
                <w:sz w:val="18"/>
                <w:lang w:eastAsia="es-BO"/>
              </w:rPr>
              <w:t>2015</w:t>
            </w:r>
          </w:p>
        </w:tc>
        <w:tc>
          <w:tcPr>
            <w:tcW w:w="2092" w:type="dxa"/>
            <w:shd w:val="clear" w:color="auto" w:fill="auto"/>
            <w:noWrap/>
            <w:vAlign w:val="bottom"/>
            <w:hideMark/>
          </w:tcPr>
          <w:p w14:paraId="0E60539D"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47</w:t>
            </w:r>
          </w:p>
        </w:tc>
        <w:tc>
          <w:tcPr>
            <w:tcW w:w="2151" w:type="dxa"/>
            <w:shd w:val="clear" w:color="auto" w:fill="auto"/>
            <w:noWrap/>
            <w:vAlign w:val="bottom"/>
            <w:hideMark/>
          </w:tcPr>
          <w:p w14:paraId="20745F7D"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7</w:t>
            </w:r>
          </w:p>
        </w:tc>
      </w:tr>
      <w:tr w:rsidR="00A4292E" w:rsidRPr="00A4292E" w14:paraId="47FA40AE" w14:textId="77777777" w:rsidTr="004B0800">
        <w:trPr>
          <w:trHeight w:val="240"/>
        </w:trPr>
        <w:tc>
          <w:tcPr>
            <w:tcW w:w="3127" w:type="dxa"/>
            <w:shd w:val="clear" w:color="auto" w:fill="auto"/>
          </w:tcPr>
          <w:p w14:paraId="6B82A8AE" w14:textId="77777777" w:rsidR="00BD4745" w:rsidRPr="004B0800" w:rsidRDefault="00BD4745">
            <w:pPr>
              <w:spacing w:before="40" w:after="40" w:line="220" w:lineRule="exact"/>
              <w:rPr>
                <w:sz w:val="18"/>
                <w:lang w:eastAsia="es-BO"/>
              </w:rPr>
            </w:pPr>
            <w:r w:rsidRPr="004B0800">
              <w:rPr>
                <w:sz w:val="18"/>
                <w:lang w:eastAsia="es-BO"/>
              </w:rPr>
              <w:t>2016</w:t>
            </w:r>
          </w:p>
        </w:tc>
        <w:tc>
          <w:tcPr>
            <w:tcW w:w="2092" w:type="dxa"/>
            <w:shd w:val="clear" w:color="auto" w:fill="auto"/>
            <w:noWrap/>
            <w:vAlign w:val="bottom"/>
            <w:hideMark/>
          </w:tcPr>
          <w:p w14:paraId="0E8E05B0"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17</w:t>
            </w:r>
          </w:p>
        </w:tc>
        <w:tc>
          <w:tcPr>
            <w:tcW w:w="2151" w:type="dxa"/>
            <w:shd w:val="clear" w:color="auto" w:fill="auto"/>
            <w:noWrap/>
            <w:vAlign w:val="bottom"/>
            <w:hideMark/>
          </w:tcPr>
          <w:p w14:paraId="797CE8C2"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9</w:t>
            </w:r>
          </w:p>
        </w:tc>
      </w:tr>
      <w:tr w:rsidR="00A4292E" w:rsidRPr="00A4292E" w14:paraId="1EF06BB7" w14:textId="77777777" w:rsidTr="004B0800">
        <w:trPr>
          <w:trHeight w:val="240"/>
        </w:trPr>
        <w:tc>
          <w:tcPr>
            <w:tcW w:w="3127" w:type="dxa"/>
            <w:shd w:val="clear" w:color="auto" w:fill="auto"/>
          </w:tcPr>
          <w:p w14:paraId="669023C2" w14:textId="77777777" w:rsidR="00BD4745" w:rsidRPr="004B0800" w:rsidRDefault="00BD4745">
            <w:pPr>
              <w:spacing w:before="40" w:after="40" w:line="220" w:lineRule="exact"/>
              <w:rPr>
                <w:sz w:val="18"/>
                <w:lang w:eastAsia="es-BO"/>
              </w:rPr>
            </w:pPr>
            <w:r w:rsidRPr="004B0800">
              <w:rPr>
                <w:sz w:val="18"/>
                <w:lang w:eastAsia="es-BO"/>
              </w:rPr>
              <w:t>2017</w:t>
            </w:r>
          </w:p>
        </w:tc>
        <w:tc>
          <w:tcPr>
            <w:tcW w:w="2092" w:type="dxa"/>
            <w:shd w:val="clear" w:color="auto" w:fill="auto"/>
            <w:noWrap/>
            <w:vAlign w:val="bottom"/>
            <w:hideMark/>
          </w:tcPr>
          <w:p w14:paraId="42B8AD6E"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22</w:t>
            </w:r>
          </w:p>
        </w:tc>
        <w:tc>
          <w:tcPr>
            <w:tcW w:w="2151" w:type="dxa"/>
            <w:shd w:val="clear" w:color="auto" w:fill="auto"/>
            <w:noWrap/>
            <w:vAlign w:val="bottom"/>
            <w:hideMark/>
          </w:tcPr>
          <w:p w14:paraId="41E23AA4"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16</w:t>
            </w:r>
          </w:p>
        </w:tc>
      </w:tr>
      <w:tr w:rsidR="00A4292E" w:rsidRPr="00A4292E" w14:paraId="01932003" w14:textId="77777777" w:rsidTr="004B0800">
        <w:trPr>
          <w:trHeight w:val="240"/>
        </w:trPr>
        <w:tc>
          <w:tcPr>
            <w:tcW w:w="3127" w:type="dxa"/>
            <w:shd w:val="clear" w:color="auto" w:fill="auto"/>
          </w:tcPr>
          <w:p w14:paraId="0860FF8F" w14:textId="77777777" w:rsidR="00BD4745" w:rsidRPr="004B0800" w:rsidRDefault="00BD4745">
            <w:pPr>
              <w:spacing w:before="40" w:after="40" w:line="220" w:lineRule="exact"/>
              <w:rPr>
                <w:sz w:val="18"/>
                <w:lang w:eastAsia="es-BO"/>
              </w:rPr>
            </w:pPr>
            <w:r w:rsidRPr="004B0800">
              <w:rPr>
                <w:rFonts w:eastAsia="Calibri"/>
                <w:sz w:val="18"/>
              </w:rPr>
              <w:t>2018</w:t>
            </w:r>
          </w:p>
        </w:tc>
        <w:tc>
          <w:tcPr>
            <w:tcW w:w="2092" w:type="dxa"/>
            <w:shd w:val="clear" w:color="auto" w:fill="auto"/>
            <w:noWrap/>
            <w:vAlign w:val="bottom"/>
            <w:hideMark/>
          </w:tcPr>
          <w:p w14:paraId="0C38CDA5"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544</w:t>
            </w:r>
          </w:p>
        </w:tc>
        <w:tc>
          <w:tcPr>
            <w:tcW w:w="2151" w:type="dxa"/>
            <w:shd w:val="clear" w:color="auto" w:fill="auto"/>
            <w:noWrap/>
            <w:vAlign w:val="bottom"/>
            <w:hideMark/>
          </w:tcPr>
          <w:p w14:paraId="7A35EB5C"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22</w:t>
            </w:r>
          </w:p>
        </w:tc>
      </w:tr>
      <w:tr w:rsidR="00A4292E" w:rsidRPr="00A4292E" w14:paraId="0A492809" w14:textId="77777777" w:rsidTr="004B0800">
        <w:trPr>
          <w:trHeight w:val="240"/>
        </w:trPr>
        <w:tc>
          <w:tcPr>
            <w:tcW w:w="3127" w:type="dxa"/>
            <w:shd w:val="clear" w:color="auto" w:fill="auto"/>
          </w:tcPr>
          <w:p w14:paraId="043FC2AC" w14:textId="77777777" w:rsidR="00BD4745" w:rsidRPr="004B0800" w:rsidRDefault="00BD4745">
            <w:pPr>
              <w:spacing w:before="40" w:after="40" w:line="220" w:lineRule="exact"/>
              <w:rPr>
                <w:sz w:val="18"/>
                <w:lang w:eastAsia="es-BO"/>
              </w:rPr>
            </w:pPr>
            <w:r w:rsidRPr="004B0800">
              <w:rPr>
                <w:rFonts w:eastAsia="Calibri"/>
                <w:sz w:val="18"/>
              </w:rPr>
              <w:t>2019</w:t>
            </w:r>
          </w:p>
        </w:tc>
        <w:tc>
          <w:tcPr>
            <w:tcW w:w="2092" w:type="dxa"/>
            <w:shd w:val="clear" w:color="auto" w:fill="auto"/>
            <w:noWrap/>
            <w:vAlign w:val="bottom"/>
          </w:tcPr>
          <w:p w14:paraId="1D1C0114"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908</w:t>
            </w:r>
          </w:p>
        </w:tc>
        <w:tc>
          <w:tcPr>
            <w:tcW w:w="2151" w:type="dxa"/>
            <w:shd w:val="clear" w:color="auto" w:fill="auto"/>
            <w:noWrap/>
            <w:vAlign w:val="bottom"/>
          </w:tcPr>
          <w:p w14:paraId="56620AE7"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4</w:t>
            </w:r>
          </w:p>
        </w:tc>
      </w:tr>
      <w:tr w:rsidR="00A4292E" w:rsidRPr="00A4292E" w14:paraId="65A97FC5" w14:textId="77777777" w:rsidTr="004B0800">
        <w:trPr>
          <w:trHeight w:val="240"/>
        </w:trPr>
        <w:tc>
          <w:tcPr>
            <w:tcW w:w="3127" w:type="dxa"/>
            <w:shd w:val="clear" w:color="auto" w:fill="auto"/>
          </w:tcPr>
          <w:p w14:paraId="3391907A" w14:textId="77777777" w:rsidR="00BD4745" w:rsidRPr="004B0800" w:rsidRDefault="00BD4745">
            <w:pPr>
              <w:spacing w:before="40" w:after="40" w:line="220" w:lineRule="exact"/>
              <w:rPr>
                <w:sz w:val="18"/>
                <w:lang w:eastAsia="es-BO"/>
              </w:rPr>
            </w:pPr>
            <w:r w:rsidRPr="004B0800">
              <w:rPr>
                <w:rFonts w:eastAsia="Calibri"/>
                <w:sz w:val="18"/>
              </w:rPr>
              <w:t>2020</w:t>
            </w:r>
          </w:p>
        </w:tc>
        <w:tc>
          <w:tcPr>
            <w:tcW w:w="2092" w:type="dxa"/>
            <w:shd w:val="clear" w:color="auto" w:fill="auto"/>
            <w:noWrap/>
            <w:vAlign w:val="bottom"/>
          </w:tcPr>
          <w:p w14:paraId="72605C6D"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926</w:t>
            </w:r>
          </w:p>
        </w:tc>
        <w:tc>
          <w:tcPr>
            <w:tcW w:w="2151" w:type="dxa"/>
            <w:shd w:val="clear" w:color="auto" w:fill="auto"/>
            <w:noWrap/>
            <w:vAlign w:val="bottom"/>
          </w:tcPr>
          <w:p w14:paraId="75C6C611"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253</w:t>
            </w:r>
          </w:p>
        </w:tc>
      </w:tr>
      <w:tr w:rsidR="00A4292E" w:rsidRPr="00A4292E" w14:paraId="451721BC" w14:textId="77777777" w:rsidTr="004B0800">
        <w:trPr>
          <w:trHeight w:val="240"/>
        </w:trPr>
        <w:tc>
          <w:tcPr>
            <w:tcW w:w="3127" w:type="dxa"/>
            <w:tcBorders>
              <w:bottom w:val="single" w:sz="4" w:space="0" w:color="auto"/>
            </w:tcBorders>
            <w:shd w:val="clear" w:color="auto" w:fill="auto"/>
          </w:tcPr>
          <w:p w14:paraId="3297A3AD" w14:textId="77777777" w:rsidR="00BD4745" w:rsidRPr="004B0800" w:rsidRDefault="00BD4745">
            <w:pPr>
              <w:spacing w:before="40" w:after="40" w:line="220" w:lineRule="exact"/>
              <w:rPr>
                <w:sz w:val="18"/>
                <w:lang w:eastAsia="es-BO"/>
              </w:rPr>
            </w:pPr>
            <w:r w:rsidRPr="004B0800">
              <w:rPr>
                <w:rFonts w:eastAsia="Calibri"/>
                <w:sz w:val="18"/>
              </w:rPr>
              <w:t>Enero a octubre 2021</w:t>
            </w:r>
          </w:p>
        </w:tc>
        <w:tc>
          <w:tcPr>
            <w:tcW w:w="2092" w:type="dxa"/>
            <w:tcBorders>
              <w:bottom w:val="single" w:sz="4" w:space="0" w:color="auto"/>
            </w:tcBorders>
            <w:shd w:val="clear" w:color="auto" w:fill="auto"/>
            <w:noWrap/>
            <w:vAlign w:val="bottom"/>
          </w:tcPr>
          <w:p w14:paraId="7E6EE807"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40</w:t>
            </w:r>
          </w:p>
        </w:tc>
        <w:tc>
          <w:tcPr>
            <w:tcW w:w="2151" w:type="dxa"/>
            <w:tcBorders>
              <w:bottom w:val="single" w:sz="4" w:space="0" w:color="auto"/>
            </w:tcBorders>
            <w:shd w:val="clear" w:color="auto" w:fill="auto"/>
            <w:noWrap/>
            <w:vAlign w:val="bottom"/>
          </w:tcPr>
          <w:p w14:paraId="7FC85FFB" w14:textId="77777777" w:rsidR="00BD4745" w:rsidRPr="00A4292E" w:rsidRDefault="00BD4745" w:rsidP="004B0800">
            <w:pPr>
              <w:spacing w:before="40" w:after="40" w:line="220" w:lineRule="exact"/>
              <w:ind w:left="113"/>
              <w:jc w:val="right"/>
              <w:rPr>
                <w:sz w:val="18"/>
                <w:lang w:eastAsia="es-BO"/>
              </w:rPr>
            </w:pPr>
            <w:r w:rsidRPr="00A4292E">
              <w:rPr>
                <w:sz w:val="18"/>
                <w:lang w:eastAsia="es-BO"/>
              </w:rPr>
              <w:t>2</w:t>
            </w:r>
          </w:p>
        </w:tc>
      </w:tr>
      <w:tr w:rsidR="00A4292E" w:rsidRPr="00A4292E" w14:paraId="56B9095E" w14:textId="77777777" w:rsidTr="004B0800">
        <w:trPr>
          <w:trHeight w:val="240"/>
        </w:trPr>
        <w:tc>
          <w:tcPr>
            <w:tcW w:w="3127" w:type="dxa"/>
            <w:tcBorders>
              <w:top w:val="single" w:sz="4" w:space="0" w:color="auto"/>
              <w:bottom w:val="single" w:sz="12" w:space="0" w:color="auto"/>
            </w:tcBorders>
            <w:shd w:val="clear" w:color="auto" w:fill="auto"/>
          </w:tcPr>
          <w:p w14:paraId="23760563" w14:textId="039EC38C" w:rsidR="00BD4745" w:rsidRPr="00A4292E" w:rsidRDefault="00A14414" w:rsidP="004B0800">
            <w:pPr>
              <w:spacing w:before="80" w:after="80" w:line="220" w:lineRule="exact"/>
              <w:ind w:left="283"/>
              <w:rPr>
                <w:b/>
                <w:sz w:val="18"/>
                <w:lang w:eastAsia="es-BO"/>
              </w:rPr>
            </w:pPr>
            <w:r w:rsidRPr="00A4292E">
              <w:rPr>
                <w:b/>
                <w:sz w:val="18"/>
                <w:lang w:eastAsia="es-BO"/>
              </w:rPr>
              <w:t>Total</w:t>
            </w:r>
          </w:p>
        </w:tc>
        <w:tc>
          <w:tcPr>
            <w:tcW w:w="2092" w:type="dxa"/>
            <w:tcBorders>
              <w:top w:val="single" w:sz="4" w:space="0" w:color="auto"/>
              <w:bottom w:val="single" w:sz="12" w:space="0" w:color="auto"/>
            </w:tcBorders>
            <w:shd w:val="clear" w:color="auto" w:fill="auto"/>
            <w:noWrap/>
            <w:vAlign w:val="bottom"/>
          </w:tcPr>
          <w:p w14:paraId="01B96383" w14:textId="77777777" w:rsidR="00BD4745" w:rsidRPr="00A4292E" w:rsidRDefault="00BD4745" w:rsidP="004B0800">
            <w:pPr>
              <w:spacing w:before="80" w:after="80" w:line="220" w:lineRule="exact"/>
              <w:jc w:val="right"/>
              <w:rPr>
                <w:b/>
                <w:sz w:val="18"/>
                <w:lang w:eastAsia="es-BO"/>
              </w:rPr>
            </w:pPr>
            <w:r w:rsidRPr="00A4292E">
              <w:rPr>
                <w:b/>
                <w:sz w:val="18"/>
                <w:lang w:eastAsia="es-BO"/>
              </w:rPr>
              <w:t>2533</w:t>
            </w:r>
          </w:p>
        </w:tc>
        <w:tc>
          <w:tcPr>
            <w:tcW w:w="2151" w:type="dxa"/>
            <w:tcBorders>
              <w:top w:val="single" w:sz="4" w:space="0" w:color="auto"/>
              <w:bottom w:val="single" w:sz="12" w:space="0" w:color="auto"/>
            </w:tcBorders>
            <w:shd w:val="clear" w:color="auto" w:fill="auto"/>
            <w:noWrap/>
            <w:vAlign w:val="bottom"/>
          </w:tcPr>
          <w:p w14:paraId="402B4313" w14:textId="77777777" w:rsidR="00BD4745" w:rsidRPr="00A4292E" w:rsidRDefault="00BD4745" w:rsidP="004B0800">
            <w:pPr>
              <w:spacing w:before="80" w:after="80" w:line="220" w:lineRule="exact"/>
              <w:jc w:val="right"/>
              <w:rPr>
                <w:b/>
                <w:sz w:val="18"/>
                <w:lang w:eastAsia="es-BO"/>
              </w:rPr>
            </w:pPr>
            <w:r w:rsidRPr="00A4292E">
              <w:rPr>
                <w:b/>
                <w:sz w:val="18"/>
                <w:lang w:eastAsia="es-BO"/>
              </w:rPr>
              <w:t>327</w:t>
            </w:r>
          </w:p>
        </w:tc>
      </w:tr>
    </w:tbl>
    <w:p w14:paraId="13A94759" w14:textId="0D70AE55" w:rsidR="00BD4745" w:rsidRPr="004B0800" w:rsidRDefault="00BD4745" w:rsidP="004B0800">
      <w:pPr>
        <w:pStyle w:val="SingleTxtG"/>
        <w:spacing w:before="120" w:after="240"/>
        <w:ind w:firstLine="170"/>
        <w:jc w:val="left"/>
        <w:rPr>
          <w:rFonts w:eastAsia="Calibri"/>
          <w:bCs/>
          <w:sz w:val="18"/>
          <w:szCs w:val="18"/>
        </w:rPr>
      </w:pPr>
      <w:r w:rsidRPr="004B0800">
        <w:rPr>
          <w:rFonts w:eastAsia="Calibri"/>
          <w:bCs/>
          <w:i/>
          <w:iCs/>
          <w:sz w:val="18"/>
          <w:szCs w:val="18"/>
        </w:rPr>
        <w:t>Fuente:</w:t>
      </w:r>
      <w:r w:rsidRPr="004B0800">
        <w:rPr>
          <w:rFonts w:eastAsia="Calibri"/>
          <w:bCs/>
          <w:sz w:val="18"/>
          <w:szCs w:val="18"/>
        </w:rPr>
        <w:t xml:space="preserve"> </w:t>
      </w:r>
      <w:proofErr w:type="spellStart"/>
      <w:r w:rsidRPr="004B0800">
        <w:rPr>
          <w:rFonts w:eastAsia="Calibri"/>
          <w:bCs/>
          <w:sz w:val="18"/>
          <w:szCs w:val="18"/>
        </w:rPr>
        <w:t>CONARE</w:t>
      </w:r>
      <w:proofErr w:type="spellEnd"/>
      <w:r w:rsidRPr="004B0800">
        <w:rPr>
          <w:rFonts w:eastAsia="Calibri"/>
          <w:bCs/>
          <w:sz w:val="18"/>
          <w:szCs w:val="18"/>
        </w:rPr>
        <w:t xml:space="preserve"> </w:t>
      </w:r>
      <w:r w:rsidR="00A14414">
        <w:rPr>
          <w:rFonts w:eastAsia="Calibri"/>
          <w:bCs/>
          <w:sz w:val="18"/>
          <w:szCs w:val="18"/>
        </w:rPr>
        <w:t>–</w:t>
      </w:r>
      <w:r w:rsidRPr="004B0800">
        <w:rPr>
          <w:rFonts w:eastAsia="Calibri"/>
          <w:bCs/>
          <w:sz w:val="18"/>
          <w:szCs w:val="18"/>
        </w:rPr>
        <w:t xml:space="preserve"> 2021</w:t>
      </w:r>
      <w:r w:rsidR="00A14414" w:rsidRPr="004B0800">
        <w:rPr>
          <w:rFonts w:eastAsia="Calibri"/>
          <w:bCs/>
          <w:sz w:val="18"/>
          <w:szCs w:val="18"/>
        </w:rPr>
        <w:t>.</w:t>
      </w:r>
    </w:p>
    <w:p w14:paraId="34F447BB" w14:textId="2636314E" w:rsidR="00BD4745" w:rsidRPr="00B54D3D" w:rsidRDefault="00A14414" w:rsidP="004B0800">
      <w:pPr>
        <w:pStyle w:val="H23G"/>
        <w:rPr>
          <w:rFonts w:eastAsia="Calibri"/>
        </w:rPr>
      </w:pPr>
      <w:r>
        <w:rPr>
          <w:rFonts w:eastAsia="Calibri"/>
        </w:rPr>
        <w:tab/>
      </w:r>
      <w:r>
        <w:rPr>
          <w:rFonts w:eastAsia="Calibri"/>
        </w:rPr>
        <w:tab/>
      </w:r>
      <w:r w:rsidR="00BD4745" w:rsidRPr="00B54D3D">
        <w:rPr>
          <w:rFonts w:eastAsia="Calibri"/>
        </w:rPr>
        <w:t>Número de solicitantes de refugio por género</w:t>
      </w:r>
    </w:p>
    <w:tbl>
      <w:tblPr>
        <w:tblStyle w:val="Tablaconcuadrcula11"/>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69"/>
        <w:gridCol w:w="1581"/>
        <w:gridCol w:w="1560"/>
        <w:gridCol w:w="1560"/>
      </w:tblGrid>
      <w:tr w:rsidR="00A4292E" w:rsidRPr="004B0800" w14:paraId="5E4DE5E5" w14:textId="77777777" w:rsidTr="004B0800">
        <w:trPr>
          <w:trHeight w:val="240"/>
          <w:tblHeader/>
        </w:trPr>
        <w:tc>
          <w:tcPr>
            <w:tcW w:w="2669" w:type="dxa"/>
            <w:tcBorders>
              <w:top w:val="single" w:sz="4" w:space="0" w:color="auto"/>
              <w:bottom w:val="single" w:sz="12" w:space="0" w:color="auto"/>
            </w:tcBorders>
            <w:shd w:val="clear" w:color="auto" w:fill="auto"/>
            <w:vAlign w:val="bottom"/>
          </w:tcPr>
          <w:p w14:paraId="6FD879A6" w14:textId="77777777" w:rsidR="00BD4745" w:rsidRPr="004B0800" w:rsidRDefault="00BD4745">
            <w:pPr>
              <w:spacing w:before="80" w:after="80" w:line="200" w:lineRule="exact"/>
              <w:rPr>
                <w:rFonts w:asciiTheme="majorBidi" w:hAnsiTheme="majorBidi" w:cstheme="majorBidi"/>
                <w:bCs/>
                <w:i/>
                <w:sz w:val="16"/>
                <w:szCs w:val="20"/>
                <w:lang w:eastAsia="es-BO"/>
              </w:rPr>
            </w:pPr>
            <w:r w:rsidRPr="004B0800">
              <w:rPr>
                <w:rFonts w:asciiTheme="majorBidi" w:hAnsiTheme="majorBidi" w:cstheme="majorBidi"/>
                <w:bCs/>
                <w:i/>
                <w:sz w:val="16"/>
                <w:lang w:eastAsia="es-BO"/>
              </w:rPr>
              <w:t xml:space="preserve">Gestión </w:t>
            </w:r>
          </w:p>
        </w:tc>
        <w:tc>
          <w:tcPr>
            <w:tcW w:w="1581" w:type="dxa"/>
            <w:tcBorders>
              <w:top w:val="single" w:sz="4" w:space="0" w:color="auto"/>
              <w:bottom w:val="single" w:sz="12" w:space="0" w:color="auto"/>
            </w:tcBorders>
            <w:shd w:val="clear" w:color="auto" w:fill="auto"/>
            <w:vAlign w:val="bottom"/>
          </w:tcPr>
          <w:p w14:paraId="5EBFD74E" w14:textId="77777777" w:rsidR="00BD4745" w:rsidRPr="004B0800" w:rsidRDefault="00BD4745" w:rsidP="004B0800">
            <w:pPr>
              <w:spacing w:before="80" w:after="80" w:line="200" w:lineRule="exact"/>
              <w:ind w:left="113"/>
              <w:jc w:val="right"/>
              <w:rPr>
                <w:rFonts w:asciiTheme="majorBidi" w:hAnsiTheme="majorBidi" w:cstheme="majorBidi"/>
                <w:bCs/>
                <w:i/>
                <w:sz w:val="16"/>
                <w:szCs w:val="20"/>
                <w:lang w:eastAsia="es-BO"/>
              </w:rPr>
            </w:pPr>
            <w:r w:rsidRPr="004B0800">
              <w:rPr>
                <w:rFonts w:asciiTheme="majorBidi" w:hAnsiTheme="majorBidi" w:cstheme="majorBidi"/>
                <w:bCs/>
                <w:i/>
                <w:sz w:val="16"/>
                <w:lang w:eastAsia="es-BO"/>
              </w:rPr>
              <w:t xml:space="preserve">Femenino </w:t>
            </w:r>
          </w:p>
        </w:tc>
        <w:tc>
          <w:tcPr>
            <w:tcW w:w="1560" w:type="dxa"/>
            <w:tcBorders>
              <w:top w:val="single" w:sz="4" w:space="0" w:color="auto"/>
              <w:bottom w:val="single" w:sz="12" w:space="0" w:color="auto"/>
            </w:tcBorders>
            <w:shd w:val="clear" w:color="auto" w:fill="auto"/>
            <w:vAlign w:val="bottom"/>
          </w:tcPr>
          <w:p w14:paraId="00B3AAE0" w14:textId="77777777" w:rsidR="00BD4745" w:rsidRPr="004B0800" w:rsidRDefault="00BD4745" w:rsidP="004B0800">
            <w:pPr>
              <w:spacing w:before="80" w:after="80" w:line="200" w:lineRule="exact"/>
              <w:ind w:left="113"/>
              <w:jc w:val="right"/>
              <w:rPr>
                <w:rFonts w:asciiTheme="majorBidi" w:hAnsiTheme="majorBidi" w:cstheme="majorBidi"/>
                <w:bCs/>
                <w:i/>
                <w:sz w:val="16"/>
                <w:szCs w:val="20"/>
                <w:lang w:eastAsia="es-BO"/>
              </w:rPr>
            </w:pPr>
            <w:r w:rsidRPr="004B0800">
              <w:rPr>
                <w:rFonts w:asciiTheme="majorBidi" w:hAnsiTheme="majorBidi" w:cstheme="majorBidi"/>
                <w:bCs/>
                <w:i/>
                <w:sz w:val="16"/>
                <w:lang w:eastAsia="es-BO"/>
              </w:rPr>
              <w:t>Masculino</w:t>
            </w:r>
          </w:p>
        </w:tc>
        <w:tc>
          <w:tcPr>
            <w:tcW w:w="1560" w:type="dxa"/>
            <w:tcBorders>
              <w:top w:val="single" w:sz="4" w:space="0" w:color="auto"/>
              <w:bottom w:val="single" w:sz="12" w:space="0" w:color="auto"/>
            </w:tcBorders>
            <w:shd w:val="clear" w:color="auto" w:fill="auto"/>
            <w:vAlign w:val="bottom"/>
          </w:tcPr>
          <w:p w14:paraId="07AEF732" w14:textId="1AF44002" w:rsidR="00BD4745" w:rsidRPr="004B0800" w:rsidRDefault="00A14414" w:rsidP="004B0800">
            <w:pPr>
              <w:spacing w:before="80" w:after="80" w:line="200" w:lineRule="exact"/>
              <w:ind w:left="113"/>
              <w:jc w:val="right"/>
              <w:rPr>
                <w:rFonts w:asciiTheme="majorBidi" w:hAnsiTheme="majorBidi" w:cstheme="majorBidi"/>
                <w:bCs/>
                <w:i/>
                <w:sz w:val="16"/>
                <w:szCs w:val="20"/>
                <w:lang w:eastAsia="es-BO"/>
              </w:rPr>
            </w:pPr>
            <w:r w:rsidRPr="004B0800">
              <w:rPr>
                <w:rFonts w:asciiTheme="majorBidi" w:hAnsiTheme="majorBidi" w:cstheme="majorBidi"/>
                <w:bCs/>
                <w:i/>
                <w:sz w:val="16"/>
                <w:lang w:eastAsia="es-BO"/>
              </w:rPr>
              <w:t>Total</w:t>
            </w:r>
          </w:p>
        </w:tc>
      </w:tr>
      <w:tr w:rsidR="00A4292E" w:rsidRPr="004B0800" w14:paraId="0124C214" w14:textId="77777777" w:rsidTr="004B0800">
        <w:trPr>
          <w:trHeight w:val="240"/>
        </w:trPr>
        <w:tc>
          <w:tcPr>
            <w:tcW w:w="2669" w:type="dxa"/>
            <w:tcBorders>
              <w:top w:val="single" w:sz="12" w:space="0" w:color="auto"/>
            </w:tcBorders>
            <w:shd w:val="clear" w:color="auto" w:fill="auto"/>
          </w:tcPr>
          <w:p w14:paraId="6D797863" w14:textId="77777777" w:rsidR="00BD4745" w:rsidRPr="004B0800" w:rsidRDefault="00BD4745">
            <w:pPr>
              <w:spacing w:before="40" w:after="40" w:line="220" w:lineRule="exact"/>
              <w:rPr>
                <w:rFonts w:asciiTheme="majorBidi" w:hAnsiTheme="majorBidi" w:cstheme="majorBidi"/>
                <w:bCs/>
                <w:sz w:val="18"/>
                <w:szCs w:val="20"/>
                <w:lang w:eastAsia="es-BO"/>
              </w:rPr>
            </w:pPr>
            <w:r w:rsidRPr="004B0800">
              <w:rPr>
                <w:rFonts w:asciiTheme="majorBidi" w:hAnsiTheme="majorBidi" w:cstheme="majorBidi"/>
                <w:bCs/>
                <w:sz w:val="18"/>
                <w:lang w:eastAsia="es-BO"/>
              </w:rPr>
              <w:t>2018</w:t>
            </w:r>
          </w:p>
        </w:tc>
        <w:tc>
          <w:tcPr>
            <w:tcW w:w="1581" w:type="dxa"/>
            <w:tcBorders>
              <w:top w:val="single" w:sz="12" w:space="0" w:color="auto"/>
            </w:tcBorders>
            <w:shd w:val="clear" w:color="auto" w:fill="auto"/>
            <w:vAlign w:val="bottom"/>
          </w:tcPr>
          <w:p w14:paraId="680C6F97"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208</w:t>
            </w:r>
          </w:p>
        </w:tc>
        <w:tc>
          <w:tcPr>
            <w:tcW w:w="1560" w:type="dxa"/>
            <w:tcBorders>
              <w:top w:val="single" w:sz="12" w:space="0" w:color="auto"/>
            </w:tcBorders>
            <w:shd w:val="clear" w:color="auto" w:fill="auto"/>
            <w:vAlign w:val="bottom"/>
          </w:tcPr>
          <w:p w14:paraId="4021D6FC"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336</w:t>
            </w:r>
          </w:p>
        </w:tc>
        <w:tc>
          <w:tcPr>
            <w:tcW w:w="1560" w:type="dxa"/>
            <w:tcBorders>
              <w:top w:val="single" w:sz="12" w:space="0" w:color="auto"/>
            </w:tcBorders>
            <w:shd w:val="clear" w:color="auto" w:fill="auto"/>
            <w:vAlign w:val="bottom"/>
          </w:tcPr>
          <w:p w14:paraId="6D41674C"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544</w:t>
            </w:r>
          </w:p>
        </w:tc>
      </w:tr>
      <w:tr w:rsidR="00A4292E" w:rsidRPr="004B0800" w14:paraId="1EC44801" w14:textId="77777777" w:rsidTr="004B0800">
        <w:trPr>
          <w:trHeight w:val="240"/>
        </w:trPr>
        <w:tc>
          <w:tcPr>
            <w:tcW w:w="2669" w:type="dxa"/>
            <w:shd w:val="clear" w:color="auto" w:fill="auto"/>
          </w:tcPr>
          <w:p w14:paraId="7A36294B" w14:textId="77777777" w:rsidR="00BD4745" w:rsidRPr="004B0800" w:rsidRDefault="00BD4745">
            <w:pPr>
              <w:spacing w:before="40" w:after="40" w:line="220" w:lineRule="exact"/>
              <w:rPr>
                <w:rFonts w:asciiTheme="majorBidi" w:hAnsiTheme="majorBidi" w:cstheme="majorBidi"/>
                <w:bCs/>
                <w:sz w:val="18"/>
                <w:szCs w:val="20"/>
                <w:lang w:eastAsia="es-BO"/>
              </w:rPr>
            </w:pPr>
            <w:r w:rsidRPr="004B0800">
              <w:rPr>
                <w:rFonts w:asciiTheme="majorBidi" w:hAnsiTheme="majorBidi" w:cstheme="majorBidi"/>
                <w:bCs/>
                <w:sz w:val="18"/>
                <w:lang w:eastAsia="es-BO"/>
              </w:rPr>
              <w:t>2019</w:t>
            </w:r>
          </w:p>
        </w:tc>
        <w:tc>
          <w:tcPr>
            <w:tcW w:w="1581" w:type="dxa"/>
            <w:shd w:val="clear" w:color="auto" w:fill="auto"/>
            <w:vAlign w:val="bottom"/>
          </w:tcPr>
          <w:p w14:paraId="0ADB0CA6"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390</w:t>
            </w:r>
          </w:p>
        </w:tc>
        <w:tc>
          <w:tcPr>
            <w:tcW w:w="1560" w:type="dxa"/>
            <w:shd w:val="clear" w:color="auto" w:fill="auto"/>
            <w:vAlign w:val="bottom"/>
          </w:tcPr>
          <w:p w14:paraId="1080F8A0"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518</w:t>
            </w:r>
          </w:p>
        </w:tc>
        <w:tc>
          <w:tcPr>
            <w:tcW w:w="1560" w:type="dxa"/>
            <w:shd w:val="clear" w:color="auto" w:fill="auto"/>
            <w:vAlign w:val="bottom"/>
          </w:tcPr>
          <w:p w14:paraId="3ECECE11"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908</w:t>
            </w:r>
          </w:p>
        </w:tc>
      </w:tr>
      <w:tr w:rsidR="00A4292E" w:rsidRPr="004B0800" w14:paraId="7202AFA0" w14:textId="77777777" w:rsidTr="004B0800">
        <w:trPr>
          <w:trHeight w:val="240"/>
        </w:trPr>
        <w:tc>
          <w:tcPr>
            <w:tcW w:w="2669" w:type="dxa"/>
            <w:shd w:val="clear" w:color="auto" w:fill="auto"/>
          </w:tcPr>
          <w:p w14:paraId="6B0B226E" w14:textId="77777777" w:rsidR="00BD4745" w:rsidRPr="004B0800" w:rsidRDefault="00BD4745">
            <w:pPr>
              <w:spacing w:before="40" w:after="40" w:line="220" w:lineRule="exact"/>
              <w:rPr>
                <w:rFonts w:asciiTheme="majorBidi" w:hAnsiTheme="majorBidi" w:cstheme="majorBidi"/>
                <w:bCs/>
                <w:sz w:val="18"/>
                <w:szCs w:val="20"/>
                <w:lang w:eastAsia="es-BO"/>
              </w:rPr>
            </w:pPr>
            <w:r w:rsidRPr="004B0800">
              <w:rPr>
                <w:rFonts w:asciiTheme="majorBidi" w:hAnsiTheme="majorBidi" w:cstheme="majorBidi"/>
                <w:bCs/>
                <w:sz w:val="18"/>
                <w:lang w:eastAsia="es-BO"/>
              </w:rPr>
              <w:t>2020</w:t>
            </w:r>
          </w:p>
        </w:tc>
        <w:tc>
          <w:tcPr>
            <w:tcW w:w="1581" w:type="dxa"/>
            <w:shd w:val="clear" w:color="auto" w:fill="auto"/>
            <w:vAlign w:val="bottom"/>
          </w:tcPr>
          <w:p w14:paraId="2534CE86"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435</w:t>
            </w:r>
          </w:p>
        </w:tc>
        <w:tc>
          <w:tcPr>
            <w:tcW w:w="1560" w:type="dxa"/>
            <w:shd w:val="clear" w:color="auto" w:fill="auto"/>
            <w:vAlign w:val="bottom"/>
          </w:tcPr>
          <w:p w14:paraId="75E3A831"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491</w:t>
            </w:r>
          </w:p>
        </w:tc>
        <w:tc>
          <w:tcPr>
            <w:tcW w:w="1560" w:type="dxa"/>
            <w:shd w:val="clear" w:color="auto" w:fill="auto"/>
            <w:vAlign w:val="bottom"/>
          </w:tcPr>
          <w:p w14:paraId="39B864E0"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926</w:t>
            </w:r>
          </w:p>
        </w:tc>
      </w:tr>
      <w:tr w:rsidR="00A4292E" w:rsidRPr="004B0800" w14:paraId="7E7E0CAD" w14:textId="77777777" w:rsidTr="004B0800">
        <w:trPr>
          <w:trHeight w:val="240"/>
        </w:trPr>
        <w:tc>
          <w:tcPr>
            <w:tcW w:w="2669" w:type="dxa"/>
            <w:tcBorders>
              <w:bottom w:val="single" w:sz="4" w:space="0" w:color="auto"/>
            </w:tcBorders>
            <w:shd w:val="clear" w:color="auto" w:fill="auto"/>
          </w:tcPr>
          <w:p w14:paraId="6C188D8D" w14:textId="77777777" w:rsidR="00BD4745" w:rsidRPr="004B0800" w:rsidRDefault="00BD4745">
            <w:pPr>
              <w:spacing w:before="40" w:after="40" w:line="220" w:lineRule="exact"/>
              <w:rPr>
                <w:rFonts w:asciiTheme="majorBidi" w:hAnsiTheme="majorBidi" w:cstheme="majorBidi"/>
                <w:bCs/>
                <w:sz w:val="18"/>
                <w:szCs w:val="20"/>
                <w:lang w:eastAsia="es-BO"/>
              </w:rPr>
            </w:pPr>
            <w:r w:rsidRPr="004B0800">
              <w:rPr>
                <w:rFonts w:asciiTheme="majorBidi" w:hAnsiTheme="majorBidi" w:cstheme="majorBidi"/>
                <w:bCs/>
                <w:sz w:val="18"/>
                <w:lang w:eastAsia="es-BO"/>
              </w:rPr>
              <w:t>Enero a junio 2021</w:t>
            </w:r>
          </w:p>
        </w:tc>
        <w:tc>
          <w:tcPr>
            <w:tcW w:w="1581" w:type="dxa"/>
            <w:tcBorders>
              <w:bottom w:val="single" w:sz="4" w:space="0" w:color="auto"/>
            </w:tcBorders>
            <w:shd w:val="clear" w:color="auto" w:fill="auto"/>
            <w:vAlign w:val="bottom"/>
          </w:tcPr>
          <w:p w14:paraId="04FB40F4"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11</w:t>
            </w:r>
          </w:p>
        </w:tc>
        <w:tc>
          <w:tcPr>
            <w:tcW w:w="1560" w:type="dxa"/>
            <w:tcBorders>
              <w:bottom w:val="single" w:sz="4" w:space="0" w:color="auto"/>
            </w:tcBorders>
            <w:shd w:val="clear" w:color="auto" w:fill="auto"/>
            <w:vAlign w:val="bottom"/>
          </w:tcPr>
          <w:p w14:paraId="35F78551"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4</w:t>
            </w:r>
          </w:p>
        </w:tc>
        <w:tc>
          <w:tcPr>
            <w:tcW w:w="1560" w:type="dxa"/>
            <w:tcBorders>
              <w:bottom w:val="single" w:sz="4" w:space="0" w:color="auto"/>
            </w:tcBorders>
            <w:shd w:val="clear" w:color="auto" w:fill="auto"/>
            <w:vAlign w:val="bottom"/>
          </w:tcPr>
          <w:p w14:paraId="73C24280"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15</w:t>
            </w:r>
          </w:p>
        </w:tc>
      </w:tr>
      <w:tr w:rsidR="00A4292E" w:rsidRPr="004B0800" w14:paraId="40EB3C49" w14:textId="77777777" w:rsidTr="004B0800">
        <w:trPr>
          <w:trHeight w:val="240"/>
        </w:trPr>
        <w:tc>
          <w:tcPr>
            <w:tcW w:w="2669" w:type="dxa"/>
            <w:tcBorders>
              <w:top w:val="single" w:sz="4" w:space="0" w:color="auto"/>
              <w:bottom w:val="single" w:sz="12" w:space="0" w:color="auto"/>
            </w:tcBorders>
            <w:shd w:val="clear" w:color="auto" w:fill="auto"/>
          </w:tcPr>
          <w:p w14:paraId="44B94381" w14:textId="77777777" w:rsidR="00BD4745" w:rsidRPr="004B0800" w:rsidRDefault="00BD4745" w:rsidP="004B0800">
            <w:pPr>
              <w:spacing w:before="80" w:after="80" w:line="220" w:lineRule="exact"/>
              <w:ind w:left="283"/>
              <w:rPr>
                <w:rFonts w:asciiTheme="majorBidi" w:hAnsiTheme="majorBidi" w:cstheme="majorBidi"/>
                <w:b/>
                <w:bCs/>
                <w:sz w:val="18"/>
                <w:szCs w:val="20"/>
                <w:lang w:eastAsia="es-BO"/>
              </w:rPr>
            </w:pPr>
            <w:r w:rsidRPr="004B0800">
              <w:rPr>
                <w:rFonts w:asciiTheme="majorBidi" w:hAnsiTheme="majorBidi" w:cstheme="majorBidi"/>
                <w:b/>
                <w:bCs/>
                <w:sz w:val="18"/>
                <w:lang w:eastAsia="es-BO"/>
              </w:rPr>
              <w:t>Total</w:t>
            </w:r>
          </w:p>
        </w:tc>
        <w:tc>
          <w:tcPr>
            <w:tcW w:w="1581" w:type="dxa"/>
            <w:tcBorders>
              <w:top w:val="single" w:sz="4" w:space="0" w:color="auto"/>
              <w:bottom w:val="single" w:sz="12" w:space="0" w:color="auto"/>
            </w:tcBorders>
            <w:shd w:val="clear" w:color="auto" w:fill="auto"/>
            <w:vAlign w:val="bottom"/>
          </w:tcPr>
          <w:p w14:paraId="125F930B" w14:textId="77777777" w:rsidR="00BD4745" w:rsidRPr="004B0800" w:rsidRDefault="00BD4745" w:rsidP="004B0800">
            <w:pPr>
              <w:spacing w:before="80" w:after="80" w:line="220" w:lineRule="exact"/>
              <w:jc w:val="right"/>
              <w:rPr>
                <w:rFonts w:asciiTheme="majorBidi" w:hAnsiTheme="majorBidi" w:cstheme="majorBidi"/>
                <w:b/>
                <w:bCs/>
                <w:sz w:val="18"/>
                <w:szCs w:val="20"/>
                <w:lang w:eastAsia="es-BO"/>
              </w:rPr>
            </w:pPr>
            <w:r w:rsidRPr="004B0800">
              <w:rPr>
                <w:rFonts w:asciiTheme="majorBidi" w:hAnsiTheme="majorBidi" w:cstheme="majorBidi"/>
                <w:b/>
                <w:bCs/>
                <w:sz w:val="18"/>
                <w:lang w:eastAsia="es-BO"/>
              </w:rPr>
              <w:t>1044</w:t>
            </w:r>
          </w:p>
        </w:tc>
        <w:tc>
          <w:tcPr>
            <w:tcW w:w="1560" w:type="dxa"/>
            <w:tcBorders>
              <w:top w:val="single" w:sz="4" w:space="0" w:color="auto"/>
              <w:bottom w:val="single" w:sz="12" w:space="0" w:color="auto"/>
            </w:tcBorders>
            <w:shd w:val="clear" w:color="auto" w:fill="auto"/>
            <w:vAlign w:val="bottom"/>
          </w:tcPr>
          <w:p w14:paraId="7798C50A" w14:textId="77777777" w:rsidR="00BD4745" w:rsidRPr="004B0800" w:rsidRDefault="00BD4745" w:rsidP="004B0800">
            <w:pPr>
              <w:spacing w:before="80" w:after="80" w:line="220" w:lineRule="exact"/>
              <w:jc w:val="right"/>
              <w:rPr>
                <w:rFonts w:asciiTheme="majorBidi" w:hAnsiTheme="majorBidi" w:cstheme="majorBidi"/>
                <w:b/>
                <w:bCs/>
                <w:sz w:val="18"/>
                <w:szCs w:val="20"/>
                <w:lang w:eastAsia="es-BO"/>
              </w:rPr>
            </w:pPr>
            <w:r w:rsidRPr="004B0800">
              <w:rPr>
                <w:rFonts w:asciiTheme="majorBidi" w:hAnsiTheme="majorBidi" w:cstheme="majorBidi"/>
                <w:b/>
                <w:bCs/>
                <w:sz w:val="18"/>
                <w:lang w:eastAsia="es-BO"/>
              </w:rPr>
              <w:t>1349</w:t>
            </w:r>
          </w:p>
        </w:tc>
        <w:tc>
          <w:tcPr>
            <w:tcW w:w="1560" w:type="dxa"/>
            <w:tcBorders>
              <w:top w:val="single" w:sz="4" w:space="0" w:color="auto"/>
              <w:bottom w:val="single" w:sz="12" w:space="0" w:color="auto"/>
            </w:tcBorders>
            <w:shd w:val="clear" w:color="auto" w:fill="auto"/>
            <w:vAlign w:val="bottom"/>
          </w:tcPr>
          <w:p w14:paraId="3ACC0BBE" w14:textId="77777777" w:rsidR="00BD4745" w:rsidRPr="004B0800" w:rsidRDefault="00BD4745" w:rsidP="004B0800">
            <w:pPr>
              <w:spacing w:before="80" w:after="80" w:line="220" w:lineRule="exact"/>
              <w:jc w:val="right"/>
              <w:rPr>
                <w:rFonts w:asciiTheme="majorBidi" w:hAnsiTheme="majorBidi" w:cstheme="majorBidi"/>
                <w:b/>
                <w:bCs/>
                <w:sz w:val="18"/>
                <w:szCs w:val="20"/>
                <w:lang w:eastAsia="es-BO"/>
              </w:rPr>
            </w:pPr>
            <w:r w:rsidRPr="004B0800">
              <w:rPr>
                <w:rFonts w:asciiTheme="majorBidi" w:hAnsiTheme="majorBidi" w:cstheme="majorBidi"/>
                <w:b/>
                <w:bCs/>
                <w:sz w:val="18"/>
                <w:lang w:eastAsia="es-BO"/>
              </w:rPr>
              <w:t>2393</w:t>
            </w:r>
          </w:p>
        </w:tc>
      </w:tr>
    </w:tbl>
    <w:p w14:paraId="1B748235" w14:textId="36DCAD06" w:rsidR="00BD4745" w:rsidRPr="00B54D3D" w:rsidRDefault="00BD4745" w:rsidP="004B0800">
      <w:pPr>
        <w:pStyle w:val="SingleTxtG"/>
        <w:spacing w:before="120" w:after="240"/>
        <w:ind w:firstLine="170"/>
        <w:rPr>
          <w:rFonts w:eastAsia="Calibri"/>
          <w:sz w:val="18"/>
          <w:szCs w:val="18"/>
        </w:rPr>
      </w:pPr>
      <w:r w:rsidRPr="004B0800">
        <w:rPr>
          <w:rFonts w:eastAsia="Calibri"/>
          <w:bCs/>
          <w:i/>
          <w:sz w:val="18"/>
          <w:szCs w:val="18"/>
        </w:rPr>
        <w:t>Fuente:</w:t>
      </w:r>
      <w:r w:rsidRPr="00B54D3D">
        <w:rPr>
          <w:rFonts w:eastAsia="Calibri"/>
          <w:sz w:val="18"/>
          <w:szCs w:val="18"/>
        </w:rPr>
        <w:t xml:space="preserve"> </w:t>
      </w:r>
      <w:proofErr w:type="spellStart"/>
      <w:r w:rsidRPr="00B54D3D">
        <w:rPr>
          <w:rFonts w:eastAsia="Calibri"/>
          <w:sz w:val="18"/>
          <w:szCs w:val="18"/>
        </w:rPr>
        <w:t>CONARE</w:t>
      </w:r>
      <w:proofErr w:type="spellEnd"/>
      <w:r w:rsidRPr="00B54D3D">
        <w:rPr>
          <w:rFonts w:eastAsia="Calibri"/>
          <w:sz w:val="18"/>
          <w:szCs w:val="18"/>
        </w:rPr>
        <w:t xml:space="preserve"> </w:t>
      </w:r>
      <w:r w:rsidR="00A14414">
        <w:rPr>
          <w:rFonts w:eastAsia="Calibri"/>
          <w:sz w:val="18"/>
          <w:szCs w:val="18"/>
        </w:rPr>
        <w:t>–</w:t>
      </w:r>
      <w:r w:rsidRPr="00B54D3D">
        <w:rPr>
          <w:rFonts w:eastAsia="Calibri"/>
          <w:sz w:val="18"/>
          <w:szCs w:val="18"/>
        </w:rPr>
        <w:t xml:space="preserve"> 2021</w:t>
      </w:r>
      <w:r w:rsidR="00A14414">
        <w:rPr>
          <w:rFonts w:eastAsia="Calibri"/>
          <w:sz w:val="18"/>
          <w:szCs w:val="18"/>
        </w:rPr>
        <w:t>.</w:t>
      </w:r>
    </w:p>
    <w:p w14:paraId="5FB3DBE1" w14:textId="7B894798" w:rsidR="00BD4745" w:rsidRPr="00B54D3D" w:rsidRDefault="00A14414" w:rsidP="004B0800">
      <w:pPr>
        <w:pStyle w:val="H23G"/>
        <w:rPr>
          <w:rFonts w:eastAsia="Calibri"/>
        </w:rPr>
      </w:pPr>
      <w:r>
        <w:rPr>
          <w:rFonts w:eastAsia="Calibri"/>
        </w:rPr>
        <w:tab/>
      </w:r>
      <w:r>
        <w:rPr>
          <w:rFonts w:eastAsia="Calibri"/>
        </w:rPr>
        <w:tab/>
      </w:r>
      <w:r w:rsidR="00BD4745" w:rsidRPr="00B54D3D">
        <w:rPr>
          <w:rFonts w:eastAsia="Calibri"/>
        </w:rPr>
        <w:t>Número de Refugiados por edades</w:t>
      </w:r>
    </w:p>
    <w:tbl>
      <w:tblPr>
        <w:tblStyle w:val="Tablaconcuadrcula11"/>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1002"/>
        <w:gridCol w:w="1003"/>
        <w:gridCol w:w="1003"/>
        <w:gridCol w:w="1003"/>
        <w:gridCol w:w="1204"/>
        <w:gridCol w:w="595"/>
      </w:tblGrid>
      <w:tr w:rsidR="00A4292E" w:rsidRPr="004B0800" w14:paraId="23D9C3EC" w14:textId="77777777" w:rsidTr="004B0800">
        <w:trPr>
          <w:trHeight w:val="240"/>
          <w:tblHeader/>
        </w:trPr>
        <w:tc>
          <w:tcPr>
            <w:tcW w:w="1560" w:type="dxa"/>
            <w:tcBorders>
              <w:top w:val="single" w:sz="4" w:space="0" w:color="auto"/>
              <w:bottom w:val="single" w:sz="12" w:space="0" w:color="auto"/>
            </w:tcBorders>
            <w:shd w:val="clear" w:color="auto" w:fill="auto"/>
            <w:vAlign w:val="bottom"/>
          </w:tcPr>
          <w:p w14:paraId="3B8FC4DA" w14:textId="77777777" w:rsidR="00BD4745" w:rsidRPr="004B0800" w:rsidRDefault="00BD4745">
            <w:pPr>
              <w:spacing w:before="80" w:after="80" w:line="200" w:lineRule="exact"/>
              <w:rPr>
                <w:rFonts w:asciiTheme="majorBidi" w:hAnsiTheme="majorBidi" w:cstheme="majorBidi"/>
                <w:i/>
                <w:sz w:val="16"/>
                <w:szCs w:val="20"/>
                <w:lang w:eastAsia="es-BO"/>
              </w:rPr>
            </w:pPr>
            <w:r w:rsidRPr="004B0800">
              <w:rPr>
                <w:rFonts w:asciiTheme="majorBidi" w:hAnsiTheme="majorBidi" w:cstheme="majorBidi"/>
                <w:i/>
                <w:sz w:val="16"/>
                <w:lang w:eastAsia="es-BO"/>
              </w:rPr>
              <w:t xml:space="preserve">Gestiones </w:t>
            </w:r>
          </w:p>
        </w:tc>
        <w:tc>
          <w:tcPr>
            <w:tcW w:w="1002" w:type="dxa"/>
            <w:tcBorders>
              <w:top w:val="single" w:sz="4" w:space="0" w:color="auto"/>
              <w:bottom w:val="single" w:sz="12" w:space="0" w:color="auto"/>
            </w:tcBorders>
            <w:shd w:val="clear" w:color="auto" w:fill="auto"/>
            <w:vAlign w:val="bottom"/>
          </w:tcPr>
          <w:p w14:paraId="157FC58D" w14:textId="77777777" w:rsidR="00BD4745" w:rsidRPr="004B0800" w:rsidRDefault="00BD4745" w:rsidP="004B0800">
            <w:pPr>
              <w:spacing w:before="80" w:after="80" w:line="200" w:lineRule="exact"/>
              <w:ind w:left="113"/>
              <w:jc w:val="right"/>
              <w:rPr>
                <w:rFonts w:asciiTheme="majorBidi" w:hAnsiTheme="majorBidi" w:cstheme="majorBidi"/>
                <w:i/>
                <w:sz w:val="16"/>
                <w:szCs w:val="20"/>
                <w:lang w:eastAsia="es-BO"/>
              </w:rPr>
            </w:pPr>
            <w:r w:rsidRPr="004B0800">
              <w:rPr>
                <w:rFonts w:asciiTheme="majorBidi" w:hAnsiTheme="majorBidi" w:cstheme="majorBidi"/>
                <w:i/>
                <w:sz w:val="16"/>
                <w:lang w:eastAsia="es-BO"/>
              </w:rPr>
              <w:t>0 a 13 años</w:t>
            </w:r>
          </w:p>
        </w:tc>
        <w:tc>
          <w:tcPr>
            <w:tcW w:w="1003" w:type="dxa"/>
            <w:tcBorders>
              <w:top w:val="single" w:sz="4" w:space="0" w:color="auto"/>
              <w:bottom w:val="single" w:sz="12" w:space="0" w:color="auto"/>
            </w:tcBorders>
            <w:shd w:val="clear" w:color="auto" w:fill="auto"/>
            <w:vAlign w:val="bottom"/>
          </w:tcPr>
          <w:p w14:paraId="61CA6A58" w14:textId="4AE69738" w:rsidR="00BD4745" w:rsidRPr="004B0800" w:rsidRDefault="00BD4745" w:rsidP="004B0800">
            <w:pPr>
              <w:spacing w:before="80" w:after="80" w:line="200" w:lineRule="exact"/>
              <w:ind w:left="113"/>
              <w:jc w:val="right"/>
              <w:rPr>
                <w:rFonts w:asciiTheme="majorBidi" w:hAnsiTheme="majorBidi" w:cstheme="majorBidi"/>
                <w:i/>
                <w:sz w:val="16"/>
                <w:szCs w:val="20"/>
                <w:lang w:eastAsia="es-BO"/>
              </w:rPr>
            </w:pPr>
            <w:r w:rsidRPr="004B0800">
              <w:rPr>
                <w:rFonts w:asciiTheme="majorBidi" w:hAnsiTheme="majorBidi" w:cstheme="majorBidi"/>
                <w:i/>
                <w:sz w:val="16"/>
                <w:lang w:eastAsia="es-BO"/>
              </w:rPr>
              <w:t>14 a 17</w:t>
            </w:r>
            <w:r w:rsidR="00A4292E" w:rsidRPr="004B0800">
              <w:rPr>
                <w:rFonts w:asciiTheme="majorBidi" w:hAnsiTheme="majorBidi" w:cstheme="majorBidi"/>
                <w:i/>
                <w:sz w:val="16"/>
                <w:lang w:eastAsia="es-BO"/>
              </w:rPr>
              <w:t xml:space="preserve"> </w:t>
            </w:r>
            <w:r w:rsidRPr="004B0800">
              <w:rPr>
                <w:rFonts w:asciiTheme="majorBidi" w:hAnsiTheme="majorBidi" w:cstheme="majorBidi"/>
                <w:i/>
                <w:sz w:val="16"/>
                <w:lang w:eastAsia="es-BO"/>
              </w:rPr>
              <w:t>años</w:t>
            </w:r>
          </w:p>
        </w:tc>
        <w:tc>
          <w:tcPr>
            <w:tcW w:w="1003" w:type="dxa"/>
            <w:tcBorders>
              <w:top w:val="single" w:sz="4" w:space="0" w:color="auto"/>
              <w:bottom w:val="single" w:sz="12" w:space="0" w:color="auto"/>
            </w:tcBorders>
            <w:shd w:val="clear" w:color="auto" w:fill="auto"/>
            <w:vAlign w:val="bottom"/>
          </w:tcPr>
          <w:p w14:paraId="2D5E8DAF" w14:textId="0B442998" w:rsidR="00BD4745" w:rsidRPr="004B0800" w:rsidRDefault="00BD4745" w:rsidP="004B0800">
            <w:pPr>
              <w:spacing w:before="80" w:after="80" w:line="200" w:lineRule="exact"/>
              <w:ind w:left="113"/>
              <w:jc w:val="right"/>
              <w:rPr>
                <w:rFonts w:asciiTheme="majorBidi" w:hAnsiTheme="majorBidi" w:cstheme="majorBidi"/>
                <w:i/>
                <w:sz w:val="16"/>
                <w:szCs w:val="20"/>
                <w:lang w:eastAsia="es-BO"/>
              </w:rPr>
            </w:pPr>
            <w:r w:rsidRPr="004B0800">
              <w:rPr>
                <w:rFonts w:asciiTheme="majorBidi" w:hAnsiTheme="majorBidi" w:cstheme="majorBidi"/>
                <w:i/>
                <w:sz w:val="16"/>
                <w:lang w:eastAsia="es-BO"/>
              </w:rPr>
              <w:t>18 a 30</w:t>
            </w:r>
            <w:r w:rsidR="00A4292E" w:rsidRPr="004B0800">
              <w:rPr>
                <w:rFonts w:asciiTheme="majorBidi" w:hAnsiTheme="majorBidi" w:cstheme="majorBidi"/>
                <w:i/>
                <w:sz w:val="16"/>
                <w:lang w:eastAsia="es-BO"/>
              </w:rPr>
              <w:t xml:space="preserve"> </w:t>
            </w:r>
            <w:r w:rsidRPr="004B0800">
              <w:rPr>
                <w:rFonts w:asciiTheme="majorBidi" w:hAnsiTheme="majorBidi" w:cstheme="majorBidi"/>
                <w:i/>
                <w:sz w:val="16"/>
                <w:lang w:eastAsia="es-BO"/>
              </w:rPr>
              <w:t>años</w:t>
            </w:r>
          </w:p>
        </w:tc>
        <w:tc>
          <w:tcPr>
            <w:tcW w:w="1003" w:type="dxa"/>
            <w:tcBorders>
              <w:top w:val="single" w:sz="4" w:space="0" w:color="auto"/>
              <w:bottom w:val="single" w:sz="12" w:space="0" w:color="auto"/>
            </w:tcBorders>
            <w:shd w:val="clear" w:color="auto" w:fill="auto"/>
            <w:vAlign w:val="bottom"/>
          </w:tcPr>
          <w:p w14:paraId="1F6E32A4" w14:textId="77777777" w:rsidR="00BD4745" w:rsidRPr="004B0800" w:rsidRDefault="00BD4745" w:rsidP="004B0800">
            <w:pPr>
              <w:spacing w:before="80" w:after="80" w:line="200" w:lineRule="exact"/>
              <w:ind w:left="113"/>
              <w:jc w:val="right"/>
              <w:rPr>
                <w:rFonts w:asciiTheme="majorBidi" w:hAnsiTheme="majorBidi" w:cstheme="majorBidi"/>
                <w:i/>
                <w:sz w:val="16"/>
                <w:szCs w:val="20"/>
                <w:lang w:eastAsia="es-BO"/>
              </w:rPr>
            </w:pPr>
            <w:r w:rsidRPr="004B0800">
              <w:rPr>
                <w:rFonts w:asciiTheme="majorBidi" w:hAnsiTheme="majorBidi" w:cstheme="majorBidi"/>
                <w:i/>
                <w:sz w:val="16"/>
                <w:lang w:eastAsia="es-BO"/>
              </w:rPr>
              <w:t>31 a 60 años</w:t>
            </w:r>
          </w:p>
        </w:tc>
        <w:tc>
          <w:tcPr>
            <w:tcW w:w="1204" w:type="dxa"/>
            <w:tcBorders>
              <w:top w:val="single" w:sz="4" w:space="0" w:color="auto"/>
              <w:bottom w:val="single" w:sz="12" w:space="0" w:color="auto"/>
            </w:tcBorders>
            <w:shd w:val="clear" w:color="auto" w:fill="auto"/>
            <w:vAlign w:val="bottom"/>
          </w:tcPr>
          <w:p w14:paraId="61997CAB" w14:textId="00319BD6" w:rsidR="00BD4745" w:rsidRPr="004B0800" w:rsidRDefault="00A4292E" w:rsidP="004B0800">
            <w:pPr>
              <w:spacing w:before="80" w:after="80" w:line="200" w:lineRule="exact"/>
              <w:ind w:left="113"/>
              <w:jc w:val="right"/>
              <w:rPr>
                <w:rFonts w:asciiTheme="majorBidi" w:hAnsiTheme="majorBidi" w:cstheme="majorBidi"/>
                <w:i/>
                <w:sz w:val="16"/>
                <w:szCs w:val="20"/>
                <w:lang w:eastAsia="es-BO"/>
              </w:rPr>
            </w:pPr>
            <w:r w:rsidRPr="004B0800">
              <w:rPr>
                <w:rFonts w:asciiTheme="majorBidi" w:hAnsiTheme="majorBidi" w:cstheme="majorBidi"/>
                <w:i/>
                <w:sz w:val="16"/>
                <w:lang w:eastAsia="es-BO"/>
              </w:rPr>
              <w:t>más</w:t>
            </w:r>
            <w:r w:rsidR="00BD4745" w:rsidRPr="004B0800">
              <w:rPr>
                <w:rFonts w:asciiTheme="majorBidi" w:hAnsiTheme="majorBidi" w:cstheme="majorBidi"/>
                <w:i/>
                <w:sz w:val="16"/>
                <w:lang w:eastAsia="es-BO"/>
              </w:rPr>
              <w:t xml:space="preserve"> de 61</w:t>
            </w:r>
            <w:r w:rsidRPr="004B0800">
              <w:rPr>
                <w:rFonts w:asciiTheme="majorBidi" w:hAnsiTheme="majorBidi" w:cstheme="majorBidi"/>
                <w:i/>
                <w:sz w:val="16"/>
                <w:lang w:eastAsia="es-BO"/>
              </w:rPr>
              <w:t xml:space="preserve"> </w:t>
            </w:r>
            <w:r w:rsidR="00BD4745" w:rsidRPr="004B0800">
              <w:rPr>
                <w:rFonts w:asciiTheme="majorBidi" w:hAnsiTheme="majorBidi" w:cstheme="majorBidi"/>
                <w:i/>
                <w:sz w:val="16"/>
                <w:lang w:eastAsia="es-BO"/>
              </w:rPr>
              <w:t>años</w:t>
            </w:r>
          </w:p>
        </w:tc>
        <w:tc>
          <w:tcPr>
            <w:tcW w:w="595" w:type="dxa"/>
            <w:tcBorders>
              <w:top w:val="single" w:sz="4" w:space="0" w:color="auto"/>
              <w:bottom w:val="single" w:sz="12" w:space="0" w:color="auto"/>
            </w:tcBorders>
            <w:shd w:val="clear" w:color="auto" w:fill="auto"/>
            <w:vAlign w:val="bottom"/>
          </w:tcPr>
          <w:p w14:paraId="585083B6" w14:textId="2CCDEDD7" w:rsidR="00BD4745" w:rsidRPr="004B0800" w:rsidRDefault="00A14414" w:rsidP="004B0800">
            <w:pPr>
              <w:spacing w:before="80" w:after="80" w:line="200" w:lineRule="exact"/>
              <w:ind w:left="113"/>
              <w:jc w:val="right"/>
              <w:rPr>
                <w:rFonts w:asciiTheme="majorBidi" w:hAnsiTheme="majorBidi" w:cstheme="majorBidi"/>
                <w:i/>
                <w:sz w:val="16"/>
                <w:szCs w:val="20"/>
                <w:lang w:eastAsia="es-BO"/>
              </w:rPr>
            </w:pPr>
            <w:r w:rsidRPr="004B0800">
              <w:rPr>
                <w:rFonts w:asciiTheme="majorBidi" w:hAnsiTheme="majorBidi" w:cstheme="majorBidi"/>
                <w:i/>
                <w:sz w:val="16"/>
                <w:lang w:eastAsia="es-BO"/>
              </w:rPr>
              <w:t>Total</w:t>
            </w:r>
          </w:p>
        </w:tc>
      </w:tr>
      <w:tr w:rsidR="00A4292E" w:rsidRPr="004B0800" w14:paraId="7A165D57" w14:textId="77777777" w:rsidTr="004B0800">
        <w:trPr>
          <w:trHeight w:val="240"/>
        </w:trPr>
        <w:tc>
          <w:tcPr>
            <w:tcW w:w="1560" w:type="dxa"/>
            <w:tcBorders>
              <w:top w:val="single" w:sz="12" w:space="0" w:color="auto"/>
            </w:tcBorders>
            <w:shd w:val="clear" w:color="auto" w:fill="auto"/>
          </w:tcPr>
          <w:p w14:paraId="743DF04D" w14:textId="77777777" w:rsidR="00BD4745" w:rsidRPr="004B0800" w:rsidRDefault="00BD4745">
            <w:pPr>
              <w:spacing w:before="40" w:after="40" w:line="220" w:lineRule="exact"/>
              <w:rPr>
                <w:rFonts w:asciiTheme="majorBidi" w:hAnsiTheme="majorBidi" w:cstheme="majorBidi"/>
                <w:sz w:val="18"/>
                <w:szCs w:val="20"/>
                <w:lang w:eastAsia="es-BO"/>
              </w:rPr>
            </w:pPr>
            <w:r w:rsidRPr="004B0800">
              <w:rPr>
                <w:rFonts w:asciiTheme="majorBidi" w:hAnsiTheme="majorBidi" w:cstheme="majorBidi"/>
                <w:sz w:val="18"/>
                <w:lang w:eastAsia="es-BO"/>
              </w:rPr>
              <w:t>2018</w:t>
            </w:r>
          </w:p>
        </w:tc>
        <w:tc>
          <w:tcPr>
            <w:tcW w:w="1002" w:type="dxa"/>
            <w:tcBorders>
              <w:top w:val="single" w:sz="12" w:space="0" w:color="auto"/>
            </w:tcBorders>
            <w:shd w:val="clear" w:color="auto" w:fill="auto"/>
            <w:vAlign w:val="bottom"/>
          </w:tcPr>
          <w:p w14:paraId="0738A353"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1</w:t>
            </w:r>
          </w:p>
        </w:tc>
        <w:tc>
          <w:tcPr>
            <w:tcW w:w="1003" w:type="dxa"/>
            <w:tcBorders>
              <w:top w:val="single" w:sz="12" w:space="0" w:color="auto"/>
            </w:tcBorders>
            <w:shd w:val="clear" w:color="auto" w:fill="auto"/>
            <w:vAlign w:val="bottom"/>
          </w:tcPr>
          <w:p w14:paraId="22DE699E"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w:t>
            </w:r>
          </w:p>
        </w:tc>
        <w:tc>
          <w:tcPr>
            <w:tcW w:w="1003" w:type="dxa"/>
            <w:tcBorders>
              <w:top w:val="single" w:sz="12" w:space="0" w:color="auto"/>
            </w:tcBorders>
            <w:shd w:val="clear" w:color="auto" w:fill="auto"/>
            <w:vAlign w:val="bottom"/>
          </w:tcPr>
          <w:p w14:paraId="49868A4B"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2</w:t>
            </w:r>
          </w:p>
        </w:tc>
        <w:tc>
          <w:tcPr>
            <w:tcW w:w="1003" w:type="dxa"/>
            <w:tcBorders>
              <w:top w:val="single" w:sz="12" w:space="0" w:color="auto"/>
            </w:tcBorders>
            <w:shd w:val="clear" w:color="auto" w:fill="auto"/>
            <w:vAlign w:val="bottom"/>
          </w:tcPr>
          <w:p w14:paraId="49744C6B"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8</w:t>
            </w:r>
          </w:p>
        </w:tc>
        <w:tc>
          <w:tcPr>
            <w:tcW w:w="1204" w:type="dxa"/>
            <w:tcBorders>
              <w:top w:val="single" w:sz="12" w:space="0" w:color="auto"/>
            </w:tcBorders>
            <w:shd w:val="clear" w:color="auto" w:fill="auto"/>
            <w:vAlign w:val="bottom"/>
          </w:tcPr>
          <w:p w14:paraId="0DA4714D"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w:t>
            </w:r>
          </w:p>
        </w:tc>
        <w:tc>
          <w:tcPr>
            <w:tcW w:w="595" w:type="dxa"/>
            <w:tcBorders>
              <w:top w:val="single" w:sz="12" w:space="0" w:color="auto"/>
            </w:tcBorders>
            <w:shd w:val="clear" w:color="auto" w:fill="auto"/>
            <w:vAlign w:val="bottom"/>
          </w:tcPr>
          <w:p w14:paraId="789B54EF"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11</w:t>
            </w:r>
          </w:p>
        </w:tc>
      </w:tr>
      <w:tr w:rsidR="00A4292E" w:rsidRPr="004B0800" w14:paraId="17BEE38A" w14:textId="77777777" w:rsidTr="004B0800">
        <w:trPr>
          <w:trHeight w:val="240"/>
        </w:trPr>
        <w:tc>
          <w:tcPr>
            <w:tcW w:w="1560" w:type="dxa"/>
            <w:shd w:val="clear" w:color="auto" w:fill="auto"/>
          </w:tcPr>
          <w:p w14:paraId="4707D102" w14:textId="77777777" w:rsidR="00BD4745" w:rsidRPr="004B0800" w:rsidRDefault="00BD4745">
            <w:pPr>
              <w:spacing w:before="40" w:after="40" w:line="220" w:lineRule="exact"/>
              <w:rPr>
                <w:rFonts w:asciiTheme="majorBidi" w:hAnsiTheme="majorBidi" w:cstheme="majorBidi"/>
                <w:sz w:val="18"/>
                <w:szCs w:val="20"/>
                <w:lang w:eastAsia="es-BO"/>
              </w:rPr>
            </w:pPr>
            <w:r w:rsidRPr="004B0800">
              <w:rPr>
                <w:rFonts w:asciiTheme="majorBidi" w:hAnsiTheme="majorBidi" w:cstheme="majorBidi"/>
                <w:sz w:val="18"/>
                <w:lang w:eastAsia="es-BO"/>
              </w:rPr>
              <w:t>2019</w:t>
            </w:r>
          </w:p>
        </w:tc>
        <w:tc>
          <w:tcPr>
            <w:tcW w:w="1002" w:type="dxa"/>
            <w:shd w:val="clear" w:color="auto" w:fill="auto"/>
            <w:vAlign w:val="bottom"/>
          </w:tcPr>
          <w:p w14:paraId="11EA240E"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w:t>
            </w:r>
          </w:p>
        </w:tc>
        <w:tc>
          <w:tcPr>
            <w:tcW w:w="1003" w:type="dxa"/>
            <w:shd w:val="clear" w:color="auto" w:fill="auto"/>
            <w:vAlign w:val="bottom"/>
          </w:tcPr>
          <w:p w14:paraId="5E75D6E5"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w:t>
            </w:r>
          </w:p>
        </w:tc>
        <w:tc>
          <w:tcPr>
            <w:tcW w:w="1003" w:type="dxa"/>
            <w:shd w:val="clear" w:color="auto" w:fill="auto"/>
            <w:vAlign w:val="bottom"/>
          </w:tcPr>
          <w:p w14:paraId="69C1F6AA"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w:t>
            </w:r>
          </w:p>
        </w:tc>
        <w:tc>
          <w:tcPr>
            <w:tcW w:w="1003" w:type="dxa"/>
            <w:shd w:val="clear" w:color="auto" w:fill="auto"/>
            <w:vAlign w:val="bottom"/>
          </w:tcPr>
          <w:p w14:paraId="5120D20A"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4</w:t>
            </w:r>
          </w:p>
        </w:tc>
        <w:tc>
          <w:tcPr>
            <w:tcW w:w="1204" w:type="dxa"/>
            <w:shd w:val="clear" w:color="auto" w:fill="auto"/>
            <w:vAlign w:val="bottom"/>
          </w:tcPr>
          <w:p w14:paraId="7326B441"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w:t>
            </w:r>
          </w:p>
        </w:tc>
        <w:tc>
          <w:tcPr>
            <w:tcW w:w="595" w:type="dxa"/>
            <w:shd w:val="clear" w:color="auto" w:fill="auto"/>
            <w:vAlign w:val="bottom"/>
          </w:tcPr>
          <w:p w14:paraId="2EDE0DA9"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4</w:t>
            </w:r>
          </w:p>
        </w:tc>
      </w:tr>
      <w:tr w:rsidR="00A4292E" w:rsidRPr="004B0800" w14:paraId="5127DF70" w14:textId="77777777" w:rsidTr="004B0800">
        <w:trPr>
          <w:trHeight w:val="240"/>
        </w:trPr>
        <w:tc>
          <w:tcPr>
            <w:tcW w:w="1560" w:type="dxa"/>
            <w:shd w:val="clear" w:color="auto" w:fill="auto"/>
          </w:tcPr>
          <w:p w14:paraId="112BE221" w14:textId="77777777" w:rsidR="00BD4745" w:rsidRPr="004B0800" w:rsidRDefault="00BD4745">
            <w:pPr>
              <w:spacing w:before="40" w:after="40" w:line="220" w:lineRule="exact"/>
              <w:rPr>
                <w:rFonts w:asciiTheme="majorBidi" w:hAnsiTheme="majorBidi" w:cstheme="majorBidi"/>
                <w:sz w:val="18"/>
                <w:szCs w:val="20"/>
                <w:lang w:eastAsia="es-BO"/>
              </w:rPr>
            </w:pPr>
            <w:r w:rsidRPr="004B0800">
              <w:rPr>
                <w:rFonts w:asciiTheme="majorBidi" w:hAnsiTheme="majorBidi" w:cstheme="majorBidi"/>
                <w:sz w:val="18"/>
                <w:lang w:eastAsia="es-BO"/>
              </w:rPr>
              <w:t>2020</w:t>
            </w:r>
          </w:p>
        </w:tc>
        <w:tc>
          <w:tcPr>
            <w:tcW w:w="1002" w:type="dxa"/>
            <w:shd w:val="clear" w:color="auto" w:fill="auto"/>
            <w:vAlign w:val="bottom"/>
          </w:tcPr>
          <w:p w14:paraId="5B8EB9EB"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10</w:t>
            </w:r>
          </w:p>
        </w:tc>
        <w:tc>
          <w:tcPr>
            <w:tcW w:w="1003" w:type="dxa"/>
            <w:shd w:val="clear" w:color="auto" w:fill="auto"/>
            <w:vAlign w:val="bottom"/>
          </w:tcPr>
          <w:p w14:paraId="0D7F537A"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4</w:t>
            </w:r>
          </w:p>
        </w:tc>
        <w:tc>
          <w:tcPr>
            <w:tcW w:w="1003" w:type="dxa"/>
            <w:shd w:val="clear" w:color="auto" w:fill="auto"/>
            <w:vAlign w:val="bottom"/>
          </w:tcPr>
          <w:p w14:paraId="68B22065"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152</w:t>
            </w:r>
          </w:p>
        </w:tc>
        <w:tc>
          <w:tcPr>
            <w:tcW w:w="1003" w:type="dxa"/>
            <w:shd w:val="clear" w:color="auto" w:fill="auto"/>
            <w:vAlign w:val="bottom"/>
          </w:tcPr>
          <w:p w14:paraId="1491C1EC"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87</w:t>
            </w:r>
          </w:p>
        </w:tc>
        <w:tc>
          <w:tcPr>
            <w:tcW w:w="1204" w:type="dxa"/>
            <w:shd w:val="clear" w:color="auto" w:fill="auto"/>
            <w:vAlign w:val="bottom"/>
          </w:tcPr>
          <w:p w14:paraId="36C93E8C"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w:t>
            </w:r>
          </w:p>
        </w:tc>
        <w:tc>
          <w:tcPr>
            <w:tcW w:w="595" w:type="dxa"/>
            <w:shd w:val="clear" w:color="auto" w:fill="auto"/>
            <w:vAlign w:val="bottom"/>
          </w:tcPr>
          <w:p w14:paraId="61714318"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253</w:t>
            </w:r>
          </w:p>
        </w:tc>
      </w:tr>
      <w:tr w:rsidR="00A4292E" w:rsidRPr="004B0800" w14:paraId="2AB0929B" w14:textId="77777777" w:rsidTr="004B0800">
        <w:trPr>
          <w:trHeight w:val="240"/>
        </w:trPr>
        <w:tc>
          <w:tcPr>
            <w:tcW w:w="1560" w:type="dxa"/>
            <w:tcBorders>
              <w:bottom w:val="single" w:sz="4" w:space="0" w:color="auto"/>
            </w:tcBorders>
            <w:shd w:val="clear" w:color="auto" w:fill="auto"/>
          </w:tcPr>
          <w:p w14:paraId="01B39EDD" w14:textId="77777777" w:rsidR="00BD4745" w:rsidRPr="004B0800" w:rsidRDefault="00BD4745">
            <w:pPr>
              <w:spacing w:before="40" w:after="40" w:line="220" w:lineRule="exact"/>
              <w:rPr>
                <w:rFonts w:asciiTheme="majorBidi" w:hAnsiTheme="majorBidi" w:cstheme="majorBidi"/>
                <w:sz w:val="18"/>
                <w:szCs w:val="20"/>
                <w:lang w:eastAsia="es-BO"/>
              </w:rPr>
            </w:pPr>
            <w:r w:rsidRPr="004B0800">
              <w:rPr>
                <w:rFonts w:asciiTheme="majorBidi" w:hAnsiTheme="majorBidi" w:cstheme="majorBidi"/>
                <w:sz w:val="18"/>
                <w:lang w:eastAsia="es-BO"/>
              </w:rPr>
              <w:t>Enero a junio 2021</w:t>
            </w:r>
          </w:p>
        </w:tc>
        <w:tc>
          <w:tcPr>
            <w:tcW w:w="1002" w:type="dxa"/>
            <w:tcBorders>
              <w:bottom w:val="single" w:sz="4" w:space="0" w:color="auto"/>
            </w:tcBorders>
            <w:shd w:val="clear" w:color="auto" w:fill="auto"/>
            <w:vAlign w:val="bottom"/>
          </w:tcPr>
          <w:p w14:paraId="62E22939"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w:t>
            </w:r>
          </w:p>
        </w:tc>
        <w:tc>
          <w:tcPr>
            <w:tcW w:w="1003" w:type="dxa"/>
            <w:tcBorders>
              <w:bottom w:val="single" w:sz="4" w:space="0" w:color="auto"/>
            </w:tcBorders>
            <w:shd w:val="clear" w:color="auto" w:fill="auto"/>
            <w:vAlign w:val="bottom"/>
          </w:tcPr>
          <w:p w14:paraId="19545E9B"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w:t>
            </w:r>
          </w:p>
        </w:tc>
        <w:tc>
          <w:tcPr>
            <w:tcW w:w="1003" w:type="dxa"/>
            <w:tcBorders>
              <w:bottom w:val="single" w:sz="4" w:space="0" w:color="auto"/>
            </w:tcBorders>
            <w:shd w:val="clear" w:color="auto" w:fill="auto"/>
            <w:vAlign w:val="bottom"/>
          </w:tcPr>
          <w:p w14:paraId="54BE2431"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w:t>
            </w:r>
          </w:p>
        </w:tc>
        <w:tc>
          <w:tcPr>
            <w:tcW w:w="1003" w:type="dxa"/>
            <w:tcBorders>
              <w:bottom w:val="single" w:sz="4" w:space="0" w:color="auto"/>
            </w:tcBorders>
            <w:shd w:val="clear" w:color="auto" w:fill="auto"/>
            <w:vAlign w:val="bottom"/>
          </w:tcPr>
          <w:p w14:paraId="1D7F5B5F"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w:t>
            </w:r>
          </w:p>
        </w:tc>
        <w:tc>
          <w:tcPr>
            <w:tcW w:w="1204" w:type="dxa"/>
            <w:tcBorders>
              <w:bottom w:val="single" w:sz="4" w:space="0" w:color="auto"/>
            </w:tcBorders>
            <w:shd w:val="clear" w:color="auto" w:fill="auto"/>
            <w:vAlign w:val="bottom"/>
          </w:tcPr>
          <w:p w14:paraId="39E110BF"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1</w:t>
            </w:r>
          </w:p>
        </w:tc>
        <w:tc>
          <w:tcPr>
            <w:tcW w:w="595" w:type="dxa"/>
            <w:tcBorders>
              <w:bottom w:val="single" w:sz="4" w:space="0" w:color="auto"/>
            </w:tcBorders>
            <w:shd w:val="clear" w:color="auto" w:fill="auto"/>
            <w:vAlign w:val="bottom"/>
          </w:tcPr>
          <w:p w14:paraId="0A4C42EF" w14:textId="77777777" w:rsidR="00BD4745" w:rsidRPr="004B0800" w:rsidRDefault="00BD4745" w:rsidP="004B0800">
            <w:pPr>
              <w:spacing w:before="40" w:after="40" w:line="220" w:lineRule="exact"/>
              <w:ind w:left="113"/>
              <w:jc w:val="right"/>
              <w:rPr>
                <w:rFonts w:asciiTheme="majorBidi" w:hAnsiTheme="majorBidi" w:cstheme="majorBidi"/>
                <w:sz w:val="18"/>
                <w:szCs w:val="20"/>
                <w:lang w:eastAsia="es-BO"/>
              </w:rPr>
            </w:pPr>
            <w:r w:rsidRPr="004B0800">
              <w:rPr>
                <w:rFonts w:asciiTheme="majorBidi" w:hAnsiTheme="majorBidi" w:cstheme="majorBidi"/>
                <w:sz w:val="18"/>
                <w:lang w:eastAsia="es-BO"/>
              </w:rPr>
              <w:t>1</w:t>
            </w:r>
          </w:p>
        </w:tc>
      </w:tr>
      <w:tr w:rsidR="00A4292E" w:rsidRPr="004B0800" w14:paraId="37B76E11" w14:textId="77777777" w:rsidTr="004B0800">
        <w:trPr>
          <w:trHeight w:val="240"/>
        </w:trPr>
        <w:tc>
          <w:tcPr>
            <w:tcW w:w="1560" w:type="dxa"/>
            <w:tcBorders>
              <w:top w:val="single" w:sz="4" w:space="0" w:color="auto"/>
              <w:bottom w:val="single" w:sz="12" w:space="0" w:color="auto"/>
            </w:tcBorders>
            <w:shd w:val="clear" w:color="auto" w:fill="auto"/>
          </w:tcPr>
          <w:p w14:paraId="52F51E99" w14:textId="77777777" w:rsidR="00BD4745" w:rsidRPr="004B0800" w:rsidRDefault="00BD4745" w:rsidP="004B0800">
            <w:pPr>
              <w:spacing w:before="80" w:after="80" w:line="220" w:lineRule="exact"/>
              <w:ind w:left="283"/>
              <w:rPr>
                <w:rFonts w:asciiTheme="majorBidi" w:hAnsiTheme="majorBidi" w:cstheme="majorBidi"/>
                <w:b/>
                <w:sz w:val="18"/>
                <w:szCs w:val="20"/>
              </w:rPr>
            </w:pPr>
            <w:r w:rsidRPr="004B0800">
              <w:rPr>
                <w:rFonts w:asciiTheme="majorBidi" w:hAnsiTheme="majorBidi" w:cstheme="majorBidi"/>
                <w:b/>
                <w:sz w:val="18"/>
              </w:rPr>
              <w:t>Total</w:t>
            </w:r>
          </w:p>
        </w:tc>
        <w:tc>
          <w:tcPr>
            <w:tcW w:w="1002" w:type="dxa"/>
            <w:tcBorders>
              <w:top w:val="single" w:sz="4" w:space="0" w:color="auto"/>
              <w:bottom w:val="single" w:sz="12" w:space="0" w:color="auto"/>
            </w:tcBorders>
            <w:shd w:val="clear" w:color="auto" w:fill="auto"/>
            <w:vAlign w:val="bottom"/>
          </w:tcPr>
          <w:p w14:paraId="20A3A8B4" w14:textId="77777777" w:rsidR="00BD4745" w:rsidRPr="004B0800" w:rsidRDefault="00BD4745" w:rsidP="004B0800">
            <w:pPr>
              <w:spacing w:before="80" w:after="80" w:line="220" w:lineRule="exact"/>
              <w:jc w:val="right"/>
              <w:rPr>
                <w:rFonts w:asciiTheme="majorBidi" w:hAnsiTheme="majorBidi" w:cstheme="majorBidi"/>
                <w:b/>
                <w:sz w:val="18"/>
                <w:szCs w:val="20"/>
              </w:rPr>
            </w:pPr>
            <w:r w:rsidRPr="004B0800">
              <w:rPr>
                <w:rFonts w:asciiTheme="majorBidi" w:hAnsiTheme="majorBidi" w:cstheme="majorBidi"/>
                <w:b/>
                <w:sz w:val="18"/>
              </w:rPr>
              <w:t>11</w:t>
            </w:r>
          </w:p>
        </w:tc>
        <w:tc>
          <w:tcPr>
            <w:tcW w:w="1003" w:type="dxa"/>
            <w:tcBorders>
              <w:top w:val="single" w:sz="4" w:space="0" w:color="auto"/>
              <w:bottom w:val="single" w:sz="12" w:space="0" w:color="auto"/>
            </w:tcBorders>
            <w:shd w:val="clear" w:color="auto" w:fill="auto"/>
            <w:vAlign w:val="bottom"/>
          </w:tcPr>
          <w:p w14:paraId="418BC20E" w14:textId="77777777" w:rsidR="00BD4745" w:rsidRPr="004B0800" w:rsidRDefault="00BD4745" w:rsidP="004B0800">
            <w:pPr>
              <w:spacing w:before="80" w:after="80" w:line="220" w:lineRule="exact"/>
              <w:jc w:val="right"/>
              <w:rPr>
                <w:rFonts w:asciiTheme="majorBidi" w:hAnsiTheme="majorBidi" w:cstheme="majorBidi"/>
                <w:b/>
                <w:sz w:val="18"/>
                <w:szCs w:val="20"/>
              </w:rPr>
            </w:pPr>
            <w:r w:rsidRPr="004B0800">
              <w:rPr>
                <w:rFonts w:asciiTheme="majorBidi" w:hAnsiTheme="majorBidi" w:cstheme="majorBidi"/>
                <w:b/>
                <w:sz w:val="18"/>
              </w:rPr>
              <w:t>4</w:t>
            </w:r>
          </w:p>
        </w:tc>
        <w:tc>
          <w:tcPr>
            <w:tcW w:w="1003" w:type="dxa"/>
            <w:tcBorders>
              <w:top w:val="single" w:sz="4" w:space="0" w:color="auto"/>
              <w:bottom w:val="single" w:sz="12" w:space="0" w:color="auto"/>
            </w:tcBorders>
            <w:shd w:val="clear" w:color="auto" w:fill="auto"/>
            <w:vAlign w:val="bottom"/>
          </w:tcPr>
          <w:p w14:paraId="29A06390" w14:textId="77777777" w:rsidR="00BD4745" w:rsidRPr="004B0800" w:rsidRDefault="00BD4745" w:rsidP="004B0800">
            <w:pPr>
              <w:spacing w:before="80" w:after="80" w:line="220" w:lineRule="exact"/>
              <w:jc w:val="right"/>
              <w:rPr>
                <w:rFonts w:asciiTheme="majorBidi" w:hAnsiTheme="majorBidi" w:cstheme="majorBidi"/>
                <w:b/>
                <w:sz w:val="18"/>
                <w:szCs w:val="20"/>
              </w:rPr>
            </w:pPr>
            <w:r w:rsidRPr="004B0800">
              <w:rPr>
                <w:rFonts w:asciiTheme="majorBidi" w:hAnsiTheme="majorBidi" w:cstheme="majorBidi"/>
                <w:b/>
                <w:sz w:val="18"/>
              </w:rPr>
              <w:t>154</w:t>
            </w:r>
          </w:p>
        </w:tc>
        <w:tc>
          <w:tcPr>
            <w:tcW w:w="1003" w:type="dxa"/>
            <w:tcBorders>
              <w:top w:val="single" w:sz="4" w:space="0" w:color="auto"/>
              <w:bottom w:val="single" w:sz="12" w:space="0" w:color="auto"/>
            </w:tcBorders>
            <w:shd w:val="clear" w:color="auto" w:fill="auto"/>
            <w:vAlign w:val="bottom"/>
          </w:tcPr>
          <w:p w14:paraId="091841F0" w14:textId="77777777" w:rsidR="00BD4745" w:rsidRPr="004B0800" w:rsidRDefault="00BD4745" w:rsidP="004B0800">
            <w:pPr>
              <w:spacing w:before="80" w:after="80" w:line="220" w:lineRule="exact"/>
              <w:jc w:val="right"/>
              <w:rPr>
                <w:rFonts w:asciiTheme="majorBidi" w:hAnsiTheme="majorBidi" w:cstheme="majorBidi"/>
                <w:b/>
                <w:sz w:val="18"/>
                <w:szCs w:val="20"/>
              </w:rPr>
            </w:pPr>
            <w:r w:rsidRPr="004B0800">
              <w:rPr>
                <w:rFonts w:asciiTheme="majorBidi" w:hAnsiTheme="majorBidi" w:cstheme="majorBidi"/>
                <w:b/>
                <w:sz w:val="18"/>
              </w:rPr>
              <w:t>99</w:t>
            </w:r>
          </w:p>
        </w:tc>
        <w:tc>
          <w:tcPr>
            <w:tcW w:w="1204" w:type="dxa"/>
            <w:tcBorders>
              <w:top w:val="single" w:sz="4" w:space="0" w:color="auto"/>
              <w:bottom w:val="single" w:sz="12" w:space="0" w:color="auto"/>
            </w:tcBorders>
            <w:shd w:val="clear" w:color="auto" w:fill="auto"/>
            <w:vAlign w:val="bottom"/>
          </w:tcPr>
          <w:p w14:paraId="02A657A1" w14:textId="77777777" w:rsidR="00BD4745" w:rsidRPr="004B0800" w:rsidRDefault="00BD4745" w:rsidP="004B0800">
            <w:pPr>
              <w:spacing w:before="80" w:after="80" w:line="220" w:lineRule="exact"/>
              <w:jc w:val="right"/>
              <w:rPr>
                <w:rFonts w:asciiTheme="majorBidi" w:hAnsiTheme="majorBidi" w:cstheme="majorBidi"/>
                <w:b/>
                <w:sz w:val="18"/>
                <w:szCs w:val="20"/>
              </w:rPr>
            </w:pPr>
            <w:r w:rsidRPr="004B0800">
              <w:rPr>
                <w:rFonts w:asciiTheme="majorBidi" w:hAnsiTheme="majorBidi" w:cstheme="majorBidi"/>
                <w:b/>
                <w:sz w:val="18"/>
              </w:rPr>
              <w:t>1</w:t>
            </w:r>
          </w:p>
        </w:tc>
        <w:tc>
          <w:tcPr>
            <w:tcW w:w="595" w:type="dxa"/>
            <w:tcBorders>
              <w:top w:val="single" w:sz="4" w:space="0" w:color="auto"/>
              <w:bottom w:val="single" w:sz="12" w:space="0" w:color="auto"/>
            </w:tcBorders>
            <w:shd w:val="clear" w:color="auto" w:fill="auto"/>
            <w:vAlign w:val="bottom"/>
          </w:tcPr>
          <w:p w14:paraId="427C5AE2" w14:textId="77777777" w:rsidR="00BD4745" w:rsidRPr="004B0800" w:rsidRDefault="00BD4745" w:rsidP="004B0800">
            <w:pPr>
              <w:spacing w:before="80" w:after="80" w:line="220" w:lineRule="exact"/>
              <w:jc w:val="right"/>
              <w:rPr>
                <w:rFonts w:asciiTheme="majorBidi" w:hAnsiTheme="majorBidi" w:cstheme="majorBidi"/>
                <w:b/>
                <w:sz w:val="18"/>
                <w:szCs w:val="20"/>
              </w:rPr>
            </w:pPr>
            <w:r w:rsidRPr="004B0800">
              <w:rPr>
                <w:rFonts w:asciiTheme="majorBidi" w:hAnsiTheme="majorBidi" w:cstheme="majorBidi"/>
                <w:b/>
                <w:sz w:val="18"/>
              </w:rPr>
              <w:t>269</w:t>
            </w:r>
          </w:p>
        </w:tc>
      </w:tr>
    </w:tbl>
    <w:p w14:paraId="1306441E" w14:textId="0A340DED" w:rsidR="00BD4745" w:rsidRPr="004B0800" w:rsidRDefault="00BD4745" w:rsidP="004B0800">
      <w:pPr>
        <w:pStyle w:val="SingleTxtG"/>
        <w:spacing w:before="120" w:after="240"/>
        <w:ind w:firstLine="170"/>
        <w:rPr>
          <w:rFonts w:eastAsia="Calibri"/>
          <w:bCs/>
          <w:sz w:val="18"/>
          <w:szCs w:val="18"/>
        </w:rPr>
      </w:pPr>
      <w:r w:rsidRPr="004B0800">
        <w:rPr>
          <w:rFonts w:eastAsia="Calibri"/>
          <w:bCs/>
          <w:i/>
          <w:iCs/>
          <w:sz w:val="18"/>
          <w:szCs w:val="18"/>
        </w:rPr>
        <w:t>Fuente:</w:t>
      </w:r>
      <w:r w:rsidRPr="004B0800">
        <w:rPr>
          <w:rFonts w:eastAsia="Calibri"/>
          <w:bCs/>
          <w:sz w:val="18"/>
          <w:szCs w:val="18"/>
        </w:rPr>
        <w:t xml:space="preserve"> </w:t>
      </w:r>
      <w:proofErr w:type="spellStart"/>
      <w:r w:rsidRPr="004B0800">
        <w:rPr>
          <w:rFonts w:eastAsia="Calibri"/>
          <w:bCs/>
          <w:sz w:val="18"/>
          <w:szCs w:val="18"/>
        </w:rPr>
        <w:t>CONARE</w:t>
      </w:r>
      <w:proofErr w:type="spellEnd"/>
      <w:r w:rsidRPr="004B0800">
        <w:rPr>
          <w:rFonts w:eastAsia="Calibri"/>
          <w:bCs/>
          <w:sz w:val="18"/>
          <w:szCs w:val="18"/>
        </w:rPr>
        <w:t xml:space="preserve"> </w:t>
      </w:r>
      <w:r w:rsidR="00A14414">
        <w:rPr>
          <w:rFonts w:eastAsia="Calibri"/>
          <w:bCs/>
          <w:sz w:val="18"/>
          <w:szCs w:val="18"/>
        </w:rPr>
        <w:t>–</w:t>
      </w:r>
      <w:r w:rsidRPr="004B0800">
        <w:rPr>
          <w:rFonts w:eastAsia="Calibri"/>
          <w:bCs/>
          <w:sz w:val="18"/>
          <w:szCs w:val="18"/>
        </w:rPr>
        <w:t xml:space="preserve"> 2021</w:t>
      </w:r>
      <w:r w:rsidR="00A14414">
        <w:rPr>
          <w:rFonts w:eastAsia="Calibri"/>
          <w:bCs/>
          <w:sz w:val="18"/>
          <w:szCs w:val="18"/>
        </w:rPr>
        <w:t>.</w:t>
      </w:r>
    </w:p>
    <w:p w14:paraId="48FFCCE5" w14:textId="12CEBAED" w:rsidR="00BD4745" w:rsidRPr="00C24248" w:rsidRDefault="00A14414" w:rsidP="004B0800">
      <w:pPr>
        <w:pStyle w:val="H23G"/>
        <w:rPr>
          <w:rFonts w:eastAsia="Calibri"/>
        </w:rPr>
      </w:pPr>
      <w:r>
        <w:rPr>
          <w:rFonts w:eastAsia="Calibri"/>
        </w:rPr>
        <w:tab/>
      </w:r>
      <w:r>
        <w:rPr>
          <w:rFonts w:eastAsia="Calibri"/>
        </w:rPr>
        <w:tab/>
      </w:r>
      <w:r w:rsidR="00BD4745" w:rsidRPr="00C24248">
        <w:rPr>
          <w:rFonts w:eastAsia="Calibri"/>
        </w:rPr>
        <w:t>Número de Refugiados por Género</w:t>
      </w:r>
    </w:p>
    <w:tbl>
      <w:tblPr>
        <w:tblStyle w:val="Tablaconcuadrcula11"/>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27"/>
        <w:gridCol w:w="1521"/>
        <w:gridCol w:w="1711"/>
        <w:gridCol w:w="1711"/>
      </w:tblGrid>
      <w:tr w:rsidR="00064F24" w:rsidRPr="00064F24" w14:paraId="711C2F3E" w14:textId="77777777" w:rsidTr="004B0800">
        <w:trPr>
          <w:trHeight w:val="240"/>
          <w:tblHeader/>
        </w:trPr>
        <w:tc>
          <w:tcPr>
            <w:tcW w:w="1809" w:type="dxa"/>
            <w:tcBorders>
              <w:top w:val="single" w:sz="4" w:space="0" w:color="auto"/>
              <w:bottom w:val="single" w:sz="12" w:space="0" w:color="auto"/>
            </w:tcBorders>
            <w:shd w:val="clear" w:color="auto" w:fill="auto"/>
            <w:vAlign w:val="bottom"/>
          </w:tcPr>
          <w:p w14:paraId="57A46AFE" w14:textId="77777777" w:rsidR="00BD4745" w:rsidRPr="004B0800" w:rsidRDefault="00BD4745">
            <w:pPr>
              <w:spacing w:before="80" w:after="80" w:line="200" w:lineRule="exact"/>
              <w:rPr>
                <w:rFonts w:asciiTheme="majorBidi" w:hAnsiTheme="majorBidi" w:cstheme="majorBidi"/>
                <w:bCs/>
                <w:i/>
                <w:sz w:val="16"/>
                <w:szCs w:val="20"/>
                <w:lang w:eastAsia="es-BO"/>
              </w:rPr>
            </w:pPr>
            <w:r w:rsidRPr="004B0800">
              <w:rPr>
                <w:rFonts w:asciiTheme="majorBidi" w:hAnsiTheme="majorBidi" w:cstheme="majorBidi"/>
                <w:bCs/>
                <w:i/>
                <w:sz w:val="16"/>
                <w:lang w:eastAsia="es-BO"/>
              </w:rPr>
              <w:t xml:space="preserve">Gestión </w:t>
            </w:r>
          </w:p>
        </w:tc>
        <w:tc>
          <w:tcPr>
            <w:tcW w:w="1134" w:type="dxa"/>
            <w:tcBorders>
              <w:top w:val="single" w:sz="4" w:space="0" w:color="auto"/>
              <w:bottom w:val="single" w:sz="12" w:space="0" w:color="auto"/>
            </w:tcBorders>
            <w:shd w:val="clear" w:color="auto" w:fill="auto"/>
            <w:vAlign w:val="bottom"/>
          </w:tcPr>
          <w:p w14:paraId="59A98955" w14:textId="77777777" w:rsidR="00BD4745" w:rsidRPr="004B0800" w:rsidRDefault="00BD4745" w:rsidP="004B0800">
            <w:pPr>
              <w:spacing w:before="80" w:after="80" w:line="200" w:lineRule="exact"/>
              <w:ind w:left="113"/>
              <w:jc w:val="right"/>
              <w:rPr>
                <w:rFonts w:asciiTheme="majorBidi" w:hAnsiTheme="majorBidi" w:cstheme="majorBidi"/>
                <w:bCs/>
                <w:i/>
                <w:sz w:val="16"/>
                <w:szCs w:val="20"/>
                <w:lang w:eastAsia="es-BO"/>
              </w:rPr>
            </w:pPr>
            <w:r w:rsidRPr="004B0800">
              <w:rPr>
                <w:rFonts w:asciiTheme="majorBidi" w:hAnsiTheme="majorBidi" w:cstheme="majorBidi"/>
                <w:bCs/>
                <w:i/>
                <w:sz w:val="16"/>
                <w:lang w:eastAsia="es-BO"/>
              </w:rPr>
              <w:t xml:space="preserve">Femenino </w:t>
            </w:r>
          </w:p>
        </w:tc>
        <w:tc>
          <w:tcPr>
            <w:tcW w:w="1276" w:type="dxa"/>
            <w:tcBorders>
              <w:top w:val="single" w:sz="4" w:space="0" w:color="auto"/>
              <w:bottom w:val="single" w:sz="12" w:space="0" w:color="auto"/>
            </w:tcBorders>
            <w:shd w:val="clear" w:color="auto" w:fill="auto"/>
            <w:vAlign w:val="bottom"/>
          </w:tcPr>
          <w:p w14:paraId="580673C5" w14:textId="77777777" w:rsidR="00BD4745" w:rsidRPr="004B0800" w:rsidRDefault="00BD4745" w:rsidP="004B0800">
            <w:pPr>
              <w:spacing w:before="80" w:after="80" w:line="200" w:lineRule="exact"/>
              <w:ind w:left="113"/>
              <w:jc w:val="right"/>
              <w:rPr>
                <w:rFonts w:asciiTheme="majorBidi" w:hAnsiTheme="majorBidi" w:cstheme="majorBidi"/>
                <w:bCs/>
                <w:i/>
                <w:sz w:val="16"/>
                <w:szCs w:val="20"/>
                <w:lang w:eastAsia="es-BO"/>
              </w:rPr>
            </w:pPr>
            <w:r w:rsidRPr="004B0800">
              <w:rPr>
                <w:rFonts w:asciiTheme="majorBidi" w:hAnsiTheme="majorBidi" w:cstheme="majorBidi"/>
                <w:bCs/>
                <w:i/>
                <w:sz w:val="16"/>
                <w:lang w:eastAsia="es-BO"/>
              </w:rPr>
              <w:t>Masculino</w:t>
            </w:r>
          </w:p>
        </w:tc>
        <w:tc>
          <w:tcPr>
            <w:tcW w:w="1276" w:type="dxa"/>
            <w:tcBorders>
              <w:top w:val="single" w:sz="4" w:space="0" w:color="auto"/>
              <w:bottom w:val="single" w:sz="12" w:space="0" w:color="auto"/>
            </w:tcBorders>
            <w:shd w:val="clear" w:color="auto" w:fill="auto"/>
            <w:vAlign w:val="bottom"/>
          </w:tcPr>
          <w:p w14:paraId="0A942A01" w14:textId="41A81A0D" w:rsidR="00BD4745" w:rsidRPr="004B0800" w:rsidRDefault="00A14414" w:rsidP="004B0800">
            <w:pPr>
              <w:spacing w:before="80" w:after="80" w:line="200" w:lineRule="exact"/>
              <w:ind w:left="113"/>
              <w:jc w:val="right"/>
              <w:rPr>
                <w:rFonts w:asciiTheme="majorBidi" w:hAnsiTheme="majorBidi" w:cstheme="majorBidi"/>
                <w:bCs/>
                <w:i/>
                <w:sz w:val="16"/>
                <w:szCs w:val="20"/>
                <w:lang w:eastAsia="es-BO"/>
              </w:rPr>
            </w:pPr>
            <w:r w:rsidRPr="004B0800">
              <w:rPr>
                <w:rFonts w:asciiTheme="majorBidi" w:hAnsiTheme="majorBidi" w:cstheme="majorBidi"/>
                <w:bCs/>
                <w:i/>
                <w:sz w:val="16"/>
                <w:lang w:eastAsia="es-BO"/>
              </w:rPr>
              <w:t>Total</w:t>
            </w:r>
          </w:p>
        </w:tc>
      </w:tr>
      <w:tr w:rsidR="00064F24" w:rsidRPr="00064F24" w14:paraId="7EB7A004" w14:textId="77777777" w:rsidTr="004B0800">
        <w:trPr>
          <w:trHeight w:val="240"/>
        </w:trPr>
        <w:tc>
          <w:tcPr>
            <w:tcW w:w="1809" w:type="dxa"/>
            <w:tcBorders>
              <w:top w:val="single" w:sz="12" w:space="0" w:color="auto"/>
            </w:tcBorders>
            <w:shd w:val="clear" w:color="auto" w:fill="auto"/>
          </w:tcPr>
          <w:p w14:paraId="614D5748" w14:textId="77777777" w:rsidR="00BD4745" w:rsidRPr="004B0800" w:rsidRDefault="00BD4745">
            <w:pPr>
              <w:spacing w:before="40" w:after="40" w:line="220" w:lineRule="exact"/>
              <w:rPr>
                <w:rFonts w:asciiTheme="majorBidi" w:hAnsiTheme="majorBidi" w:cstheme="majorBidi"/>
                <w:bCs/>
                <w:sz w:val="18"/>
                <w:szCs w:val="20"/>
                <w:lang w:eastAsia="es-BO"/>
              </w:rPr>
            </w:pPr>
            <w:r w:rsidRPr="004B0800">
              <w:rPr>
                <w:rFonts w:asciiTheme="majorBidi" w:hAnsiTheme="majorBidi" w:cstheme="majorBidi"/>
                <w:bCs/>
                <w:sz w:val="18"/>
                <w:lang w:eastAsia="es-BO"/>
              </w:rPr>
              <w:t>2018</w:t>
            </w:r>
          </w:p>
        </w:tc>
        <w:tc>
          <w:tcPr>
            <w:tcW w:w="1134" w:type="dxa"/>
            <w:tcBorders>
              <w:top w:val="single" w:sz="12" w:space="0" w:color="auto"/>
            </w:tcBorders>
            <w:shd w:val="clear" w:color="auto" w:fill="auto"/>
            <w:vAlign w:val="bottom"/>
          </w:tcPr>
          <w:p w14:paraId="6F1A4570"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9</w:t>
            </w:r>
          </w:p>
        </w:tc>
        <w:tc>
          <w:tcPr>
            <w:tcW w:w="1276" w:type="dxa"/>
            <w:tcBorders>
              <w:top w:val="single" w:sz="12" w:space="0" w:color="auto"/>
            </w:tcBorders>
            <w:shd w:val="clear" w:color="auto" w:fill="auto"/>
            <w:vAlign w:val="bottom"/>
          </w:tcPr>
          <w:p w14:paraId="5DE6C32F"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2</w:t>
            </w:r>
          </w:p>
        </w:tc>
        <w:tc>
          <w:tcPr>
            <w:tcW w:w="1276" w:type="dxa"/>
            <w:tcBorders>
              <w:top w:val="single" w:sz="12" w:space="0" w:color="auto"/>
            </w:tcBorders>
            <w:shd w:val="clear" w:color="auto" w:fill="auto"/>
            <w:vAlign w:val="bottom"/>
          </w:tcPr>
          <w:p w14:paraId="78DAD8AF"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11</w:t>
            </w:r>
          </w:p>
        </w:tc>
      </w:tr>
      <w:tr w:rsidR="00064F24" w:rsidRPr="00064F24" w14:paraId="7A1DBC6C" w14:textId="77777777" w:rsidTr="004B0800">
        <w:trPr>
          <w:trHeight w:val="240"/>
        </w:trPr>
        <w:tc>
          <w:tcPr>
            <w:tcW w:w="1809" w:type="dxa"/>
            <w:shd w:val="clear" w:color="auto" w:fill="auto"/>
          </w:tcPr>
          <w:p w14:paraId="6582AFC3" w14:textId="77777777" w:rsidR="00BD4745" w:rsidRPr="004B0800" w:rsidRDefault="00BD4745">
            <w:pPr>
              <w:spacing w:before="40" w:after="40" w:line="220" w:lineRule="exact"/>
              <w:rPr>
                <w:rFonts w:asciiTheme="majorBidi" w:hAnsiTheme="majorBidi" w:cstheme="majorBidi"/>
                <w:bCs/>
                <w:sz w:val="18"/>
                <w:szCs w:val="20"/>
                <w:lang w:eastAsia="es-BO"/>
              </w:rPr>
            </w:pPr>
            <w:r w:rsidRPr="004B0800">
              <w:rPr>
                <w:rFonts w:asciiTheme="majorBidi" w:hAnsiTheme="majorBidi" w:cstheme="majorBidi"/>
                <w:bCs/>
                <w:sz w:val="18"/>
                <w:lang w:eastAsia="es-BO"/>
              </w:rPr>
              <w:t>2019</w:t>
            </w:r>
          </w:p>
        </w:tc>
        <w:tc>
          <w:tcPr>
            <w:tcW w:w="1134" w:type="dxa"/>
            <w:shd w:val="clear" w:color="auto" w:fill="auto"/>
            <w:vAlign w:val="bottom"/>
          </w:tcPr>
          <w:p w14:paraId="619DC4D9"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2</w:t>
            </w:r>
          </w:p>
        </w:tc>
        <w:tc>
          <w:tcPr>
            <w:tcW w:w="1276" w:type="dxa"/>
            <w:shd w:val="clear" w:color="auto" w:fill="auto"/>
            <w:vAlign w:val="bottom"/>
          </w:tcPr>
          <w:p w14:paraId="7C95A014"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2</w:t>
            </w:r>
          </w:p>
        </w:tc>
        <w:tc>
          <w:tcPr>
            <w:tcW w:w="1276" w:type="dxa"/>
            <w:shd w:val="clear" w:color="auto" w:fill="auto"/>
            <w:vAlign w:val="bottom"/>
          </w:tcPr>
          <w:p w14:paraId="132B2B03"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4</w:t>
            </w:r>
          </w:p>
        </w:tc>
      </w:tr>
      <w:tr w:rsidR="00064F24" w:rsidRPr="00064F24" w14:paraId="60D475A8" w14:textId="77777777" w:rsidTr="004B0800">
        <w:trPr>
          <w:trHeight w:val="240"/>
        </w:trPr>
        <w:tc>
          <w:tcPr>
            <w:tcW w:w="1809" w:type="dxa"/>
            <w:shd w:val="clear" w:color="auto" w:fill="auto"/>
          </w:tcPr>
          <w:p w14:paraId="61D26D20" w14:textId="77777777" w:rsidR="00BD4745" w:rsidRPr="004B0800" w:rsidRDefault="00BD4745">
            <w:pPr>
              <w:spacing w:before="40" w:after="40" w:line="220" w:lineRule="exact"/>
              <w:rPr>
                <w:rFonts w:asciiTheme="majorBidi" w:hAnsiTheme="majorBidi" w:cstheme="majorBidi"/>
                <w:bCs/>
                <w:sz w:val="18"/>
                <w:szCs w:val="20"/>
                <w:lang w:eastAsia="es-BO"/>
              </w:rPr>
            </w:pPr>
            <w:r w:rsidRPr="004B0800">
              <w:rPr>
                <w:rFonts w:asciiTheme="majorBidi" w:hAnsiTheme="majorBidi" w:cstheme="majorBidi"/>
                <w:bCs/>
                <w:sz w:val="18"/>
                <w:lang w:eastAsia="es-BO"/>
              </w:rPr>
              <w:t>2020</w:t>
            </w:r>
          </w:p>
        </w:tc>
        <w:tc>
          <w:tcPr>
            <w:tcW w:w="1134" w:type="dxa"/>
            <w:shd w:val="clear" w:color="auto" w:fill="auto"/>
            <w:vAlign w:val="bottom"/>
          </w:tcPr>
          <w:p w14:paraId="60B1420F"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134</w:t>
            </w:r>
          </w:p>
        </w:tc>
        <w:tc>
          <w:tcPr>
            <w:tcW w:w="1276" w:type="dxa"/>
            <w:shd w:val="clear" w:color="auto" w:fill="auto"/>
            <w:vAlign w:val="bottom"/>
          </w:tcPr>
          <w:p w14:paraId="0B4026B3"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119</w:t>
            </w:r>
          </w:p>
        </w:tc>
        <w:tc>
          <w:tcPr>
            <w:tcW w:w="1276" w:type="dxa"/>
            <w:shd w:val="clear" w:color="auto" w:fill="auto"/>
            <w:vAlign w:val="bottom"/>
          </w:tcPr>
          <w:p w14:paraId="37194E0F"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253</w:t>
            </w:r>
          </w:p>
        </w:tc>
      </w:tr>
      <w:tr w:rsidR="00064F24" w:rsidRPr="00064F24" w14:paraId="7C018B8E" w14:textId="77777777" w:rsidTr="004B0800">
        <w:trPr>
          <w:trHeight w:val="240"/>
        </w:trPr>
        <w:tc>
          <w:tcPr>
            <w:tcW w:w="1809" w:type="dxa"/>
            <w:tcBorders>
              <w:bottom w:val="single" w:sz="4" w:space="0" w:color="auto"/>
            </w:tcBorders>
            <w:shd w:val="clear" w:color="auto" w:fill="auto"/>
          </w:tcPr>
          <w:p w14:paraId="51B29090" w14:textId="77777777" w:rsidR="00BD4745" w:rsidRPr="004B0800" w:rsidRDefault="00BD4745">
            <w:pPr>
              <w:spacing w:before="40" w:after="40" w:line="220" w:lineRule="exact"/>
              <w:rPr>
                <w:rFonts w:asciiTheme="majorBidi" w:hAnsiTheme="majorBidi" w:cstheme="majorBidi"/>
                <w:bCs/>
                <w:sz w:val="18"/>
                <w:szCs w:val="20"/>
                <w:lang w:eastAsia="es-BO"/>
              </w:rPr>
            </w:pPr>
            <w:r w:rsidRPr="004B0800">
              <w:rPr>
                <w:rFonts w:asciiTheme="majorBidi" w:hAnsiTheme="majorBidi" w:cstheme="majorBidi"/>
                <w:bCs/>
                <w:sz w:val="18"/>
                <w:lang w:eastAsia="es-BO"/>
              </w:rPr>
              <w:t>Enero a junio 2021</w:t>
            </w:r>
          </w:p>
        </w:tc>
        <w:tc>
          <w:tcPr>
            <w:tcW w:w="1134" w:type="dxa"/>
            <w:tcBorders>
              <w:bottom w:val="single" w:sz="4" w:space="0" w:color="auto"/>
            </w:tcBorders>
            <w:shd w:val="clear" w:color="auto" w:fill="auto"/>
            <w:vAlign w:val="bottom"/>
          </w:tcPr>
          <w:p w14:paraId="4A60B8AE"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w:t>
            </w:r>
          </w:p>
        </w:tc>
        <w:tc>
          <w:tcPr>
            <w:tcW w:w="1276" w:type="dxa"/>
            <w:tcBorders>
              <w:bottom w:val="single" w:sz="4" w:space="0" w:color="auto"/>
            </w:tcBorders>
            <w:shd w:val="clear" w:color="auto" w:fill="auto"/>
            <w:vAlign w:val="bottom"/>
          </w:tcPr>
          <w:p w14:paraId="7B99D947"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1</w:t>
            </w:r>
          </w:p>
        </w:tc>
        <w:tc>
          <w:tcPr>
            <w:tcW w:w="1276" w:type="dxa"/>
            <w:tcBorders>
              <w:bottom w:val="single" w:sz="4" w:space="0" w:color="auto"/>
            </w:tcBorders>
            <w:shd w:val="clear" w:color="auto" w:fill="auto"/>
            <w:vAlign w:val="bottom"/>
          </w:tcPr>
          <w:p w14:paraId="5831727A" w14:textId="77777777" w:rsidR="00BD4745" w:rsidRPr="004B0800" w:rsidRDefault="00BD4745" w:rsidP="004B0800">
            <w:pPr>
              <w:spacing w:before="40" w:after="40" w:line="220" w:lineRule="exact"/>
              <w:ind w:left="113"/>
              <w:jc w:val="right"/>
              <w:rPr>
                <w:rFonts w:asciiTheme="majorBidi" w:hAnsiTheme="majorBidi" w:cstheme="majorBidi"/>
                <w:bCs/>
                <w:sz w:val="18"/>
                <w:szCs w:val="20"/>
                <w:lang w:eastAsia="es-BO"/>
              </w:rPr>
            </w:pPr>
            <w:r w:rsidRPr="004B0800">
              <w:rPr>
                <w:rFonts w:asciiTheme="majorBidi" w:hAnsiTheme="majorBidi" w:cstheme="majorBidi"/>
                <w:bCs/>
                <w:sz w:val="18"/>
                <w:lang w:eastAsia="es-BO"/>
              </w:rPr>
              <w:t>1</w:t>
            </w:r>
          </w:p>
        </w:tc>
      </w:tr>
      <w:tr w:rsidR="00064F24" w:rsidRPr="00064F24" w14:paraId="3DFD5C1E" w14:textId="77777777" w:rsidTr="004B0800">
        <w:trPr>
          <w:trHeight w:val="240"/>
        </w:trPr>
        <w:tc>
          <w:tcPr>
            <w:tcW w:w="1809" w:type="dxa"/>
            <w:tcBorders>
              <w:top w:val="single" w:sz="4" w:space="0" w:color="auto"/>
              <w:bottom w:val="single" w:sz="12" w:space="0" w:color="auto"/>
            </w:tcBorders>
            <w:shd w:val="clear" w:color="auto" w:fill="auto"/>
          </w:tcPr>
          <w:p w14:paraId="6253D399" w14:textId="59296BFD" w:rsidR="00BD4745" w:rsidRPr="004B0800" w:rsidRDefault="00A14414" w:rsidP="004B0800">
            <w:pPr>
              <w:spacing w:before="80" w:after="80" w:line="220" w:lineRule="exact"/>
              <w:ind w:left="283"/>
              <w:rPr>
                <w:rFonts w:asciiTheme="majorBidi" w:hAnsiTheme="majorBidi" w:cstheme="majorBidi"/>
                <w:b/>
                <w:sz w:val="18"/>
                <w:szCs w:val="20"/>
              </w:rPr>
            </w:pPr>
            <w:r w:rsidRPr="004B0800">
              <w:rPr>
                <w:rFonts w:asciiTheme="majorBidi" w:hAnsiTheme="majorBidi" w:cstheme="majorBidi"/>
                <w:b/>
                <w:sz w:val="18"/>
              </w:rPr>
              <w:t>Total</w:t>
            </w:r>
          </w:p>
        </w:tc>
        <w:tc>
          <w:tcPr>
            <w:tcW w:w="1134" w:type="dxa"/>
            <w:tcBorders>
              <w:top w:val="single" w:sz="4" w:space="0" w:color="auto"/>
              <w:bottom w:val="single" w:sz="12" w:space="0" w:color="auto"/>
            </w:tcBorders>
            <w:shd w:val="clear" w:color="auto" w:fill="auto"/>
            <w:vAlign w:val="bottom"/>
          </w:tcPr>
          <w:p w14:paraId="44E98F17" w14:textId="77777777" w:rsidR="00BD4745" w:rsidRPr="004B0800" w:rsidRDefault="00BD4745" w:rsidP="004B0800">
            <w:pPr>
              <w:spacing w:before="80" w:after="80" w:line="220" w:lineRule="exact"/>
              <w:jc w:val="right"/>
              <w:rPr>
                <w:rFonts w:asciiTheme="majorBidi" w:hAnsiTheme="majorBidi" w:cstheme="majorBidi"/>
                <w:b/>
                <w:sz w:val="18"/>
                <w:szCs w:val="20"/>
              </w:rPr>
            </w:pPr>
            <w:r w:rsidRPr="004B0800">
              <w:rPr>
                <w:rFonts w:asciiTheme="majorBidi" w:hAnsiTheme="majorBidi" w:cstheme="majorBidi"/>
                <w:b/>
                <w:sz w:val="18"/>
              </w:rPr>
              <w:t>145</w:t>
            </w:r>
          </w:p>
        </w:tc>
        <w:tc>
          <w:tcPr>
            <w:tcW w:w="1276" w:type="dxa"/>
            <w:tcBorders>
              <w:top w:val="single" w:sz="4" w:space="0" w:color="auto"/>
              <w:bottom w:val="single" w:sz="12" w:space="0" w:color="auto"/>
            </w:tcBorders>
            <w:shd w:val="clear" w:color="auto" w:fill="auto"/>
            <w:vAlign w:val="bottom"/>
          </w:tcPr>
          <w:p w14:paraId="4F233E85" w14:textId="77777777" w:rsidR="00BD4745" w:rsidRPr="004B0800" w:rsidRDefault="00BD4745" w:rsidP="004B0800">
            <w:pPr>
              <w:spacing w:before="80" w:after="80" w:line="220" w:lineRule="exact"/>
              <w:jc w:val="right"/>
              <w:rPr>
                <w:rFonts w:asciiTheme="majorBidi" w:hAnsiTheme="majorBidi" w:cstheme="majorBidi"/>
                <w:b/>
                <w:sz w:val="18"/>
                <w:szCs w:val="20"/>
              </w:rPr>
            </w:pPr>
            <w:r w:rsidRPr="004B0800">
              <w:rPr>
                <w:rFonts w:asciiTheme="majorBidi" w:hAnsiTheme="majorBidi" w:cstheme="majorBidi"/>
                <w:b/>
                <w:sz w:val="18"/>
              </w:rPr>
              <w:t>124</w:t>
            </w:r>
          </w:p>
        </w:tc>
        <w:tc>
          <w:tcPr>
            <w:tcW w:w="1276" w:type="dxa"/>
            <w:tcBorders>
              <w:top w:val="single" w:sz="4" w:space="0" w:color="auto"/>
              <w:bottom w:val="single" w:sz="12" w:space="0" w:color="auto"/>
            </w:tcBorders>
            <w:shd w:val="clear" w:color="auto" w:fill="auto"/>
            <w:vAlign w:val="bottom"/>
          </w:tcPr>
          <w:p w14:paraId="16225401" w14:textId="77777777" w:rsidR="00BD4745" w:rsidRPr="004B0800" w:rsidRDefault="00BD4745" w:rsidP="004B0800">
            <w:pPr>
              <w:spacing w:before="80" w:after="80" w:line="220" w:lineRule="exact"/>
              <w:jc w:val="right"/>
              <w:rPr>
                <w:rFonts w:asciiTheme="majorBidi" w:hAnsiTheme="majorBidi" w:cstheme="majorBidi"/>
                <w:b/>
                <w:sz w:val="18"/>
                <w:szCs w:val="20"/>
              </w:rPr>
            </w:pPr>
            <w:r w:rsidRPr="004B0800">
              <w:rPr>
                <w:rFonts w:asciiTheme="majorBidi" w:hAnsiTheme="majorBidi" w:cstheme="majorBidi"/>
                <w:b/>
                <w:sz w:val="18"/>
              </w:rPr>
              <w:t>269</w:t>
            </w:r>
          </w:p>
        </w:tc>
      </w:tr>
    </w:tbl>
    <w:p w14:paraId="3BC3B5C1" w14:textId="0A0704E2" w:rsidR="00BD4745" w:rsidRPr="004B0800" w:rsidRDefault="00BD4745" w:rsidP="004B0800">
      <w:pPr>
        <w:pStyle w:val="SingleTxtG"/>
        <w:spacing w:before="120" w:after="240"/>
        <w:ind w:firstLine="170"/>
        <w:rPr>
          <w:rFonts w:eastAsia="Calibri"/>
          <w:bCs/>
          <w:sz w:val="18"/>
          <w:szCs w:val="18"/>
        </w:rPr>
      </w:pPr>
      <w:r w:rsidRPr="004B0800">
        <w:rPr>
          <w:rFonts w:eastAsia="Calibri"/>
          <w:bCs/>
          <w:i/>
          <w:sz w:val="18"/>
          <w:szCs w:val="18"/>
        </w:rPr>
        <w:t>Fuente:</w:t>
      </w:r>
      <w:r w:rsidRPr="004B0800">
        <w:rPr>
          <w:rFonts w:eastAsia="Calibri"/>
          <w:bCs/>
          <w:sz w:val="18"/>
          <w:szCs w:val="18"/>
        </w:rPr>
        <w:t xml:space="preserve"> </w:t>
      </w:r>
      <w:proofErr w:type="spellStart"/>
      <w:r w:rsidRPr="004B0800">
        <w:rPr>
          <w:rFonts w:eastAsia="Calibri"/>
          <w:bCs/>
          <w:sz w:val="18"/>
          <w:szCs w:val="18"/>
        </w:rPr>
        <w:t>CONARE</w:t>
      </w:r>
      <w:proofErr w:type="spellEnd"/>
      <w:r w:rsidRPr="004B0800">
        <w:rPr>
          <w:rFonts w:eastAsia="Calibri"/>
          <w:bCs/>
          <w:sz w:val="18"/>
          <w:szCs w:val="18"/>
        </w:rPr>
        <w:t xml:space="preserve"> </w:t>
      </w:r>
      <w:r w:rsidR="00A14414">
        <w:rPr>
          <w:rFonts w:eastAsia="Calibri"/>
          <w:bCs/>
          <w:sz w:val="18"/>
          <w:szCs w:val="18"/>
        </w:rPr>
        <w:t>–</w:t>
      </w:r>
      <w:r w:rsidRPr="004B0800">
        <w:rPr>
          <w:rFonts w:eastAsia="Calibri"/>
          <w:bCs/>
          <w:sz w:val="18"/>
          <w:szCs w:val="18"/>
        </w:rPr>
        <w:t xml:space="preserve"> 2021</w:t>
      </w:r>
      <w:r w:rsidR="00A14414">
        <w:rPr>
          <w:rFonts w:eastAsia="Calibri"/>
          <w:bCs/>
          <w:sz w:val="18"/>
          <w:szCs w:val="18"/>
        </w:rPr>
        <w:t>.</w:t>
      </w:r>
    </w:p>
    <w:p w14:paraId="1DC9D423" w14:textId="5F12F91F" w:rsidR="00BD4745" w:rsidRPr="00C24248" w:rsidRDefault="0098102E" w:rsidP="00C24248">
      <w:pPr>
        <w:pStyle w:val="SingleTxtG"/>
        <w:rPr>
          <w:lang w:val="es-ES_tradnl"/>
        </w:rPr>
      </w:pPr>
      <w:r w:rsidRPr="00C24248">
        <w:rPr>
          <w:rFonts w:eastAsiaTheme="minorHAnsi"/>
          <w:lang w:val="es-ES_tradnl" w:eastAsia="en-US"/>
        </w:rPr>
        <w:lastRenderedPageBreak/>
        <w:t>186.</w:t>
      </w:r>
      <w:r w:rsidRPr="00C24248">
        <w:rPr>
          <w:rFonts w:eastAsiaTheme="minorHAnsi"/>
          <w:lang w:val="es-ES_tradnl" w:eastAsia="en-US"/>
        </w:rPr>
        <w:tab/>
      </w:r>
      <w:r w:rsidR="00BD4745" w:rsidRPr="00C24248">
        <w:rPr>
          <w:lang w:val="es-ES_tradnl"/>
        </w:rPr>
        <w:t>La Unidad de Inspectoría y Arraigos de la Dirección General de Migración, viene trabajando una propuesta de Decreto Supremo de regularización en el que se están flexibilizando requisitos, y racionalizando costos.</w:t>
      </w:r>
    </w:p>
    <w:p w14:paraId="62DC12BD" w14:textId="4A531467" w:rsidR="00BD4745" w:rsidRPr="002014CD" w:rsidRDefault="00C24248">
      <w:pPr>
        <w:pStyle w:val="H23G"/>
      </w:pPr>
      <w:r>
        <w:tab/>
      </w:r>
      <w:r w:rsidR="00BD4745" w:rsidRPr="002014CD">
        <w:t>24.</w:t>
      </w:r>
      <w:r>
        <w:tab/>
      </w:r>
      <w:r w:rsidR="0052731F" w:rsidRPr="00ED0B85">
        <w:t xml:space="preserve">Respuesta al </w:t>
      </w:r>
      <w:r w:rsidR="0052731F" w:rsidRPr="001A1E5D">
        <w:t xml:space="preserve">párrafo </w:t>
      </w:r>
      <w:r w:rsidR="0052731F">
        <w:t>24</w:t>
      </w:r>
      <w:r w:rsidR="0052731F" w:rsidRPr="001A1E5D">
        <w:t xml:space="preserve"> </w:t>
      </w:r>
      <w:r w:rsidR="0052731F" w:rsidRPr="001A1E5D">
        <w:rPr>
          <w:lang w:val="es-ES_tradnl"/>
        </w:rPr>
        <w:t xml:space="preserve">de </w:t>
      </w:r>
      <w:r w:rsidR="0052731F">
        <w:rPr>
          <w:lang w:val="es-ES_tradnl"/>
        </w:rPr>
        <w:t>la lista de cuestiones</w:t>
      </w:r>
    </w:p>
    <w:p w14:paraId="2FC7B633" w14:textId="6C6D685B" w:rsidR="00BD4745" w:rsidRPr="00C24248" w:rsidRDefault="00C24248" w:rsidP="00C24248">
      <w:pPr>
        <w:pStyle w:val="SingleTxtG"/>
      </w:pPr>
      <w:r w:rsidRPr="00C24248">
        <w:rPr>
          <w:rFonts w:eastAsiaTheme="minorHAnsi"/>
          <w:lang w:val="es-BO" w:eastAsia="en-US"/>
        </w:rPr>
        <w:t>187.</w:t>
      </w:r>
      <w:r w:rsidRPr="00C24248">
        <w:rPr>
          <w:rFonts w:eastAsiaTheme="minorHAnsi"/>
          <w:lang w:val="es-BO" w:eastAsia="en-US"/>
        </w:rPr>
        <w:tab/>
      </w:r>
      <w:r w:rsidR="00BD4745" w:rsidRPr="00C24248">
        <w:t xml:space="preserve">a) </w:t>
      </w:r>
      <w:proofErr w:type="gramStart"/>
      <w:r w:rsidR="00BD4745" w:rsidRPr="00C24248">
        <w:t>En relación a</w:t>
      </w:r>
      <w:proofErr w:type="gramEnd"/>
      <w:r w:rsidR="00BD4745" w:rsidRPr="00C24248">
        <w:t xml:space="preserve"> este punto manifestar que no se han recibido y/o formalizado denuncias sobre la actuación de la Unidad Policial de Control Migratorio, sobre acciones ilícitas.</w:t>
      </w:r>
    </w:p>
    <w:p w14:paraId="1BA59EB1" w14:textId="70429AD8" w:rsidR="00BD4745" w:rsidRPr="00C24248" w:rsidRDefault="00C24248" w:rsidP="00C24248">
      <w:pPr>
        <w:pStyle w:val="SingleTxtG"/>
        <w:rPr>
          <w:lang w:val="es-ES_tradnl"/>
        </w:rPr>
      </w:pPr>
      <w:r w:rsidRPr="00C24248">
        <w:rPr>
          <w:rFonts w:eastAsiaTheme="minorHAnsi"/>
          <w:lang w:val="es-ES_tradnl" w:eastAsia="en-US"/>
        </w:rPr>
        <w:t>188.</w:t>
      </w:r>
      <w:r w:rsidRPr="00C24248">
        <w:rPr>
          <w:rFonts w:eastAsiaTheme="minorHAnsi"/>
          <w:lang w:val="es-ES_tradnl" w:eastAsia="en-US"/>
        </w:rPr>
        <w:tab/>
      </w:r>
      <w:r w:rsidR="00BD4745" w:rsidRPr="00C24248">
        <w:t xml:space="preserve">b) En materia migratoria, cuando una persona se aproxima al Control Migratorio y manifiesta su deseo de acogerse al Derecho de Refugio, es admitido, previa presentación del documento de identidad o pasaporte según corresponda, y se le conmina a que en un plazo prudente formalice su solicitud de Refugio ante el Consejo Nacional del Refugiado – </w:t>
      </w:r>
      <w:proofErr w:type="spellStart"/>
      <w:r w:rsidR="00BD4745" w:rsidRPr="00C24248">
        <w:t>CONARE</w:t>
      </w:r>
      <w:proofErr w:type="spellEnd"/>
      <w:r w:rsidR="00BD4745" w:rsidRPr="00C24248">
        <w:t>, por lo que se niega que se haya impedido el ingreso al territorio boliviano a solicitantes de refugio en la vigencia de los gobiernos democráticos, dejándose constancia que en el tiempo que duró el gobierno de facto en el país, no se pude afirmar o negar que las autoridades que usurparon el poder en Bolivia, hayan cumplido con el respeto al derecho al</w:t>
      </w:r>
      <w:r w:rsidR="00BD4745" w:rsidRPr="00C24248">
        <w:rPr>
          <w:shd w:val="clear" w:color="auto" w:fill="FFFFFF"/>
          <w:lang w:val="es-ES_tradnl" w:eastAsia="es-ES_tradnl"/>
        </w:rPr>
        <w:t xml:space="preserve"> </w:t>
      </w:r>
      <w:r w:rsidR="00BD4745" w:rsidRPr="00C24248">
        <w:rPr>
          <w:lang w:val="es-ES_tradnl"/>
        </w:rPr>
        <w:t xml:space="preserve">refugio consagrado en la Ley </w:t>
      </w:r>
      <w:proofErr w:type="spellStart"/>
      <w:r w:rsidR="00BD4745" w:rsidRPr="00C24248">
        <w:rPr>
          <w:lang w:val="es-ES_tradnl"/>
        </w:rPr>
        <w:t>Nº</w:t>
      </w:r>
      <w:proofErr w:type="spellEnd"/>
      <w:r w:rsidR="00BD4745" w:rsidRPr="00C24248">
        <w:rPr>
          <w:lang w:val="es-ES_tradnl"/>
        </w:rPr>
        <w:t xml:space="preserve"> 251 del refugiado.</w:t>
      </w:r>
    </w:p>
    <w:p w14:paraId="3BC5AFD0" w14:textId="180942C0" w:rsidR="00BD4745" w:rsidRPr="00C24248" w:rsidRDefault="00C24248" w:rsidP="00C24248">
      <w:pPr>
        <w:pStyle w:val="SingleTxtG"/>
        <w:rPr>
          <w:lang w:val="es-ES_tradnl"/>
        </w:rPr>
      </w:pPr>
      <w:r w:rsidRPr="00C24248">
        <w:rPr>
          <w:rFonts w:eastAsiaTheme="minorHAnsi"/>
          <w:lang w:val="es-ES_tradnl" w:eastAsia="en-US"/>
        </w:rPr>
        <w:t>189.</w:t>
      </w:r>
      <w:r w:rsidRPr="00C24248">
        <w:rPr>
          <w:rFonts w:eastAsiaTheme="minorHAnsi"/>
          <w:lang w:val="es-ES_tradnl" w:eastAsia="en-US"/>
        </w:rPr>
        <w:tab/>
      </w:r>
      <w:r w:rsidR="00BD4745" w:rsidRPr="00C24248">
        <w:rPr>
          <w:lang w:val="es-ES_tradnl"/>
        </w:rPr>
        <w:t xml:space="preserve">c) No se requieren requisitos adicionales a la presentación del documento de identidad o pasaporte si corresponde, para que a la declaración de los ciudadanos (as) de acogerse al Derecho de Refugio se otorgue el ingreso al país y se le conmina a que en un plazo prudente formalice su solicitud ante el </w:t>
      </w:r>
      <w:proofErr w:type="spellStart"/>
      <w:r w:rsidR="00BD4745" w:rsidRPr="00C24248">
        <w:rPr>
          <w:lang w:val="es-ES_tradnl"/>
        </w:rPr>
        <w:t>CONARE</w:t>
      </w:r>
      <w:proofErr w:type="spellEnd"/>
      <w:r w:rsidR="00BD4745" w:rsidRPr="00C24248">
        <w:rPr>
          <w:lang w:val="es-ES_tradnl"/>
        </w:rPr>
        <w:t>.</w:t>
      </w:r>
    </w:p>
    <w:p w14:paraId="29F68B4A" w14:textId="75A2DBF2" w:rsidR="00BD4745" w:rsidRPr="00C24248" w:rsidRDefault="00C24248" w:rsidP="00C24248">
      <w:pPr>
        <w:pStyle w:val="SingleTxtG"/>
        <w:rPr>
          <w:lang w:val="es-ES_tradnl"/>
        </w:rPr>
      </w:pPr>
      <w:r w:rsidRPr="00C24248">
        <w:rPr>
          <w:rFonts w:eastAsiaTheme="minorHAnsi"/>
          <w:lang w:val="es-ES_tradnl" w:eastAsia="en-US"/>
        </w:rPr>
        <w:t>190.</w:t>
      </w:r>
      <w:r w:rsidRPr="00C24248">
        <w:rPr>
          <w:rFonts w:eastAsiaTheme="minorHAnsi"/>
          <w:lang w:val="es-ES_tradnl" w:eastAsia="en-US"/>
        </w:rPr>
        <w:tab/>
      </w:r>
      <w:r w:rsidR="00BD4745" w:rsidRPr="00C24248">
        <w:rPr>
          <w:lang w:val="es-ES_tradnl"/>
        </w:rPr>
        <w:t xml:space="preserve">d) Señalar que la Dirección General de Migración cumple con todos los requisitos exigidos por la Ley </w:t>
      </w:r>
      <w:proofErr w:type="spellStart"/>
      <w:r w:rsidR="00BD4745" w:rsidRPr="00C24248">
        <w:rPr>
          <w:lang w:val="es-ES_tradnl"/>
        </w:rPr>
        <w:t>Nº</w:t>
      </w:r>
      <w:proofErr w:type="spellEnd"/>
      <w:r w:rsidR="00BD4745" w:rsidRPr="00C24248">
        <w:rPr>
          <w:lang w:val="es-ES_tradnl"/>
        </w:rPr>
        <w:t xml:space="preserve"> 370 de Migración y emite la Resoluciones de Salida Obligatoria con estricto apego a las causales descritas en la norma anteriormente citada.</w:t>
      </w:r>
    </w:p>
    <w:p w14:paraId="724A6FB8" w14:textId="4EFFA19E" w:rsidR="00BD4745" w:rsidRPr="00C24248" w:rsidRDefault="0098102E" w:rsidP="00C24248">
      <w:pPr>
        <w:pStyle w:val="SingleTxtG"/>
        <w:rPr>
          <w:lang w:val="es-ES_tradnl"/>
        </w:rPr>
      </w:pPr>
      <w:r w:rsidRPr="00C24248">
        <w:rPr>
          <w:rFonts w:eastAsiaTheme="minorHAnsi"/>
          <w:lang w:val="es-ES_tradnl" w:eastAsia="en-US"/>
        </w:rPr>
        <w:t>191.</w:t>
      </w:r>
      <w:r w:rsidRPr="00C24248">
        <w:rPr>
          <w:rFonts w:eastAsiaTheme="minorHAnsi"/>
          <w:lang w:val="es-ES_tradnl" w:eastAsia="en-US"/>
        </w:rPr>
        <w:tab/>
      </w:r>
      <w:r w:rsidR="00BD4745" w:rsidRPr="00C24248">
        <w:rPr>
          <w:lang w:val="es-ES_tradnl"/>
        </w:rPr>
        <w:t>En cuanto a los ciudadanos venezolanos en situación irregular y a diferencia de otros ciudadanos que fueron encontrados en marzo de 2019, quienes, si eran solicitantes de refugio, se acogieron a la Salida Obligatoria habiendo manifestado su anuencia y solicitado igualmente ser transportados a frontera dada su situación de vulnerabilidad y precariedad.</w:t>
      </w:r>
    </w:p>
    <w:p w14:paraId="2CACDDE1" w14:textId="6AAC8E13" w:rsidR="00BD4745" w:rsidRPr="002014CD" w:rsidRDefault="00C24248">
      <w:pPr>
        <w:pStyle w:val="H1G"/>
        <w:rPr>
          <w:i/>
        </w:rPr>
      </w:pPr>
      <w:r>
        <w:tab/>
      </w:r>
      <w:r>
        <w:tab/>
      </w:r>
      <w:r w:rsidR="00BD4745" w:rsidRPr="002014CD">
        <w:t xml:space="preserve">Pueblos indígenas (arts. </w:t>
      </w:r>
      <w:r w:rsidR="00BD4745" w:rsidRPr="002014CD">
        <w:rPr>
          <w:lang w:val="es-ES_tradnl"/>
        </w:rPr>
        <w:t>2, 25, 26 y 27</w:t>
      </w:r>
      <w:r w:rsidR="00BD4745" w:rsidRPr="002014CD">
        <w:t>)</w:t>
      </w:r>
    </w:p>
    <w:p w14:paraId="7EC8DA46" w14:textId="463B4B34" w:rsidR="00BD4745" w:rsidRPr="002014CD" w:rsidRDefault="00C24248">
      <w:pPr>
        <w:pStyle w:val="H23G"/>
      </w:pPr>
      <w:r>
        <w:tab/>
      </w:r>
      <w:r w:rsidR="00BD4745" w:rsidRPr="002014CD">
        <w:t>25.</w:t>
      </w:r>
      <w:r>
        <w:tab/>
      </w:r>
      <w:r w:rsidR="0052731F" w:rsidRPr="00ED0B85">
        <w:t xml:space="preserve">Respuesta al </w:t>
      </w:r>
      <w:r w:rsidR="0052731F" w:rsidRPr="001A1E5D">
        <w:t xml:space="preserve">párrafo </w:t>
      </w:r>
      <w:r w:rsidR="0052731F">
        <w:t>25</w:t>
      </w:r>
      <w:r w:rsidR="0052731F" w:rsidRPr="001A1E5D">
        <w:t xml:space="preserve"> </w:t>
      </w:r>
      <w:r w:rsidR="0052731F" w:rsidRPr="001A1E5D">
        <w:rPr>
          <w:lang w:val="es-ES_tradnl"/>
        </w:rPr>
        <w:t xml:space="preserve">de </w:t>
      </w:r>
      <w:r w:rsidR="0052731F">
        <w:rPr>
          <w:lang w:val="es-ES_tradnl"/>
        </w:rPr>
        <w:t>la lista de cuestiones</w:t>
      </w:r>
    </w:p>
    <w:p w14:paraId="7A6AB1F4" w14:textId="5F3B6DA4" w:rsidR="00BD4745" w:rsidRPr="00C24248" w:rsidRDefault="0098102E" w:rsidP="00C24248">
      <w:pPr>
        <w:pStyle w:val="SingleTxtG"/>
      </w:pPr>
      <w:r w:rsidRPr="00C24248">
        <w:rPr>
          <w:rFonts w:eastAsiaTheme="minorHAnsi"/>
          <w:lang w:val="es-BO" w:eastAsia="en-US"/>
        </w:rPr>
        <w:t>192.</w:t>
      </w:r>
      <w:r w:rsidRPr="00C24248">
        <w:rPr>
          <w:rFonts w:eastAsiaTheme="minorHAnsi"/>
          <w:lang w:val="es-BO" w:eastAsia="en-US"/>
        </w:rPr>
        <w:tab/>
      </w:r>
      <w:r w:rsidR="00BD4745" w:rsidRPr="00C24248">
        <w:t xml:space="preserve">La </w:t>
      </w:r>
      <w:proofErr w:type="spellStart"/>
      <w:r w:rsidR="00BD4745" w:rsidRPr="00C24248">
        <w:t>CPE</w:t>
      </w:r>
      <w:proofErr w:type="spellEnd"/>
      <w:r w:rsidR="00BD4745" w:rsidRPr="00C24248">
        <w:t xml:space="preserve"> garantiza el derecho a la consulta previa de las </w:t>
      </w:r>
      <w:proofErr w:type="spellStart"/>
      <w:r w:rsidR="00BD4745" w:rsidRPr="00C24248">
        <w:t>NPIOC</w:t>
      </w:r>
      <w:proofErr w:type="spellEnd"/>
      <w:r w:rsidR="00BD4745" w:rsidRPr="00C24248">
        <w:t>, asimismo se encuentra prevista en la Ley de Régimen Electoral, en la Ley de Hidrocarburos, y en la Ley de Minería y Metalurgia (</w:t>
      </w:r>
      <w:proofErr w:type="spellStart"/>
      <w:r w:rsidR="00BD4745" w:rsidRPr="00C24248">
        <w:t>LMyM</w:t>
      </w:r>
      <w:proofErr w:type="spellEnd"/>
      <w:r w:rsidR="00BD4745" w:rsidRPr="00C24248">
        <w:t xml:space="preserve">). </w:t>
      </w:r>
      <w:proofErr w:type="gramStart"/>
      <w:r w:rsidR="00A164D8" w:rsidRPr="00C24248">
        <w:t>Además</w:t>
      </w:r>
      <w:proofErr w:type="gramEnd"/>
      <w:r w:rsidR="00BD4745" w:rsidRPr="00C24248">
        <w:t xml:space="preserve"> los Decretos Supremos </w:t>
      </w:r>
      <w:proofErr w:type="spellStart"/>
      <w:r w:rsidR="00BD4745" w:rsidRPr="00C24248">
        <w:t>N</w:t>
      </w:r>
      <w:r w:rsidR="00A14414">
        <w:t>º</w:t>
      </w:r>
      <w:proofErr w:type="spellEnd"/>
      <w:r w:rsidR="00BD4745" w:rsidRPr="00C24248">
        <w:t xml:space="preserve"> 29033, 29124 y, 29574, establecen los procedimientos para la consulta y participación de las </w:t>
      </w:r>
      <w:proofErr w:type="spellStart"/>
      <w:r w:rsidR="00BD4745" w:rsidRPr="00C24248">
        <w:t>NPIOC</w:t>
      </w:r>
      <w:proofErr w:type="spellEnd"/>
      <w:r w:rsidR="00BD4745" w:rsidRPr="00C24248">
        <w:t xml:space="preserve">, antes de cualquier actividad, obra o proyecto </w:t>
      </w:r>
      <w:proofErr w:type="spellStart"/>
      <w:r w:rsidR="00BD4745" w:rsidRPr="00C24248">
        <w:t>hidrocarburífero</w:t>
      </w:r>
      <w:proofErr w:type="spellEnd"/>
      <w:r w:rsidR="00BD4745" w:rsidRPr="00C24248">
        <w:t>.</w:t>
      </w:r>
    </w:p>
    <w:p w14:paraId="6A39C7A9" w14:textId="3AAE67B0" w:rsidR="00BD4745" w:rsidRPr="00C24248" w:rsidRDefault="0098102E" w:rsidP="00C24248">
      <w:pPr>
        <w:pStyle w:val="SingleTxtG"/>
      </w:pPr>
      <w:r w:rsidRPr="00C24248">
        <w:rPr>
          <w:rFonts w:eastAsiaTheme="minorHAnsi"/>
          <w:lang w:val="es-BO" w:eastAsia="en-US"/>
        </w:rPr>
        <w:t>193.</w:t>
      </w:r>
      <w:r w:rsidRPr="00C24248">
        <w:rPr>
          <w:rFonts w:eastAsiaTheme="minorHAnsi"/>
          <w:lang w:val="es-BO" w:eastAsia="en-US"/>
        </w:rPr>
        <w:tab/>
      </w:r>
      <w:r w:rsidR="00BD4745" w:rsidRPr="00C24248">
        <w:t xml:space="preserve">Por otro lado, el Ministerio de Minería y Metalurgia, en el marco de la </w:t>
      </w:r>
      <w:proofErr w:type="spellStart"/>
      <w:r w:rsidR="00BD4745" w:rsidRPr="00C24248">
        <w:t>LMyM</w:t>
      </w:r>
      <w:proofErr w:type="spellEnd"/>
      <w:r w:rsidR="00BD4745" w:rsidRPr="00C24248">
        <w:t xml:space="preserve"> emitió Resoluciones Administrativas Finales de Consulta Previa y Resoluciones de Recurso de Revocatoria, en un total de 90 entre el periodo de 2016 a 2019.</w:t>
      </w:r>
    </w:p>
    <w:p w14:paraId="45AD9F7F" w14:textId="05EA2418" w:rsidR="00BD4745" w:rsidRPr="00C24248" w:rsidRDefault="0098102E" w:rsidP="00C24248">
      <w:pPr>
        <w:pStyle w:val="SingleTxtG"/>
      </w:pPr>
      <w:r w:rsidRPr="00C24248">
        <w:rPr>
          <w:rFonts w:eastAsiaTheme="minorHAnsi"/>
          <w:lang w:val="es-BO" w:eastAsia="en-US"/>
        </w:rPr>
        <w:t>194.</w:t>
      </w:r>
      <w:r w:rsidRPr="00C24248">
        <w:rPr>
          <w:rFonts w:eastAsiaTheme="minorHAnsi"/>
          <w:lang w:val="es-BO" w:eastAsia="en-US"/>
        </w:rPr>
        <w:tab/>
      </w:r>
      <w:r w:rsidR="00BD4745" w:rsidRPr="00C24248">
        <w:t xml:space="preserve">El Tribunal Supremo Electoral (TSE) aprobó el Reglamento para la Observación y Acompañamiento en Procesos de Consulta Previa, para la verificación documental e información relevada en el desarrollo de las reuniones deliberativas del proceso de consulta previa. La implementación de </w:t>
      </w:r>
      <w:r w:rsidR="00802608">
        <w:t>e</w:t>
      </w:r>
      <w:r w:rsidR="00BD4745" w:rsidRPr="00C24248">
        <w:t>stas medidas, en el marco de la Ley de Régimen Electoral, se relacionan con la realización de proyectos, obras o actividades relativas a la explotación de recursos naturales mineralógicos. El TSE ha registrado desde octubre de 2015 a diciembre de 2019, la notificación y procedencia de 1.236 procesos de consulta previa, bajo observación y acompañamiento, convocados por la Autoridad Jurisdiccional Administrativa Minera (</w:t>
      </w:r>
      <w:proofErr w:type="spellStart"/>
      <w:r w:rsidR="00BD4745" w:rsidRPr="00C24248">
        <w:t>AJAM</w:t>
      </w:r>
      <w:proofErr w:type="spellEnd"/>
      <w:r w:rsidR="00BD4745" w:rsidRPr="00C24248">
        <w:t>).</w:t>
      </w:r>
    </w:p>
    <w:p w14:paraId="30CCA3B4" w14:textId="0E8729DE" w:rsidR="00BD4745" w:rsidRPr="00C24248" w:rsidRDefault="0098102E" w:rsidP="00C24248">
      <w:pPr>
        <w:pStyle w:val="SingleTxtG"/>
      </w:pPr>
      <w:r w:rsidRPr="00C24248">
        <w:rPr>
          <w:rFonts w:eastAsiaTheme="minorHAnsi"/>
          <w:lang w:val="es-BO" w:eastAsia="en-US"/>
        </w:rPr>
        <w:t>195.</w:t>
      </w:r>
      <w:r w:rsidRPr="00C24248">
        <w:rPr>
          <w:rFonts w:eastAsiaTheme="minorHAnsi"/>
          <w:lang w:val="es-BO" w:eastAsia="en-US"/>
        </w:rPr>
        <w:tab/>
      </w:r>
      <w:r w:rsidR="00BD4745" w:rsidRPr="00C24248">
        <w:t>El TSE en cumplimiento de la normativa vigente y de las acciones de observación y acompañamiento, registró 753 procesos concluidos con Resolución de Sala Plena, 36 desistimientos, haciendo un total de 447 durante el periodo de 2015 al 2019.</w:t>
      </w:r>
    </w:p>
    <w:p w14:paraId="181F5EA1" w14:textId="310003FD" w:rsidR="00E04C48" w:rsidRDefault="0098102E" w:rsidP="00A14414">
      <w:pPr>
        <w:pStyle w:val="SingleTxtG"/>
      </w:pPr>
      <w:r w:rsidRPr="00C24248">
        <w:rPr>
          <w:rFonts w:eastAsiaTheme="minorHAnsi"/>
          <w:lang w:val="es-BO" w:eastAsia="en-US"/>
        </w:rPr>
        <w:lastRenderedPageBreak/>
        <w:t>196.</w:t>
      </w:r>
      <w:r w:rsidRPr="00C24248">
        <w:rPr>
          <w:rFonts w:eastAsiaTheme="minorHAnsi"/>
          <w:lang w:val="es-BO" w:eastAsia="en-US"/>
        </w:rPr>
        <w:tab/>
      </w:r>
      <w:r w:rsidR="00BD4745" w:rsidRPr="00C24248">
        <w:t xml:space="preserve">Frente a las actividades extractivas, la legislación sectorial establece respecto a las políticas ambientales y su afectación en el área de influencia o ejecución del proyecto, obra o actividad el efecto diferido de la consulta previa haciendo énfasis en la presencia y disposición de algunos componentes ambientales, en todo caso de la flora o vegetación del territorio en el cual se pretende desarrollar las mismas. </w:t>
      </w:r>
    </w:p>
    <w:p w14:paraId="559F02C6" w14:textId="503A417E" w:rsidR="00A14414" w:rsidRPr="004B0800" w:rsidRDefault="00A14414" w:rsidP="004B0800">
      <w:pPr>
        <w:pStyle w:val="SingleTxtG"/>
        <w:suppressAutoHyphens/>
        <w:spacing w:before="240" w:after="0"/>
        <w:jc w:val="center"/>
        <w:rPr>
          <w:u w:val="single"/>
        </w:rPr>
      </w:pPr>
      <w:r>
        <w:rPr>
          <w:u w:val="single"/>
        </w:rPr>
        <w:tab/>
      </w:r>
      <w:r>
        <w:rPr>
          <w:u w:val="single"/>
        </w:rPr>
        <w:tab/>
      </w:r>
      <w:r>
        <w:rPr>
          <w:u w:val="single"/>
        </w:rPr>
        <w:tab/>
      </w:r>
    </w:p>
    <w:sectPr w:rsidR="00A14414" w:rsidRPr="004B0800" w:rsidSect="00846AD6">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F3CAB" w14:textId="77777777" w:rsidR="00A4292E" w:rsidRDefault="00A4292E"/>
  </w:endnote>
  <w:endnote w:type="continuationSeparator" w:id="0">
    <w:p w14:paraId="67BBE786" w14:textId="77777777" w:rsidR="00A4292E" w:rsidRDefault="00A42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ibre Baskerville">
    <w:altName w:val="Cambria"/>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689AD" w14:textId="0D9B5FBA" w:rsidR="00A4292E" w:rsidRPr="00846AD6" w:rsidRDefault="00A4292E" w:rsidP="00846AD6">
    <w:pPr>
      <w:pStyle w:val="Footer"/>
      <w:tabs>
        <w:tab w:val="right" w:pos="9638"/>
      </w:tabs>
    </w:pPr>
    <w:r w:rsidRPr="00846AD6">
      <w:rPr>
        <w:b/>
        <w:sz w:val="18"/>
      </w:rPr>
      <w:fldChar w:fldCharType="begin"/>
    </w:r>
    <w:r w:rsidRPr="00846AD6">
      <w:rPr>
        <w:b/>
        <w:sz w:val="18"/>
      </w:rPr>
      <w:instrText xml:space="preserve"> PAGE  \* MERGEFORMAT </w:instrText>
    </w:r>
    <w:r w:rsidRPr="00846AD6">
      <w:rPr>
        <w:b/>
        <w:sz w:val="18"/>
      </w:rPr>
      <w:fldChar w:fldCharType="separate"/>
    </w:r>
    <w:r w:rsidR="00D24529">
      <w:rPr>
        <w:b/>
        <w:noProof/>
        <w:sz w:val="18"/>
      </w:rPr>
      <w:t>4</w:t>
    </w:r>
    <w:r w:rsidRPr="00846AD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9CB27" w14:textId="4209AFB0" w:rsidR="00A4292E" w:rsidRPr="00846AD6" w:rsidRDefault="00A4292E" w:rsidP="00846AD6">
    <w:pPr>
      <w:pStyle w:val="Footer"/>
      <w:tabs>
        <w:tab w:val="right" w:pos="9638"/>
      </w:tabs>
      <w:rPr>
        <w:b/>
        <w:sz w:val="18"/>
      </w:rPr>
    </w:pPr>
    <w:r>
      <w:tab/>
    </w:r>
    <w:r w:rsidRPr="00846AD6">
      <w:rPr>
        <w:b/>
        <w:sz w:val="18"/>
      </w:rPr>
      <w:fldChar w:fldCharType="begin"/>
    </w:r>
    <w:r w:rsidRPr="00846AD6">
      <w:rPr>
        <w:b/>
        <w:sz w:val="18"/>
      </w:rPr>
      <w:instrText xml:space="preserve"> PAGE  \* MERGEFORMAT </w:instrText>
    </w:r>
    <w:r w:rsidRPr="00846AD6">
      <w:rPr>
        <w:b/>
        <w:sz w:val="18"/>
      </w:rPr>
      <w:fldChar w:fldCharType="separate"/>
    </w:r>
    <w:r w:rsidR="00D24529">
      <w:rPr>
        <w:b/>
        <w:noProof/>
        <w:sz w:val="18"/>
      </w:rPr>
      <w:t>5</w:t>
    </w:r>
    <w:r w:rsidRPr="00846A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453C" w14:textId="4719242F" w:rsidR="00A4292E" w:rsidRPr="00D84BBA" w:rsidRDefault="00D84BBA" w:rsidP="00D84BBA">
    <w:pPr>
      <w:pStyle w:val="Footer"/>
      <w:tabs>
        <w:tab w:val="left" w:pos="6520"/>
        <w:tab w:val="right" w:pos="9638"/>
      </w:tabs>
      <w:spacing w:before="120" w:line="240" w:lineRule="auto"/>
      <w:rPr>
        <w:sz w:val="20"/>
      </w:rPr>
    </w:pPr>
    <w:proofErr w:type="spellStart"/>
    <w:r>
      <w:rPr>
        <w:sz w:val="20"/>
      </w:rPr>
      <w:t>GE.22</w:t>
    </w:r>
    <w:proofErr w:type="spellEnd"/>
    <w:r>
      <w:rPr>
        <w:sz w:val="20"/>
      </w:rPr>
      <w:t>-</w:t>
    </w:r>
    <w:proofErr w:type="gramStart"/>
    <w:r>
      <w:rPr>
        <w:sz w:val="20"/>
      </w:rPr>
      <w:t>00627  (</w:t>
    </w:r>
    <w:proofErr w:type="gramEnd"/>
    <w:r>
      <w:rPr>
        <w:sz w:val="20"/>
      </w:rPr>
      <w:t>S)</w:t>
    </w:r>
    <w:bookmarkStart w:id="5" w:name="_GoBack"/>
    <w:bookmarkEnd w:id="5"/>
    <w:r>
      <w:rPr>
        <w:sz w:val="20"/>
      </w:rPr>
      <w:tab/>
    </w:r>
    <w:r w:rsidRPr="00D84BBA">
      <w:rPr>
        <w:noProof/>
        <w:sz w:val="20"/>
        <w:lang w:val="fr-CH" w:eastAsia="zh-CN"/>
      </w:rPr>
      <w:drawing>
        <wp:inline distT="0" distB="0" distL="0" distR="0" wp14:anchorId="0F1C1140" wp14:editId="42CE710F">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32850030" wp14:editId="1A5F4783">
          <wp:extent cx="630555" cy="630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60C1B" w14:textId="77777777" w:rsidR="00A4292E" w:rsidRPr="001075E9" w:rsidRDefault="00A4292E" w:rsidP="001075E9">
      <w:pPr>
        <w:tabs>
          <w:tab w:val="right" w:pos="2155"/>
        </w:tabs>
        <w:spacing w:after="80" w:line="240" w:lineRule="auto"/>
        <w:ind w:left="680"/>
        <w:rPr>
          <w:u w:val="single"/>
        </w:rPr>
      </w:pPr>
      <w:r>
        <w:rPr>
          <w:u w:val="single"/>
        </w:rPr>
        <w:tab/>
      </w:r>
    </w:p>
  </w:footnote>
  <w:footnote w:type="continuationSeparator" w:id="0">
    <w:p w14:paraId="38115C5F" w14:textId="77777777" w:rsidR="00A4292E" w:rsidRDefault="00A4292E" w:rsidP="00AE0E02">
      <w:pPr>
        <w:tabs>
          <w:tab w:val="right" w:pos="2155"/>
        </w:tabs>
        <w:spacing w:after="80" w:line="240" w:lineRule="auto"/>
        <w:ind w:left="680"/>
        <w:rPr>
          <w:u w:val="single"/>
        </w:rPr>
      </w:pPr>
      <w:r>
        <w:rPr>
          <w:u w:val="single"/>
        </w:rPr>
        <w:tab/>
      </w:r>
    </w:p>
  </w:footnote>
  <w:footnote w:id="1">
    <w:p w14:paraId="40A7E872" w14:textId="0CFD978E" w:rsidR="00A4292E" w:rsidRPr="004B0800" w:rsidRDefault="00A4292E">
      <w:pPr>
        <w:pStyle w:val="FootnoteText"/>
        <w:rPr>
          <w:sz w:val="20"/>
        </w:rPr>
      </w:pPr>
      <w:r>
        <w:tab/>
      </w:r>
      <w:r w:rsidRPr="004B0800">
        <w:rPr>
          <w:rStyle w:val="FootnoteReference"/>
          <w:sz w:val="20"/>
          <w:vertAlign w:val="baseline"/>
        </w:rPr>
        <w:t>*</w:t>
      </w:r>
      <w:r w:rsidRPr="004B0800">
        <w:rPr>
          <w:rStyle w:val="FootnoteReference"/>
          <w:vertAlign w:val="baseline"/>
        </w:rPr>
        <w:tab/>
      </w:r>
      <w:r>
        <w:t>El</w:t>
      </w:r>
      <w:r w:rsidRPr="00B723D4">
        <w:t xml:space="preserve"> presente documento </w:t>
      </w:r>
      <w:r>
        <w:t>se publica sin haber sido</w:t>
      </w:r>
      <w:r w:rsidRPr="00B723D4">
        <w:t xml:space="preserve"> objeto de revisión editorial oficial.</w:t>
      </w:r>
    </w:p>
  </w:footnote>
  <w:footnote w:id="2">
    <w:p w14:paraId="660A1B21" w14:textId="3ACA1519" w:rsidR="00A4292E" w:rsidRPr="00B741F1" w:rsidRDefault="00A4292E" w:rsidP="00BD4745">
      <w:pPr>
        <w:pStyle w:val="FootnoteText"/>
        <w:jc w:val="both"/>
        <w:rPr>
          <w:lang w:val="es-BO"/>
        </w:rPr>
      </w:pPr>
      <w:r>
        <w:tab/>
      </w:r>
      <w:r>
        <w:rPr>
          <w:rStyle w:val="FootnoteReference"/>
        </w:rPr>
        <w:footnoteRef/>
      </w:r>
      <w:r>
        <w:t xml:space="preserve"> </w:t>
      </w:r>
      <w:r>
        <w:tab/>
      </w:r>
      <w:r w:rsidRPr="00B741F1">
        <w:rPr>
          <w:lang w:val="es-BO"/>
        </w:rPr>
        <w:t>Se refirió a la jurisprudencia del Comité respecto a los elementos del debido proceso.</w:t>
      </w:r>
    </w:p>
  </w:footnote>
  <w:footnote w:id="3">
    <w:p w14:paraId="2CBFAA6A" w14:textId="2673AD0E" w:rsidR="00A4292E" w:rsidRPr="00B741F1" w:rsidRDefault="00A4292E" w:rsidP="00BD4745">
      <w:pPr>
        <w:pStyle w:val="FootnoteText"/>
        <w:jc w:val="both"/>
        <w:rPr>
          <w:lang w:val="es-BO"/>
        </w:rPr>
      </w:pPr>
      <w:r w:rsidRPr="00B741F1">
        <w:rPr>
          <w:lang w:val="es-BO"/>
        </w:rPr>
        <w:tab/>
      </w:r>
      <w:r w:rsidRPr="00B741F1">
        <w:rPr>
          <w:rStyle w:val="FootnoteReference"/>
        </w:rPr>
        <w:footnoteRef/>
      </w:r>
      <w:r w:rsidRPr="00B741F1">
        <w:t xml:space="preserve"> </w:t>
      </w:r>
      <w:r>
        <w:tab/>
      </w:r>
      <w:r w:rsidRPr="00B741F1">
        <w:rPr>
          <w:lang w:val="es-BO"/>
        </w:rPr>
        <w:t>Se refirió a la Observación General 32 sobre la igualdad ante los tribunales de justicia y la equidad procesal de las partes.</w:t>
      </w:r>
    </w:p>
  </w:footnote>
  <w:footnote w:id="4">
    <w:p w14:paraId="4FF96DC9" w14:textId="3EA86ABC" w:rsidR="00A4292E" w:rsidRPr="0004454B" w:rsidRDefault="00A4292E" w:rsidP="00BD4745">
      <w:pPr>
        <w:pStyle w:val="FootnoteText"/>
        <w:jc w:val="both"/>
        <w:rPr>
          <w:lang w:val="es-BO"/>
        </w:rPr>
      </w:pPr>
      <w:r w:rsidRPr="00B741F1">
        <w:tab/>
      </w:r>
      <w:r w:rsidRPr="00B741F1">
        <w:rPr>
          <w:rStyle w:val="FootnoteReference"/>
        </w:rPr>
        <w:footnoteRef/>
      </w:r>
      <w:r w:rsidRPr="00B741F1">
        <w:t xml:space="preserve"> </w:t>
      </w:r>
      <w:r>
        <w:tab/>
      </w:r>
      <w:r w:rsidRPr="00B741F1">
        <w:rPr>
          <w:lang w:val="es-BO"/>
        </w:rPr>
        <w:t>Se refirió a la Observación General 27, señalando que no basta perseguir un fin legítimo con la detención, sino además deben ser necesarios y proporcionales con el interés a protegerse, deber tanto de las autoridades judiciales como administrativas.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FB254" w14:textId="1D1FA30B" w:rsidR="00A4292E" w:rsidRPr="00846AD6" w:rsidRDefault="00A4292E">
    <w:pPr>
      <w:pStyle w:val="Header"/>
    </w:pPr>
    <w:proofErr w:type="spellStart"/>
    <w:r>
      <w:t>CCPR</w:t>
    </w:r>
    <w:proofErr w:type="spellEnd"/>
    <w:r>
      <w:t>/C/BOL/</w:t>
    </w:r>
    <w:proofErr w:type="spellStart"/>
    <w:r>
      <w:t>RQ</w:t>
    </w:r>
    <w:proofErr w:type="spellEnd"/>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5E6C" w14:textId="4BD46A31" w:rsidR="00A4292E" w:rsidRPr="00BD4745" w:rsidRDefault="00A4292E" w:rsidP="00846AD6">
    <w:pPr>
      <w:pStyle w:val="Header"/>
      <w:jc w:val="right"/>
      <w:rPr>
        <w:lang w:val="en-GB"/>
      </w:rPr>
    </w:pPr>
    <w:proofErr w:type="spellStart"/>
    <w:r>
      <w:rPr>
        <w:lang w:val="en-GB"/>
      </w:rPr>
      <w:t>CCPR</w:t>
    </w:r>
    <w:proofErr w:type="spellEnd"/>
    <w:r>
      <w:rPr>
        <w:lang w:val="en-GB"/>
      </w:rPr>
      <w:t>/C/BOL/</w:t>
    </w:r>
    <w:proofErr w:type="spellStart"/>
    <w:r>
      <w:rPr>
        <w:lang w:val="en-GB"/>
      </w:rPr>
      <w:t>RQ</w:t>
    </w:r>
    <w:proofErr w:type="spellEnd"/>
    <w:r>
      <w:rPr>
        <w:lang w:val="en-GB"/>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0ADD" w14:textId="77777777" w:rsidR="00F4694B" w:rsidRDefault="00F46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0F544D7C"/>
    <w:lvl w:ilvl="0" w:tplc="0E12463C">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8CF0765E"/>
    <w:lvl w:ilvl="0" w:tplc="8CC6182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s-B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s-AR" w:vendorID="64" w:dllVersion="6" w:nlCheck="1" w:checkStyle="0"/>
  <w:activeWritingStyle w:appName="MSWord" w:lang="es-SV" w:vendorID="64" w:dllVersion="6" w:nlCheck="1" w:checkStyle="0"/>
  <w:activeWritingStyle w:appName="MSWord" w:lang="en-GB" w:vendorID="64" w:dllVersion="6" w:nlCheck="1" w:checkStyle="1"/>
  <w:activeWritingStyle w:appName="MSWord" w:lang="es-ES" w:vendorID="64" w:dllVersion="0" w:nlCheck="1" w:checkStyle="0"/>
  <w:activeWritingStyle w:appName="MSWord" w:lang="es-BO"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s-SV" w:vendorID="64" w:dllVersion="0" w:nlCheck="1" w:checkStyle="0"/>
  <w:activeWritingStyle w:appName="MSWord" w:lang="es-AR"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AA"/>
    <w:rsid w:val="00006BB9"/>
    <w:rsid w:val="0002501C"/>
    <w:rsid w:val="0005274F"/>
    <w:rsid w:val="00064F24"/>
    <w:rsid w:val="000A36A2"/>
    <w:rsid w:val="000B3794"/>
    <w:rsid w:val="000B57E7"/>
    <w:rsid w:val="000D06E8"/>
    <w:rsid w:val="000E4375"/>
    <w:rsid w:val="000E5F00"/>
    <w:rsid w:val="000F09DF"/>
    <w:rsid w:val="000F61B2"/>
    <w:rsid w:val="00104871"/>
    <w:rsid w:val="001075E9"/>
    <w:rsid w:val="001471D3"/>
    <w:rsid w:val="00160FF7"/>
    <w:rsid w:val="00180183"/>
    <w:rsid w:val="00196389"/>
    <w:rsid w:val="001A1E5D"/>
    <w:rsid w:val="001A1F00"/>
    <w:rsid w:val="001A21DB"/>
    <w:rsid w:val="001C7A89"/>
    <w:rsid w:val="002014CD"/>
    <w:rsid w:val="00225FBB"/>
    <w:rsid w:val="0022765D"/>
    <w:rsid w:val="00280336"/>
    <w:rsid w:val="0028087D"/>
    <w:rsid w:val="002A061F"/>
    <w:rsid w:val="002A0D03"/>
    <w:rsid w:val="002A2EFC"/>
    <w:rsid w:val="002A6FA7"/>
    <w:rsid w:val="002C0E18"/>
    <w:rsid w:val="002C33BB"/>
    <w:rsid w:val="002D30BC"/>
    <w:rsid w:val="002D5AAC"/>
    <w:rsid w:val="002D7C8D"/>
    <w:rsid w:val="002E092A"/>
    <w:rsid w:val="002F13FE"/>
    <w:rsid w:val="00301299"/>
    <w:rsid w:val="00322004"/>
    <w:rsid w:val="003402C2"/>
    <w:rsid w:val="00347EF9"/>
    <w:rsid w:val="00355E32"/>
    <w:rsid w:val="0036261E"/>
    <w:rsid w:val="00375D36"/>
    <w:rsid w:val="00381C24"/>
    <w:rsid w:val="003958D0"/>
    <w:rsid w:val="00397866"/>
    <w:rsid w:val="003C15F4"/>
    <w:rsid w:val="003E1F6E"/>
    <w:rsid w:val="004039A7"/>
    <w:rsid w:val="00411A36"/>
    <w:rsid w:val="00454E07"/>
    <w:rsid w:val="004744DF"/>
    <w:rsid w:val="004875CF"/>
    <w:rsid w:val="004B0800"/>
    <w:rsid w:val="004E11E7"/>
    <w:rsid w:val="004E4B46"/>
    <w:rsid w:val="0050108D"/>
    <w:rsid w:val="00517E4C"/>
    <w:rsid w:val="0052731F"/>
    <w:rsid w:val="005404B6"/>
    <w:rsid w:val="005437DF"/>
    <w:rsid w:val="0056787C"/>
    <w:rsid w:val="00572E19"/>
    <w:rsid w:val="005A62F3"/>
    <w:rsid w:val="005B3E01"/>
    <w:rsid w:val="005C7B1D"/>
    <w:rsid w:val="005E0E4D"/>
    <w:rsid w:val="005F0B42"/>
    <w:rsid w:val="005F28A8"/>
    <w:rsid w:val="00614642"/>
    <w:rsid w:val="00655A21"/>
    <w:rsid w:val="00660CE8"/>
    <w:rsid w:val="006678D4"/>
    <w:rsid w:val="006808A9"/>
    <w:rsid w:val="0068575A"/>
    <w:rsid w:val="006B0404"/>
    <w:rsid w:val="006F35EE"/>
    <w:rsid w:val="007021FF"/>
    <w:rsid w:val="007076CB"/>
    <w:rsid w:val="00721764"/>
    <w:rsid w:val="007431C8"/>
    <w:rsid w:val="007967DF"/>
    <w:rsid w:val="007A0D9C"/>
    <w:rsid w:val="007B0AAA"/>
    <w:rsid w:val="007B7FD3"/>
    <w:rsid w:val="007C6BD9"/>
    <w:rsid w:val="007C7DB6"/>
    <w:rsid w:val="007D4A6D"/>
    <w:rsid w:val="00802608"/>
    <w:rsid w:val="00834B71"/>
    <w:rsid w:val="00846AD6"/>
    <w:rsid w:val="0086445C"/>
    <w:rsid w:val="00864E5B"/>
    <w:rsid w:val="00887BA6"/>
    <w:rsid w:val="008A08D7"/>
    <w:rsid w:val="008A1015"/>
    <w:rsid w:val="008A13F9"/>
    <w:rsid w:val="008D5DB6"/>
    <w:rsid w:val="008E2118"/>
    <w:rsid w:val="008F33D2"/>
    <w:rsid w:val="00906890"/>
    <w:rsid w:val="00916396"/>
    <w:rsid w:val="00942482"/>
    <w:rsid w:val="00945B27"/>
    <w:rsid w:val="00951972"/>
    <w:rsid w:val="00960AEB"/>
    <w:rsid w:val="00963777"/>
    <w:rsid w:val="0098102E"/>
    <w:rsid w:val="009946B1"/>
    <w:rsid w:val="009B452A"/>
    <w:rsid w:val="009B4E5E"/>
    <w:rsid w:val="009C23DD"/>
    <w:rsid w:val="00A14414"/>
    <w:rsid w:val="00A164D8"/>
    <w:rsid w:val="00A17DFD"/>
    <w:rsid w:val="00A4292E"/>
    <w:rsid w:val="00A81257"/>
    <w:rsid w:val="00A917B3"/>
    <w:rsid w:val="00AA55BA"/>
    <w:rsid w:val="00AA6A62"/>
    <w:rsid w:val="00AB4B51"/>
    <w:rsid w:val="00AE0E02"/>
    <w:rsid w:val="00AE4CC4"/>
    <w:rsid w:val="00B10CC7"/>
    <w:rsid w:val="00B210A1"/>
    <w:rsid w:val="00B511D3"/>
    <w:rsid w:val="00B54D3D"/>
    <w:rsid w:val="00B62458"/>
    <w:rsid w:val="00BB3D0C"/>
    <w:rsid w:val="00BB54D0"/>
    <w:rsid w:val="00BB55CF"/>
    <w:rsid w:val="00BD33EE"/>
    <w:rsid w:val="00BD38C2"/>
    <w:rsid w:val="00BD4745"/>
    <w:rsid w:val="00C203A4"/>
    <w:rsid w:val="00C2215B"/>
    <w:rsid w:val="00C24248"/>
    <w:rsid w:val="00C27194"/>
    <w:rsid w:val="00C27ECE"/>
    <w:rsid w:val="00C33381"/>
    <w:rsid w:val="00C418EE"/>
    <w:rsid w:val="00C56FC7"/>
    <w:rsid w:val="00C60F0C"/>
    <w:rsid w:val="00C66AA2"/>
    <w:rsid w:val="00C76505"/>
    <w:rsid w:val="00C805C9"/>
    <w:rsid w:val="00CA1679"/>
    <w:rsid w:val="00CA1E36"/>
    <w:rsid w:val="00CC0636"/>
    <w:rsid w:val="00CC0B02"/>
    <w:rsid w:val="00CE3967"/>
    <w:rsid w:val="00D24529"/>
    <w:rsid w:val="00D5042C"/>
    <w:rsid w:val="00D809C0"/>
    <w:rsid w:val="00D80BBB"/>
    <w:rsid w:val="00D81553"/>
    <w:rsid w:val="00D84BBA"/>
    <w:rsid w:val="00D90138"/>
    <w:rsid w:val="00DE44AD"/>
    <w:rsid w:val="00E04C48"/>
    <w:rsid w:val="00E34B50"/>
    <w:rsid w:val="00E44F0E"/>
    <w:rsid w:val="00E73F76"/>
    <w:rsid w:val="00EA164F"/>
    <w:rsid w:val="00EB5403"/>
    <w:rsid w:val="00EC08C9"/>
    <w:rsid w:val="00EE3206"/>
    <w:rsid w:val="00EF1360"/>
    <w:rsid w:val="00EF3220"/>
    <w:rsid w:val="00EF700A"/>
    <w:rsid w:val="00F26F0C"/>
    <w:rsid w:val="00F37024"/>
    <w:rsid w:val="00F44B33"/>
    <w:rsid w:val="00F4694B"/>
    <w:rsid w:val="00F559A9"/>
    <w:rsid w:val="00F71A97"/>
    <w:rsid w:val="00F94155"/>
    <w:rsid w:val="00FD2EF7"/>
    <w:rsid w:val="00FD3188"/>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23B998D"/>
  <w15:docId w15:val="{90F11087-CEE5-4A3F-8CD3-AC17589F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2" w:uiPriority="9" w:qFormat="1"/>
    <w:lsdException w:name="heading 3"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Heading1">
    <w:name w:val="heading 1"/>
    <w:aliases w:val="Cuadro_G"/>
    <w:basedOn w:val="SingleTxtG"/>
    <w:next w:val="SingleTxtG"/>
    <w:link w:val="Heading1Char"/>
    <w:uiPriority w:val="9"/>
    <w:qFormat/>
    <w:rsid w:val="00064F24"/>
    <w:pPr>
      <w:keepNext/>
      <w:keepLines/>
      <w:suppressAutoHyphens/>
      <w:kinsoku w:val="0"/>
      <w:overflowPunct w:val="0"/>
      <w:autoSpaceDE w:val="0"/>
      <w:autoSpaceDN w:val="0"/>
      <w:adjustRightInd w:val="0"/>
      <w:snapToGrid w:val="0"/>
      <w:spacing w:after="0" w:line="240" w:lineRule="auto"/>
      <w:ind w:left="0" w:right="0"/>
      <w:jc w:val="left"/>
      <w:outlineLvl w:val="0"/>
    </w:pPr>
    <w:rPr>
      <w:lang w:val="fr-CH" w:eastAsia="en-US"/>
    </w:rPr>
  </w:style>
  <w:style w:type="paragraph" w:styleId="Heading2">
    <w:name w:val="heading 2"/>
    <w:basedOn w:val="Normal"/>
    <w:next w:val="Normal"/>
    <w:link w:val="Heading2Char"/>
    <w:uiPriority w:val="9"/>
    <w:qFormat/>
    <w:rsid w:val="00BB3D0C"/>
    <w:pPr>
      <w:keepNext/>
      <w:outlineLvl w:val="1"/>
    </w:pPr>
    <w:rPr>
      <w:rFonts w:cs="Arial"/>
      <w:bCs/>
      <w:iCs/>
      <w:szCs w:val="28"/>
    </w:rPr>
  </w:style>
  <w:style w:type="paragraph" w:styleId="Heading3">
    <w:name w:val="heading 3"/>
    <w:basedOn w:val="Normal"/>
    <w:next w:val="Normal"/>
    <w:link w:val="Heading3Char"/>
    <w:uiPriority w:val="9"/>
    <w:semiHidden/>
    <w:qFormat/>
    <w:rsid w:val="00BB3D0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BB3D0C"/>
    <w:pPr>
      <w:keepNext/>
      <w:spacing w:before="240" w:after="60"/>
      <w:outlineLvl w:val="3"/>
    </w:pPr>
    <w:rPr>
      <w:b/>
      <w:bCs/>
      <w:sz w:val="28"/>
      <w:szCs w:val="28"/>
    </w:rPr>
  </w:style>
  <w:style w:type="paragraph" w:styleId="Heading5">
    <w:name w:val="heading 5"/>
    <w:basedOn w:val="Normal"/>
    <w:next w:val="Normal"/>
    <w:link w:val="Heading5Char"/>
    <w:uiPriority w:val="9"/>
    <w:semiHidden/>
    <w:qFormat/>
    <w:rsid w:val="00BB3D0C"/>
    <w:pPr>
      <w:spacing w:before="240" w:after="60"/>
      <w:outlineLvl w:val="4"/>
    </w:pPr>
    <w:rPr>
      <w:b/>
      <w:bCs/>
      <w:i/>
      <w:iCs/>
      <w:sz w:val="26"/>
      <w:szCs w:val="26"/>
    </w:rPr>
  </w:style>
  <w:style w:type="paragraph" w:styleId="Heading6">
    <w:name w:val="heading 6"/>
    <w:basedOn w:val="Normal"/>
    <w:next w:val="Normal"/>
    <w:link w:val="Heading6Char"/>
    <w:semiHidden/>
    <w:rsid w:val="00BB3D0C"/>
    <w:pPr>
      <w:spacing w:before="240" w:after="60"/>
      <w:outlineLvl w:val="5"/>
    </w:pPr>
    <w:rPr>
      <w:b/>
      <w:bCs/>
      <w:sz w:val="22"/>
      <w:szCs w:val="22"/>
    </w:rPr>
  </w:style>
  <w:style w:type="paragraph" w:styleId="Heading7">
    <w:name w:val="heading 7"/>
    <w:basedOn w:val="Normal"/>
    <w:next w:val="Normal"/>
    <w:link w:val="Heading7Char"/>
    <w:semiHidden/>
    <w:rsid w:val="00BB3D0C"/>
    <w:pPr>
      <w:spacing w:before="240" w:after="60"/>
      <w:outlineLvl w:val="6"/>
    </w:pPr>
    <w:rPr>
      <w:sz w:val="24"/>
      <w:szCs w:val="24"/>
    </w:rPr>
  </w:style>
  <w:style w:type="paragraph" w:styleId="Heading8">
    <w:name w:val="heading 8"/>
    <w:basedOn w:val="Normal"/>
    <w:next w:val="Normal"/>
    <w:link w:val="Heading8Char"/>
    <w:semiHidden/>
    <w:rsid w:val="00BB3D0C"/>
    <w:pPr>
      <w:spacing w:before="240" w:after="60"/>
      <w:outlineLvl w:val="7"/>
    </w:pPr>
    <w:rPr>
      <w:i/>
      <w:iCs/>
      <w:sz w:val="24"/>
      <w:szCs w:val="24"/>
    </w:rPr>
  </w:style>
  <w:style w:type="paragraph" w:styleId="Heading9">
    <w:name w:val="heading 9"/>
    <w:basedOn w:val="Normal"/>
    <w:next w:val="Normal"/>
    <w:link w:val="Heading9Char"/>
    <w:semiHidden/>
    <w:rsid w:val="00BB3D0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Texto de nota al pie,Appel note de bas de page,referencia nota al pie,BVI fnr,Footnote number,Ref. de nota al pie.,16 Point,Superscript 6 Point,Texto nota al pie,Footnote Reference Char3,Footnote symbol"/>
    <w:uiPriority w:val="99"/>
    <w:qFormat/>
    <w:rsid w:val="00BB3D0C"/>
    <w:rPr>
      <w:rFonts w:ascii="Times New Roman" w:hAnsi="Times New Roman"/>
      <w:sz w:val="18"/>
      <w:vertAlign w:val="superscript"/>
    </w:rPr>
  </w:style>
  <w:style w:type="paragraph" w:customStyle="1" w:styleId="HMG">
    <w:name w:val="_ H __M_G"/>
    <w:basedOn w:val="Normal"/>
    <w:next w:val="Normal"/>
    <w:link w:val="HMGChar"/>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rsid w:val="00BB3D0C"/>
    <w:pPr>
      <w:keepNext/>
      <w:keepLines/>
      <w:spacing w:before="240" w:after="240" w:line="580" w:lineRule="exact"/>
      <w:ind w:left="1134" w:right="1134"/>
    </w:pPr>
    <w:rPr>
      <w:b/>
      <w:sz w:val="56"/>
    </w:rPr>
  </w:style>
  <w:style w:type="paragraph" w:customStyle="1" w:styleId="SSG">
    <w:name w:val="__S_S_G"/>
    <w:basedOn w:val="Normal"/>
    <w:next w:val="Normal"/>
    <w:rsid w:val="00BB3D0C"/>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BB3D0C"/>
    <w:rPr>
      <w:sz w:val="16"/>
    </w:rPr>
  </w:style>
  <w:style w:type="paragraph" w:customStyle="1" w:styleId="XLargeG">
    <w:name w:val="__XLarge_G"/>
    <w:basedOn w:val="Normal"/>
    <w:next w:val="Normal"/>
    <w:rsid w:val="00BB3D0C"/>
    <w:pPr>
      <w:keepNext/>
      <w:keepLines/>
      <w:spacing w:before="240" w:after="240" w:line="420" w:lineRule="exact"/>
      <w:ind w:left="1134" w:right="1134"/>
    </w:pPr>
    <w:rPr>
      <w:b/>
      <w:sz w:val="40"/>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FootnoteTextChar"/>
    <w:uiPriority w:val="99"/>
    <w:qFormat/>
    <w:rsid w:val="00BB3D0C"/>
    <w:pPr>
      <w:tabs>
        <w:tab w:val="right" w:pos="1021"/>
      </w:tabs>
      <w:spacing w:line="220" w:lineRule="exact"/>
      <w:ind w:left="1134" w:right="1134" w:hanging="1134"/>
    </w:pPr>
    <w:rPr>
      <w:sz w:val="18"/>
    </w:rPr>
  </w:style>
  <w:style w:type="table" w:styleId="TableGrid">
    <w:name w:val="Table Grid"/>
    <w:basedOn w:val="TableNormal"/>
    <w:uiPriority w:val="39"/>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BB3D0C"/>
  </w:style>
  <w:style w:type="numbering" w:styleId="1ai">
    <w:name w:val="Outline List 1"/>
    <w:basedOn w:val="NoList"/>
    <w:rsid w:val="00BB3D0C"/>
  </w:style>
  <w:style w:type="character" w:styleId="HTMLAcronym">
    <w:name w:val="HTML Acronym"/>
    <w:basedOn w:val="DefaultParagraphFont"/>
    <w:semiHidden/>
    <w:rsid w:val="00BB3D0C"/>
  </w:style>
  <w:style w:type="numbering" w:styleId="ArticleSection">
    <w:name w:val="Outline List 3"/>
    <w:basedOn w:val="NoList"/>
    <w:rsid w:val="00BB3D0C"/>
  </w:style>
  <w:style w:type="paragraph" w:styleId="Closing">
    <w:name w:val="Closing"/>
    <w:basedOn w:val="Normal"/>
    <w:link w:val="ClosingChar"/>
    <w:semiHidden/>
    <w:rsid w:val="00BB3D0C"/>
    <w:pPr>
      <w:ind w:left="4252"/>
    </w:pPr>
  </w:style>
  <w:style w:type="character" w:styleId="HTMLCite">
    <w:name w:val="HTML Cite"/>
    <w:semiHidden/>
    <w:rsid w:val="00BB3D0C"/>
    <w:rPr>
      <w:i/>
      <w:iCs/>
    </w:rPr>
  </w:style>
  <w:style w:type="character" w:styleId="HTMLCode">
    <w:name w:val="HTML Code"/>
    <w:semiHidden/>
    <w:rsid w:val="00BB3D0C"/>
    <w:rPr>
      <w:rFonts w:ascii="Courier New" w:hAnsi="Courier New" w:cs="Courier New"/>
      <w:sz w:val="20"/>
      <w:szCs w:val="20"/>
    </w:rPr>
  </w:style>
  <w:style w:type="paragraph" w:styleId="ListContinue">
    <w:name w:val="List Continue"/>
    <w:basedOn w:val="Normal"/>
    <w:semiHidden/>
    <w:rsid w:val="00BB3D0C"/>
    <w:pPr>
      <w:spacing w:after="120"/>
      <w:ind w:left="283"/>
    </w:pPr>
  </w:style>
  <w:style w:type="paragraph" w:styleId="ListContinue2">
    <w:name w:val="List Continue 2"/>
    <w:basedOn w:val="Normal"/>
    <w:semiHidden/>
    <w:rsid w:val="00BB3D0C"/>
    <w:pPr>
      <w:spacing w:after="120"/>
      <w:ind w:left="566"/>
    </w:pPr>
  </w:style>
  <w:style w:type="paragraph" w:styleId="ListContinue3">
    <w:name w:val="List Continue 3"/>
    <w:basedOn w:val="Normal"/>
    <w:semiHidden/>
    <w:rsid w:val="00BB3D0C"/>
    <w:pPr>
      <w:spacing w:after="120"/>
      <w:ind w:left="849"/>
    </w:pPr>
  </w:style>
  <w:style w:type="paragraph" w:styleId="ListContinue4">
    <w:name w:val="List Continue 4"/>
    <w:basedOn w:val="Normal"/>
    <w:semiHidden/>
    <w:rsid w:val="00BB3D0C"/>
    <w:pPr>
      <w:spacing w:after="120"/>
      <w:ind w:left="1132"/>
    </w:pPr>
  </w:style>
  <w:style w:type="paragraph" w:styleId="ListContinue5">
    <w:name w:val="List Continue 5"/>
    <w:basedOn w:val="Normal"/>
    <w:semiHidden/>
    <w:rsid w:val="00BB3D0C"/>
    <w:pPr>
      <w:spacing w:after="120"/>
      <w:ind w:left="1415"/>
    </w:pPr>
  </w:style>
  <w:style w:type="character" w:styleId="HTMLDefinition">
    <w:name w:val="HTML Definition"/>
    <w:semiHidden/>
    <w:rsid w:val="00BB3D0C"/>
    <w:rPr>
      <w:i/>
      <w:iCs/>
    </w:rPr>
  </w:style>
  <w:style w:type="paragraph" w:styleId="HTMLAddress">
    <w:name w:val="HTML Address"/>
    <w:basedOn w:val="Normal"/>
    <w:link w:val="HTMLAddressChar"/>
    <w:semiHidden/>
    <w:rsid w:val="00BB3D0C"/>
    <w:rPr>
      <w:i/>
      <w:iCs/>
    </w:rPr>
  </w:style>
  <w:style w:type="paragraph" w:styleId="EnvelopeAddress">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BB3D0C"/>
    <w:rPr>
      <w:rFonts w:ascii="Courier New" w:hAnsi="Courier New" w:cs="Courier New"/>
    </w:rPr>
  </w:style>
  <w:style w:type="paragraph" w:styleId="MessageHeader">
    <w:name w:val="Message Header"/>
    <w:basedOn w:val="Normal"/>
    <w:link w:val="MessageHeaderCh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BB3D0C"/>
  </w:style>
  <w:style w:type="character" w:styleId="Emphasis">
    <w:name w:val="Emphasis"/>
    <w:rsid w:val="00BB3D0C"/>
    <w:rPr>
      <w:i/>
      <w:iCs/>
    </w:rPr>
  </w:style>
  <w:style w:type="paragraph" w:styleId="Date">
    <w:name w:val="Date"/>
    <w:basedOn w:val="Normal"/>
    <w:next w:val="Normal"/>
    <w:link w:val="DateChar"/>
    <w:semiHidden/>
    <w:rsid w:val="00BB3D0C"/>
  </w:style>
  <w:style w:type="paragraph" w:styleId="Signature">
    <w:name w:val="Signature"/>
    <w:basedOn w:val="Normal"/>
    <w:link w:val="SignatureChar"/>
    <w:semiHidden/>
    <w:rsid w:val="00BB3D0C"/>
    <w:pPr>
      <w:ind w:left="4252"/>
    </w:pPr>
  </w:style>
  <w:style w:type="paragraph" w:styleId="E-mailSignature">
    <w:name w:val="E-mail Signature"/>
    <w:basedOn w:val="Normal"/>
    <w:link w:val="E-mailSignatureChar"/>
    <w:semiHidden/>
    <w:rsid w:val="00BB3D0C"/>
  </w:style>
  <w:style w:type="character" w:styleId="Hyperlink">
    <w:name w:val="Hyperlink"/>
    <w:uiPriority w:val="99"/>
    <w:rsid w:val="00BB3D0C"/>
    <w:rPr>
      <w:color w:val="0000FF"/>
      <w:u w:val="none"/>
    </w:rPr>
  </w:style>
  <w:style w:type="character" w:styleId="FollowedHyperlink">
    <w:name w:val="FollowedHyperlink"/>
    <w:rsid w:val="00BB3D0C"/>
    <w:rPr>
      <w:color w:val="0000FF"/>
      <w:u w:val="none"/>
    </w:rPr>
  </w:style>
  <w:style w:type="paragraph" w:styleId="HTMLPreformatted">
    <w:name w:val="HTML Preformatted"/>
    <w:basedOn w:val="Normal"/>
    <w:link w:val="HTMLPreformattedChar"/>
    <w:semiHidden/>
    <w:rsid w:val="00BB3D0C"/>
    <w:rPr>
      <w:rFonts w:ascii="Courier New" w:hAnsi="Courier New" w:cs="Courier New"/>
    </w:rPr>
  </w:style>
  <w:style w:type="paragraph" w:styleId="List">
    <w:name w:val="List"/>
    <w:basedOn w:val="Normal"/>
    <w:semiHidden/>
    <w:rsid w:val="00BB3D0C"/>
    <w:pPr>
      <w:ind w:left="283" w:hanging="283"/>
    </w:pPr>
  </w:style>
  <w:style w:type="paragraph" w:styleId="List2">
    <w:name w:val="List 2"/>
    <w:basedOn w:val="Normal"/>
    <w:semiHidden/>
    <w:rsid w:val="00BB3D0C"/>
    <w:pPr>
      <w:ind w:left="566" w:hanging="283"/>
    </w:pPr>
  </w:style>
  <w:style w:type="paragraph" w:styleId="List3">
    <w:name w:val="List 3"/>
    <w:basedOn w:val="Normal"/>
    <w:semiHidden/>
    <w:rsid w:val="00BB3D0C"/>
    <w:pPr>
      <w:ind w:left="849" w:hanging="283"/>
    </w:pPr>
  </w:style>
  <w:style w:type="paragraph" w:styleId="List4">
    <w:name w:val="List 4"/>
    <w:basedOn w:val="Normal"/>
    <w:semiHidden/>
    <w:rsid w:val="00BB3D0C"/>
    <w:pPr>
      <w:ind w:left="1132" w:hanging="283"/>
    </w:pPr>
  </w:style>
  <w:style w:type="paragraph" w:styleId="List5">
    <w:name w:val="List 5"/>
    <w:basedOn w:val="Normal"/>
    <w:semiHidden/>
    <w:rsid w:val="00BB3D0C"/>
    <w:pPr>
      <w:ind w:left="1415" w:hanging="283"/>
    </w:pPr>
  </w:style>
  <w:style w:type="paragraph" w:styleId="ListNumber">
    <w:name w:val="List Number"/>
    <w:basedOn w:val="Normal"/>
    <w:semiHidden/>
    <w:rsid w:val="00BB3D0C"/>
    <w:pPr>
      <w:numPr>
        <w:numId w:val="13"/>
      </w:numPr>
    </w:pPr>
  </w:style>
  <w:style w:type="paragraph" w:styleId="ListNumber2">
    <w:name w:val="List Number 2"/>
    <w:basedOn w:val="Normal"/>
    <w:semiHidden/>
    <w:rsid w:val="00BB3D0C"/>
    <w:pPr>
      <w:numPr>
        <w:numId w:val="14"/>
      </w:numPr>
    </w:pPr>
  </w:style>
  <w:style w:type="paragraph" w:styleId="ListNumber3">
    <w:name w:val="List Number 3"/>
    <w:basedOn w:val="Normal"/>
    <w:semiHidden/>
    <w:rsid w:val="00BB3D0C"/>
    <w:pPr>
      <w:numPr>
        <w:numId w:val="15"/>
      </w:numPr>
    </w:pPr>
  </w:style>
  <w:style w:type="paragraph" w:styleId="ListNumber4">
    <w:name w:val="List Number 4"/>
    <w:basedOn w:val="Normal"/>
    <w:semiHidden/>
    <w:rsid w:val="00BB3D0C"/>
    <w:pPr>
      <w:numPr>
        <w:numId w:val="16"/>
      </w:numPr>
    </w:pPr>
  </w:style>
  <w:style w:type="paragraph" w:styleId="ListNumber5">
    <w:name w:val="List Number 5"/>
    <w:basedOn w:val="Normal"/>
    <w:semiHidden/>
    <w:rsid w:val="00BB3D0C"/>
    <w:pPr>
      <w:numPr>
        <w:numId w:val="17"/>
      </w:numPr>
    </w:pPr>
  </w:style>
  <w:style w:type="paragraph" w:styleId="ListBullet">
    <w:name w:val="List Bullet"/>
    <w:basedOn w:val="Normal"/>
    <w:semiHidden/>
    <w:rsid w:val="00BB3D0C"/>
    <w:pPr>
      <w:numPr>
        <w:numId w:val="8"/>
      </w:numPr>
    </w:pPr>
  </w:style>
  <w:style w:type="paragraph" w:styleId="ListBullet2">
    <w:name w:val="List Bullet 2"/>
    <w:basedOn w:val="Normal"/>
    <w:semiHidden/>
    <w:rsid w:val="00BB3D0C"/>
    <w:pPr>
      <w:numPr>
        <w:numId w:val="9"/>
      </w:numPr>
    </w:pPr>
  </w:style>
  <w:style w:type="paragraph" w:styleId="ListBullet3">
    <w:name w:val="List Bullet 3"/>
    <w:basedOn w:val="Normal"/>
    <w:semiHidden/>
    <w:rsid w:val="00BB3D0C"/>
    <w:pPr>
      <w:numPr>
        <w:numId w:val="10"/>
      </w:numPr>
    </w:pPr>
  </w:style>
  <w:style w:type="paragraph" w:styleId="ListBullet4">
    <w:name w:val="List Bullet 4"/>
    <w:basedOn w:val="Normal"/>
    <w:semiHidden/>
    <w:rsid w:val="00BB3D0C"/>
    <w:pPr>
      <w:numPr>
        <w:numId w:val="11"/>
      </w:numPr>
    </w:pPr>
  </w:style>
  <w:style w:type="paragraph" w:styleId="ListBullet5">
    <w:name w:val="List Bullet 5"/>
    <w:basedOn w:val="Normal"/>
    <w:semiHidden/>
    <w:rsid w:val="00BB3D0C"/>
    <w:pPr>
      <w:numPr>
        <w:numId w:val="12"/>
      </w:numPr>
    </w:pPr>
  </w:style>
  <w:style w:type="character" w:styleId="HTMLTypewriter">
    <w:name w:val="HTML Typewriter"/>
    <w:semiHidden/>
    <w:rsid w:val="00BB3D0C"/>
    <w:rPr>
      <w:rFonts w:ascii="Courier New" w:hAnsi="Courier New" w:cs="Courier New"/>
      <w:sz w:val="20"/>
      <w:szCs w:val="20"/>
    </w:rPr>
  </w:style>
  <w:style w:type="paragraph" w:styleId="NormalWeb">
    <w:name w:val="Normal (Web)"/>
    <w:aliases w:val="Normal (Web) Char1 Char,Normal (Web) Char Char Char,Normal (Web) Char1,Normal (Web) Char Char"/>
    <w:basedOn w:val="Normal"/>
    <w:uiPriority w:val="99"/>
    <w:qFormat/>
    <w:rsid w:val="00BB3D0C"/>
    <w:rPr>
      <w:sz w:val="24"/>
      <w:szCs w:val="24"/>
    </w:rPr>
  </w:style>
  <w:style w:type="character" w:styleId="LineNumber">
    <w:name w:val="line number"/>
    <w:basedOn w:val="DefaultParagraphFont"/>
    <w:semiHidden/>
    <w:rsid w:val="00BB3D0C"/>
  </w:style>
  <w:style w:type="character" w:styleId="PageNumber">
    <w:name w:val="page number"/>
    <w:aliases w:val="7_G"/>
    <w:qFormat/>
    <w:rsid w:val="00BB3D0C"/>
    <w:rPr>
      <w:b/>
      <w:sz w:val="18"/>
    </w:rPr>
  </w:style>
  <w:style w:type="character" w:styleId="EndnoteReference">
    <w:name w:val="endnote reference"/>
    <w:aliases w:val="1_G"/>
    <w:uiPriority w:val="99"/>
    <w:qFormat/>
    <w:rsid w:val="00BB3D0C"/>
    <w:rPr>
      <w:rFonts w:ascii="Times New Roman" w:hAnsi="Times New Roman"/>
      <w:sz w:val="18"/>
      <w:vertAlign w:val="superscript"/>
    </w:rPr>
  </w:style>
  <w:style w:type="paragraph" w:styleId="EnvelopeReturn">
    <w:name w:val="envelope return"/>
    <w:basedOn w:val="Normal"/>
    <w:semiHidden/>
    <w:rsid w:val="00BB3D0C"/>
    <w:rPr>
      <w:rFonts w:ascii="Arial" w:hAnsi="Arial" w:cs="Arial"/>
    </w:rPr>
  </w:style>
  <w:style w:type="paragraph" w:styleId="Salutation">
    <w:name w:val="Salutation"/>
    <w:basedOn w:val="Normal"/>
    <w:next w:val="Normal"/>
    <w:link w:val="SalutationChar"/>
    <w:semiHidden/>
    <w:rsid w:val="00BB3D0C"/>
  </w:style>
  <w:style w:type="paragraph" w:styleId="BodyTextIndent2">
    <w:name w:val="Body Text Indent 2"/>
    <w:basedOn w:val="Normal"/>
    <w:link w:val="BodyTextIndent2Char"/>
    <w:rsid w:val="00BB3D0C"/>
    <w:pPr>
      <w:spacing w:after="120" w:line="480" w:lineRule="auto"/>
      <w:ind w:left="283"/>
    </w:pPr>
  </w:style>
  <w:style w:type="paragraph" w:styleId="BodyTextIndent3">
    <w:name w:val="Body Text Indent 3"/>
    <w:basedOn w:val="Normal"/>
    <w:link w:val="BodyTextIndent3Char"/>
    <w:semiHidden/>
    <w:rsid w:val="00BB3D0C"/>
    <w:pPr>
      <w:spacing w:after="120"/>
      <w:ind w:left="283"/>
    </w:pPr>
    <w:rPr>
      <w:sz w:val="16"/>
      <w:szCs w:val="16"/>
    </w:rPr>
  </w:style>
  <w:style w:type="paragraph" w:styleId="BodyTextIndent">
    <w:name w:val="Body Text Indent"/>
    <w:basedOn w:val="Normal"/>
    <w:link w:val="BodyTextIndentChar"/>
    <w:semiHidden/>
    <w:rsid w:val="00BB3D0C"/>
    <w:pPr>
      <w:spacing w:after="120"/>
      <w:ind w:left="283"/>
    </w:pPr>
  </w:style>
  <w:style w:type="paragraph" w:styleId="NormalIndent">
    <w:name w:val="Normal Indent"/>
    <w:basedOn w:val="Normal"/>
    <w:semiHidden/>
    <w:rsid w:val="00BB3D0C"/>
    <w:pPr>
      <w:ind w:left="567"/>
    </w:pPr>
  </w:style>
  <w:style w:type="paragraph" w:styleId="Subtitle">
    <w:name w:val="Subtitle"/>
    <w:basedOn w:val="Normal"/>
    <w:link w:val="SubtitleChar"/>
    <w:rsid w:val="00BB3D0C"/>
    <w:pPr>
      <w:spacing w:after="60"/>
      <w:jc w:val="center"/>
      <w:outlineLvl w:val="1"/>
    </w:pPr>
    <w:rPr>
      <w:rFonts w:ascii="Arial" w:hAnsi="Arial" w:cs="Arial"/>
      <w:sz w:val="24"/>
      <w:szCs w:val="24"/>
    </w:rPr>
  </w:style>
  <w:style w:type="table" w:styleId="TableSimple1">
    <w:name w:val="Table Simple 1"/>
    <w:basedOn w:val="Table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BB3D0C"/>
    <w:rPr>
      <w:rFonts w:ascii="Courier New" w:hAnsi="Courier New" w:cs="Courier New"/>
      <w:sz w:val="20"/>
      <w:szCs w:val="20"/>
    </w:rPr>
  </w:style>
  <w:style w:type="paragraph" w:styleId="BlockText">
    <w:name w:val="Block Text"/>
    <w:basedOn w:val="Normal"/>
    <w:semiHidden/>
    <w:rsid w:val="00BB3D0C"/>
    <w:pPr>
      <w:spacing w:after="120"/>
      <w:ind w:left="1440" w:right="1440"/>
    </w:pPr>
  </w:style>
  <w:style w:type="character" w:styleId="Strong">
    <w:name w:val="Strong"/>
    <w:uiPriority w:val="22"/>
    <w:qFormat/>
    <w:rsid w:val="00BB3D0C"/>
    <w:rPr>
      <w:b/>
      <w:bCs/>
    </w:rPr>
  </w:style>
  <w:style w:type="paragraph" w:styleId="BodyText">
    <w:name w:val="Body Text"/>
    <w:basedOn w:val="Normal"/>
    <w:link w:val="BodyTextChar"/>
    <w:uiPriority w:val="99"/>
    <w:rsid w:val="00BB3D0C"/>
    <w:pPr>
      <w:spacing w:after="120"/>
    </w:pPr>
  </w:style>
  <w:style w:type="paragraph" w:styleId="BodyText2">
    <w:name w:val="Body Text 2"/>
    <w:basedOn w:val="Normal"/>
    <w:link w:val="BodyText2Char"/>
    <w:uiPriority w:val="99"/>
    <w:semiHidden/>
    <w:rsid w:val="00BB3D0C"/>
    <w:pPr>
      <w:spacing w:after="120" w:line="480" w:lineRule="auto"/>
    </w:pPr>
  </w:style>
  <w:style w:type="paragraph" w:styleId="BodyText3">
    <w:name w:val="Body Text 3"/>
    <w:basedOn w:val="Normal"/>
    <w:link w:val="BodyText3Char"/>
    <w:semiHidden/>
    <w:rsid w:val="00BB3D0C"/>
    <w:pPr>
      <w:spacing w:after="120"/>
    </w:pPr>
    <w:rPr>
      <w:sz w:val="16"/>
      <w:szCs w:val="16"/>
    </w:rPr>
  </w:style>
  <w:style w:type="paragraph" w:styleId="BodyTextFirstIndent">
    <w:name w:val="Body Text First Indent"/>
    <w:basedOn w:val="BodyText"/>
    <w:link w:val="BodyTextFirstIndentChar"/>
    <w:semiHidden/>
    <w:rsid w:val="00BB3D0C"/>
    <w:pPr>
      <w:ind w:firstLine="210"/>
    </w:pPr>
  </w:style>
  <w:style w:type="paragraph" w:styleId="BodyTextFirstIndent2">
    <w:name w:val="Body Text First Indent 2"/>
    <w:basedOn w:val="BodyTextIndent"/>
    <w:link w:val="BodyTextFirstIndent2Char"/>
    <w:semiHidden/>
    <w:rsid w:val="00BB3D0C"/>
    <w:pPr>
      <w:ind w:firstLine="210"/>
    </w:pPr>
  </w:style>
  <w:style w:type="paragraph" w:styleId="EndnoteText">
    <w:name w:val="endnote text"/>
    <w:aliases w:val="2_G"/>
    <w:basedOn w:val="FootnoteText"/>
    <w:link w:val="EndnoteTextChar"/>
    <w:uiPriority w:val="99"/>
    <w:qFormat/>
    <w:rsid w:val="00BB3D0C"/>
  </w:style>
  <w:style w:type="paragraph" w:styleId="PlainText">
    <w:name w:val="Plain Text"/>
    <w:basedOn w:val="Normal"/>
    <w:link w:val="PlainTextChar"/>
    <w:semiHidden/>
    <w:rsid w:val="00BB3D0C"/>
    <w:rPr>
      <w:rFonts w:ascii="Courier New" w:hAnsi="Courier New" w:cs="Courier New"/>
    </w:rPr>
  </w:style>
  <w:style w:type="paragraph" w:styleId="Title">
    <w:name w:val="Title"/>
    <w:basedOn w:val="Normal"/>
    <w:link w:val="TitleChar"/>
    <w:rsid w:val="00BB3D0C"/>
    <w:pPr>
      <w:spacing w:before="240" w:after="60"/>
      <w:jc w:val="center"/>
      <w:outlineLvl w:val="0"/>
    </w:pPr>
    <w:rPr>
      <w:rFonts w:ascii="Arial" w:hAnsi="Arial" w:cs="Arial"/>
      <w:b/>
      <w:bCs/>
      <w:kern w:val="28"/>
      <w:sz w:val="32"/>
      <w:szCs w:val="32"/>
    </w:rPr>
  </w:style>
  <w:style w:type="character" w:styleId="HTMLVariable">
    <w:name w:val="HTML Variable"/>
    <w:semiHidden/>
    <w:rsid w:val="00BB3D0C"/>
    <w:rPr>
      <w:i/>
      <w:iCs/>
    </w:rPr>
  </w:style>
  <w:style w:type="paragraph" w:customStyle="1" w:styleId="Bullet1G">
    <w:name w:val="_Bullet 1_G"/>
    <w:basedOn w:val="Normal"/>
    <w:qFormat/>
    <w:rsid w:val="00F26F0C"/>
    <w:pPr>
      <w:numPr>
        <w:numId w:val="4"/>
      </w:numPr>
      <w:spacing w:after="120"/>
      <w:ind w:right="1134"/>
      <w:jc w:val="both"/>
    </w:pPr>
    <w:rPr>
      <w:rFonts w:eastAsia="Calibri"/>
      <w:lang w:eastAsia="en-US"/>
    </w:rPr>
  </w:style>
  <w:style w:type="paragraph" w:customStyle="1" w:styleId="Bullet2G">
    <w:name w:val="_Bullet 2_G"/>
    <w:basedOn w:val="Normal"/>
    <w:qFormat/>
    <w:rsid w:val="00F26F0C"/>
    <w:pPr>
      <w:numPr>
        <w:numId w:val="5"/>
      </w:numPr>
      <w:spacing w:after="120"/>
      <w:ind w:right="1134"/>
      <w:jc w:val="both"/>
    </w:pPr>
    <w:rPr>
      <w:rFonts w:eastAsia="Calibri"/>
    </w:rPr>
  </w:style>
  <w:style w:type="paragraph" w:styleId="BalloonText">
    <w:name w:val="Balloon Text"/>
    <w:basedOn w:val="Normal"/>
    <w:link w:val="BalloonTextChar"/>
    <w:uiPriority w:val="99"/>
    <w:semiHidden/>
    <w:unhideWhenUsed/>
    <w:rsid w:val="00BB3D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D0C"/>
    <w:rPr>
      <w:rFonts w:ascii="Segoe UI" w:hAnsi="Segoe UI" w:cs="Segoe UI"/>
      <w:sz w:val="18"/>
      <w:szCs w:val="18"/>
      <w:lang w:val="es-ES" w:eastAsia="es-ES"/>
    </w:rPr>
  </w:style>
  <w:style w:type="paragraph" w:customStyle="1" w:styleId="ParNoG">
    <w:name w:val="_ParNo_G"/>
    <w:basedOn w:val="Normal"/>
    <w:qFormat/>
    <w:rsid w:val="00BB3D0C"/>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7"/>
      </w:numPr>
      <w:tabs>
        <w:tab w:val="clear" w:pos="1701"/>
      </w:tabs>
      <w:spacing w:after="120"/>
      <w:jc w:val="both"/>
    </w:pPr>
    <w:rPr>
      <w:rFonts w:eastAsiaTheme="minorHAnsi"/>
      <w:lang w:eastAsia="en-US"/>
    </w:rPr>
  </w:style>
  <w:style w:type="character" w:customStyle="1" w:styleId="BodyTextChar">
    <w:name w:val="Body Text Char"/>
    <w:basedOn w:val="DefaultParagraphFont"/>
    <w:link w:val="BodyText"/>
    <w:uiPriority w:val="99"/>
    <w:rsid w:val="00BB3D0C"/>
    <w:rPr>
      <w:lang w:val="es-ES" w:eastAsia="es-ES"/>
    </w:rPr>
  </w:style>
  <w:style w:type="character" w:customStyle="1" w:styleId="BodyText2Char">
    <w:name w:val="Body Text 2 Char"/>
    <w:basedOn w:val="DefaultParagraphFont"/>
    <w:link w:val="BodyText2"/>
    <w:uiPriority w:val="99"/>
    <w:semiHidden/>
    <w:rsid w:val="00BB3D0C"/>
    <w:rPr>
      <w:lang w:val="es-ES" w:eastAsia="es-ES"/>
    </w:rPr>
  </w:style>
  <w:style w:type="character" w:customStyle="1" w:styleId="BodyText3Char">
    <w:name w:val="Body Text 3 Char"/>
    <w:basedOn w:val="DefaultParagraphFont"/>
    <w:link w:val="BodyText3"/>
    <w:semiHidden/>
    <w:rsid w:val="00BB3D0C"/>
    <w:rPr>
      <w:sz w:val="16"/>
      <w:szCs w:val="16"/>
      <w:lang w:val="es-ES" w:eastAsia="es-ES"/>
    </w:rPr>
  </w:style>
  <w:style w:type="character" w:customStyle="1" w:styleId="BodyTextFirstIndentChar">
    <w:name w:val="Body Text First Indent Char"/>
    <w:basedOn w:val="BodyTextChar"/>
    <w:link w:val="BodyTextFirstIndent"/>
    <w:semiHidden/>
    <w:rsid w:val="00BB3D0C"/>
    <w:rPr>
      <w:lang w:val="es-ES" w:eastAsia="es-ES"/>
    </w:rPr>
  </w:style>
  <w:style w:type="character" w:customStyle="1" w:styleId="BodyTextIndentChar">
    <w:name w:val="Body Text Indent Char"/>
    <w:basedOn w:val="DefaultParagraphFont"/>
    <w:link w:val="BodyTextIndent"/>
    <w:semiHidden/>
    <w:rsid w:val="00BB3D0C"/>
    <w:rPr>
      <w:lang w:val="es-ES" w:eastAsia="es-ES"/>
    </w:rPr>
  </w:style>
  <w:style w:type="character" w:customStyle="1" w:styleId="BodyTextFirstIndent2Char">
    <w:name w:val="Body Text First Indent 2 Char"/>
    <w:basedOn w:val="BodyTextIndentChar"/>
    <w:link w:val="BodyTextFirstIndent2"/>
    <w:semiHidden/>
    <w:rsid w:val="00BB3D0C"/>
    <w:rPr>
      <w:lang w:val="es-ES" w:eastAsia="es-ES"/>
    </w:rPr>
  </w:style>
  <w:style w:type="character" w:customStyle="1" w:styleId="BodyTextIndent2Char">
    <w:name w:val="Body Text Indent 2 Char"/>
    <w:basedOn w:val="DefaultParagraphFont"/>
    <w:link w:val="BodyTextIndent2"/>
    <w:rsid w:val="00BB3D0C"/>
    <w:rPr>
      <w:lang w:val="es-ES" w:eastAsia="es-ES"/>
    </w:rPr>
  </w:style>
  <w:style w:type="character" w:customStyle="1" w:styleId="BodyTextIndent3Char">
    <w:name w:val="Body Text Indent 3 Char"/>
    <w:basedOn w:val="DefaultParagraphFont"/>
    <w:link w:val="BodyTextIndent3"/>
    <w:semiHidden/>
    <w:rsid w:val="00BB3D0C"/>
    <w:rPr>
      <w:sz w:val="16"/>
      <w:szCs w:val="16"/>
      <w:lang w:val="es-ES" w:eastAsia="es-ES"/>
    </w:rPr>
  </w:style>
  <w:style w:type="character" w:customStyle="1" w:styleId="ClosingChar">
    <w:name w:val="Closing Char"/>
    <w:basedOn w:val="DefaultParagraphFont"/>
    <w:link w:val="Closing"/>
    <w:semiHidden/>
    <w:rsid w:val="00BB3D0C"/>
    <w:rPr>
      <w:lang w:val="es-ES" w:eastAsia="es-ES"/>
    </w:rPr>
  </w:style>
  <w:style w:type="character" w:customStyle="1" w:styleId="DateChar">
    <w:name w:val="Date Char"/>
    <w:basedOn w:val="DefaultParagraphFont"/>
    <w:link w:val="Date"/>
    <w:semiHidden/>
    <w:rsid w:val="00BB3D0C"/>
    <w:rPr>
      <w:lang w:val="es-ES" w:eastAsia="es-ES"/>
    </w:rPr>
  </w:style>
  <w:style w:type="character" w:customStyle="1" w:styleId="E-mailSignatureChar">
    <w:name w:val="E-mail Signature Char"/>
    <w:basedOn w:val="DefaultParagraphFont"/>
    <w:link w:val="E-mailSignature"/>
    <w:semiHidden/>
    <w:rsid w:val="00BB3D0C"/>
    <w:rPr>
      <w:lang w:val="es-ES" w:eastAsia="es-ES"/>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
    <w:basedOn w:val="DefaultParagraphFont"/>
    <w:link w:val="FootnoteText"/>
    <w:uiPriority w:val="99"/>
    <w:rsid w:val="00BB3D0C"/>
    <w:rPr>
      <w:sz w:val="18"/>
      <w:lang w:val="es-ES" w:eastAsia="es-ES"/>
    </w:rPr>
  </w:style>
  <w:style w:type="character" w:customStyle="1" w:styleId="EndnoteTextChar">
    <w:name w:val="Endnote Text Char"/>
    <w:aliases w:val="2_G Char"/>
    <w:basedOn w:val="DefaultParagraphFont"/>
    <w:link w:val="EndnoteText"/>
    <w:uiPriority w:val="99"/>
    <w:rsid w:val="00BB3D0C"/>
    <w:rPr>
      <w:sz w:val="18"/>
      <w:lang w:val="es-ES" w:eastAsia="es-ES"/>
    </w:rPr>
  </w:style>
  <w:style w:type="character" w:customStyle="1" w:styleId="FooterChar">
    <w:name w:val="Footer Char"/>
    <w:aliases w:val="3_G Char"/>
    <w:basedOn w:val="DefaultParagraphFont"/>
    <w:link w:val="Footer"/>
    <w:uiPriority w:val="99"/>
    <w:rsid w:val="00BB3D0C"/>
    <w:rPr>
      <w:sz w:val="16"/>
      <w:lang w:val="es-ES" w:eastAsia="es-ES"/>
    </w:rPr>
  </w:style>
  <w:style w:type="character" w:customStyle="1" w:styleId="HeaderChar">
    <w:name w:val="Header Char"/>
    <w:aliases w:val="6_G Char"/>
    <w:basedOn w:val="DefaultParagraphFont"/>
    <w:link w:val="Header"/>
    <w:rsid w:val="00BB3D0C"/>
    <w:rPr>
      <w:b/>
      <w:sz w:val="18"/>
      <w:lang w:val="es-ES" w:eastAsia="es-ES"/>
    </w:rPr>
  </w:style>
  <w:style w:type="character" w:customStyle="1" w:styleId="Heading1Char">
    <w:name w:val="Heading 1 Char"/>
    <w:aliases w:val="Cuadro_G Char"/>
    <w:basedOn w:val="DefaultParagraphFont"/>
    <w:link w:val="Heading1"/>
    <w:uiPriority w:val="9"/>
    <w:rsid w:val="00064F24"/>
    <w:rPr>
      <w:lang w:val="fr-CH" w:eastAsia="en-US"/>
    </w:rPr>
  </w:style>
  <w:style w:type="character" w:customStyle="1" w:styleId="HTMLAddressChar">
    <w:name w:val="HTML Address Char"/>
    <w:basedOn w:val="DefaultParagraphFont"/>
    <w:link w:val="HTMLAddress"/>
    <w:semiHidden/>
    <w:rsid w:val="00BB3D0C"/>
    <w:rPr>
      <w:i/>
      <w:iCs/>
      <w:lang w:val="es-ES" w:eastAsia="es-ES"/>
    </w:rPr>
  </w:style>
  <w:style w:type="character" w:customStyle="1" w:styleId="HTMLPreformattedChar">
    <w:name w:val="HTML Preformatted Char"/>
    <w:basedOn w:val="DefaultParagraphFont"/>
    <w:link w:val="HTMLPreformatted"/>
    <w:semiHidden/>
    <w:rsid w:val="00BB3D0C"/>
    <w:rPr>
      <w:rFonts w:ascii="Courier New" w:hAnsi="Courier New" w:cs="Courier New"/>
      <w:lang w:val="es-ES" w:eastAsia="es-ES"/>
    </w:rPr>
  </w:style>
  <w:style w:type="paragraph" w:styleId="IntenseQuote">
    <w:name w:val="Intense Quote"/>
    <w:basedOn w:val="Normal"/>
    <w:next w:val="Normal"/>
    <w:link w:val="IntenseQuoteChar"/>
    <w:uiPriority w:val="30"/>
    <w:rsid w:val="00BB3D0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B3D0C"/>
    <w:rPr>
      <w:b/>
      <w:bCs/>
      <w:i/>
      <w:iCs/>
      <w:color w:val="4F81BD"/>
      <w:lang w:val="es-ES" w:eastAsia="es-ES"/>
    </w:rPr>
  </w:style>
  <w:style w:type="character" w:customStyle="1" w:styleId="MessageHeaderChar">
    <w:name w:val="Message Header Char"/>
    <w:basedOn w:val="DefaultParagraphFont"/>
    <w:link w:val="MessageHeader"/>
    <w:semiHidden/>
    <w:rsid w:val="00BB3D0C"/>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BB3D0C"/>
    <w:rPr>
      <w:lang w:val="es-ES" w:eastAsia="es-ES"/>
    </w:rPr>
  </w:style>
  <w:style w:type="character" w:customStyle="1" w:styleId="PlainTextChar">
    <w:name w:val="Plain Text Char"/>
    <w:basedOn w:val="DefaultParagraphFont"/>
    <w:link w:val="PlainText"/>
    <w:semiHidden/>
    <w:rsid w:val="00BB3D0C"/>
    <w:rPr>
      <w:rFonts w:ascii="Courier New" w:hAnsi="Courier New" w:cs="Courier New"/>
      <w:lang w:val="es-ES" w:eastAsia="es-ES"/>
    </w:rPr>
  </w:style>
  <w:style w:type="character" w:customStyle="1" w:styleId="SalutationChar">
    <w:name w:val="Salutation Char"/>
    <w:basedOn w:val="DefaultParagraphFont"/>
    <w:link w:val="Salutation"/>
    <w:semiHidden/>
    <w:rsid w:val="00BB3D0C"/>
    <w:rPr>
      <w:lang w:val="es-ES" w:eastAsia="es-ES"/>
    </w:rPr>
  </w:style>
  <w:style w:type="character" w:customStyle="1" w:styleId="SignatureChar">
    <w:name w:val="Signature Char"/>
    <w:basedOn w:val="DefaultParagraphFont"/>
    <w:link w:val="Signature"/>
    <w:semiHidden/>
    <w:rsid w:val="00BB3D0C"/>
    <w:rPr>
      <w:lang w:val="es-ES" w:eastAsia="es-ES"/>
    </w:rPr>
  </w:style>
  <w:style w:type="character" w:customStyle="1" w:styleId="SubtitleChar">
    <w:name w:val="Subtitle Char"/>
    <w:basedOn w:val="DefaultParagraphFont"/>
    <w:link w:val="Subtitle"/>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rsid w:val="00BB3D0C"/>
    <w:rPr>
      <w:rFonts w:ascii="Arial" w:hAnsi="Arial" w:cs="Arial"/>
      <w:b/>
      <w:bCs/>
      <w:kern w:val="28"/>
      <w:sz w:val="32"/>
      <w:szCs w:val="32"/>
      <w:lang w:val="es-ES" w:eastAsia="es-ES"/>
    </w:rPr>
  </w:style>
  <w:style w:type="paragraph" w:styleId="TO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BB3D0C"/>
    <w:pPr>
      <w:tabs>
        <w:tab w:val="clear" w:pos="851"/>
      </w:tabs>
      <w:ind w:left="1559" w:hanging="425"/>
    </w:pPr>
  </w:style>
  <w:style w:type="paragraph" w:styleId="TOC3">
    <w:name w:val="toc 3"/>
    <w:basedOn w:val="TOC2"/>
    <w:next w:val="Normal"/>
    <w:uiPriority w:val="5"/>
    <w:unhideWhenUsed/>
    <w:rsid w:val="00BB3D0C"/>
    <w:pPr>
      <w:tabs>
        <w:tab w:val="left" w:pos="1985"/>
      </w:tabs>
      <w:ind w:left="1984"/>
    </w:pPr>
  </w:style>
  <w:style w:type="paragraph" w:styleId="TOC4">
    <w:name w:val="toc 4"/>
    <w:basedOn w:val="TOC1"/>
    <w:next w:val="Normal"/>
    <w:uiPriority w:val="5"/>
    <w:unhideWhenUsed/>
    <w:rsid w:val="00BB3D0C"/>
    <w:pPr>
      <w:tabs>
        <w:tab w:val="clear" w:pos="9072"/>
        <w:tab w:val="left" w:leader="dot" w:pos="7938"/>
        <w:tab w:val="right" w:pos="8930"/>
      </w:tabs>
      <w:ind w:right="1701"/>
    </w:pPr>
  </w:style>
  <w:style w:type="paragraph" w:styleId="TOC5">
    <w:name w:val="toc 5"/>
    <w:basedOn w:val="TOC4"/>
    <w:next w:val="Normal"/>
    <w:uiPriority w:val="5"/>
    <w:unhideWhenUsed/>
    <w:rsid w:val="00BB3D0C"/>
    <w:pPr>
      <w:tabs>
        <w:tab w:val="clear" w:pos="851"/>
      </w:tabs>
      <w:ind w:left="1559" w:hanging="425"/>
    </w:pPr>
  </w:style>
  <w:style w:type="paragraph" w:styleId="TOC6">
    <w:name w:val="toc 6"/>
    <w:basedOn w:val="TOC5"/>
    <w:next w:val="Normal"/>
    <w:uiPriority w:val="5"/>
    <w:unhideWhenUsed/>
    <w:rsid w:val="00BB3D0C"/>
    <w:pPr>
      <w:tabs>
        <w:tab w:val="left" w:pos="1985"/>
      </w:tabs>
      <w:ind w:left="1984"/>
    </w:pPr>
  </w:style>
  <w:style w:type="character" w:customStyle="1" w:styleId="UnresolvedMention1">
    <w:name w:val="Unresolved Mention1"/>
    <w:basedOn w:val="DefaultParagraphFont"/>
    <w:uiPriority w:val="99"/>
    <w:semiHidden/>
    <w:unhideWhenUsed/>
    <w:rsid w:val="00BB3D0C"/>
    <w:rPr>
      <w:color w:val="605E5C"/>
      <w:shd w:val="clear" w:color="auto" w:fill="E1DFDD"/>
    </w:rPr>
  </w:style>
  <w:style w:type="character" w:customStyle="1" w:styleId="HMGChar">
    <w:name w:val="_ H __M_G Char"/>
    <w:link w:val="HMG"/>
    <w:rsid w:val="00BD4745"/>
    <w:rPr>
      <w:b/>
      <w:sz w:val="34"/>
      <w:lang w:val="es-ES" w:eastAsia="es-ES"/>
    </w:rPr>
  </w:style>
  <w:style w:type="paragraph" w:styleId="ListParagraph">
    <w:name w:val="List Paragraph"/>
    <w:aliases w:val="BULLET Liste,Superíndice,titulo 5,RECUADRO,Dot pt,No Spacing1,List Paragraph Char Char Char,Indicator Text,List Paragraph1,Numbered Para 1,Colorful List - Accent 11,Bullet 1,F5 List Paragraph,Bullet Points,Normal Fv,lp1"/>
    <w:basedOn w:val="Normal"/>
    <w:link w:val="ListParagraphChar"/>
    <w:qFormat/>
    <w:rsid w:val="00BD4745"/>
    <w:pPr>
      <w:spacing w:line="240" w:lineRule="auto"/>
      <w:ind w:left="720"/>
      <w:contextualSpacing/>
    </w:pPr>
    <w:rPr>
      <w:rFonts w:asciiTheme="minorHAnsi" w:eastAsiaTheme="minorHAnsi" w:hAnsiTheme="minorHAnsi" w:cstheme="minorBidi"/>
      <w:sz w:val="24"/>
      <w:szCs w:val="24"/>
      <w:lang w:val="es-BO" w:eastAsia="en-US"/>
    </w:rPr>
  </w:style>
  <w:style w:type="character" w:customStyle="1" w:styleId="Heading2Char">
    <w:name w:val="Heading 2 Char"/>
    <w:basedOn w:val="DefaultParagraphFont"/>
    <w:link w:val="Heading2"/>
    <w:uiPriority w:val="9"/>
    <w:rsid w:val="00BD4745"/>
    <w:rPr>
      <w:rFonts w:cs="Arial"/>
      <w:bCs/>
      <w:iCs/>
      <w:szCs w:val="28"/>
      <w:lang w:val="es-ES" w:eastAsia="es-ES"/>
    </w:rPr>
  </w:style>
  <w:style w:type="character" w:customStyle="1" w:styleId="Heading3Char">
    <w:name w:val="Heading 3 Char"/>
    <w:basedOn w:val="DefaultParagraphFont"/>
    <w:link w:val="Heading3"/>
    <w:uiPriority w:val="9"/>
    <w:semiHidden/>
    <w:rsid w:val="00BD4745"/>
    <w:rPr>
      <w:rFonts w:ascii="Arial" w:hAnsi="Arial" w:cs="Arial"/>
      <w:b/>
      <w:bCs/>
      <w:sz w:val="26"/>
      <w:szCs w:val="26"/>
      <w:lang w:val="es-ES" w:eastAsia="es-ES"/>
    </w:rPr>
  </w:style>
  <w:style w:type="character" w:customStyle="1" w:styleId="Heading4Char">
    <w:name w:val="Heading 4 Char"/>
    <w:basedOn w:val="DefaultParagraphFont"/>
    <w:link w:val="Heading4"/>
    <w:semiHidden/>
    <w:rsid w:val="00BD4745"/>
    <w:rPr>
      <w:b/>
      <w:bCs/>
      <w:sz w:val="28"/>
      <w:szCs w:val="28"/>
      <w:lang w:val="es-ES" w:eastAsia="es-ES"/>
    </w:rPr>
  </w:style>
  <w:style w:type="character" w:customStyle="1" w:styleId="Heading5Char">
    <w:name w:val="Heading 5 Char"/>
    <w:basedOn w:val="DefaultParagraphFont"/>
    <w:link w:val="Heading5"/>
    <w:uiPriority w:val="9"/>
    <w:semiHidden/>
    <w:rsid w:val="00BD4745"/>
    <w:rPr>
      <w:b/>
      <w:bCs/>
      <w:i/>
      <w:iCs/>
      <w:sz w:val="26"/>
      <w:szCs w:val="26"/>
      <w:lang w:val="es-ES" w:eastAsia="es-ES"/>
    </w:rPr>
  </w:style>
  <w:style w:type="character" w:customStyle="1" w:styleId="Heading6Char">
    <w:name w:val="Heading 6 Char"/>
    <w:basedOn w:val="DefaultParagraphFont"/>
    <w:link w:val="Heading6"/>
    <w:semiHidden/>
    <w:rsid w:val="00BD4745"/>
    <w:rPr>
      <w:b/>
      <w:bCs/>
      <w:sz w:val="22"/>
      <w:szCs w:val="22"/>
      <w:lang w:val="es-ES" w:eastAsia="es-ES"/>
    </w:rPr>
  </w:style>
  <w:style w:type="character" w:customStyle="1" w:styleId="Heading7Char">
    <w:name w:val="Heading 7 Char"/>
    <w:basedOn w:val="DefaultParagraphFont"/>
    <w:link w:val="Heading7"/>
    <w:semiHidden/>
    <w:rsid w:val="00BD4745"/>
    <w:rPr>
      <w:sz w:val="24"/>
      <w:szCs w:val="24"/>
      <w:lang w:val="es-ES" w:eastAsia="es-ES"/>
    </w:rPr>
  </w:style>
  <w:style w:type="character" w:customStyle="1" w:styleId="Heading8Char">
    <w:name w:val="Heading 8 Char"/>
    <w:basedOn w:val="DefaultParagraphFont"/>
    <w:link w:val="Heading8"/>
    <w:semiHidden/>
    <w:rsid w:val="00BD4745"/>
    <w:rPr>
      <w:i/>
      <w:iCs/>
      <w:sz w:val="24"/>
      <w:szCs w:val="24"/>
      <w:lang w:val="es-ES" w:eastAsia="es-ES"/>
    </w:rPr>
  </w:style>
  <w:style w:type="character" w:customStyle="1" w:styleId="Heading9Char">
    <w:name w:val="Heading 9 Char"/>
    <w:basedOn w:val="DefaultParagraphFont"/>
    <w:link w:val="Heading9"/>
    <w:semiHidden/>
    <w:rsid w:val="00BD4745"/>
    <w:rPr>
      <w:rFonts w:ascii="Arial" w:hAnsi="Arial" w:cs="Arial"/>
      <w:sz w:val="22"/>
      <w:szCs w:val="22"/>
      <w:lang w:val="es-ES" w:eastAsia="es-ES"/>
    </w:rPr>
  </w:style>
  <w:style w:type="numbering" w:customStyle="1" w:styleId="Sinlista1">
    <w:name w:val="Sin lista1"/>
    <w:next w:val="NoList"/>
    <w:uiPriority w:val="99"/>
    <w:semiHidden/>
    <w:unhideWhenUsed/>
    <w:rsid w:val="00BD4745"/>
  </w:style>
  <w:style w:type="character" w:customStyle="1" w:styleId="HChGChar">
    <w:name w:val="_ H _Ch_G Char"/>
    <w:link w:val="HChG"/>
    <w:rsid w:val="00BD4745"/>
    <w:rPr>
      <w:b/>
      <w:sz w:val="28"/>
      <w:lang w:val="es-ES" w:eastAsia="es-ES"/>
    </w:rPr>
  </w:style>
  <w:style w:type="character" w:styleId="IntenseEmphasis">
    <w:name w:val="Intense Emphasis"/>
    <w:uiPriority w:val="21"/>
    <w:rsid w:val="00BD4745"/>
    <w:rPr>
      <w:b/>
      <w:bCs/>
      <w:i/>
      <w:iCs/>
      <w:color w:val="4F81BD"/>
    </w:rPr>
  </w:style>
  <w:style w:type="table" w:customStyle="1" w:styleId="Tablaconcuadrcula1">
    <w:name w:val="Tabla con cuadrícula1"/>
    <w:basedOn w:val="TableNormal"/>
    <w:uiPriority w:val="39"/>
    <w:rsid w:val="00BD4745"/>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ListParagraphChar">
    <w:name w:val="List Paragraph Char"/>
    <w:aliases w:val="BULLET Liste Char,Superíndice Char,titulo 5 Char,RECUADRO Char,Dot pt Char,No Spacing1 Char,List Paragraph Char Char Char Char,Indicator Text Char,List Paragraph1 Char,Numbered Para 1 Char,Colorful List - Accent 11 Char,Bullet 1 Char"/>
    <w:link w:val="ListParagraph"/>
    <w:qFormat/>
    <w:locked/>
    <w:rsid w:val="00BD4745"/>
    <w:rPr>
      <w:rFonts w:asciiTheme="minorHAnsi" w:eastAsiaTheme="minorHAnsi" w:hAnsiTheme="minorHAnsi" w:cstheme="minorBidi"/>
      <w:sz w:val="24"/>
      <w:szCs w:val="24"/>
      <w:lang w:val="es-BO" w:eastAsia="en-US"/>
    </w:rPr>
  </w:style>
  <w:style w:type="character" w:styleId="CommentReference">
    <w:name w:val="annotation reference"/>
    <w:uiPriority w:val="99"/>
    <w:semiHidden/>
    <w:unhideWhenUsed/>
    <w:rsid w:val="00BD4745"/>
    <w:rPr>
      <w:sz w:val="16"/>
      <w:szCs w:val="16"/>
    </w:rPr>
  </w:style>
  <w:style w:type="paragraph" w:styleId="CommentText">
    <w:name w:val="annotation text"/>
    <w:basedOn w:val="Normal"/>
    <w:link w:val="CommentTextChar"/>
    <w:uiPriority w:val="99"/>
    <w:semiHidden/>
    <w:unhideWhenUsed/>
    <w:rsid w:val="00BD4745"/>
    <w:pPr>
      <w:spacing w:line="240" w:lineRule="auto"/>
    </w:pPr>
    <w:rPr>
      <w:rFonts w:ascii="Calibri" w:eastAsia="Calibri" w:hAnsi="Calibri"/>
      <w:lang w:val="es-ES_tradnl" w:eastAsia="x-none"/>
    </w:rPr>
  </w:style>
  <w:style w:type="character" w:customStyle="1" w:styleId="CommentTextChar">
    <w:name w:val="Comment Text Char"/>
    <w:basedOn w:val="DefaultParagraphFont"/>
    <w:link w:val="CommentText"/>
    <w:uiPriority w:val="99"/>
    <w:semiHidden/>
    <w:rsid w:val="00BD4745"/>
    <w:rPr>
      <w:rFonts w:ascii="Calibri" w:eastAsia="Calibri" w:hAnsi="Calibri"/>
      <w:lang w:val="es-ES_tradnl" w:eastAsia="x-none"/>
    </w:rPr>
  </w:style>
  <w:style w:type="paragraph" w:styleId="CommentSubject">
    <w:name w:val="annotation subject"/>
    <w:basedOn w:val="CommentText"/>
    <w:next w:val="CommentText"/>
    <w:link w:val="CommentSubjectChar"/>
    <w:uiPriority w:val="99"/>
    <w:semiHidden/>
    <w:unhideWhenUsed/>
    <w:rsid w:val="00BD4745"/>
    <w:rPr>
      <w:b/>
      <w:bCs/>
    </w:rPr>
  </w:style>
  <w:style w:type="character" w:customStyle="1" w:styleId="CommentSubjectChar">
    <w:name w:val="Comment Subject Char"/>
    <w:basedOn w:val="CommentTextChar"/>
    <w:link w:val="CommentSubject"/>
    <w:uiPriority w:val="99"/>
    <w:semiHidden/>
    <w:rsid w:val="00BD4745"/>
    <w:rPr>
      <w:rFonts w:ascii="Calibri" w:eastAsia="Calibri" w:hAnsi="Calibri"/>
      <w:b/>
      <w:bCs/>
      <w:lang w:val="es-ES_tradnl" w:eastAsia="x-none"/>
    </w:rPr>
  </w:style>
  <w:style w:type="paragraph" w:customStyle="1" w:styleId="Default">
    <w:name w:val="Default"/>
    <w:rsid w:val="00BD4745"/>
    <w:pPr>
      <w:autoSpaceDE w:val="0"/>
      <w:autoSpaceDN w:val="0"/>
      <w:adjustRightInd w:val="0"/>
    </w:pPr>
    <w:rPr>
      <w:rFonts w:ascii="Arial" w:eastAsia="Calibri" w:hAnsi="Arial" w:cs="Arial"/>
      <w:color w:val="000000"/>
      <w:sz w:val="24"/>
      <w:szCs w:val="24"/>
      <w:lang w:val="es-ES" w:eastAsia="en-US"/>
    </w:rPr>
  </w:style>
  <w:style w:type="paragraph" w:styleId="NoSpacing">
    <w:name w:val="No Spacing"/>
    <w:link w:val="NoSpacingChar"/>
    <w:uiPriority w:val="1"/>
    <w:qFormat/>
    <w:rsid w:val="00BD4745"/>
    <w:pPr>
      <w:widowControl w:val="0"/>
      <w:kinsoku w:val="0"/>
    </w:pPr>
    <w:rPr>
      <w:sz w:val="24"/>
      <w:szCs w:val="24"/>
      <w:lang w:val="en-GB" w:eastAsia="es-ES"/>
    </w:rPr>
  </w:style>
  <w:style w:type="character" w:customStyle="1" w:styleId="NoSpacingChar">
    <w:name w:val="No Spacing Char"/>
    <w:link w:val="NoSpacing"/>
    <w:uiPriority w:val="1"/>
    <w:rsid w:val="00BD4745"/>
    <w:rPr>
      <w:sz w:val="24"/>
      <w:szCs w:val="24"/>
      <w:lang w:val="en-GB" w:eastAsia="es-ES"/>
    </w:rPr>
  </w:style>
  <w:style w:type="character" w:customStyle="1" w:styleId="st">
    <w:name w:val="st"/>
    <w:basedOn w:val="DefaultParagraphFont"/>
    <w:rsid w:val="00BD4745"/>
  </w:style>
  <w:style w:type="paragraph" w:styleId="Revision">
    <w:name w:val="Revision"/>
    <w:hidden/>
    <w:uiPriority w:val="99"/>
    <w:semiHidden/>
    <w:rsid w:val="00BD4745"/>
    <w:rPr>
      <w:rFonts w:ascii="Calibri" w:eastAsia="Calibri" w:hAnsi="Calibri"/>
      <w:sz w:val="24"/>
      <w:szCs w:val="24"/>
      <w:lang w:val="es-ES_tradnl" w:eastAsia="en-US"/>
    </w:rPr>
  </w:style>
  <w:style w:type="paragraph" w:customStyle="1" w:styleId="m-988892566465418896gmail-default">
    <w:name w:val="m_-988892566465418896gmail-default"/>
    <w:basedOn w:val="Normal"/>
    <w:rsid w:val="00BD4745"/>
    <w:pPr>
      <w:spacing w:before="100" w:beforeAutospacing="1" w:after="100" w:afterAutospacing="1" w:line="240" w:lineRule="auto"/>
    </w:pPr>
    <w:rPr>
      <w:sz w:val="24"/>
      <w:szCs w:val="24"/>
    </w:rPr>
  </w:style>
  <w:style w:type="character" w:customStyle="1" w:styleId="apple-converted-space">
    <w:name w:val="apple-converted-space"/>
    <w:basedOn w:val="DefaultParagraphFont"/>
    <w:rsid w:val="00BD4745"/>
  </w:style>
  <w:style w:type="paragraph" w:customStyle="1" w:styleId="m-988892566465418896gmail-msolistparagraph">
    <w:name w:val="m_-988892566465418896gmail-msolistparagraph"/>
    <w:basedOn w:val="Normal"/>
    <w:rsid w:val="00BD4745"/>
    <w:pPr>
      <w:spacing w:before="100" w:beforeAutospacing="1" w:after="100" w:afterAutospacing="1" w:line="240" w:lineRule="auto"/>
    </w:pPr>
    <w:rPr>
      <w:sz w:val="24"/>
      <w:szCs w:val="24"/>
    </w:rPr>
  </w:style>
  <w:style w:type="character" w:customStyle="1" w:styleId="H23GChar">
    <w:name w:val="_ H_2/3_G Char"/>
    <w:link w:val="H23G"/>
    <w:rsid w:val="00BD4745"/>
    <w:rPr>
      <w:b/>
      <w:lang w:val="es-ES" w:eastAsia="es-ES"/>
    </w:rPr>
  </w:style>
  <w:style w:type="paragraph" w:customStyle="1" w:styleId="Descripcin1">
    <w:name w:val="Descripción1"/>
    <w:basedOn w:val="Normal"/>
    <w:next w:val="Normal"/>
    <w:uiPriority w:val="35"/>
    <w:unhideWhenUsed/>
    <w:qFormat/>
    <w:rsid w:val="00BD4745"/>
    <w:pPr>
      <w:spacing w:after="200" w:line="240" w:lineRule="auto"/>
    </w:pPr>
    <w:rPr>
      <w:rFonts w:asciiTheme="minorHAnsi" w:eastAsiaTheme="minorHAnsi" w:hAnsiTheme="minorHAnsi" w:cstheme="minorBidi"/>
      <w:i/>
      <w:iCs/>
      <w:color w:val="1F497D"/>
      <w:sz w:val="18"/>
      <w:szCs w:val="18"/>
      <w:lang w:val="es-ES_tradnl" w:eastAsia="en-US"/>
    </w:rPr>
  </w:style>
  <w:style w:type="table" w:customStyle="1" w:styleId="Tabladecuadrcula4-nfasis21">
    <w:name w:val="Tabla de cuadrícula 4 - Énfasis 21"/>
    <w:basedOn w:val="TableNormal"/>
    <w:uiPriority w:val="49"/>
    <w:rsid w:val="00BD4745"/>
    <w:rPr>
      <w:rFonts w:asciiTheme="minorHAnsi" w:eastAsiaTheme="minorHAnsi" w:hAnsiTheme="minorHAnsi" w:cstheme="minorBidi"/>
      <w:sz w:val="22"/>
      <w:szCs w:val="22"/>
      <w:lang w:val="es-BO"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eGrid0">
    <w:name w:val="TableGrid"/>
    <w:rsid w:val="00BD4745"/>
    <w:rPr>
      <w:rFonts w:asciiTheme="minorHAnsi" w:eastAsia="SimSun" w:hAnsiTheme="minorHAnsi" w:cstheme="minorBidi"/>
      <w:sz w:val="22"/>
      <w:szCs w:val="22"/>
      <w:lang w:val="es-ES" w:eastAsia="es-ES"/>
    </w:rPr>
    <w:tblPr>
      <w:tblCellMar>
        <w:top w:w="0" w:type="dxa"/>
        <w:left w:w="0" w:type="dxa"/>
        <w:bottom w:w="0" w:type="dxa"/>
        <w:right w:w="0" w:type="dxa"/>
      </w:tblCellMar>
    </w:tblPr>
  </w:style>
  <w:style w:type="table" w:customStyle="1" w:styleId="Tabladecuadrcula4-nfasis11">
    <w:name w:val="Tabla de cuadrícula 4 - Énfasis 11"/>
    <w:basedOn w:val="TableNormal"/>
    <w:uiPriority w:val="49"/>
    <w:rsid w:val="00BD4745"/>
    <w:rPr>
      <w:lang w:val="fr-FR"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Cuadrculadetablaclara1">
    <w:name w:val="Cuadrícula de tabla clara1"/>
    <w:basedOn w:val="TableNormal"/>
    <w:uiPriority w:val="40"/>
    <w:rsid w:val="00BD4745"/>
    <w:rPr>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eNormal"/>
    <w:uiPriority w:val="41"/>
    <w:rsid w:val="00BD4745"/>
    <w:rPr>
      <w:lang w:val="fr-FR"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
    <w:name w:val="Tabla normal 21"/>
    <w:basedOn w:val="TableNormal"/>
    <w:uiPriority w:val="42"/>
    <w:rsid w:val="00BD4745"/>
    <w:rPr>
      <w:lang w:val="fr-FR" w:eastAsia="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31">
    <w:name w:val="Tabla normal 31"/>
    <w:basedOn w:val="TableNormal"/>
    <w:uiPriority w:val="43"/>
    <w:rsid w:val="00BD4745"/>
    <w:rPr>
      <w:lang w:val="fr-FR" w:eastAsia="fr-F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2">
    <w:name w:val="Tabla con cuadrícula2"/>
    <w:basedOn w:val="TableNormal"/>
    <w:next w:val="TableGrid"/>
    <w:uiPriority w:val="59"/>
    <w:rsid w:val="00BD4745"/>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BD4745"/>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59"/>
    <w:rsid w:val="00BD4745"/>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basedOn w:val="DefaultParagraphFont"/>
    <w:link w:val="Bodytext21"/>
    <w:rsid w:val="00BD4745"/>
    <w:rPr>
      <w:rFonts w:ascii="Century Gothic" w:eastAsia="Century Gothic" w:hAnsi="Century Gothic" w:cs="Century Gothic"/>
      <w:shd w:val="clear" w:color="auto" w:fill="FFFFFF"/>
    </w:rPr>
  </w:style>
  <w:style w:type="paragraph" w:customStyle="1" w:styleId="Bodytext21">
    <w:name w:val="Body text (2)"/>
    <w:basedOn w:val="Normal"/>
    <w:link w:val="Bodytext20"/>
    <w:rsid w:val="00BD4745"/>
    <w:pPr>
      <w:widowControl w:val="0"/>
      <w:shd w:val="clear" w:color="auto" w:fill="FFFFFF"/>
      <w:spacing w:line="0" w:lineRule="atLeast"/>
      <w:ind w:hanging="780"/>
    </w:pPr>
    <w:rPr>
      <w:rFonts w:ascii="Century Gothic" w:eastAsia="Century Gothic" w:hAnsi="Century Gothic" w:cs="Century Gothic"/>
      <w:lang w:val="en-US" w:eastAsia="zh-CN"/>
    </w:rPr>
  </w:style>
  <w:style w:type="table" w:customStyle="1" w:styleId="Tablaconcuadrcula5">
    <w:name w:val="Tabla con cuadrícula5"/>
    <w:basedOn w:val="TableNormal"/>
    <w:next w:val="TableGrid"/>
    <w:uiPriority w:val="59"/>
    <w:rsid w:val="00BD4745"/>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BD4745"/>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eNormal"/>
    <w:next w:val="TableGrid"/>
    <w:uiPriority w:val="39"/>
    <w:rsid w:val="00BD474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BD4745"/>
    <w:pPr>
      <w:numPr>
        <w:numId w:val="1"/>
      </w:numPr>
    </w:pPr>
  </w:style>
  <w:style w:type="numbering" w:customStyle="1" w:styleId="1ai1">
    <w:name w:val="1 / a / i1"/>
    <w:basedOn w:val="NoList"/>
    <w:next w:val="1ai"/>
    <w:semiHidden/>
    <w:rsid w:val="00BD4745"/>
    <w:pPr>
      <w:numPr>
        <w:numId w:val="2"/>
      </w:numPr>
    </w:pPr>
  </w:style>
  <w:style w:type="numbering" w:customStyle="1" w:styleId="ArtculoSeccin1">
    <w:name w:val="Artículo / Sección1"/>
    <w:basedOn w:val="NoList"/>
    <w:next w:val="ArticleSection"/>
    <w:semiHidden/>
    <w:rsid w:val="00BD4745"/>
    <w:pPr>
      <w:numPr>
        <w:numId w:val="3"/>
      </w:numPr>
    </w:pPr>
  </w:style>
  <w:style w:type="table" w:customStyle="1" w:styleId="Tabladecuadrcula1clara1">
    <w:name w:val="Tabla de cuadrícula 1 clara1"/>
    <w:basedOn w:val="TableNormal"/>
    <w:next w:val="GridTable1Light"/>
    <w:uiPriority w:val="46"/>
    <w:rsid w:val="00BD4745"/>
    <w:rPr>
      <w:lang w:val="fr-FR" w:eastAsia="fr-F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11111111">
    <w:name w:val="1 / 1.1 / 1.1.111"/>
    <w:basedOn w:val="NoList"/>
    <w:next w:val="111111"/>
    <w:semiHidden/>
    <w:rsid w:val="00BD4745"/>
  </w:style>
  <w:style w:type="numbering" w:customStyle="1" w:styleId="1ai11">
    <w:name w:val="1 / a / i11"/>
    <w:basedOn w:val="NoList"/>
    <w:next w:val="1ai"/>
    <w:semiHidden/>
    <w:rsid w:val="00BD4745"/>
  </w:style>
  <w:style w:type="numbering" w:customStyle="1" w:styleId="ArtculoSeccin11">
    <w:name w:val="Artículo / Sección11"/>
    <w:basedOn w:val="NoList"/>
    <w:next w:val="ArticleSection"/>
    <w:semiHidden/>
    <w:rsid w:val="00BD4745"/>
  </w:style>
  <w:style w:type="table" w:customStyle="1" w:styleId="Tablaconcuadrcula11">
    <w:name w:val="Tabla con cuadrícula11"/>
    <w:basedOn w:val="TableNormal"/>
    <w:next w:val="TableGrid"/>
    <w:uiPriority w:val="39"/>
    <w:rsid w:val="00BD4745"/>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D4745"/>
    <w:rPr>
      <w:rFonts w:asciiTheme="minorHAnsi" w:eastAsiaTheme="minorHAnsi" w:hAnsiTheme="minorHAnsi" w:cstheme="minorBidi"/>
      <w:sz w:val="24"/>
      <w:szCs w:val="24"/>
      <w:lang w:val="es-BO"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68575A"/>
    <w:pPr>
      <w:spacing w:before="100" w:beforeAutospacing="1" w:after="100" w:afterAutospacing="1" w:line="240" w:lineRule="auto"/>
    </w:pPr>
    <w:rPr>
      <w:sz w:val="24"/>
      <w:szCs w:val="24"/>
      <w:lang w:val="en-US" w:eastAsia="zh-CN"/>
    </w:rPr>
  </w:style>
  <w:style w:type="character" w:customStyle="1" w:styleId="normaltextrun">
    <w:name w:val="normaltextrun"/>
    <w:basedOn w:val="DefaultParagraphFont"/>
    <w:rsid w:val="0068575A"/>
  </w:style>
  <w:style w:type="character" w:customStyle="1" w:styleId="eop">
    <w:name w:val="eop"/>
    <w:basedOn w:val="DefaultParagraphFont"/>
    <w:rsid w:val="0068575A"/>
  </w:style>
  <w:style w:type="character" w:customStyle="1" w:styleId="scxw65712747">
    <w:name w:val="scxw65712747"/>
    <w:basedOn w:val="DefaultParagraphFont"/>
    <w:rsid w:val="0068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22960">
      <w:bodyDiv w:val="1"/>
      <w:marLeft w:val="0"/>
      <w:marRight w:val="0"/>
      <w:marTop w:val="0"/>
      <w:marBottom w:val="0"/>
      <w:divBdr>
        <w:top w:val="none" w:sz="0" w:space="0" w:color="auto"/>
        <w:left w:val="none" w:sz="0" w:space="0" w:color="auto"/>
        <w:bottom w:val="none" w:sz="0" w:space="0" w:color="auto"/>
        <w:right w:val="none" w:sz="0" w:space="0" w:color="auto"/>
      </w:divBdr>
      <w:divsChild>
        <w:div w:id="560756303">
          <w:marLeft w:val="0"/>
          <w:marRight w:val="0"/>
          <w:marTop w:val="0"/>
          <w:marBottom w:val="0"/>
          <w:divBdr>
            <w:top w:val="none" w:sz="0" w:space="0" w:color="auto"/>
            <w:left w:val="none" w:sz="0" w:space="0" w:color="auto"/>
            <w:bottom w:val="none" w:sz="0" w:space="0" w:color="auto"/>
            <w:right w:val="none" w:sz="0" w:space="0" w:color="auto"/>
          </w:divBdr>
        </w:div>
        <w:div w:id="1815951014">
          <w:marLeft w:val="0"/>
          <w:marRight w:val="0"/>
          <w:marTop w:val="0"/>
          <w:marBottom w:val="0"/>
          <w:divBdr>
            <w:top w:val="none" w:sz="0" w:space="0" w:color="auto"/>
            <w:left w:val="none" w:sz="0" w:space="0" w:color="auto"/>
            <w:bottom w:val="none" w:sz="0" w:space="0" w:color="auto"/>
            <w:right w:val="none" w:sz="0" w:space="0" w:color="auto"/>
          </w:divBdr>
        </w:div>
        <w:div w:id="187187000">
          <w:marLeft w:val="0"/>
          <w:marRight w:val="0"/>
          <w:marTop w:val="0"/>
          <w:marBottom w:val="0"/>
          <w:divBdr>
            <w:top w:val="none" w:sz="0" w:space="0" w:color="auto"/>
            <w:left w:val="none" w:sz="0" w:space="0" w:color="auto"/>
            <w:bottom w:val="none" w:sz="0" w:space="0" w:color="auto"/>
            <w:right w:val="none" w:sz="0" w:space="0" w:color="auto"/>
          </w:divBdr>
        </w:div>
        <w:div w:id="1565489644">
          <w:marLeft w:val="0"/>
          <w:marRight w:val="0"/>
          <w:marTop w:val="0"/>
          <w:marBottom w:val="0"/>
          <w:divBdr>
            <w:top w:val="none" w:sz="0" w:space="0" w:color="auto"/>
            <w:left w:val="none" w:sz="0" w:space="0" w:color="auto"/>
            <w:bottom w:val="none" w:sz="0" w:space="0" w:color="auto"/>
            <w:right w:val="none" w:sz="0" w:space="0" w:color="auto"/>
          </w:divBdr>
        </w:div>
      </w:divsChild>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CARLA_OBSCD_2021\SEGURIDAD%20CIUDADANA\TRATA%20Y%20TR&#193;FICO\1_RESPUESTAS%20A%20REQUERIMIENTO%20DE%20INFORMACI&#211;N\APOYO_INFORMACI&#211;N_GENERAL_TRATA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3ECE-474E-A4AD-653AFBDA86CE}"/>
              </c:ext>
            </c:extLst>
          </c:dPt>
          <c:dPt>
            <c:idx val="1"/>
            <c:invertIfNegative val="0"/>
            <c:bubble3D val="0"/>
            <c:spPr>
              <a:solidFill>
                <a:schemeClr val="accent1">
                  <a:lumMod val="75000"/>
                </a:schemeClr>
              </a:solidFill>
              <a:ln>
                <a:noFill/>
              </a:ln>
              <a:effectLst/>
            </c:spPr>
            <c:extLst>
              <c:ext xmlns:c16="http://schemas.microsoft.com/office/drawing/2014/chart" uri="{C3380CC4-5D6E-409C-BE32-E72D297353CC}">
                <c16:uniqueId val="{00000003-3ECE-474E-A4AD-653AFBDA86CE}"/>
              </c:ext>
            </c:extLst>
          </c:dPt>
          <c:dPt>
            <c:idx val="2"/>
            <c:invertIfNegative val="0"/>
            <c:bubble3D val="0"/>
            <c:spPr>
              <a:solidFill>
                <a:schemeClr val="accent1">
                  <a:lumMod val="75000"/>
                </a:schemeClr>
              </a:solidFill>
              <a:ln>
                <a:noFill/>
              </a:ln>
              <a:effectLst/>
            </c:spPr>
            <c:extLst>
              <c:ext xmlns:c16="http://schemas.microsoft.com/office/drawing/2014/chart" uri="{C3380CC4-5D6E-409C-BE32-E72D297353CC}">
                <c16:uniqueId val="{00000005-3ECE-474E-A4AD-653AFBDA86CE}"/>
              </c:ext>
            </c:extLst>
          </c:dPt>
          <c:dPt>
            <c:idx val="3"/>
            <c:invertIfNegative val="0"/>
            <c:bubble3D val="0"/>
            <c:spPr>
              <a:solidFill>
                <a:schemeClr val="accent1">
                  <a:lumMod val="75000"/>
                </a:schemeClr>
              </a:solidFill>
              <a:ln>
                <a:noFill/>
              </a:ln>
              <a:effectLst/>
            </c:spPr>
            <c:extLst>
              <c:ext xmlns:c16="http://schemas.microsoft.com/office/drawing/2014/chart" uri="{C3380CC4-5D6E-409C-BE32-E72D297353CC}">
                <c16:uniqueId val="{00000007-3ECE-474E-A4AD-653AFBDA86CE}"/>
              </c:ext>
            </c:extLst>
          </c:dPt>
          <c:dPt>
            <c:idx val="4"/>
            <c:invertIfNegative val="0"/>
            <c:bubble3D val="0"/>
            <c:spPr>
              <a:solidFill>
                <a:schemeClr val="accent1">
                  <a:lumMod val="75000"/>
                </a:schemeClr>
              </a:solidFill>
              <a:ln>
                <a:noFill/>
              </a:ln>
              <a:effectLst/>
            </c:spPr>
            <c:extLst>
              <c:ext xmlns:c16="http://schemas.microsoft.com/office/drawing/2014/chart" uri="{C3380CC4-5D6E-409C-BE32-E72D297353CC}">
                <c16:uniqueId val="{00000009-3ECE-474E-A4AD-653AFBDA86CE}"/>
              </c:ext>
            </c:extLst>
          </c:dPt>
          <c:dPt>
            <c:idx val="5"/>
            <c:invertIfNegative val="0"/>
            <c:bubble3D val="0"/>
            <c:spPr>
              <a:solidFill>
                <a:schemeClr val="accent1">
                  <a:lumMod val="75000"/>
                </a:schemeClr>
              </a:solidFill>
              <a:ln>
                <a:noFill/>
              </a:ln>
              <a:effectLst/>
            </c:spPr>
            <c:extLst>
              <c:ext xmlns:c16="http://schemas.microsoft.com/office/drawing/2014/chart" uri="{C3380CC4-5D6E-409C-BE32-E72D297353CC}">
                <c16:uniqueId val="{0000000B-3ECE-474E-A4AD-653AFBDA86CE}"/>
              </c:ext>
            </c:extLst>
          </c:dPt>
          <c:dPt>
            <c:idx val="6"/>
            <c:invertIfNegative val="0"/>
            <c:bubble3D val="0"/>
            <c:spPr>
              <a:solidFill>
                <a:schemeClr val="accent1">
                  <a:lumMod val="75000"/>
                </a:schemeClr>
              </a:solidFill>
              <a:ln>
                <a:noFill/>
              </a:ln>
              <a:effectLst/>
            </c:spPr>
            <c:extLst>
              <c:ext xmlns:c16="http://schemas.microsoft.com/office/drawing/2014/chart" uri="{C3380CC4-5D6E-409C-BE32-E72D297353CC}">
                <c16:uniqueId val="{0000000D-3ECE-474E-A4AD-653AFBDA86CE}"/>
              </c:ext>
            </c:extLst>
          </c:dPt>
          <c:dPt>
            <c:idx val="7"/>
            <c:invertIfNegative val="0"/>
            <c:bubble3D val="0"/>
            <c:spPr>
              <a:solidFill>
                <a:srgbClr val="FF66FF"/>
              </a:solidFill>
              <a:ln>
                <a:noFill/>
              </a:ln>
              <a:effectLst/>
            </c:spPr>
            <c:extLst>
              <c:ext xmlns:c16="http://schemas.microsoft.com/office/drawing/2014/chart" uri="{C3380CC4-5D6E-409C-BE32-E72D297353CC}">
                <c16:uniqueId val="{0000000F-3ECE-474E-A4AD-653AFBDA86CE}"/>
              </c:ext>
            </c:extLst>
          </c:dPt>
          <c:dPt>
            <c:idx val="8"/>
            <c:invertIfNegative val="0"/>
            <c:bubble3D val="0"/>
            <c:spPr>
              <a:solidFill>
                <a:srgbClr val="FF66FF"/>
              </a:solidFill>
              <a:ln>
                <a:noFill/>
              </a:ln>
              <a:effectLst/>
            </c:spPr>
            <c:extLst>
              <c:ext xmlns:c16="http://schemas.microsoft.com/office/drawing/2014/chart" uri="{C3380CC4-5D6E-409C-BE32-E72D297353CC}">
                <c16:uniqueId val="{00000011-3ECE-474E-A4AD-653AFBDA86CE}"/>
              </c:ext>
            </c:extLst>
          </c:dPt>
          <c:dPt>
            <c:idx val="9"/>
            <c:invertIfNegative val="0"/>
            <c:bubble3D val="0"/>
            <c:spPr>
              <a:solidFill>
                <a:srgbClr val="FF66FF"/>
              </a:solidFill>
              <a:ln>
                <a:noFill/>
              </a:ln>
              <a:effectLst/>
            </c:spPr>
            <c:extLst>
              <c:ext xmlns:c16="http://schemas.microsoft.com/office/drawing/2014/chart" uri="{C3380CC4-5D6E-409C-BE32-E72D297353CC}">
                <c16:uniqueId val="{00000013-3ECE-474E-A4AD-653AFBDA86CE}"/>
              </c:ext>
            </c:extLst>
          </c:dPt>
          <c:dPt>
            <c:idx val="10"/>
            <c:invertIfNegative val="0"/>
            <c:bubble3D val="0"/>
            <c:spPr>
              <a:solidFill>
                <a:srgbClr val="FF66FF"/>
              </a:solidFill>
              <a:ln>
                <a:noFill/>
              </a:ln>
              <a:effectLst/>
            </c:spPr>
            <c:extLst>
              <c:ext xmlns:c16="http://schemas.microsoft.com/office/drawing/2014/chart" uri="{C3380CC4-5D6E-409C-BE32-E72D297353CC}">
                <c16:uniqueId val="{00000015-3ECE-474E-A4AD-653AFBDA86CE}"/>
              </c:ext>
            </c:extLst>
          </c:dPt>
          <c:dPt>
            <c:idx val="11"/>
            <c:invertIfNegative val="0"/>
            <c:bubble3D val="0"/>
            <c:spPr>
              <a:solidFill>
                <a:srgbClr val="FF66FF"/>
              </a:solidFill>
              <a:ln>
                <a:noFill/>
              </a:ln>
              <a:effectLst/>
            </c:spPr>
            <c:extLst>
              <c:ext xmlns:c16="http://schemas.microsoft.com/office/drawing/2014/chart" uri="{C3380CC4-5D6E-409C-BE32-E72D297353CC}">
                <c16:uniqueId val="{00000017-3ECE-474E-A4AD-653AFBDA86CE}"/>
              </c:ext>
            </c:extLst>
          </c:dPt>
          <c:dPt>
            <c:idx val="12"/>
            <c:invertIfNegative val="0"/>
            <c:bubble3D val="0"/>
            <c:spPr>
              <a:solidFill>
                <a:srgbClr val="FF66FF"/>
              </a:solidFill>
              <a:ln>
                <a:noFill/>
              </a:ln>
              <a:effectLst/>
            </c:spPr>
            <c:extLst>
              <c:ext xmlns:c16="http://schemas.microsoft.com/office/drawing/2014/chart" uri="{C3380CC4-5D6E-409C-BE32-E72D297353CC}">
                <c16:uniqueId val="{00000019-3ECE-474E-A4AD-653AFBDA86CE}"/>
              </c:ext>
            </c:extLst>
          </c:dPt>
          <c:dPt>
            <c:idx val="13"/>
            <c:invertIfNegative val="0"/>
            <c:bubble3D val="0"/>
            <c:spPr>
              <a:solidFill>
                <a:srgbClr val="FF66FF"/>
              </a:solidFill>
              <a:ln>
                <a:noFill/>
              </a:ln>
              <a:effectLst/>
            </c:spPr>
            <c:extLst>
              <c:ext xmlns:c16="http://schemas.microsoft.com/office/drawing/2014/chart" uri="{C3380CC4-5D6E-409C-BE32-E72D297353CC}">
                <c16:uniqueId val="{0000001B-3ECE-474E-A4AD-653AFBDA86CE}"/>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'TRATA DE PERSONAS'!$B$26:$C$39</c:f>
              <c:multiLvlStrCache>
                <c:ptCount val="14"/>
                <c:lvl>
                  <c:pt idx="0">
                    <c:v>Por determinar</c:v>
                  </c:pt>
                  <c:pt idx="1">
                    <c:v>61 a más</c:v>
                  </c:pt>
                  <c:pt idx="2">
                    <c:v>51 a 60</c:v>
                  </c:pt>
                  <c:pt idx="3">
                    <c:v>36 a 50</c:v>
                  </c:pt>
                  <c:pt idx="4">
                    <c:v>19 a 35</c:v>
                  </c:pt>
                  <c:pt idx="5">
                    <c:v>11 a 18</c:v>
                  </c:pt>
                  <c:pt idx="6">
                    <c:v>01 a 10</c:v>
                  </c:pt>
                  <c:pt idx="7">
                    <c:v>Por determinar</c:v>
                  </c:pt>
                  <c:pt idx="8">
                    <c:v>61 a más</c:v>
                  </c:pt>
                  <c:pt idx="9">
                    <c:v>51 a 60</c:v>
                  </c:pt>
                  <c:pt idx="10">
                    <c:v>36 a 50</c:v>
                  </c:pt>
                  <c:pt idx="11">
                    <c:v>19 a 35</c:v>
                  </c:pt>
                  <c:pt idx="12">
                    <c:v>11 a 18</c:v>
                  </c:pt>
                  <c:pt idx="13">
                    <c:v>01 a 10</c:v>
                  </c:pt>
                </c:lvl>
                <c:lvl>
                  <c:pt idx="0">
                    <c:v>Hombre</c:v>
                  </c:pt>
                  <c:pt idx="7">
                    <c:v>Mujer</c:v>
                  </c:pt>
                </c:lvl>
              </c:multiLvlStrCache>
            </c:multiLvlStrRef>
          </c:cat>
          <c:val>
            <c:numRef>
              <c:f>'TRATA DE PERSONAS'!$E$26:$E$39</c:f>
              <c:numCache>
                <c:formatCode>0%</c:formatCode>
                <c:ptCount val="14"/>
                <c:pt idx="0">
                  <c:v>0.23893805309734514</c:v>
                </c:pt>
                <c:pt idx="1">
                  <c:v>5.8997050147492625E-2</c:v>
                </c:pt>
                <c:pt idx="2">
                  <c:v>6.1946902654867256E-2</c:v>
                </c:pt>
                <c:pt idx="3">
                  <c:v>0.15634218289085547</c:v>
                </c:pt>
                <c:pt idx="4">
                  <c:v>0.20648967551622419</c:v>
                </c:pt>
                <c:pt idx="5">
                  <c:v>0.1887905604719764</c:v>
                </c:pt>
                <c:pt idx="6">
                  <c:v>8.8495575221238937E-2</c:v>
                </c:pt>
                <c:pt idx="7">
                  <c:v>6.3694267515923567E-2</c:v>
                </c:pt>
                <c:pt idx="8">
                  <c:v>2.5477707006369428E-2</c:v>
                </c:pt>
                <c:pt idx="9">
                  <c:v>2.0700636942675158E-2</c:v>
                </c:pt>
                <c:pt idx="10">
                  <c:v>7.32484076433121E-2</c:v>
                </c:pt>
                <c:pt idx="11">
                  <c:v>0.25636942675159236</c:v>
                </c:pt>
                <c:pt idx="12">
                  <c:v>0.50318471337579618</c:v>
                </c:pt>
                <c:pt idx="13">
                  <c:v>5.7324840764331211E-2</c:v>
                </c:pt>
              </c:numCache>
            </c:numRef>
          </c:val>
          <c:extLst>
            <c:ext xmlns:c16="http://schemas.microsoft.com/office/drawing/2014/chart" uri="{C3380CC4-5D6E-409C-BE32-E72D297353CC}">
              <c16:uniqueId val="{0000001C-3ECE-474E-A4AD-653AFBDA86CE}"/>
            </c:ext>
          </c:extLst>
        </c:ser>
        <c:dLbls>
          <c:dLblPos val="outEnd"/>
          <c:showLegendKey val="0"/>
          <c:showVal val="1"/>
          <c:showCatName val="0"/>
          <c:showSerName val="0"/>
          <c:showPercent val="0"/>
          <c:showBubbleSize val="0"/>
        </c:dLbls>
        <c:gapWidth val="182"/>
        <c:axId val="412006576"/>
        <c:axId val="412006968"/>
      </c:barChart>
      <c:catAx>
        <c:axId val="412006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12006968"/>
        <c:crosses val="autoZero"/>
        <c:auto val="1"/>
        <c:lblAlgn val="ctr"/>
        <c:lblOffset val="100"/>
        <c:noMultiLvlLbl val="0"/>
      </c:catAx>
      <c:valAx>
        <c:axId val="412006968"/>
        <c:scaling>
          <c:orientation val="minMax"/>
        </c:scaling>
        <c:delete val="1"/>
        <c:axPos val="b"/>
        <c:numFmt formatCode="0%" sourceLinked="1"/>
        <c:majorTickMark val="none"/>
        <c:minorTickMark val="none"/>
        <c:tickLblPos val="nextTo"/>
        <c:crossAx val="4120065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CCFC-7E85-4742-A889-2546D95C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37</Pages>
  <Words>19822</Words>
  <Characters>104269</Characters>
  <Application>Microsoft Office Word</Application>
  <DocSecurity>0</DocSecurity>
  <Lines>2543</Lines>
  <Paragraphs>1426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CCPR/C/KHM/RQ/3</vt:lpstr>
      <vt:lpstr>CCPR/C/KHM/RQ/3</vt:lpstr>
    </vt:vector>
  </TitlesOfParts>
  <Company/>
  <LinksUpToDate>false</LinksUpToDate>
  <CharactersWithSpaces>122665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CCPR/C/BOL/RQ/4</dc:title>
  <dc:subject/>
  <dc:creator>Romina Valeria MERINO MAC-KAY</dc:creator>
  <cp:keywords/>
  <cp:lastModifiedBy>Maria Luisa Zeballos Moreno</cp:lastModifiedBy>
  <cp:revision>3</cp:revision>
  <cp:lastPrinted>2022-01-19T16:24:00Z</cp:lastPrinted>
  <dcterms:created xsi:type="dcterms:W3CDTF">2022-01-19T16:24:00Z</dcterms:created>
  <dcterms:modified xsi:type="dcterms:W3CDTF">2022-01-19T16:26:00Z</dcterms:modified>
</cp:coreProperties>
</file>