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531456" w:rsidRDefault="00531456" w:rsidP="00531456">
            <w:pPr>
              <w:spacing w:line="20" w:lineRule="exact"/>
              <w:rPr>
                <w:sz w:val="2"/>
              </w:rPr>
            </w:pPr>
            <w:r>
              <w:rPr>
                <w:rStyle w:val="CommentReference"/>
              </w:rPr>
              <w:commentReference w:id="0"/>
            </w:r>
          </w:p>
          <w:p w:rsidR="00531456" w:rsidRDefault="00531456"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AC4723" w:rsidP="008A44D1">
            <w:pPr>
              <w:jc w:val="right"/>
            </w:pPr>
            <w:r w:rsidRPr="00AC4723">
              <w:rPr>
                <w:sz w:val="40"/>
              </w:rPr>
              <w:t>CCPR</w:t>
            </w:r>
            <w:r>
              <w:t>/C/GBR/CO/7</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531456" w:rsidP="00B6553F">
            <w:pPr>
              <w:spacing w:before="120"/>
            </w:pPr>
            <w:r>
              <w:rPr>
                <w:noProof/>
                <w:lang w:eastAsia="zh-CN"/>
              </w:rPr>
              <w:drawing>
                <wp:inline distT="0" distB="0" distL="0" distR="0">
                  <wp:extent cx="714375" cy="590550"/>
                  <wp:effectExtent l="0" t="0" r="952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Pr="002C0301" w:rsidRDefault="00AC4723" w:rsidP="00AC4723">
            <w:pPr>
              <w:spacing w:before="240" w:line="240" w:lineRule="exact"/>
            </w:pPr>
            <w:r w:rsidRPr="002C0301">
              <w:t xml:space="preserve">Distr.: </w:t>
            </w:r>
            <w:r w:rsidR="00B86B33" w:rsidRPr="002C0301">
              <w:t>General</w:t>
            </w:r>
          </w:p>
          <w:p w:rsidR="00AC4723" w:rsidRDefault="002C0301" w:rsidP="002C0301">
            <w:pPr>
              <w:spacing w:line="240" w:lineRule="exact"/>
            </w:pPr>
            <w:r>
              <w:t>17 August</w:t>
            </w:r>
            <w:r w:rsidR="00AC4723" w:rsidRPr="002C0301">
              <w:t xml:space="preserve"> 2015</w:t>
            </w:r>
          </w:p>
          <w:p w:rsidR="00AC4723" w:rsidRDefault="00AC4723" w:rsidP="00AC4723">
            <w:pPr>
              <w:spacing w:line="240" w:lineRule="exact"/>
            </w:pPr>
          </w:p>
          <w:p w:rsidR="00AC4723" w:rsidRDefault="00AC4723" w:rsidP="00AC4723">
            <w:pPr>
              <w:spacing w:line="240" w:lineRule="exact"/>
            </w:pPr>
            <w:r>
              <w:t>Original: English</w:t>
            </w:r>
          </w:p>
          <w:p w:rsidR="00B86B33" w:rsidRDefault="00B86B33" w:rsidP="00AC4723">
            <w:pPr>
              <w:spacing w:line="240" w:lineRule="exact"/>
            </w:pPr>
          </w:p>
        </w:tc>
      </w:tr>
    </w:tbl>
    <w:p w:rsidR="00B86B33" w:rsidRDefault="00B86B33" w:rsidP="00B86B33">
      <w:pPr>
        <w:spacing w:before="120"/>
      </w:pPr>
      <w:r>
        <w:rPr>
          <w:b/>
          <w:sz w:val="24"/>
        </w:rPr>
        <w:t>Human Rights Committee</w:t>
      </w:r>
    </w:p>
    <w:p w:rsidR="00B86B33" w:rsidRPr="003E5A37" w:rsidRDefault="00B86B33" w:rsidP="003E5A37">
      <w:pPr>
        <w:pStyle w:val="HChG"/>
        <w:rPr>
          <w:b w:val="0"/>
          <w:bCs/>
          <w:spacing w:val="-2"/>
          <w:sz w:val="20"/>
        </w:rPr>
      </w:pPr>
      <w:r>
        <w:tab/>
      </w:r>
      <w:r w:rsidR="0095138D">
        <w:tab/>
      </w:r>
      <w:r w:rsidRPr="003E5A37">
        <w:rPr>
          <w:spacing w:val="-2"/>
        </w:rPr>
        <w:t>Concluding observations on the seventh periodic report of the United Kingdom of Great Britain and N</w:t>
      </w:r>
      <w:bookmarkStart w:id="1" w:name="_GoBack"/>
      <w:bookmarkEnd w:id="1"/>
      <w:r w:rsidRPr="003E5A37">
        <w:rPr>
          <w:spacing w:val="-2"/>
        </w:rPr>
        <w:t xml:space="preserve">orthern </w:t>
      </w:r>
      <w:r w:rsidRPr="0064397A">
        <w:rPr>
          <w:spacing w:val="-2"/>
        </w:rPr>
        <w:t>Ireland</w:t>
      </w:r>
      <w:r w:rsidRPr="0064397A">
        <w:rPr>
          <w:rStyle w:val="FootnoteReference"/>
          <w:b w:val="0"/>
          <w:bCs/>
          <w:spacing w:val="-2"/>
          <w:sz w:val="20"/>
          <w:vertAlign w:val="baseline"/>
        </w:rPr>
        <w:footnoteReference w:customMarkFollows="1" w:id="2"/>
        <w:t>*</w:t>
      </w:r>
      <w:r w:rsidR="0095138D" w:rsidRPr="00986C9F">
        <w:rPr>
          <w:rStyle w:val="SingleTxtGChar"/>
          <w:b w:val="0"/>
          <w:bCs/>
          <w:position w:val="4"/>
          <w:sz w:val="18"/>
          <w:szCs w:val="18"/>
        </w:rPr>
        <w:t>,</w:t>
      </w:r>
      <w:r w:rsidRPr="0064397A">
        <w:rPr>
          <w:rStyle w:val="SingleTxtGChar"/>
          <w:bCs/>
          <w:position w:val="4"/>
          <w:sz w:val="20"/>
        </w:rPr>
        <w:t xml:space="preserve"> </w:t>
      </w:r>
      <w:r w:rsidRPr="0064397A">
        <w:rPr>
          <w:rStyle w:val="FootnoteReference"/>
          <w:bCs/>
          <w:spacing w:val="-2"/>
          <w:sz w:val="20"/>
          <w:vertAlign w:val="baseline"/>
        </w:rPr>
        <w:footnoteReference w:customMarkFollows="1" w:id="3"/>
        <w:t>**</w:t>
      </w:r>
    </w:p>
    <w:p w:rsidR="00B86B33" w:rsidRDefault="00B86B33" w:rsidP="001C0D03">
      <w:pPr>
        <w:pStyle w:val="SingleTxtG"/>
        <w:numPr>
          <w:ilvl w:val="0"/>
          <w:numId w:val="11"/>
        </w:numPr>
        <w:ind w:left="1134" w:firstLine="0"/>
      </w:pPr>
      <w:r>
        <w:t xml:space="preserve">The Committee considered the seventh periodic report of </w:t>
      </w:r>
      <w:r w:rsidRPr="00170475">
        <w:t>the United Kingdom of Great Britain and Northern Ireland</w:t>
      </w:r>
      <w:r>
        <w:t xml:space="preserve"> (CCPR/C/GBR/7) at its </w:t>
      </w:r>
      <w:r w:rsidRPr="0002567B">
        <w:t>3168th and 3169th meetings (CCPR</w:t>
      </w:r>
      <w:r>
        <w:t>/C/SR.</w:t>
      </w:r>
      <w:r w:rsidRPr="0002567B">
        <w:t>3168</w:t>
      </w:r>
      <w:r>
        <w:t xml:space="preserve"> and 3169), held on </w:t>
      </w:r>
      <w:r w:rsidRPr="0002567B">
        <w:t>1</w:t>
      </w:r>
      <w:r>
        <w:t xml:space="preserve"> and 2 July 2015. At </w:t>
      </w:r>
      <w:r w:rsidRPr="006C6B9F">
        <w:t>its 319</w:t>
      </w:r>
      <w:r w:rsidR="00237BF6">
        <w:t>3rd</w:t>
      </w:r>
      <w:r w:rsidRPr="006C6B9F">
        <w:t xml:space="preserve"> meeting, held on 2</w:t>
      </w:r>
      <w:r w:rsidR="00577B3A">
        <w:t>1</w:t>
      </w:r>
      <w:r w:rsidR="00D66397">
        <w:t> </w:t>
      </w:r>
      <w:r w:rsidRPr="006C6B9F">
        <w:t>July 2015, it adopted the following concluding observations.</w:t>
      </w:r>
    </w:p>
    <w:p w:rsidR="00B86B33" w:rsidRDefault="00B86B33" w:rsidP="003E5A37">
      <w:pPr>
        <w:pStyle w:val="H1G"/>
      </w:pPr>
      <w:r>
        <w:tab/>
        <w:t>A.</w:t>
      </w:r>
      <w:r>
        <w:tab/>
        <w:t>Introduction</w:t>
      </w:r>
    </w:p>
    <w:p w:rsidR="00B86B33" w:rsidRDefault="00B86B33" w:rsidP="003E5A37">
      <w:pPr>
        <w:pStyle w:val="SingleTxtG"/>
        <w:numPr>
          <w:ilvl w:val="0"/>
          <w:numId w:val="11"/>
        </w:numPr>
        <w:ind w:left="1134" w:firstLine="0"/>
      </w:pPr>
      <w:r>
        <w:t xml:space="preserve">The Committee welcomes the </w:t>
      </w:r>
      <w:r>
        <w:rPr>
          <w:lang w:bidi="he-IL"/>
        </w:rPr>
        <w:t xml:space="preserve">timely </w:t>
      </w:r>
      <w:r>
        <w:t xml:space="preserve">submission of the seventh periodic report of the </w:t>
      </w:r>
      <w:r w:rsidRPr="00170475">
        <w:t xml:space="preserve">United Kingdom of Great Britain and Northern Ireland </w:t>
      </w:r>
      <w:r>
        <w:t xml:space="preserve">and the information presented therein. It expresses appreciation for the opportunity to renew its constructive dialogue with the State party’s </w:t>
      </w:r>
      <w:r>
        <w:rPr>
          <w:lang w:bidi="he-IL"/>
        </w:rPr>
        <w:t>large</w:t>
      </w:r>
      <w:r>
        <w:t xml:space="preserve"> delegation on the measures taken by the State party during the reporting period to implement the provisions of the Covenant. The Committee is grateful to the State party for its written replies (CCPR/C/GBR/Q/7/Add.1) to the list of issu</w:t>
      </w:r>
      <w:r w:rsidR="00F63E75">
        <w:t xml:space="preserve">es (CCPR/C/GBR/Q/7), which were </w:t>
      </w:r>
      <w:r>
        <w:t>supplemented by the oral responses provided by the delegation</w:t>
      </w:r>
      <w:r w:rsidR="00951308">
        <w:t>,</w:t>
      </w:r>
      <w:r>
        <w:t xml:space="preserve"> </w:t>
      </w:r>
      <w:r w:rsidRPr="009B02F7">
        <w:t>and for the supplementary information provided to it in writing.</w:t>
      </w:r>
      <w:r w:rsidR="00951308">
        <w:t xml:space="preserve"> </w:t>
      </w:r>
    </w:p>
    <w:p w:rsidR="00B86B33" w:rsidRDefault="00B86B33" w:rsidP="00B86B33">
      <w:pPr>
        <w:pStyle w:val="H1G"/>
      </w:pPr>
      <w:r>
        <w:rPr>
          <w:b w:val="0"/>
        </w:rPr>
        <w:tab/>
      </w:r>
      <w:r w:rsidRPr="003A4126">
        <w:t>B.</w:t>
      </w:r>
      <w:r w:rsidRPr="003A4126">
        <w:rPr>
          <w:b w:val="0"/>
        </w:rPr>
        <w:tab/>
      </w:r>
      <w:r w:rsidRPr="003A4126">
        <w:t>Positive aspects</w:t>
      </w:r>
    </w:p>
    <w:p w:rsidR="003A4126" w:rsidRPr="003A4126" w:rsidRDefault="003A4126" w:rsidP="003E5A37">
      <w:pPr>
        <w:pStyle w:val="SingleTxtG"/>
        <w:numPr>
          <w:ilvl w:val="0"/>
          <w:numId w:val="11"/>
        </w:numPr>
        <w:ind w:left="1134" w:firstLine="0"/>
      </w:pPr>
      <w:r w:rsidRPr="003A4126">
        <w:t>The Committee welcomes the following legislative and institutional steps taken by the State party:</w:t>
      </w:r>
    </w:p>
    <w:p w:rsidR="003A4126" w:rsidRPr="003A4126" w:rsidRDefault="001E3DF9" w:rsidP="003E5A37">
      <w:pPr>
        <w:pStyle w:val="SingleTxtG"/>
      </w:pPr>
      <w:r>
        <w:tab/>
        <w:t>(a)</w:t>
      </w:r>
      <w:r>
        <w:tab/>
      </w:r>
      <w:r w:rsidR="003A4126" w:rsidRPr="003A4126">
        <w:t>Adoption of the Human Trafficking and Exploitation (Criminal Justice and Support for Victims) Act (Northern Ireland) 2015, on 13 January 2015;</w:t>
      </w:r>
    </w:p>
    <w:p w:rsidR="003A4126" w:rsidRPr="003A4126" w:rsidRDefault="001E3DF9" w:rsidP="003E5A37">
      <w:pPr>
        <w:pStyle w:val="SingleTxtG"/>
      </w:pPr>
      <w:r>
        <w:tab/>
        <w:t>(b)</w:t>
      </w:r>
      <w:r>
        <w:tab/>
      </w:r>
      <w:r w:rsidR="003A4126" w:rsidRPr="003A4126">
        <w:t>Adoption of the Stormont House Agreement, on 23 December 2014;</w:t>
      </w:r>
    </w:p>
    <w:p w:rsidR="003A4126" w:rsidRPr="003A4126" w:rsidRDefault="001E3DF9" w:rsidP="003E5A37">
      <w:pPr>
        <w:pStyle w:val="SingleTxtG"/>
      </w:pPr>
      <w:r>
        <w:tab/>
        <w:t>(c)</w:t>
      </w:r>
      <w:r>
        <w:tab/>
      </w:r>
      <w:r w:rsidR="003A4126" w:rsidRPr="003A4126">
        <w:t>Adoption of the Modern Slavery Strategy, in November 2014;</w:t>
      </w:r>
    </w:p>
    <w:p w:rsidR="003A4126" w:rsidRPr="003A4126" w:rsidRDefault="001E3DF9" w:rsidP="0032180F">
      <w:pPr>
        <w:pStyle w:val="SingleTxtG"/>
      </w:pPr>
      <w:r>
        <w:tab/>
        <w:t>(d)</w:t>
      </w:r>
      <w:r>
        <w:tab/>
      </w:r>
      <w:r w:rsidR="003A4126" w:rsidRPr="003A4126">
        <w:t>Criminali</w:t>
      </w:r>
      <w:r w:rsidR="0032180F">
        <w:t>z</w:t>
      </w:r>
      <w:r w:rsidR="003A4126" w:rsidRPr="003A4126">
        <w:t>ation of forced marriage, including in the Anti-Social Behaviour, Crime and Policing Act 2014;</w:t>
      </w:r>
    </w:p>
    <w:p w:rsidR="003A4126" w:rsidRPr="003A4126" w:rsidRDefault="001E3DF9" w:rsidP="003E5A37">
      <w:pPr>
        <w:pStyle w:val="SingleTxtG"/>
      </w:pPr>
      <w:r>
        <w:lastRenderedPageBreak/>
        <w:tab/>
        <w:t>(e)</w:t>
      </w:r>
      <w:r>
        <w:tab/>
      </w:r>
      <w:r w:rsidR="003A4126" w:rsidRPr="003A4126">
        <w:t>Adoption of Scotland’s National Action Plan for Human Rights (SNAP) 2013-2017;</w:t>
      </w:r>
    </w:p>
    <w:p w:rsidR="003A4126" w:rsidRPr="003A4126" w:rsidRDefault="001E3DF9" w:rsidP="003E5A37">
      <w:pPr>
        <w:pStyle w:val="SingleTxtG"/>
      </w:pPr>
      <w:r>
        <w:tab/>
        <w:t>(f)</w:t>
      </w:r>
      <w:r>
        <w:tab/>
      </w:r>
      <w:r w:rsidR="00A32ABE">
        <w:t xml:space="preserve">Adoption of the Marriage (Same-Sex Couples) Act, on 17 July 2013; </w:t>
      </w:r>
    </w:p>
    <w:p w:rsidR="003A4126" w:rsidRPr="003A4126" w:rsidRDefault="001E3DF9" w:rsidP="003E5A37">
      <w:pPr>
        <w:pStyle w:val="SingleTxtG"/>
      </w:pPr>
      <w:r>
        <w:tab/>
        <w:t>(g)</w:t>
      </w:r>
      <w:r>
        <w:tab/>
      </w:r>
      <w:r w:rsidR="003A4126" w:rsidRPr="003A4126">
        <w:t>Adoption of the Equality Act 2010, on 8 April 2010.</w:t>
      </w:r>
    </w:p>
    <w:p w:rsidR="003A4126" w:rsidRPr="003A4126" w:rsidRDefault="003A4126" w:rsidP="003E5A37">
      <w:pPr>
        <w:pStyle w:val="SingleTxtG"/>
        <w:numPr>
          <w:ilvl w:val="0"/>
          <w:numId w:val="11"/>
        </w:numPr>
        <w:ind w:left="1134" w:firstLine="0"/>
      </w:pPr>
      <w:r w:rsidRPr="003A4126">
        <w:t>The Committee welcomes the ratification of, or accession to, the following international instruments by the State party:</w:t>
      </w:r>
    </w:p>
    <w:p w:rsidR="003A4126" w:rsidRPr="003A4126" w:rsidRDefault="003A4126" w:rsidP="003909AC">
      <w:pPr>
        <w:pStyle w:val="SingleTxtG"/>
      </w:pPr>
      <w:r w:rsidRPr="003A4126">
        <w:tab/>
        <w:t>(a)</w:t>
      </w:r>
      <w:r w:rsidRPr="003A4126">
        <w:tab/>
        <w:t xml:space="preserve">The Convention on the Rights of Persons with Disabilities and its Optional Protocol, on 8 June 2009 and 7 August 2009 respectively; </w:t>
      </w:r>
    </w:p>
    <w:p w:rsidR="003A4126" w:rsidRPr="003A4126" w:rsidRDefault="003A4126" w:rsidP="00967FB1">
      <w:pPr>
        <w:pStyle w:val="SingleTxtG"/>
      </w:pPr>
      <w:r w:rsidRPr="003A4126">
        <w:tab/>
        <w:t>(b)</w:t>
      </w:r>
      <w:r w:rsidRPr="003A4126">
        <w:tab/>
        <w:t>The Optional Protocol to the Convention on the Rights of the Child on the sale of children, child prostitution and child pornography, on 20 February 2009, and the extension of the scope of its ratification of the said Optional Protocol to the territory of the Bailiwick of Jersey, on 29 April 2014.</w:t>
      </w:r>
    </w:p>
    <w:p w:rsidR="00B86B33" w:rsidRDefault="00B86B33" w:rsidP="00B86B33">
      <w:pPr>
        <w:pStyle w:val="H1G"/>
      </w:pPr>
      <w:r>
        <w:tab/>
      </w:r>
      <w:r w:rsidRPr="003A4126">
        <w:t>C.</w:t>
      </w:r>
      <w:r>
        <w:tab/>
        <w:t>Principal matters of concern and recommendations</w:t>
      </w:r>
    </w:p>
    <w:p w:rsidR="00B86B33" w:rsidRPr="00187549" w:rsidRDefault="00B86B33" w:rsidP="00B86B33">
      <w:pPr>
        <w:pStyle w:val="H23G"/>
        <w:rPr>
          <w:rFonts w:eastAsia="Calibri"/>
          <w:lang w:eastAsia="en-GB"/>
        </w:rPr>
      </w:pPr>
      <w:r>
        <w:rPr>
          <w:rFonts w:eastAsia="Calibri"/>
          <w:lang w:eastAsia="en-GB"/>
        </w:rPr>
        <w:tab/>
      </w:r>
      <w:r>
        <w:rPr>
          <w:rFonts w:eastAsia="Calibri"/>
          <w:lang w:eastAsia="en-GB"/>
        </w:rPr>
        <w:tab/>
      </w:r>
      <w:r w:rsidRPr="00187549">
        <w:rPr>
          <w:rFonts w:eastAsia="Calibri"/>
          <w:lang w:eastAsia="en-GB"/>
        </w:rPr>
        <w:t>Applicability of the Covenant and the domestic human rights framework</w:t>
      </w:r>
    </w:p>
    <w:p w:rsidR="00B86B33" w:rsidRPr="0057073F" w:rsidRDefault="00B86B33" w:rsidP="00967FB1">
      <w:pPr>
        <w:pStyle w:val="SingleTxtG"/>
        <w:numPr>
          <w:ilvl w:val="0"/>
          <w:numId w:val="11"/>
        </w:numPr>
        <w:ind w:left="1134" w:firstLine="0"/>
        <w:rPr>
          <w:rFonts w:eastAsia="Calibri"/>
        </w:rPr>
      </w:pPr>
      <w:r w:rsidRPr="0057073F">
        <w:rPr>
          <w:rFonts w:eastAsia="Calibri"/>
        </w:rPr>
        <w:t xml:space="preserve">The Committee notes that the Covenant is not directly applicable in the State party and throughout its </w:t>
      </w:r>
      <w:r w:rsidR="00967FB1">
        <w:rPr>
          <w:rFonts w:eastAsia="Calibri"/>
        </w:rPr>
        <w:t>o</w:t>
      </w:r>
      <w:r w:rsidRPr="0057073F">
        <w:rPr>
          <w:rFonts w:eastAsia="Calibri"/>
        </w:rPr>
        <w:t xml:space="preserve">verseas </w:t>
      </w:r>
      <w:r w:rsidR="00967FB1">
        <w:rPr>
          <w:rFonts w:eastAsia="Calibri"/>
        </w:rPr>
        <w:t>t</w:t>
      </w:r>
      <w:r w:rsidRPr="0057073F">
        <w:rPr>
          <w:rFonts w:eastAsia="Calibri"/>
        </w:rPr>
        <w:t xml:space="preserve">erritories and Crown </w:t>
      </w:r>
      <w:r w:rsidR="00967FB1">
        <w:rPr>
          <w:rFonts w:eastAsia="Calibri"/>
        </w:rPr>
        <w:t>d</w:t>
      </w:r>
      <w:r w:rsidRPr="0057073F">
        <w:rPr>
          <w:rFonts w:eastAsia="Calibri"/>
        </w:rPr>
        <w:t xml:space="preserve">ependencies, and recalls that several Covenant rights are not covered by the Human Rights Act 1998. It is also concerned about the slow progress in introducing the Bill of Rights for Northern Ireland and about the lack of a comprehensive mechanism for </w:t>
      </w:r>
      <w:r w:rsidR="00967FB1">
        <w:rPr>
          <w:rFonts w:eastAsia="Calibri"/>
        </w:rPr>
        <w:t>reviewing</w:t>
      </w:r>
      <w:r w:rsidRPr="0057073F">
        <w:rPr>
          <w:rFonts w:eastAsia="Calibri"/>
        </w:rPr>
        <w:t xml:space="preserve"> existing gaps and inconsistencies between the domestic human rights legal framework and the rights </w:t>
      </w:r>
      <w:r w:rsidR="00967FB1">
        <w:rPr>
          <w:rFonts w:eastAsia="Calibri"/>
        </w:rPr>
        <w:t>as set forth</w:t>
      </w:r>
      <w:r w:rsidR="00967FB1" w:rsidRPr="0057073F">
        <w:rPr>
          <w:rFonts w:eastAsia="Calibri"/>
        </w:rPr>
        <w:t xml:space="preserve"> </w:t>
      </w:r>
      <w:r w:rsidRPr="0057073F">
        <w:rPr>
          <w:rFonts w:eastAsia="Calibri"/>
        </w:rPr>
        <w:t xml:space="preserve">in the Covenant. Finally, the Committee is concerned about a reported plan to repeal the Human Rights Act 1998 and </w:t>
      </w:r>
      <w:r w:rsidR="00967FB1">
        <w:rPr>
          <w:rFonts w:eastAsia="Calibri"/>
        </w:rPr>
        <w:t xml:space="preserve">to </w:t>
      </w:r>
      <w:r w:rsidRPr="0057073F">
        <w:rPr>
          <w:rFonts w:eastAsia="Calibri"/>
        </w:rPr>
        <w:t>replace it with a new Bill of Rights for the United Kingdom of Great Britain and Northern Ireland, and that such a development will weaken the degree of protection afforded to the rights enshrined in the Covenant, within the domestic legal order (art. 2).</w:t>
      </w:r>
    </w:p>
    <w:p w:rsidR="00B86B33" w:rsidRPr="003E5A37" w:rsidRDefault="00B86B33" w:rsidP="003E5A37">
      <w:pPr>
        <w:pStyle w:val="SingleTxtG"/>
        <w:rPr>
          <w:rFonts w:eastAsia="Calibri"/>
          <w:bCs/>
          <w:lang w:eastAsia="en-GB"/>
        </w:rPr>
      </w:pPr>
      <w:r w:rsidRPr="003E5A37">
        <w:rPr>
          <w:rFonts w:eastAsia="Calibri"/>
          <w:b/>
          <w:bCs/>
          <w:lang w:eastAsia="en-GB"/>
        </w:rPr>
        <w:t>The State party should:</w:t>
      </w:r>
    </w:p>
    <w:p w:rsidR="00B86B33" w:rsidRPr="00D32356" w:rsidRDefault="00B86B33" w:rsidP="00B86B33">
      <w:pPr>
        <w:pStyle w:val="SingleTxtG"/>
        <w:rPr>
          <w:rFonts w:eastAsia="Calibri"/>
          <w:b/>
          <w:lang w:eastAsia="en-GB"/>
        </w:rPr>
      </w:pPr>
      <w:r>
        <w:rPr>
          <w:rFonts w:eastAsia="Calibri"/>
          <w:b/>
          <w:lang w:eastAsia="en-GB"/>
        </w:rPr>
        <w:tab/>
      </w:r>
      <w:r w:rsidRPr="00D32356">
        <w:rPr>
          <w:rFonts w:eastAsia="Calibri"/>
          <w:b/>
          <w:lang w:eastAsia="en-GB"/>
        </w:rPr>
        <w:t>(a)</w:t>
      </w:r>
      <w:r w:rsidRPr="00D32356">
        <w:rPr>
          <w:rFonts w:eastAsia="Calibri"/>
          <w:b/>
          <w:lang w:eastAsia="en-GB"/>
        </w:rPr>
        <w:tab/>
        <w:t xml:space="preserve">Engage </w:t>
      </w:r>
      <w:r w:rsidRPr="00D32356">
        <w:rPr>
          <w:rFonts w:eastAsia="Calibri"/>
          <w:b/>
          <w:lang w:eastAsia="en-GB" w:bidi="he-IL"/>
        </w:rPr>
        <w:t xml:space="preserve">in consultation </w:t>
      </w:r>
      <w:r w:rsidRPr="00D32356">
        <w:rPr>
          <w:rFonts w:eastAsia="Calibri"/>
          <w:b/>
          <w:lang w:eastAsia="en-GB"/>
        </w:rPr>
        <w:t xml:space="preserve">with stakeholders at all levels to identify ways to give greater effect to the Covenant in all jurisdictions that fall under its authority </w:t>
      </w:r>
      <w:r>
        <w:rPr>
          <w:rFonts w:eastAsia="Calibri"/>
          <w:b/>
          <w:lang w:eastAsia="en-GB"/>
        </w:rPr>
        <w:t>o</w:t>
      </w:r>
      <w:r w:rsidRPr="00D32356">
        <w:rPr>
          <w:rFonts w:eastAsia="Calibri"/>
          <w:b/>
          <w:lang w:eastAsia="en-GB"/>
        </w:rPr>
        <w:t xml:space="preserve">r control or with regard to which it has </w:t>
      </w:r>
      <w:r>
        <w:rPr>
          <w:rFonts w:eastAsia="Calibri"/>
          <w:b/>
          <w:lang w:eastAsia="en-GB"/>
        </w:rPr>
        <w:t>formally</w:t>
      </w:r>
      <w:r w:rsidRPr="00D32356">
        <w:rPr>
          <w:rFonts w:eastAsia="Calibri"/>
          <w:b/>
          <w:lang w:eastAsia="en-GB"/>
        </w:rPr>
        <w:t xml:space="preserve"> undertaken to implement the Covenant</w:t>
      </w:r>
      <w:r w:rsidRPr="00D32356">
        <w:rPr>
          <w:rFonts w:eastAsia="Calibri"/>
          <w:b/>
          <w:lang w:eastAsia="en-GB" w:bidi="he-IL"/>
        </w:rPr>
        <w:t>.</w:t>
      </w:r>
    </w:p>
    <w:p w:rsidR="00B86B33" w:rsidRPr="00D32356" w:rsidRDefault="00B86B33" w:rsidP="00B86B33">
      <w:pPr>
        <w:pStyle w:val="SingleTxtG"/>
        <w:rPr>
          <w:rFonts w:eastAsia="Calibri"/>
          <w:b/>
          <w:lang w:eastAsia="en-GB"/>
        </w:rPr>
      </w:pPr>
      <w:r>
        <w:rPr>
          <w:rFonts w:eastAsia="Calibri"/>
          <w:b/>
          <w:lang w:eastAsia="en-GB"/>
        </w:rPr>
        <w:tab/>
      </w:r>
      <w:r w:rsidRPr="00D32356">
        <w:rPr>
          <w:rFonts w:eastAsia="Calibri"/>
          <w:b/>
          <w:lang w:eastAsia="en-GB"/>
        </w:rPr>
        <w:t>(b)</w:t>
      </w:r>
      <w:r w:rsidRPr="00D32356">
        <w:rPr>
          <w:rFonts w:eastAsia="Calibri"/>
          <w:b/>
          <w:lang w:eastAsia="en-GB"/>
        </w:rPr>
        <w:tab/>
        <w:t xml:space="preserve">Ensure that the Bill of Rights for Northern Ireland incorporates all the rights enshrined in the Covenant and expedite </w:t>
      </w:r>
      <w:r w:rsidRPr="00D32356">
        <w:rPr>
          <w:rFonts w:eastAsia="Calibri"/>
          <w:b/>
          <w:lang w:eastAsia="en-GB" w:bidi="he-IL"/>
        </w:rPr>
        <w:t xml:space="preserve">the process of </w:t>
      </w:r>
      <w:r w:rsidRPr="00D32356">
        <w:rPr>
          <w:rFonts w:eastAsia="Calibri"/>
          <w:b/>
          <w:lang w:eastAsia="en-GB"/>
        </w:rPr>
        <w:t>its adoption;</w:t>
      </w:r>
    </w:p>
    <w:p w:rsidR="00B86B33" w:rsidRPr="00D32356" w:rsidRDefault="00B86B33" w:rsidP="00F0593C">
      <w:pPr>
        <w:pStyle w:val="SingleTxtG"/>
        <w:rPr>
          <w:rFonts w:eastAsia="Calibri"/>
          <w:b/>
          <w:lang w:eastAsia="en-GB"/>
        </w:rPr>
      </w:pPr>
      <w:r>
        <w:rPr>
          <w:rFonts w:eastAsia="Calibri"/>
          <w:b/>
          <w:lang w:eastAsia="en-GB"/>
        </w:rPr>
        <w:tab/>
      </w:r>
      <w:r w:rsidRPr="00D32356">
        <w:rPr>
          <w:rFonts w:eastAsia="Calibri"/>
          <w:b/>
          <w:lang w:eastAsia="en-GB"/>
        </w:rPr>
        <w:t>(c)</w:t>
      </w:r>
      <w:r w:rsidRPr="00D32356">
        <w:rPr>
          <w:rFonts w:eastAsia="Calibri"/>
          <w:b/>
          <w:lang w:eastAsia="en-GB"/>
        </w:rPr>
        <w:tab/>
        <w:t xml:space="preserve">Ensure that any legislation </w:t>
      </w:r>
      <w:r w:rsidRPr="00F0593C">
        <w:rPr>
          <w:rFonts w:eastAsia="Calibri"/>
          <w:b/>
          <w:lang w:eastAsia="en-GB" w:bidi="he-IL"/>
        </w:rPr>
        <w:t xml:space="preserve">passed </w:t>
      </w:r>
      <w:r w:rsidRPr="00986C9F">
        <w:rPr>
          <w:rFonts w:eastAsia="Calibri"/>
          <w:b/>
          <w:lang w:eastAsia="en-GB" w:bidi="he-IL"/>
        </w:rPr>
        <w:t xml:space="preserve">in lieu </w:t>
      </w:r>
      <w:r w:rsidRPr="00F0593C">
        <w:rPr>
          <w:rFonts w:eastAsia="Calibri"/>
          <w:b/>
          <w:lang w:eastAsia="en-GB" w:bidi="he-IL"/>
        </w:rPr>
        <w:t>of</w:t>
      </w:r>
      <w:r w:rsidRPr="00F0593C">
        <w:rPr>
          <w:rFonts w:eastAsia="Calibri"/>
          <w:b/>
          <w:lang w:eastAsia="en-GB"/>
        </w:rPr>
        <w:t xml:space="preserve"> the</w:t>
      </w:r>
      <w:r w:rsidRPr="00D32356">
        <w:rPr>
          <w:rFonts w:eastAsia="Calibri"/>
          <w:b/>
          <w:lang w:eastAsia="en-GB"/>
        </w:rPr>
        <w:t xml:space="preserve"> Human Rights Act 1998</w:t>
      </w:r>
      <w:r w:rsidR="00F0593C">
        <w:rPr>
          <w:rFonts w:eastAsia="Calibri"/>
          <w:b/>
          <w:lang w:eastAsia="en-GB" w:bidi="he-IL"/>
        </w:rPr>
        <w:t xml:space="preserve"> —</w:t>
      </w:r>
      <w:r w:rsidR="00F0593C" w:rsidRPr="00D32356">
        <w:rPr>
          <w:rFonts w:eastAsia="Calibri"/>
          <w:b/>
          <w:lang w:eastAsia="en-GB" w:bidi="he-IL"/>
        </w:rPr>
        <w:t xml:space="preserve"> </w:t>
      </w:r>
      <w:r w:rsidRPr="00D32356">
        <w:rPr>
          <w:rFonts w:eastAsia="Calibri"/>
          <w:b/>
          <w:lang w:eastAsia="en-GB" w:bidi="he-IL"/>
        </w:rPr>
        <w:t>were</w:t>
      </w:r>
      <w:r w:rsidRPr="00D32356">
        <w:rPr>
          <w:rFonts w:eastAsia="Calibri"/>
          <w:b/>
          <w:lang w:eastAsia="en-GB"/>
        </w:rPr>
        <w:t xml:space="preserve"> </w:t>
      </w:r>
      <w:r w:rsidRPr="00D32356">
        <w:rPr>
          <w:rFonts w:eastAsia="Calibri"/>
          <w:b/>
          <w:lang w:eastAsia="en-GB" w:bidi="he-IL"/>
        </w:rPr>
        <w:t>such legislation to be passed</w:t>
      </w:r>
      <w:r w:rsidR="00F0593C">
        <w:rPr>
          <w:rFonts w:eastAsia="Calibri"/>
          <w:b/>
          <w:lang w:eastAsia="en-GB" w:bidi="he-IL"/>
        </w:rPr>
        <w:t xml:space="preserve"> —</w:t>
      </w:r>
      <w:r w:rsidRPr="00D32356">
        <w:rPr>
          <w:rFonts w:eastAsia="Calibri"/>
          <w:b/>
          <w:lang w:eastAsia="en-GB" w:bidi="he-IL"/>
        </w:rPr>
        <w:t xml:space="preserve"> </w:t>
      </w:r>
      <w:r w:rsidR="00F0593C">
        <w:rPr>
          <w:rFonts w:eastAsia="Calibri"/>
          <w:b/>
          <w:lang w:eastAsia="en-GB"/>
        </w:rPr>
        <w:t>is aimed</w:t>
      </w:r>
      <w:r w:rsidRPr="00D32356">
        <w:rPr>
          <w:rFonts w:eastAsia="Calibri"/>
          <w:b/>
          <w:lang w:eastAsia="en-GB" w:bidi="he-IL"/>
        </w:rPr>
        <w:t xml:space="preserve"> at strengthening the status of international human rights, including the provisions of the </w:t>
      </w:r>
      <w:r w:rsidRPr="00D32356">
        <w:rPr>
          <w:rFonts w:eastAsia="Calibri"/>
          <w:b/>
          <w:lang w:eastAsia="en-GB"/>
        </w:rPr>
        <w:t>Covenant</w:t>
      </w:r>
      <w:r w:rsidRPr="00D32356">
        <w:rPr>
          <w:rFonts w:eastAsia="Calibri"/>
          <w:b/>
          <w:lang w:eastAsia="en-GB" w:bidi="he-IL"/>
        </w:rPr>
        <w:t xml:space="preserve">, in </w:t>
      </w:r>
      <w:r w:rsidRPr="00D32356">
        <w:rPr>
          <w:rFonts w:eastAsia="Calibri"/>
          <w:b/>
          <w:lang w:eastAsia="en-GB"/>
        </w:rPr>
        <w:t>the domestic legal order</w:t>
      </w:r>
      <w:r w:rsidR="00F0593C">
        <w:rPr>
          <w:rFonts w:eastAsia="Calibri"/>
          <w:b/>
          <w:lang w:eastAsia="en-GB"/>
        </w:rPr>
        <w:t>,</w:t>
      </w:r>
      <w:r w:rsidRPr="00D32356">
        <w:rPr>
          <w:rFonts w:eastAsia="Calibri"/>
          <w:b/>
          <w:lang w:eastAsia="en-GB"/>
        </w:rPr>
        <w:t xml:space="preserve"> and provide effective protection of those rights across all jurisdictions</w:t>
      </w:r>
      <w:r>
        <w:rPr>
          <w:rFonts w:eastAsia="Calibri"/>
          <w:b/>
          <w:lang w:eastAsia="en-GB"/>
        </w:rPr>
        <w:t>.</w:t>
      </w:r>
    </w:p>
    <w:p w:rsidR="00B86B33" w:rsidRPr="008E68E8" w:rsidRDefault="00B86B33" w:rsidP="00B86B33">
      <w:pPr>
        <w:pStyle w:val="H23G"/>
      </w:pPr>
      <w:r>
        <w:tab/>
      </w:r>
      <w:r>
        <w:tab/>
      </w:r>
      <w:r w:rsidRPr="008E68E8">
        <w:t xml:space="preserve">Reservations and </w:t>
      </w:r>
      <w:r w:rsidR="00BE6EB7">
        <w:t xml:space="preserve">the </w:t>
      </w:r>
      <w:r w:rsidRPr="008E68E8">
        <w:t>Optional Protocol</w:t>
      </w:r>
      <w:r w:rsidR="00BE6EB7">
        <w:t xml:space="preserve"> </w:t>
      </w:r>
    </w:p>
    <w:p w:rsidR="00B86B33" w:rsidRPr="0057073F" w:rsidRDefault="00B86B33" w:rsidP="002C0301">
      <w:pPr>
        <w:pStyle w:val="SingleTxtG"/>
        <w:numPr>
          <w:ilvl w:val="0"/>
          <w:numId w:val="11"/>
        </w:numPr>
        <w:ind w:left="1134" w:firstLine="0"/>
      </w:pPr>
      <w:r w:rsidRPr="0057073F">
        <w:rPr>
          <w:rFonts w:eastAsia="Calibri"/>
        </w:rPr>
        <w:t>While</w:t>
      </w:r>
      <w:r w:rsidRPr="0057073F">
        <w:t xml:space="preserve"> welcoming the information that the State party’s reservation </w:t>
      </w:r>
      <w:r w:rsidR="0050150E">
        <w:t>to</w:t>
      </w:r>
      <w:r w:rsidRPr="0057073F">
        <w:t xml:space="preserve"> article 11 </w:t>
      </w:r>
      <w:r w:rsidR="0050150E">
        <w:t xml:space="preserve">of the Covenant </w:t>
      </w:r>
      <w:r w:rsidRPr="0057073F">
        <w:t xml:space="preserve">on behalf of Jersey was withdrawn on 4 February 2015, the Committee notes that the State party continues to maintain reservations to important aspects of articles 10 and 14 of </w:t>
      </w:r>
      <w:r w:rsidR="0050150E">
        <w:t xml:space="preserve">the </w:t>
      </w:r>
      <w:r w:rsidRPr="0057073F">
        <w:t>Covenant, which are based on budgetary</w:t>
      </w:r>
      <w:r w:rsidRPr="0057073F">
        <w:rPr>
          <w:rFonts w:hint="cs"/>
        </w:rPr>
        <w:t xml:space="preserve"> or </w:t>
      </w:r>
      <w:r w:rsidRPr="0057073F">
        <w:t>operational considerations, and to article 24 of the Covenant</w:t>
      </w:r>
      <w:r w:rsidR="002C0301">
        <w:t>;</w:t>
      </w:r>
      <w:r w:rsidRPr="0057073F">
        <w:t xml:space="preserve"> in the view of the Committee, </w:t>
      </w:r>
      <w:r w:rsidR="002C0301">
        <w:t xml:space="preserve">these reservations </w:t>
      </w:r>
      <w:r w:rsidRPr="0057073F">
        <w:t>are unnecessary in the current context. The Committee also regrets that the State party remains unpersuaded by the benefits</w:t>
      </w:r>
      <w:r w:rsidR="002C0301">
        <w:t>, under the Optional Protocol,</w:t>
      </w:r>
      <w:r w:rsidRPr="0057073F">
        <w:t xml:space="preserve"> of the right to individual petition</w:t>
      </w:r>
      <w:r w:rsidRPr="007F177B">
        <w:t xml:space="preserve"> (art. 2).</w:t>
      </w:r>
    </w:p>
    <w:p w:rsidR="00B86B33" w:rsidRPr="00D32356" w:rsidRDefault="00B86B33" w:rsidP="005F75BA">
      <w:pPr>
        <w:pStyle w:val="SingleTxtG"/>
        <w:rPr>
          <w:b/>
        </w:rPr>
      </w:pPr>
      <w:r w:rsidRPr="00D32356">
        <w:rPr>
          <w:b/>
        </w:rPr>
        <w:lastRenderedPageBreak/>
        <w:t>The Committee reiterates its recommendation (</w:t>
      </w:r>
      <w:r w:rsidR="00D66397">
        <w:rPr>
          <w:b/>
        </w:rPr>
        <w:t xml:space="preserve">see </w:t>
      </w:r>
      <w:r w:rsidRPr="00D32356">
        <w:rPr>
          <w:b/>
        </w:rPr>
        <w:t xml:space="preserve">CCPR/C/GBR/CO/6, para. 7) that the State party review its remaining reservations to articles 10, 14 and 24 of the Covenant with a view to withdrawing them. The State party </w:t>
      </w:r>
      <w:r w:rsidR="00681EEE">
        <w:rPr>
          <w:b/>
          <w:lang w:bidi="he-IL"/>
        </w:rPr>
        <w:t>is urged to</w:t>
      </w:r>
      <w:r w:rsidRPr="00D32356">
        <w:rPr>
          <w:b/>
        </w:rPr>
        <w:t xml:space="preserve"> reconsider its position </w:t>
      </w:r>
      <w:r w:rsidR="005F75BA">
        <w:rPr>
          <w:b/>
          <w:lang w:bidi="he-IL"/>
        </w:rPr>
        <w:t>regarding accession</w:t>
      </w:r>
      <w:r w:rsidRPr="00D32356">
        <w:rPr>
          <w:b/>
        </w:rPr>
        <w:t xml:space="preserve"> to the Optional Protocol to the Covenant</w:t>
      </w:r>
      <w:r w:rsidR="005F75BA">
        <w:rPr>
          <w:b/>
        </w:rPr>
        <w:t>, which</w:t>
      </w:r>
      <w:r w:rsidRPr="00D32356">
        <w:rPr>
          <w:b/>
        </w:rPr>
        <w:t xml:space="preserve"> provid</w:t>
      </w:r>
      <w:r w:rsidR="005F75BA">
        <w:rPr>
          <w:b/>
        </w:rPr>
        <w:t>es</w:t>
      </w:r>
      <w:r w:rsidRPr="00D32356">
        <w:rPr>
          <w:b/>
        </w:rPr>
        <w:t xml:space="preserve"> for an individual complaint mechanism</w:t>
      </w:r>
      <w:r w:rsidR="00661E73">
        <w:rPr>
          <w:b/>
        </w:rPr>
        <w:t>,</w:t>
      </w:r>
      <w:r w:rsidRPr="00D32356">
        <w:rPr>
          <w:b/>
        </w:rPr>
        <w:t xml:space="preserve"> with a view to strengthening the protection of Covenant rights domestically</w:t>
      </w:r>
      <w:r w:rsidRPr="00D32356">
        <w:rPr>
          <w:b/>
          <w:lang w:bidi="he-IL"/>
        </w:rPr>
        <w:t xml:space="preserve"> and internationally</w:t>
      </w:r>
      <w:r w:rsidRPr="00D32356">
        <w:rPr>
          <w:b/>
        </w:rPr>
        <w:t>.</w:t>
      </w:r>
    </w:p>
    <w:p w:rsidR="00B86B33" w:rsidRPr="008E68E8" w:rsidRDefault="00B86B33" w:rsidP="00B86B33">
      <w:pPr>
        <w:pStyle w:val="H23G"/>
      </w:pPr>
      <w:r>
        <w:tab/>
      </w:r>
      <w:r>
        <w:tab/>
      </w:r>
      <w:r w:rsidRPr="008E68E8">
        <w:t>Northern Ireland Human Rights Commission</w:t>
      </w:r>
    </w:p>
    <w:p w:rsidR="00B86B33" w:rsidRPr="00E379C0" w:rsidRDefault="00B86B33" w:rsidP="003E5A37">
      <w:pPr>
        <w:pStyle w:val="SingleTxtG"/>
        <w:numPr>
          <w:ilvl w:val="0"/>
          <w:numId w:val="11"/>
        </w:numPr>
        <w:ind w:left="1134" w:firstLine="0"/>
      </w:pPr>
      <w:r w:rsidRPr="00E379C0">
        <w:t>The Committee is concerned that the reduction in the budget of the Northern Ireland Human Rights Commission may undermine the fulfilment of its mandated activities (art. 2).</w:t>
      </w:r>
    </w:p>
    <w:p w:rsidR="00B86B33" w:rsidRPr="00E379C0" w:rsidRDefault="00B86B33" w:rsidP="008F717C">
      <w:pPr>
        <w:pStyle w:val="SingleTxtG"/>
        <w:rPr>
          <w:b/>
        </w:rPr>
      </w:pPr>
      <w:r w:rsidRPr="00E379C0">
        <w:rPr>
          <w:b/>
        </w:rPr>
        <w:t>The State party should provide the Northern Ireland Human Rights Commission with adequate funding to enable it to discharge its mandate effectively and independently</w:t>
      </w:r>
      <w:r w:rsidR="008F717C">
        <w:rPr>
          <w:b/>
        </w:rPr>
        <w:t xml:space="preserve"> and</w:t>
      </w:r>
      <w:r w:rsidRPr="00E379C0">
        <w:rPr>
          <w:b/>
        </w:rPr>
        <w:t xml:space="preserve"> in full compliance with the Paris Principles</w:t>
      </w:r>
      <w:r w:rsidR="002E28A6">
        <w:rPr>
          <w:b/>
        </w:rPr>
        <w:t xml:space="preserve"> </w:t>
      </w:r>
      <w:r w:rsidR="00020C4A" w:rsidRPr="00020C4A">
        <w:rPr>
          <w:b/>
        </w:rPr>
        <w:t>(General Assembly resolution 48/134, annex)</w:t>
      </w:r>
      <w:r w:rsidRPr="00E379C0">
        <w:rPr>
          <w:b/>
        </w:rPr>
        <w:t>.</w:t>
      </w:r>
    </w:p>
    <w:p w:rsidR="00B86B33" w:rsidRDefault="00B86B33" w:rsidP="00B86B33">
      <w:pPr>
        <w:pStyle w:val="H23G"/>
      </w:pPr>
      <w:r>
        <w:tab/>
      </w:r>
      <w:r>
        <w:tab/>
      </w:r>
      <w:r w:rsidRPr="00340E4F">
        <w:t>Accountability for conflict-related violations in Northern Ireland</w:t>
      </w:r>
      <w:r w:rsidR="00595349">
        <w:t xml:space="preserve"> </w:t>
      </w:r>
    </w:p>
    <w:p w:rsidR="00B86B33" w:rsidRPr="00D32356" w:rsidRDefault="00E80A9B" w:rsidP="00B72DBC">
      <w:pPr>
        <w:pStyle w:val="SingleTxtG"/>
        <w:numPr>
          <w:ilvl w:val="0"/>
          <w:numId w:val="11"/>
        </w:numPr>
        <w:ind w:left="1134" w:firstLine="0"/>
        <w:rPr>
          <w:rStyle w:val="SingleTxtGChar"/>
        </w:rPr>
      </w:pPr>
      <w:r>
        <w:rPr>
          <w:rStyle w:val="SingleTxtGChar"/>
        </w:rPr>
        <w:t>While welcoming the adoption of the Stormont House Agreement, t</w:t>
      </w:r>
      <w:r w:rsidR="00B86B33" w:rsidRPr="00D32356">
        <w:rPr>
          <w:rStyle w:val="SingleTxtGChar"/>
        </w:rPr>
        <w:t>he Committee remains concerned (</w:t>
      </w:r>
      <w:r w:rsidR="00D66397">
        <w:rPr>
          <w:rStyle w:val="SingleTxtGChar"/>
        </w:rPr>
        <w:t xml:space="preserve">see </w:t>
      </w:r>
      <w:r w:rsidR="00B86B33" w:rsidRPr="00D32356">
        <w:rPr>
          <w:rStyle w:val="SingleTxtGChar"/>
        </w:rPr>
        <w:t xml:space="preserve">CCPR/C/GBR/CO/6, para. 9) about the quality and pace of the process of promoting accountability in relation to </w:t>
      </w:r>
      <w:r w:rsidR="00B86B33">
        <w:rPr>
          <w:rStyle w:val="SingleTxtGChar"/>
        </w:rPr>
        <w:t>“</w:t>
      </w:r>
      <w:r w:rsidR="00B86B33" w:rsidRPr="00D32356">
        <w:rPr>
          <w:rStyle w:val="SingleTxtGChar"/>
        </w:rPr>
        <w:t xml:space="preserve">the Troubles” in Northern Ireland and about the absence of a comprehensive framework for dealing with conflict-related serious human rights violations. The Committee also notes with concern (a) the multiple independence and effectiveness shortcomings alleged in relation to the Police Ombudsman’s ability to investigate historical cases of police misconduct; (b) that the Legacy Investigation Branch established within the Police Service of Northern Ireland to carry out the work of the closed Historical Enquiries Team may lack sufficient </w:t>
      </w:r>
      <w:r w:rsidR="00B86B33" w:rsidRPr="009A5BE6">
        <w:rPr>
          <w:rFonts w:eastAsia="Calibri"/>
          <w:lang w:eastAsia="en-GB"/>
        </w:rPr>
        <w:t>independence</w:t>
      </w:r>
      <w:r w:rsidR="00B86B33" w:rsidRPr="00D32356">
        <w:rPr>
          <w:rStyle w:val="SingleTxtGChar"/>
        </w:rPr>
        <w:t xml:space="preserve"> and adequate resources; (c) delays in the functioning of the Coroner’s inquest system in legacy cases; (d) the retention in the Inquiries Act 2005 of a broad mandate for government </w:t>
      </w:r>
      <w:r w:rsidR="00B86B33" w:rsidRPr="00D32356">
        <w:rPr>
          <w:rStyle w:val="SingleTxtGChar"/>
          <w:rFonts w:hint="cs"/>
        </w:rPr>
        <w:t>ministers</w:t>
      </w:r>
      <w:r w:rsidR="00B86B33" w:rsidRPr="00D32356">
        <w:rPr>
          <w:rStyle w:val="SingleTxtGChar"/>
        </w:rPr>
        <w:t xml:space="preserve"> to suppress the publication of </w:t>
      </w:r>
      <w:r w:rsidR="00D50987">
        <w:rPr>
          <w:rStyle w:val="SingleTxtGChar"/>
        </w:rPr>
        <w:t>inquiry reports</w:t>
      </w:r>
      <w:r w:rsidR="00B86B33" w:rsidRPr="00D32356">
        <w:rPr>
          <w:rStyle w:val="SingleTxtGChar"/>
        </w:rPr>
        <w:t xml:space="preserve"> and the lack of safeguards against abuse of th</w:t>
      </w:r>
      <w:r w:rsidR="00D50987">
        <w:rPr>
          <w:rStyle w:val="SingleTxtGChar"/>
        </w:rPr>
        <w:t>o</w:t>
      </w:r>
      <w:r w:rsidR="00B86B33" w:rsidRPr="00D32356">
        <w:rPr>
          <w:rStyle w:val="SingleTxtGChar"/>
        </w:rPr>
        <w:t xml:space="preserve">se executive powers; </w:t>
      </w:r>
      <w:r w:rsidR="00D50987">
        <w:rPr>
          <w:rStyle w:val="SingleTxtGChar"/>
        </w:rPr>
        <w:t xml:space="preserve">and </w:t>
      </w:r>
      <w:r w:rsidR="00B86B33" w:rsidRPr="00D32356">
        <w:rPr>
          <w:rStyle w:val="SingleTxtGChar"/>
        </w:rPr>
        <w:t xml:space="preserve">(e) that the review </w:t>
      </w:r>
      <w:r w:rsidR="00D50987">
        <w:rPr>
          <w:rStyle w:val="SingleTxtGChar"/>
        </w:rPr>
        <w:t>relating to</w:t>
      </w:r>
      <w:r w:rsidR="00D50987" w:rsidRPr="00D32356">
        <w:rPr>
          <w:rStyle w:val="SingleTxtGChar"/>
        </w:rPr>
        <w:t xml:space="preserve"> </w:t>
      </w:r>
      <w:r w:rsidR="00B86B33" w:rsidRPr="00D32356">
        <w:rPr>
          <w:rStyle w:val="SingleTxtGChar"/>
        </w:rPr>
        <w:t>the murder of Pat</w:t>
      </w:r>
      <w:r w:rsidR="00D50987">
        <w:rPr>
          <w:rStyle w:val="SingleTxtGChar"/>
        </w:rPr>
        <w:t>rick</w:t>
      </w:r>
      <w:r w:rsidR="00B86B33" w:rsidRPr="00D32356">
        <w:rPr>
          <w:rStyle w:val="SingleTxtGChar"/>
        </w:rPr>
        <w:t xml:space="preserve"> Finucane (i.e. the de Silva Review) does not </w:t>
      </w:r>
      <w:r w:rsidR="00B86B33">
        <w:rPr>
          <w:rStyle w:val="SingleTxtGChar"/>
          <w:lang w:bidi="he-IL"/>
        </w:rPr>
        <w:t xml:space="preserve">appear to </w:t>
      </w:r>
      <w:r w:rsidR="00B86B33" w:rsidRPr="00D32356">
        <w:rPr>
          <w:rStyle w:val="SingleTxtGChar"/>
        </w:rPr>
        <w:t>satisfy the effective investigation standards under the Covenant. The Committee, while welcoming the proposed establishment of an Historical Investigations Unit to deal with outstanding cases related to the conflict in Northern Ireland, is concerned that the quality of investigations to be conducted may be affected by the passage of time</w:t>
      </w:r>
      <w:r w:rsidR="00D82860">
        <w:rPr>
          <w:rStyle w:val="SingleTxtGChar"/>
        </w:rPr>
        <w:t>,</w:t>
      </w:r>
      <w:r w:rsidR="00B86B33" w:rsidRPr="00D32356">
        <w:rPr>
          <w:rStyle w:val="SingleTxtGChar"/>
        </w:rPr>
        <w:t xml:space="preserve"> given that the </w:t>
      </w:r>
      <w:r w:rsidR="00D82860">
        <w:rPr>
          <w:rStyle w:val="SingleTxtGChar"/>
        </w:rPr>
        <w:t>u</w:t>
      </w:r>
      <w:r w:rsidR="00B86B33" w:rsidRPr="00D32356">
        <w:rPr>
          <w:rStyle w:val="SingleTxtGChar"/>
        </w:rPr>
        <w:t xml:space="preserve">nit would become fully operational only in 2017 (arts. 2 and 6). </w:t>
      </w:r>
    </w:p>
    <w:p w:rsidR="00B86B33" w:rsidRPr="003E5A37" w:rsidRDefault="00B86B33" w:rsidP="003E5A37">
      <w:pPr>
        <w:pStyle w:val="SingleTxtG"/>
        <w:rPr>
          <w:b/>
          <w:bCs/>
        </w:rPr>
      </w:pPr>
      <w:r w:rsidRPr="003E5A37">
        <w:rPr>
          <w:b/>
          <w:bCs/>
        </w:rPr>
        <w:t>The State party should:</w:t>
      </w:r>
    </w:p>
    <w:p w:rsidR="00B86B33" w:rsidRPr="00D32356" w:rsidRDefault="00B86B33" w:rsidP="00B86B33">
      <w:pPr>
        <w:pStyle w:val="SingleTxtG"/>
        <w:rPr>
          <w:b/>
        </w:rPr>
      </w:pPr>
      <w:r>
        <w:rPr>
          <w:b/>
        </w:rPr>
        <w:tab/>
      </w:r>
      <w:r w:rsidRPr="00D32356">
        <w:rPr>
          <w:b/>
        </w:rPr>
        <w:t>(a)</w:t>
      </w:r>
      <w:r w:rsidRPr="00D32356">
        <w:rPr>
          <w:b/>
        </w:rPr>
        <w:tab/>
        <w:t xml:space="preserve">Ensure, as a matter of particular urgency, that independent, impartial, prompt and effective investigations, including those proposed under the Stormont House Agreement, are conducted to ensure a full, transparent and credible account of the circumstances surrounding </w:t>
      </w:r>
      <w:r w:rsidRPr="00D32356">
        <w:rPr>
          <w:b/>
          <w:lang w:bidi="he-IL"/>
        </w:rPr>
        <w:t>events</w:t>
      </w:r>
      <w:r w:rsidRPr="00D32356">
        <w:rPr>
          <w:b/>
        </w:rPr>
        <w:t xml:space="preserve"> in Northern Ireland with a view to identify</w:t>
      </w:r>
      <w:r>
        <w:rPr>
          <w:b/>
        </w:rPr>
        <w:t>ing</w:t>
      </w:r>
      <w:r w:rsidRPr="00D32356">
        <w:rPr>
          <w:b/>
        </w:rPr>
        <w:t>, prosecut</w:t>
      </w:r>
      <w:r>
        <w:rPr>
          <w:b/>
        </w:rPr>
        <w:t>ing</w:t>
      </w:r>
      <w:r w:rsidRPr="00D32356">
        <w:rPr>
          <w:b/>
        </w:rPr>
        <w:t xml:space="preserve"> and punish</w:t>
      </w:r>
      <w:r>
        <w:rPr>
          <w:b/>
        </w:rPr>
        <w:t>ing</w:t>
      </w:r>
      <w:r w:rsidRPr="00D32356">
        <w:rPr>
          <w:b/>
        </w:rPr>
        <w:t xml:space="preserve"> perpetrators of human rights violations, in particular the right to life</w:t>
      </w:r>
      <w:r w:rsidR="00E10F74">
        <w:rPr>
          <w:b/>
        </w:rPr>
        <w:t>,</w:t>
      </w:r>
      <w:r>
        <w:rPr>
          <w:b/>
        </w:rPr>
        <w:t xml:space="preserve"> and providing </w:t>
      </w:r>
      <w:r w:rsidR="00206ECB">
        <w:rPr>
          <w:b/>
        </w:rPr>
        <w:t xml:space="preserve">appropriate </w:t>
      </w:r>
      <w:r>
        <w:rPr>
          <w:b/>
        </w:rPr>
        <w:t>remedies for victims</w:t>
      </w:r>
      <w:r w:rsidRPr="00D32356">
        <w:rPr>
          <w:b/>
        </w:rPr>
        <w:t>;</w:t>
      </w:r>
    </w:p>
    <w:p w:rsidR="00B86B33" w:rsidRPr="00D32356" w:rsidRDefault="00B86B33" w:rsidP="00B72DBC">
      <w:pPr>
        <w:pStyle w:val="SingleTxtG"/>
        <w:rPr>
          <w:b/>
        </w:rPr>
      </w:pPr>
      <w:r>
        <w:rPr>
          <w:b/>
        </w:rPr>
        <w:tab/>
      </w:r>
      <w:r w:rsidRPr="00D32356">
        <w:rPr>
          <w:b/>
        </w:rPr>
        <w:t>(b)</w:t>
      </w:r>
      <w:r w:rsidRPr="00D32356">
        <w:rPr>
          <w:b/>
        </w:rPr>
        <w:tab/>
        <w:t>Ensure, given the passage of time, the establishment and full operation of the Historical In</w:t>
      </w:r>
      <w:r w:rsidR="00B72DBC">
        <w:rPr>
          <w:b/>
        </w:rPr>
        <w:t>vestigations</w:t>
      </w:r>
      <w:r w:rsidRPr="00D32356">
        <w:rPr>
          <w:b/>
        </w:rPr>
        <w:t xml:space="preserve"> Unit as soon as possible; guarantee its independence</w:t>
      </w:r>
      <w:r w:rsidR="001D4463">
        <w:rPr>
          <w:b/>
        </w:rPr>
        <w:t>, by</w:t>
      </w:r>
      <w:r w:rsidRPr="00D32356">
        <w:rPr>
          <w:b/>
          <w:lang w:bidi="he-IL"/>
        </w:rPr>
        <w:t xml:space="preserve"> </w:t>
      </w:r>
      <w:r w:rsidRPr="00D32356">
        <w:rPr>
          <w:b/>
        </w:rPr>
        <w:t>statute; secure adequate and sufficient funding to enable the effective investigation of all outstanding cases</w:t>
      </w:r>
      <w:r w:rsidR="00BB75C3">
        <w:rPr>
          <w:b/>
        </w:rPr>
        <w:t>;</w:t>
      </w:r>
      <w:r w:rsidRPr="00D32356">
        <w:rPr>
          <w:b/>
        </w:rPr>
        <w:t xml:space="preserve"> and ensure its access to all documentation and material relevant </w:t>
      </w:r>
      <w:r w:rsidR="00BB75C3">
        <w:rPr>
          <w:b/>
        </w:rPr>
        <w:t>to</w:t>
      </w:r>
      <w:r w:rsidR="00BB75C3" w:rsidRPr="00D32356">
        <w:rPr>
          <w:b/>
        </w:rPr>
        <w:t xml:space="preserve"> </w:t>
      </w:r>
      <w:r w:rsidRPr="00D32356">
        <w:rPr>
          <w:b/>
        </w:rPr>
        <w:t xml:space="preserve">its investigations; </w:t>
      </w:r>
    </w:p>
    <w:p w:rsidR="00B86B33" w:rsidRPr="00D32356" w:rsidRDefault="00B86B33" w:rsidP="00BB75C3">
      <w:pPr>
        <w:pStyle w:val="SingleTxtG"/>
        <w:rPr>
          <w:b/>
        </w:rPr>
      </w:pPr>
      <w:r>
        <w:rPr>
          <w:b/>
        </w:rPr>
        <w:tab/>
      </w:r>
      <w:r w:rsidRPr="00D32356">
        <w:rPr>
          <w:b/>
        </w:rPr>
        <w:t>(c)</w:t>
      </w:r>
      <w:r w:rsidRPr="00D32356">
        <w:rPr>
          <w:b/>
        </w:rPr>
        <w:tab/>
        <w:t xml:space="preserve">Ensure that the Legacy Investigation Branch </w:t>
      </w:r>
      <w:r w:rsidRPr="00D32356">
        <w:rPr>
          <w:b/>
          <w:lang w:bidi="he-IL"/>
        </w:rPr>
        <w:t>and</w:t>
      </w:r>
      <w:r w:rsidRPr="00D32356">
        <w:rPr>
          <w:b/>
        </w:rPr>
        <w:t xml:space="preserve"> the Coroner’s </w:t>
      </w:r>
      <w:r w:rsidR="00BB75C3">
        <w:rPr>
          <w:b/>
        </w:rPr>
        <w:t>C</w:t>
      </w:r>
      <w:r w:rsidRPr="00D32356">
        <w:rPr>
          <w:b/>
        </w:rPr>
        <w:t xml:space="preserve">ourt in Northern Ireland </w:t>
      </w:r>
      <w:r w:rsidRPr="00D32356">
        <w:rPr>
          <w:b/>
          <w:lang w:bidi="he-IL"/>
        </w:rPr>
        <w:t>are</w:t>
      </w:r>
      <w:r w:rsidRPr="00D32356">
        <w:rPr>
          <w:b/>
        </w:rPr>
        <w:t xml:space="preserve"> adequately resourced and </w:t>
      </w:r>
      <w:r w:rsidRPr="00D32356">
        <w:rPr>
          <w:b/>
          <w:lang w:bidi="he-IL"/>
        </w:rPr>
        <w:t>are well</w:t>
      </w:r>
      <w:r w:rsidR="00BB75C3">
        <w:rPr>
          <w:b/>
          <w:lang w:bidi="he-IL"/>
        </w:rPr>
        <w:t xml:space="preserve"> </w:t>
      </w:r>
      <w:r w:rsidRPr="00D32356">
        <w:rPr>
          <w:b/>
          <w:lang w:bidi="he-IL"/>
        </w:rPr>
        <w:t>positioned to review</w:t>
      </w:r>
      <w:r w:rsidRPr="00D32356">
        <w:rPr>
          <w:b/>
        </w:rPr>
        <w:t xml:space="preserve"> outstanding legacy cases</w:t>
      </w:r>
      <w:r w:rsidR="00BB75C3">
        <w:rPr>
          <w:b/>
        </w:rPr>
        <w:t xml:space="preserve"> effectively</w:t>
      </w:r>
      <w:r w:rsidRPr="00D32356">
        <w:rPr>
          <w:b/>
        </w:rPr>
        <w:t>;</w:t>
      </w:r>
    </w:p>
    <w:p w:rsidR="00B86B33" w:rsidRPr="00D32356" w:rsidRDefault="00B86B33" w:rsidP="001E6725">
      <w:pPr>
        <w:pStyle w:val="SingleTxtG"/>
        <w:rPr>
          <w:b/>
        </w:rPr>
      </w:pPr>
      <w:r>
        <w:rPr>
          <w:b/>
        </w:rPr>
        <w:lastRenderedPageBreak/>
        <w:tab/>
      </w:r>
      <w:r w:rsidRPr="00D32356">
        <w:rPr>
          <w:b/>
        </w:rPr>
        <w:t>(d)</w:t>
      </w:r>
      <w:r w:rsidRPr="00D32356">
        <w:rPr>
          <w:b/>
        </w:rPr>
        <w:tab/>
        <w:t xml:space="preserve">Reconsider its position on the broad mandate of </w:t>
      </w:r>
      <w:r w:rsidRPr="00D32356">
        <w:rPr>
          <w:b/>
          <w:lang w:bidi="he-IL"/>
        </w:rPr>
        <w:t xml:space="preserve">the </w:t>
      </w:r>
      <w:r w:rsidRPr="00D32356">
        <w:rPr>
          <w:b/>
        </w:rPr>
        <w:t xml:space="preserve">executive to suppress the publication of </w:t>
      </w:r>
      <w:r w:rsidR="00BB75C3">
        <w:rPr>
          <w:b/>
        </w:rPr>
        <w:t>i</w:t>
      </w:r>
      <w:r w:rsidRPr="00D32356">
        <w:rPr>
          <w:b/>
        </w:rPr>
        <w:t>nquiry reports</w:t>
      </w:r>
      <w:r w:rsidRPr="00D32356">
        <w:rPr>
          <w:b/>
          <w:lang w:bidi="he-IL"/>
        </w:rPr>
        <w:t xml:space="preserve"> under the Inquiries Act 2005</w:t>
      </w:r>
      <w:r w:rsidRPr="00D32356">
        <w:rPr>
          <w:b/>
        </w:rPr>
        <w:t>;</w:t>
      </w:r>
    </w:p>
    <w:p w:rsidR="00B86B33" w:rsidRPr="00D32356" w:rsidRDefault="00B86B33" w:rsidP="00B86B33">
      <w:pPr>
        <w:pStyle w:val="SingleTxtG"/>
        <w:rPr>
          <w:b/>
        </w:rPr>
      </w:pPr>
      <w:r>
        <w:rPr>
          <w:b/>
        </w:rPr>
        <w:tab/>
      </w:r>
      <w:r w:rsidRPr="00D32356">
        <w:rPr>
          <w:b/>
        </w:rPr>
        <w:t>(e)</w:t>
      </w:r>
      <w:r w:rsidRPr="00D32356">
        <w:rPr>
          <w:b/>
        </w:rPr>
        <w:tab/>
        <w:t>Consider launching a</w:t>
      </w:r>
      <w:r>
        <w:rPr>
          <w:b/>
          <w:lang w:bidi="he-IL"/>
        </w:rPr>
        <w:t>n</w:t>
      </w:r>
      <w:r w:rsidRPr="00D32356">
        <w:rPr>
          <w:b/>
        </w:rPr>
        <w:t xml:space="preserve"> </w:t>
      </w:r>
      <w:r>
        <w:rPr>
          <w:b/>
          <w:lang w:bidi="he-IL"/>
        </w:rPr>
        <w:t>official</w:t>
      </w:r>
      <w:r w:rsidRPr="00D32356">
        <w:rPr>
          <w:b/>
        </w:rPr>
        <w:t xml:space="preserve"> inquiry into the murder of Pat</w:t>
      </w:r>
      <w:r w:rsidR="00BB75C3">
        <w:rPr>
          <w:b/>
        </w:rPr>
        <w:t>rick</w:t>
      </w:r>
      <w:r w:rsidRPr="00D32356">
        <w:rPr>
          <w:b/>
        </w:rPr>
        <w:t xml:space="preserve"> Finucane.</w:t>
      </w:r>
    </w:p>
    <w:p w:rsidR="00B86B33" w:rsidRPr="00B9292C" w:rsidRDefault="00B86B33" w:rsidP="00B86B33">
      <w:pPr>
        <w:pStyle w:val="H23G"/>
      </w:pPr>
      <w:r>
        <w:tab/>
      </w:r>
      <w:r>
        <w:tab/>
      </w:r>
      <w:r w:rsidRPr="00187549">
        <w:t>Accountability for human rights violations committed by British forces abroad</w:t>
      </w:r>
    </w:p>
    <w:p w:rsidR="00B86B33" w:rsidRPr="00EB65D5" w:rsidRDefault="00B86B33" w:rsidP="00B13CEB">
      <w:pPr>
        <w:pStyle w:val="SingleTxtG"/>
        <w:numPr>
          <w:ilvl w:val="0"/>
          <w:numId w:val="11"/>
        </w:numPr>
        <w:ind w:left="1134" w:firstLine="0"/>
      </w:pPr>
      <w:r w:rsidRPr="00EB65D5">
        <w:t xml:space="preserve">The Committee, while welcoming the mechanisms in place to investigate allegations of serious human rights violations, including torture, arbitrary detention and enforced disappearances, committed by British forces operating overseas, is concerned about (a) the slow progress in proceedings before the Intelligence and Security Committee </w:t>
      </w:r>
      <w:r w:rsidR="00D860DE" w:rsidRPr="00802C13">
        <w:t xml:space="preserve">of Parliament </w:t>
      </w:r>
      <w:r w:rsidRPr="00EB65D5">
        <w:t xml:space="preserve">in relation to the Detainee Inquiry; </w:t>
      </w:r>
      <w:r w:rsidR="00BA5FDD">
        <w:t xml:space="preserve">and </w:t>
      </w:r>
      <w:r>
        <w:rPr>
          <w:lang w:bidi="he-IL"/>
        </w:rPr>
        <w:t xml:space="preserve">(b) the </w:t>
      </w:r>
      <w:r w:rsidRPr="00EB65D5">
        <w:t xml:space="preserve">adequacy </w:t>
      </w:r>
      <w:r>
        <w:rPr>
          <w:lang w:bidi="he-IL"/>
        </w:rPr>
        <w:t xml:space="preserve">of the </w:t>
      </w:r>
      <w:r w:rsidR="000107D9" w:rsidRPr="00EB65D5">
        <w:t xml:space="preserve">Intelligence and Security Committee </w:t>
      </w:r>
      <w:r w:rsidR="000107D9" w:rsidRPr="00802C13">
        <w:t>of Parliament</w:t>
      </w:r>
      <w:r>
        <w:rPr>
          <w:lang w:bidi="he-IL"/>
        </w:rPr>
        <w:t xml:space="preserve"> </w:t>
      </w:r>
      <w:r w:rsidRPr="00EB65D5">
        <w:t>as an investigation mechanism</w:t>
      </w:r>
      <w:r>
        <w:rPr>
          <w:lang w:bidi="he-IL"/>
        </w:rPr>
        <w:t xml:space="preserve">, </w:t>
      </w:r>
      <w:r w:rsidRPr="00986C9F">
        <w:rPr>
          <w:iCs/>
          <w:lang w:bidi="he-IL"/>
        </w:rPr>
        <w:t>inter alia</w:t>
      </w:r>
      <w:r w:rsidR="001E6725">
        <w:rPr>
          <w:iCs/>
          <w:lang w:bidi="he-IL"/>
        </w:rPr>
        <w:t xml:space="preserve"> in view of</w:t>
      </w:r>
      <w:r w:rsidRPr="000C10AF">
        <w:rPr>
          <w:iCs/>
        </w:rPr>
        <w:t xml:space="preserve"> concerns</w:t>
      </w:r>
      <w:r w:rsidRPr="00EB65D5">
        <w:t xml:space="preserve"> about its independence from the </w:t>
      </w:r>
      <w:r w:rsidR="001E6725">
        <w:t>executive</w:t>
      </w:r>
      <w:r>
        <w:t xml:space="preserve"> and </w:t>
      </w:r>
      <w:r w:rsidR="001E6725">
        <w:t xml:space="preserve">about </w:t>
      </w:r>
      <w:r w:rsidRPr="00EB65D5">
        <w:t xml:space="preserve">the power of the </w:t>
      </w:r>
      <w:r w:rsidR="001E6725">
        <w:t>G</w:t>
      </w:r>
      <w:r w:rsidRPr="00EB65D5">
        <w:t xml:space="preserve">overnment to withhold sensitive information from </w:t>
      </w:r>
      <w:r>
        <w:rPr>
          <w:lang w:bidi="he-IL"/>
        </w:rPr>
        <w:t>it</w:t>
      </w:r>
      <w:r w:rsidRPr="00EB65D5">
        <w:t>. The Committee is also concerned about the slow progress of the Iraq Historical Allegations Team and the very small number of criminal proceed</w:t>
      </w:r>
      <w:r>
        <w:t xml:space="preserve">ings completed so far. </w:t>
      </w:r>
      <w:r w:rsidR="00BA5FDD">
        <w:t>Furthermore</w:t>
      </w:r>
      <w:r>
        <w:t xml:space="preserve">, </w:t>
      </w:r>
      <w:r w:rsidRPr="00EB65D5">
        <w:t xml:space="preserve">the Committee is concerned about the lack of information on </w:t>
      </w:r>
      <w:r>
        <w:rPr>
          <w:lang w:bidi="he-IL"/>
        </w:rPr>
        <w:t xml:space="preserve">what </w:t>
      </w:r>
      <w:r w:rsidRPr="00EB65D5">
        <w:t>investigations</w:t>
      </w:r>
      <w:r w:rsidR="00BA5FDD">
        <w:t>, if any,</w:t>
      </w:r>
      <w:r w:rsidRPr="00EB65D5">
        <w:t xml:space="preserve"> </w:t>
      </w:r>
      <w:r>
        <w:rPr>
          <w:lang w:bidi="he-IL"/>
        </w:rPr>
        <w:t xml:space="preserve">took place </w:t>
      </w:r>
      <w:r w:rsidRPr="00EB65D5">
        <w:t xml:space="preserve">into </w:t>
      </w:r>
      <w:r w:rsidRPr="00B13CEB">
        <w:t>allegations about</w:t>
      </w:r>
      <w:r w:rsidRPr="00403285">
        <w:t xml:space="preserve"> </w:t>
      </w:r>
      <w:r w:rsidR="00B13CEB">
        <w:t>B</w:t>
      </w:r>
      <w:r w:rsidR="00B13CEB" w:rsidRPr="00986C9F">
        <w:t>ritish</w:t>
      </w:r>
      <w:r w:rsidRPr="00B13CEB">
        <w:t xml:space="preserve"> </w:t>
      </w:r>
      <w:r w:rsidR="00B13CEB" w:rsidRPr="003D5D90">
        <w:t>s</w:t>
      </w:r>
      <w:r w:rsidRPr="003D5D90">
        <w:t>pecial</w:t>
      </w:r>
      <w:r w:rsidRPr="00EB65D5">
        <w:t xml:space="preserve"> </w:t>
      </w:r>
      <w:r w:rsidR="00B13CEB">
        <w:t>f</w:t>
      </w:r>
      <w:r w:rsidRPr="00EB65D5">
        <w:t xml:space="preserve">orces personnel handing over detainees </w:t>
      </w:r>
      <w:r w:rsidR="00D14250">
        <w:t>in</w:t>
      </w:r>
      <w:r w:rsidRPr="00EB65D5">
        <w:t>to U</w:t>
      </w:r>
      <w:r w:rsidR="00D14250">
        <w:t xml:space="preserve">nited </w:t>
      </w:r>
      <w:r w:rsidRPr="00EB65D5">
        <w:t>S</w:t>
      </w:r>
      <w:r w:rsidR="00D14250">
        <w:t>tates</w:t>
      </w:r>
      <w:r w:rsidRPr="00EB65D5">
        <w:t xml:space="preserve"> custody at Camp Nama, a secret prison at Baghdad International </w:t>
      </w:r>
      <w:r w:rsidR="00BA5FDD">
        <w:t>A</w:t>
      </w:r>
      <w:r w:rsidRPr="00EB65D5">
        <w:t>irport</w:t>
      </w:r>
      <w:r>
        <w:t xml:space="preserve"> (arts. 2, 6, and 7)</w:t>
      </w:r>
      <w:r w:rsidRPr="00EB65D5">
        <w:t xml:space="preserve">. </w:t>
      </w:r>
    </w:p>
    <w:p w:rsidR="00B86B33" w:rsidRPr="003E5A37" w:rsidRDefault="00B86B33" w:rsidP="003E5A37">
      <w:pPr>
        <w:pStyle w:val="SingleTxtG"/>
        <w:rPr>
          <w:bCs/>
        </w:rPr>
      </w:pPr>
      <w:r w:rsidRPr="003E5A37">
        <w:rPr>
          <w:b/>
          <w:bCs/>
        </w:rPr>
        <w:t>The State party should:</w:t>
      </w:r>
    </w:p>
    <w:p w:rsidR="00B86B33" w:rsidRPr="00DC5A52" w:rsidRDefault="00B86B33" w:rsidP="00B86B33">
      <w:pPr>
        <w:pStyle w:val="SingleTxtG"/>
        <w:rPr>
          <w:b/>
        </w:rPr>
      </w:pPr>
      <w:r>
        <w:rPr>
          <w:b/>
        </w:rPr>
        <w:tab/>
      </w:r>
      <w:r w:rsidRPr="00D32356">
        <w:rPr>
          <w:b/>
        </w:rPr>
        <w:t>(a)</w:t>
      </w:r>
      <w:r w:rsidRPr="00D32356">
        <w:rPr>
          <w:b/>
        </w:rPr>
        <w:tab/>
        <w:t xml:space="preserve">Ensure that the proceedings before the Intelligence and Security Committee </w:t>
      </w:r>
      <w:r w:rsidR="00D860DE" w:rsidRPr="00D860DE">
        <w:rPr>
          <w:b/>
        </w:rPr>
        <w:t xml:space="preserve">of Parliament </w:t>
      </w:r>
      <w:r w:rsidRPr="00D32356">
        <w:rPr>
          <w:b/>
        </w:rPr>
        <w:t xml:space="preserve">meet the requirements of the Covenant, including an adequate balance between security interests and the need for accountability for human rights violations, </w:t>
      </w:r>
      <w:r w:rsidRPr="00D32356">
        <w:rPr>
          <w:b/>
          <w:lang w:bidi="he-IL"/>
        </w:rPr>
        <w:t xml:space="preserve">and </w:t>
      </w:r>
      <w:r w:rsidRPr="00D32356">
        <w:rPr>
          <w:b/>
        </w:rPr>
        <w:t xml:space="preserve">consider initiating a full judicial investigation in </w:t>
      </w:r>
      <w:r w:rsidRPr="00D32356">
        <w:rPr>
          <w:b/>
          <w:lang w:bidi="he-IL"/>
        </w:rPr>
        <w:t>all relevant</w:t>
      </w:r>
      <w:r>
        <w:rPr>
          <w:b/>
        </w:rPr>
        <w:t xml:space="preserve"> detainee cases;</w:t>
      </w:r>
    </w:p>
    <w:p w:rsidR="00B86B33" w:rsidRPr="00D32356" w:rsidRDefault="00B86B33" w:rsidP="00BA5FDD">
      <w:pPr>
        <w:pStyle w:val="SingleTxtG"/>
        <w:rPr>
          <w:b/>
        </w:rPr>
      </w:pPr>
      <w:r>
        <w:rPr>
          <w:b/>
        </w:rPr>
        <w:tab/>
      </w:r>
      <w:r w:rsidRPr="00D32356">
        <w:rPr>
          <w:b/>
        </w:rPr>
        <w:t>(b)</w:t>
      </w:r>
      <w:r w:rsidRPr="00D32356">
        <w:rPr>
          <w:b/>
        </w:rPr>
        <w:tab/>
        <w:t>Address the excessive delays in the investigation of cases dealt with by the Iraq Historical Allegations Team and consider establishing more robust accountability measures to ensure prompt, independent, impartial and effective investigations;</w:t>
      </w:r>
    </w:p>
    <w:p w:rsidR="00B86B33" w:rsidRPr="00D32356" w:rsidRDefault="00B86B33" w:rsidP="00B86B33">
      <w:pPr>
        <w:pStyle w:val="SingleTxtG"/>
        <w:rPr>
          <w:b/>
        </w:rPr>
      </w:pPr>
      <w:r>
        <w:rPr>
          <w:b/>
        </w:rPr>
        <w:tab/>
      </w:r>
      <w:r w:rsidRPr="00D32356">
        <w:rPr>
          <w:b/>
        </w:rPr>
        <w:t>(c)</w:t>
      </w:r>
      <w:r w:rsidRPr="00D32356">
        <w:rPr>
          <w:b/>
        </w:rPr>
        <w:tab/>
        <w:t xml:space="preserve">Ensure that the allegations in connection with Camp Nama are thoroughly, independently and impartially investigated. </w:t>
      </w:r>
    </w:p>
    <w:p w:rsidR="00B86B33" w:rsidRPr="008E68E8" w:rsidRDefault="00B86B33" w:rsidP="00B86B33">
      <w:pPr>
        <w:pStyle w:val="H23G"/>
      </w:pPr>
      <w:r>
        <w:tab/>
      </w:r>
      <w:r>
        <w:tab/>
      </w:r>
      <w:r w:rsidRPr="008E68E8">
        <w:t>Racism and xenophobia</w:t>
      </w:r>
    </w:p>
    <w:p w:rsidR="00B86B33" w:rsidRPr="008E68E8" w:rsidRDefault="00B86B33" w:rsidP="00DC1912">
      <w:pPr>
        <w:pStyle w:val="SingleTxtG"/>
        <w:numPr>
          <w:ilvl w:val="0"/>
          <w:numId w:val="11"/>
        </w:numPr>
        <w:ind w:left="1134" w:firstLine="0"/>
      </w:pPr>
      <w:r w:rsidRPr="008E68E8">
        <w:t xml:space="preserve">While acknowledging the measures taken by the State party to combat hate crimes, the Committee </w:t>
      </w:r>
      <w:r w:rsidR="005432FF">
        <w:t xml:space="preserve">notes a recent increase in the number of hate incidents and crimes on the </w:t>
      </w:r>
      <w:r w:rsidR="008C3426">
        <w:t>basis</w:t>
      </w:r>
      <w:r w:rsidR="005432FF">
        <w:t xml:space="preserve"> of race, nationality or religion. The Committee </w:t>
      </w:r>
      <w:r w:rsidRPr="008E68E8">
        <w:t xml:space="preserve">is </w:t>
      </w:r>
      <w:r w:rsidR="005432FF">
        <w:t xml:space="preserve">also </w:t>
      </w:r>
      <w:r w:rsidRPr="008E68E8">
        <w:t xml:space="preserve">concerned about </w:t>
      </w:r>
      <w:r>
        <w:rPr>
          <w:lang w:bidi="he-IL"/>
        </w:rPr>
        <w:t xml:space="preserve">the prevalence </w:t>
      </w:r>
      <w:r w:rsidRPr="008E68E8">
        <w:t xml:space="preserve">in the media </w:t>
      </w:r>
      <w:r>
        <w:t>and on the Internet</w:t>
      </w:r>
      <w:r>
        <w:rPr>
          <w:lang w:bidi="he-IL"/>
        </w:rPr>
        <w:t xml:space="preserve"> of </w:t>
      </w:r>
      <w:r w:rsidRPr="008E68E8">
        <w:t>racis</w:t>
      </w:r>
      <w:r w:rsidR="005432FF">
        <w:t>t</w:t>
      </w:r>
      <w:r w:rsidRPr="008E68E8">
        <w:t xml:space="preserve"> and xenophobi</w:t>
      </w:r>
      <w:r w:rsidR="003D4477">
        <w:t>c expressions</w:t>
      </w:r>
      <w:r w:rsidRPr="008E68E8">
        <w:t xml:space="preserve"> </w:t>
      </w:r>
      <w:r w:rsidR="007C6EF3">
        <w:t xml:space="preserve">that may amount to incitement to discrimination, hostility </w:t>
      </w:r>
      <w:r w:rsidR="008C3426">
        <w:t>or</w:t>
      </w:r>
      <w:r w:rsidR="007C6EF3">
        <w:t xml:space="preserve"> violence</w:t>
      </w:r>
      <w:r w:rsidR="007C6EF3">
        <w:rPr>
          <w:lang w:bidi="he-IL"/>
        </w:rPr>
        <w:t xml:space="preserve">. </w:t>
      </w:r>
      <w:r w:rsidR="004A1EF3">
        <w:rPr>
          <w:lang w:bidi="he-IL"/>
        </w:rPr>
        <w:t xml:space="preserve">In this regard, </w:t>
      </w:r>
      <w:r w:rsidR="004A1EF3">
        <w:t>t</w:t>
      </w:r>
      <w:r w:rsidR="007C6EF3">
        <w:t xml:space="preserve">he Committee notes with concern </w:t>
      </w:r>
      <w:r w:rsidR="0024633E">
        <w:t>the</w:t>
      </w:r>
      <w:r w:rsidR="007C6EF3">
        <w:t xml:space="preserve"> publication</w:t>
      </w:r>
      <w:r w:rsidR="0024633E">
        <w:t xml:space="preserve"> of material</w:t>
      </w:r>
      <w:r w:rsidR="007C6EF3">
        <w:t xml:space="preserve"> contain</w:t>
      </w:r>
      <w:r w:rsidR="00DC1912">
        <w:t>ing</w:t>
      </w:r>
      <w:r w:rsidR="008962AC">
        <w:t xml:space="preserve"> </w:t>
      </w:r>
      <w:r>
        <w:rPr>
          <w:lang w:bidi="he-IL"/>
        </w:rPr>
        <w:t>extremely</w:t>
      </w:r>
      <w:r w:rsidRPr="008E68E8">
        <w:t xml:space="preserve"> negative stereotyp</w:t>
      </w:r>
      <w:r w:rsidR="008962AC">
        <w:t>es</w:t>
      </w:r>
      <w:r w:rsidRPr="008E68E8">
        <w:t xml:space="preserve"> of ethnic, religious or other minorities</w:t>
      </w:r>
      <w:r w:rsidR="00DC1912">
        <w:t>, including</w:t>
      </w:r>
      <w:r w:rsidR="00A459FD">
        <w:t xml:space="preserve"> </w:t>
      </w:r>
      <w:r w:rsidR="00A459FD" w:rsidRPr="008E68E8">
        <w:t>persons of African descent and Muslims</w:t>
      </w:r>
      <w:r w:rsidR="00DC1912">
        <w:t xml:space="preserve"> and</w:t>
      </w:r>
      <w:r w:rsidR="00A459FD" w:rsidRPr="008E68E8">
        <w:t xml:space="preserve"> particularly migrants and asylum seekers</w:t>
      </w:r>
      <w:r w:rsidR="00A459FD">
        <w:t>,</w:t>
      </w:r>
      <w:r w:rsidR="007C6EF3">
        <w:t xml:space="preserve"> </w:t>
      </w:r>
      <w:r w:rsidRPr="008E68E8">
        <w:t xml:space="preserve">such as the article </w:t>
      </w:r>
      <w:r w:rsidR="00DC1912">
        <w:t xml:space="preserve">entitled </w:t>
      </w:r>
      <w:r w:rsidR="00A459FD">
        <w:t xml:space="preserve">“Rescue </w:t>
      </w:r>
      <w:r w:rsidR="00DC1912">
        <w:t>b</w:t>
      </w:r>
      <w:r w:rsidR="00A459FD">
        <w:t xml:space="preserve">oats? I’d </w:t>
      </w:r>
      <w:r w:rsidR="00DC1912">
        <w:t>u</w:t>
      </w:r>
      <w:r w:rsidR="00A459FD">
        <w:t xml:space="preserve">se </w:t>
      </w:r>
      <w:r w:rsidR="00DC1912">
        <w:t>g</w:t>
      </w:r>
      <w:r w:rsidR="00A459FD">
        <w:t xml:space="preserve">unships to </w:t>
      </w:r>
      <w:r w:rsidR="00DC1912">
        <w:t>s</w:t>
      </w:r>
      <w:r w:rsidR="00A459FD">
        <w:t xml:space="preserve">top </w:t>
      </w:r>
      <w:r w:rsidR="00DC1912">
        <w:t>m</w:t>
      </w:r>
      <w:r w:rsidR="00A459FD">
        <w:t xml:space="preserve">igrants” </w:t>
      </w:r>
      <w:r w:rsidRPr="008E68E8">
        <w:t xml:space="preserve">published in the </w:t>
      </w:r>
      <w:r w:rsidRPr="00986C9F">
        <w:rPr>
          <w:i/>
          <w:iCs/>
        </w:rPr>
        <w:t>Sun</w:t>
      </w:r>
      <w:r w:rsidRPr="008E68E8">
        <w:t xml:space="preserve"> newspaper </w:t>
      </w:r>
      <w:r w:rsidR="00206ECB">
        <w:t>on 17</w:t>
      </w:r>
      <w:r w:rsidRPr="008E68E8">
        <w:t xml:space="preserve"> April 2015</w:t>
      </w:r>
      <w:r w:rsidR="00573789">
        <w:t xml:space="preserve"> </w:t>
      </w:r>
      <w:r>
        <w:t>(art</w:t>
      </w:r>
      <w:r w:rsidR="0024710F">
        <w:t>s</w:t>
      </w:r>
      <w:r>
        <w:t xml:space="preserve">. </w:t>
      </w:r>
      <w:r w:rsidR="0024710F">
        <w:t xml:space="preserve">19 and </w:t>
      </w:r>
      <w:r>
        <w:t>20)</w:t>
      </w:r>
      <w:r w:rsidRPr="008E68E8">
        <w:t xml:space="preserve">. </w:t>
      </w:r>
    </w:p>
    <w:p w:rsidR="00B86B33" w:rsidRPr="00D32356" w:rsidRDefault="00B86B33" w:rsidP="00B86B33">
      <w:pPr>
        <w:pStyle w:val="SingleTxtG"/>
        <w:rPr>
          <w:b/>
        </w:rPr>
      </w:pPr>
      <w:r w:rsidRPr="00D32356">
        <w:rPr>
          <w:b/>
        </w:rPr>
        <w:t xml:space="preserve">The State party should strengthen its efforts to </w:t>
      </w:r>
      <w:r w:rsidR="00FB4926">
        <w:rPr>
          <w:b/>
        </w:rPr>
        <w:t>prevent and eradicate</w:t>
      </w:r>
      <w:r w:rsidRPr="00D32356">
        <w:rPr>
          <w:b/>
        </w:rPr>
        <w:t xml:space="preserve"> all acts of racism and xenophobia, including in the mass media and on the Internet</w:t>
      </w:r>
      <w:r w:rsidR="00B86C3D">
        <w:rPr>
          <w:b/>
        </w:rPr>
        <w:t xml:space="preserve">, in accordance with </w:t>
      </w:r>
      <w:r w:rsidR="00ED26A1">
        <w:rPr>
          <w:b/>
        </w:rPr>
        <w:t>articles 19 and 20 of the Covenant and the Committee’s general comment No. 34 (2011) on freedoms of opinion and expression</w:t>
      </w:r>
      <w:r w:rsidR="00DC1912">
        <w:rPr>
          <w:b/>
        </w:rPr>
        <w:t>,</w:t>
      </w:r>
      <w:r w:rsidRPr="00D32356">
        <w:rPr>
          <w:b/>
        </w:rPr>
        <w:t xml:space="preserve"> by, inter alia:</w:t>
      </w:r>
    </w:p>
    <w:p w:rsidR="00B86B33" w:rsidRPr="00D32356" w:rsidRDefault="00B86B33" w:rsidP="00B86B33">
      <w:pPr>
        <w:pStyle w:val="SingleTxtG"/>
        <w:rPr>
          <w:b/>
        </w:rPr>
      </w:pPr>
      <w:r>
        <w:rPr>
          <w:b/>
        </w:rPr>
        <w:tab/>
      </w:r>
      <w:r w:rsidRPr="00D32356">
        <w:rPr>
          <w:b/>
        </w:rPr>
        <w:t>(a)</w:t>
      </w:r>
      <w:r w:rsidRPr="00D32356">
        <w:rPr>
          <w:b/>
        </w:rPr>
        <w:tab/>
        <w:t>Effectively implementing and enforcing the existing relevant legal and policy frameworks on combating hate crimes;</w:t>
      </w:r>
    </w:p>
    <w:p w:rsidR="00B86B33" w:rsidRPr="00D32356" w:rsidRDefault="00B86B33" w:rsidP="00B86B33">
      <w:pPr>
        <w:pStyle w:val="SingleTxtG"/>
        <w:rPr>
          <w:b/>
        </w:rPr>
      </w:pPr>
      <w:r>
        <w:rPr>
          <w:b/>
        </w:rPr>
        <w:lastRenderedPageBreak/>
        <w:tab/>
      </w:r>
      <w:r w:rsidRPr="00D32356">
        <w:rPr>
          <w:b/>
        </w:rPr>
        <w:t>(b)</w:t>
      </w:r>
      <w:r w:rsidRPr="00D32356">
        <w:rPr>
          <w:b/>
        </w:rPr>
        <w:tab/>
      </w:r>
      <w:r>
        <w:rPr>
          <w:b/>
          <w:lang w:bidi="he-IL"/>
        </w:rPr>
        <w:t>Introducing new</w:t>
      </w:r>
      <w:r w:rsidRPr="00D32356">
        <w:rPr>
          <w:b/>
        </w:rPr>
        <w:t xml:space="preserve"> awareness-raising campaigns aimed at promoting respect for human rights and tolerance for diversity; </w:t>
      </w:r>
    </w:p>
    <w:p w:rsidR="00B86B33" w:rsidRPr="00D32356" w:rsidRDefault="00B86B33" w:rsidP="00B86B33">
      <w:pPr>
        <w:pStyle w:val="SingleTxtG"/>
        <w:rPr>
          <w:b/>
        </w:rPr>
      </w:pPr>
      <w:r>
        <w:rPr>
          <w:b/>
        </w:rPr>
        <w:tab/>
      </w:r>
      <w:r w:rsidRPr="00D32356">
        <w:rPr>
          <w:b/>
        </w:rPr>
        <w:t>(c)</w:t>
      </w:r>
      <w:r w:rsidRPr="00D32356">
        <w:rPr>
          <w:b/>
        </w:rPr>
        <w:tab/>
        <w:t xml:space="preserve">Improving the reporting of </w:t>
      </w:r>
      <w:r w:rsidR="004178F7">
        <w:rPr>
          <w:b/>
        </w:rPr>
        <w:t xml:space="preserve">cases of incitement to discrimination, hostility or violence, and of </w:t>
      </w:r>
      <w:r w:rsidR="00403285">
        <w:rPr>
          <w:b/>
        </w:rPr>
        <w:t xml:space="preserve">cases of </w:t>
      </w:r>
      <w:r w:rsidRPr="00D32356">
        <w:rPr>
          <w:b/>
        </w:rPr>
        <w:t>hate crimes;</w:t>
      </w:r>
    </w:p>
    <w:p w:rsidR="00B86B33" w:rsidRPr="00D32356" w:rsidRDefault="00B86B33" w:rsidP="00B86B33">
      <w:pPr>
        <w:pStyle w:val="SingleTxtG"/>
        <w:rPr>
          <w:b/>
        </w:rPr>
      </w:pPr>
      <w:r>
        <w:rPr>
          <w:b/>
        </w:rPr>
        <w:tab/>
      </w:r>
      <w:r w:rsidRPr="00D32356">
        <w:rPr>
          <w:b/>
        </w:rPr>
        <w:t>(d)</w:t>
      </w:r>
      <w:r w:rsidRPr="00D32356">
        <w:rPr>
          <w:b/>
        </w:rPr>
        <w:tab/>
        <w:t xml:space="preserve">Thoroughly investigating alleged </w:t>
      </w:r>
      <w:r w:rsidR="004178F7">
        <w:rPr>
          <w:b/>
        </w:rPr>
        <w:t xml:space="preserve">cases of incitement to discrimination, hostility or violence, and </w:t>
      </w:r>
      <w:r w:rsidR="00661E73">
        <w:rPr>
          <w:b/>
        </w:rPr>
        <w:t xml:space="preserve">alleged </w:t>
      </w:r>
      <w:r w:rsidRPr="00D32356">
        <w:rPr>
          <w:b/>
        </w:rPr>
        <w:t xml:space="preserve">hate crimes, prosecuting </w:t>
      </w:r>
      <w:r w:rsidR="00896875">
        <w:rPr>
          <w:b/>
        </w:rPr>
        <w:t xml:space="preserve">the </w:t>
      </w:r>
      <w:r w:rsidRPr="00D32356">
        <w:rPr>
          <w:b/>
        </w:rPr>
        <w:t xml:space="preserve">perpetrators and, if </w:t>
      </w:r>
      <w:r w:rsidR="00896875">
        <w:rPr>
          <w:b/>
        </w:rPr>
        <w:t xml:space="preserve">they are </w:t>
      </w:r>
      <w:r w:rsidRPr="00D32356">
        <w:rPr>
          <w:b/>
        </w:rPr>
        <w:t>convicted, punishing them with appropriate sanctions, and providing victims with adequate remedies, including compensation.</w:t>
      </w:r>
    </w:p>
    <w:p w:rsidR="00B86B33" w:rsidRDefault="00B86B33" w:rsidP="003E5A37">
      <w:pPr>
        <w:pStyle w:val="H23G"/>
      </w:pPr>
      <w:r>
        <w:tab/>
      </w:r>
      <w:r>
        <w:tab/>
        <w:t xml:space="preserve">Stop </w:t>
      </w:r>
      <w:r w:rsidR="00896875">
        <w:t>and</w:t>
      </w:r>
      <w:r>
        <w:t xml:space="preserve"> search powers</w:t>
      </w:r>
    </w:p>
    <w:p w:rsidR="00B86B33" w:rsidRPr="00D32356" w:rsidRDefault="00B86B33" w:rsidP="003D5D90">
      <w:pPr>
        <w:pStyle w:val="SingleTxtG"/>
        <w:numPr>
          <w:ilvl w:val="0"/>
          <w:numId w:val="11"/>
        </w:numPr>
        <w:ind w:left="1134" w:firstLine="0"/>
      </w:pPr>
      <w:r w:rsidRPr="009A5BE6">
        <w:rPr>
          <w:rFonts w:eastAsia="Calibri"/>
          <w:lang w:eastAsia="en-GB"/>
        </w:rPr>
        <w:t>The</w:t>
      </w:r>
      <w:r w:rsidRPr="00D32356">
        <w:t xml:space="preserve"> Committee is concerned about the use of stop and search powers in Scotland, </w:t>
      </w:r>
      <w:r w:rsidR="00087E74">
        <w:t xml:space="preserve">and </w:t>
      </w:r>
      <w:r w:rsidRPr="00D32356">
        <w:t xml:space="preserve">particularly </w:t>
      </w:r>
      <w:r w:rsidR="00087E74">
        <w:t xml:space="preserve">about </w:t>
      </w:r>
      <w:r w:rsidRPr="00D32356">
        <w:t xml:space="preserve">non-statutory searches undertaken on a large scale by Police Scotland that appear to involve, inter alia, the selective application of such measures in a manner </w:t>
      </w:r>
      <w:r w:rsidR="00087E74">
        <w:t>that</w:t>
      </w:r>
      <w:r w:rsidR="00087E74" w:rsidRPr="00D32356">
        <w:t xml:space="preserve"> </w:t>
      </w:r>
      <w:r w:rsidRPr="00D32356">
        <w:t>is allegedly unlawful and disproportion</w:t>
      </w:r>
      <w:r>
        <w:t>a</w:t>
      </w:r>
      <w:r w:rsidRPr="00D32356">
        <w:t>te. Furthermore, while noting the authorization procedure</w:t>
      </w:r>
      <w:r w:rsidR="003D5D90">
        <w:t>, introduced in 2012,</w:t>
      </w:r>
      <w:r w:rsidRPr="00D32356">
        <w:t xml:space="preserve"> for the use of stop and search powers without reasonable suspicion in the Justice and Security (N</w:t>
      </w:r>
      <w:r w:rsidR="00087E74">
        <w:t xml:space="preserve">orthern </w:t>
      </w:r>
      <w:r w:rsidRPr="00D32356">
        <w:t>I</w:t>
      </w:r>
      <w:r w:rsidR="00087E74">
        <w:t>reland</w:t>
      </w:r>
      <w:r w:rsidRPr="00D32356">
        <w:t>) Act 2007, the Committee observes that no data on the community background of persons stopped and searched under th</w:t>
      </w:r>
      <w:r w:rsidR="0081003E">
        <w:t>at</w:t>
      </w:r>
      <w:r w:rsidRPr="00D32356">
        <w:t xml:space="preserve"> Act appear to have been gathered so as to ensure that such powers are not used disproportionately and arbitrarily against individuals of a particular ethnicity (arts. 2, 9, 12, 17 and 26). </w:t>
      </w:r>
    </w:p>
    <w:p w:rsidR="00B86B33" w:rsidRPr="003E5A37" w:rsidRDefault="00B86B33" w:rsidP="003E5A37">
      <w:pPr>
        <w:pStyle w:val="SingleTxtG"/>
        <w:rPr>
          <w:b/>
          <w:bCs/>
        </w:rPr>
      </w:pPr>
      <w:r w:rsidRPr="003E5A37">
        <w:rPr>
          <w:b/>
          <w:bCs/>
        </w:rPr>
        <w:t>The State party should:</w:t>
      </w:r>
    </w:p>
    <w:p w:rsidR="00B86B33" w:rsidRPr="00D32356" w:rsidRDefault="00B86B33" w:rsidP="00403285">
      <w:pPr>
        <w:pStyle w:val="SingleTxtG"/>
        <w:rPr>
          <w:b/>
        </w:rPr>
      </w:pPr>
      <w:r>
        <w:rPr>
          <w:b/>
        </w:rPr>
        <w:tab/>
      </w:r>
      <w:r w:rsidRPr="00D32356">
        <w:rPr>
          <w:b/>
        </w:rPr>
        <w:t>(a)</w:t>
      </w:r>
      <w:r w:rsidRPr="00D32356">
        <w:rPr>
          <w:b/>
        </w:rPr>
        <w:tab/>
        <w:t>Repeal non-statutory stop and search powers in Scotland and pursue its efforts aimed at improving the process of selecting targets under statutory mandates, so as to ensure conformity with the Covenant, engage in training of law enforcement officers, undertake comprehensive data</w:t>
      </w:r>
      <w:r w:rsidR="00BA2828">
        <w:rPr>
          <w:b/>
        </w:rPr>
        <w:t>-</w:t>
      </w:r>
      <w:r w:rsidRPr="00D32356">
        <w:rPr>
          <w:b/>
        </w:rPr>
        <w:t>gathering about the application of stop and search power</w:t>
      </w:r>
      <w:r w:rsidR="00BA2828">
        <w:rPr>
          <w:b/>
        </w:rPr>
        <w:t>s</w:t>
      </w:r>
      <w:r w:rsidRPr="00D32356">
        <w:rPr>
          <w:b/>
        </w:rPr>
        <w:t xml:space="preserve"> and improve the transparency of the process;</w:t>
      </w:r>
    </w:p>
    <w:p w:rsidR="00B86B33" w:rsidRPr="00D32356" w:rsidRDefault="00B86B33" w:rsidP="00354BA0">
      <w:pPr>
        <w:pStyle w:val="SingleTxtG"/>
        <w:rPr>
          <w:b/>
        </w:rPr>
      </w:pPr>
      <w:r>
        <w:rPr>
          <w:b/>
        </w:rPr>
        <w:tab/>
      </w:r>
      <w:r w:rsidRPr="00D32356">
        <w:rPr>
          <w:b/>
        </w:rPr>
        <w:t>(b)</w:t>
      </w:r>
      <w:r w:rsidRPr="00D32356">
        <w:rPr>
          <w:b/>
        </w:rPr>
        <w:tab/>
        <w:t xml:space="preserve">Implement, as a matter of priority, the recommendation </w:t>
      </w:r>
      <w:r w:rsidR="00354BA0">
        <w:rPr>
          <w:b/>
        </w:rPr>
        <w:t>by</w:t>
      </w:r>
      <w:r w:rsidR="00354BA0" w:rsidRPr="00D32356">
        <w:rPr>
          <w:b/>
        </w:rPr>
        <w:t xml:space="preserve"> </w:t>
      </w:r>
      <w:r w:rsidRPr="00D32356">
        <w:rPr>
          <w:b/>
        </w:rPr>
        <w:t xml:space="preserve">the Policing Board to the Police Service of Northern Ireland (PSNI) concerning the inclusion </w:t>
      </w:r>
      <w:r w:rsidR="00354BA0">
        <w:rPr>
          <w:b/>
        </w:rPr>
        <w:t>on</w:t>
      </w:r>
      <w:r w:rsidR="00354BA0" w:rsidRPr="00D32356">
        <w:rPr>
          <w:b/>
        </w:rPr>
        <w:t xml:space="preserve"> </w:t>
      </w:r>
      <w:r w:rsidRPr="00D32356">
        <w:rPr>
          <w:b/>
        </w:rPr>
        <w:t xml:space="preserve">the PSNI’s recording form of </w:t>
      </w:r>
      <w:r w:rsidR="00354BA0">
        <w:rPr>
          <w:b/>
        </w:rPr>
        <w:t xml:space="preserve">the </w:t>
      </w:r>
      <w:r w:rsidRPr="00D32356">
        <w:rPr>
          <w:b/>
        </w:rPr>
        <w:t>community background of persons stopped and searched under the Justice and Security (N</w:t>
      </w:r>
      <w:r w:rsidR="00BA2828">
        <w:rPr>
          <w:b/>
        </w:rPr>
        <w:t xml:space="preserve">orthern </w:t>
      </w:r>
      <w:r w:rsidRPr="00D32356">
        <w:rPr>
          <w:b/>
        </w:rPr>
        <w:t>I</w:t>
      </w:r>
      <w:r w:rsidR="00BA2828">
        <w:rPr>
          <w:b/>
        </w:rPr>
        <w:t>reland</w:t>
      </w:r>
      <w:r w:rsidRPr="00D32356">
        <w:rPr>
          <w:b/>
        </w:rPr>
        <w:t xml:space="preserve">) Act 2007; </w:t>
      </w:r>
    </w:p>
    <w:p w:rsidR="00B86B33" w:rsidRPr="00D32356" w:rsidRDefault="00B86B33" w:rsidP="00661E73">
      <w:pPr>
        <w:pStyle w:val="SingleTxtG"/>
        <w:rPr>
          <w:b/>
        </w:rPr>
      </w:pPr>
      <w:r>
        <w:rPr>
          <w:b/>
        </w:rPr>
        <w:tab/>
      </w:r>
      <w:r w:rsidRPr="00D32356">
        <w:rPr>
          <w:b/>
        </w:rPr>
        <w:t>(c)</w:t>
      </w:r>
      <w:r w:rsidRPr="00D32356">
        <w:rPr>
          <w:b/>
        </w:rPr>
        <w:tab/>
        <w:t xml:space="preserve">Ensure the operation of robust independent scrutiny and oversight </w:t>
      </w:r>
      <w:r w:rsidR="006F13A6">
        <w:rPr>
          <w:b/>
        </w:rPr>
        <w:t>of</w:t>
      </w:r>
      <w:r w:rsidR="00354BA0" w:rsidRPr="00D32356">
        <w:rPr>
          <w:b/>
        </w:rPr>
        <w:t xml:space="preserve"> </w:t>
      </w:r>
      <w:r w:rsidRPr="00D32356">
        <w:rPr>
          <w:b/>
        </w:rPr>
        <w:t xml:space="preserve">any stop and search powers in the United Kingdom with a view to ensuring that such powers are not exercised in an arbitrary </w:t>
      </w:r>
      <w:r w:rsidR="00661E73">
        <w:rPr>
          <w:b/>
        </w:rPr>
        <w:t>or discriminatory</w:t>
      </w:r>
      <w:r w:rsidRPr="00D32356">
        <w:rPr>
          <w:b/>
        </w:rPr>
        <w:t xml:space="preserve"> manner and are fully compliant with the State party’s obligations under articles 2, 9, 12, 17 and 26 of the Covenant.</w:t>
      </w:r>
    </w:p>
    <w:p w:rsidR="00B86B33" w:rsidRPr="00F80D23" w:rsidRDefault="00B86B33">
      <w:pPr>
        <w:pStyle w:val="H23G"/>
      </w:pPr>
      <w:r>
        <w:tab/>
      </w:r>
      <w:r>
        <w:tab/>
      </w:r>
      <w:r w:rsidRPr="001037C1">
        <w:t>Non-discrimination and gender equality</w:t>
      </w:r>
    </w:p>
    <w:p w:rsidR="00B86B33" w:rsidRPr="00D32356" w:rsidRDefault="00B86B33" w:rsidP="006F13A6">
      <w:pPr>
        <w:pStyle w:val="SingleTxtG"/>
        <w:numPr>
          <w:ilvl w:val="0"/>
          <w:numId w:val="11"/>
        </w:numPr>
        <w:ind w:left="1134" w:firstLine="0"/>
      </w:pPr>
      <w:r w:rsidRPr="009A5BE6">
        <w:rPr>
          <w:rFonts w:eastAsia="Calibri"/>
          <w:lang w:eastAsia="en-GB"/>
        </w:rPr>
        <w:t>While</w:t>
      </w:r>
      <w:r w:rsidRPr="00D32356">
        <w:t xml:space="preserve"> noting the steps taken by the State party to increase the representation of women in the civil service and in the judiciary</w:t>
      </w:r>
      <w:r w:rsidRPr="00D32356">
        <w:rPr>
          <w:rStyle w:val="sessionsubtitle"/>
        </w:rPr>
        <w:t xml:space="preserve">, the Committee is concerned </w:t>
      </w:r>
      <w:r w:rsidRPr="00D32356">
        <w:t>about the current</w:t>
      </w:r>
      <w:r w:rsidR="00017367">
        <w:t>ly</w:t>
      </w:r>
      <w:r w:rsidRPr="00D32356">
        <w:t xml:space="preserve"> low proportion of women in the civil service, particular</w:t>
      </w:r>
      <w:r w:rsidR="006F13A6">
        <w:t>ly</w:t>
      </w:r>
      <w:r w:rsidRPr="00D32356">
        <w:t xml:space="preserve"> in Northern Ireland,</w:t>
      </w:r>
      <w:r w:rsidRPr="00D32356">
        <w:rPr>
          <w:rStyle w:val="sessionsubtitle"/>
        </w:rPr>
        <w:t xml:space="preserve"> and in the judiciary, where women are concentrated </w:t>
      </w:r>
      <w:r w:rsidR="006F13A6">
        <w:rPr>
          <w:rStyle w:val="sessionsubtitle"/>
        </w:rPr>
        <w:t>in the</w:t>
      </w:r>
      <w:r w:rsidR="006F13A6" w:rsidRPr="00D32356">
        <w:rPr>
          <w:rStyle w:val="sessionsubtitle"/>
        </w:rPr>
        <w:t xml:space="preserve"> </w:t>
      </w:r>
      <w:r w:rsidRPr="00D32356">
        <w:rPr>
          <w:rStyle w:val="sessionsubtitle"/>
        </w:rPr>
        <w:t>lower</w:t>
      </w:r>
      <w:r w:rsidR="006F13A6">
        <w:rPr>
          <w:rStyle w:val="sessionsubtitle"/>
        </w:rPr>
        <w:t>-</w:t>
      </w:r>
      <w:r w:rsidRPr="00D32356">
        <w:rPr>
          <w:rStyle w:val="sessionsubtitle"/>
        </w:rPr>
        <w:t xml:space="preserve">instance courts </w:t>
      </w:r>
      <w:r w:rsidRPr="00D32356">
        <w:t>(arts. 2, 3 and 26).</w:t>
      </w:r>
    </w:p>
    <w:p w:rsidR="00B86B33" w:rsidRPr="00D32356" w:rsidRDefault="00B86B33" w:rsidP="00661E73">
      <w:pPr>
        <w:pStyle w:val="SingleTxtG"/>
        <w:rPr>
          <w:b/>
        </w:rPr>
      </w:pPr>
      <w:r w:rsidRPr="00D32356">
        <w:rPr>
          <w:b/>
        </w:rPr>
        <w:t xml:space="preserve">The State party should </w:t>
      </w:r>
      <w:r>
        <w:rPr>
          <w:b/>
        </w:rPr>
        <w:t>increase</w:t>
      </w:r>
      <w:r w:rsidRPr="00D32356">
        <w:rPr>
          <w:b/>
        </w:rPr>
        <w:t xml:space="preserve"> its efforts to achieve equitable representation of women in the civil service and </w:t>
      </w:r>
      <w:r w:rsidR="00514A27">
        <w:rPr>
          <w:b/>
        </w:rPr>
        <w:t xml:space="preserve">in </w:t>
      </w:r>
      <w:r w:rsidRPr="00D32356">
        <w:rPr>
          <w:b/>
        </w:rPr>
        <w:t xml:space="preserve">the judiciary within specific time frames, including through the consideration of temporary special measures, </w:t>
      </w:r>
      <w:r w:rsidR="00661E73">
        <w:rPr>
          <w:b/>
        </w:rPr>
        <w:t>to give</w:t>
      </w:r>
      <w:r w:rsidRPr="00D32356">
        <w:rPr>
          <w:b/>
        </w:rPr>
        <w:t xml:space="preserve"> effect to the provisions of the Covenant. It should, inter alia, consider the </w:t>
      </w:r>
      <w:r>
        <w:rPr>
          <w:b/>
        </w:rPr>
        <w:t>speedy</w:t>
      </w:r>
      <w:r w:rsidRPr="00D32356">
        <w:rPr>
          <w:b/>
        </w:rPr>
        <w:t xml:space="preserve"> implementation of all recommendations made by the Advisory Panel on Judicial Diversity</w:t>
      </w:r>
      <w:r w:rsidR="00661FCE">
        <w:rPr>
          <w:b/>
        </w:rPr>
        <w:t>,</w:t>
      </w:r>
      <w:r w:rsidRPr="00D32356">
        <w:rPr>
          <w:b/>
        </w:rPr>
        <w:t xml:space="preserve"> </w:t>
      </w:r>
      <w:r w:rsidR="00514A27">
        <w:rPr>
          <w:b/>
        </w:rPr>
        <w:t>in respect of</w:t>
      </w:r>
      <w:r w:rsidRPr="00D32356">
        <w:rPr>
          <w:b/>
        </w:rPr>
        <w:t xml:space="preserve"> England and Wales, and ensure that all existing and future gender equality strategies and policies, including the Gender Equality Strategy for Northern Ireland, </w:t>
      </w:r>
      <w:r w:rsidRPr="00D32356">
        <w:rPr>
          <w:b/>
        </w:rPr>
        <w:lastRenderedPageBreak/>
        <w:t xml:space="preserve">identify and address effectively the barriers hindering women’s access to high positions in the civil service and in the judiciary. </w:t>
      </w:r>
    </w:p>
    <w:p w:rsidR="00B86B33" w:rsidRPr="00F86210" w:rsidRDefault="00B86B33" w:rsidP="00B86B33">
      <w:pPr>
        <w:pStyle w:val="H23G"/>
      </w:pPr>
      <w:r>
        <w:tab/>
      </w:r>
      <w:r>
        <w:tab/>
      </w:r>
      <w:r w:rsidRPr="00F86210">
        <w:t xml:space="preserve">Violence against </w:t>
      </w:r>
      <w:r w:rsidR="006A588B">
        <w:t>w</w:t>
      </w:r>
      <w:r w:rsidRPr="00F86210">
        <w:t>omen</w:t>
      </w:r>
    </w:p>
    <w:p w:rsidR="00B86B33" w:rsidRPr="00D32356" w:rsidRDefault="00B86B33" w:rsidP="007F71B9">
      <w:pPr>
        <w:pStyle w:val="SingleTxtG"/>
        <w:numPr>
          <w:ilvl w:val="0"/>
          <w:numId w:val="11"/>
        </w:numPr>
        <w:ind w:left="1134" w:firstLine="0"/>
      </w:pPr>
      <w:r w:rsidRPr="009A5BE6">
        <w:rPr>
          <w:rFonts w:eastAsia="Calibri"/>
          <w:lang w:eastAsia="en-GB"/>
        </w:rPr>
        <w:t>While</w:t>
      </w:r>
      <w:r w:rsidRPr="00D32356">
        <w:t xml:space="preserve"> welcoming the array of measures taken to address violence against women, the Committee is concerned about continued reports of violence against women, including domestic violence and rape, particular</w:t>
      </w:r>
      <w:r w:rsidR="007F71B9">
        <w:t>ly</w:t>
      </w:r>
      <w:r w:rsidRPr="00D32356">
        <w:t xml:space="preserve"> in the United Kingdom and Bermuda, </w:t>
      </w:r>
      <w:r w:rsidR="007F71B9">
        <w:t>mainly affecting</w:t>
      </w:r>
      <w:r w:rsidRPr="00D32356">
        <w:t xml:space="preserve"> black and ethnic minority women (arts. 2, 3, 7, and 26).</w:t>
      </w:r>
    </w:p>
    <w:p w:rsidR="00B86B33" w:rsidRPr="00D32356" w:rsidRDefault="00B86B33" w:rsidP="00B86B33">
      <w:pPr>
        <w:pStyle w:val="SingleTxtG"/>
        <w:rPr>
          <w:b/>
        </w:rPr>
      </w:pPr>
      <w:r w:rsidRPr="00D32356">
        <w:rPr>
          <w:b/>
        </w:rPr>
        <w:t>The State party should strengthen measures aimed at preventing and combating violence against women, including domestic violence and sexual abuse</w:t>
      </w:r>
      <w:r w:rsidR="007F71B9">
        <w:rPr>
          <w:b/>
        </w:rPr>
        <w:t>,</w:t>
      </w:r>
      <w:r w:rsidRPr="00D32356">
        <w:rPr>
          <w:b/>
        </w:rPr>
        <w:t xml:space="preserve"> by, inter alia:</w:t>
      </w:r>
    </w:p>
    <w:p w:rsidR="00B86B33" w:rsidRPr="00D32356" w:rsidRDefault="00B86B33" w:rsidP="007F71B9">
      <w:pPr>
        <w:pStyle w:val="SingleTxtG"/>
        <w:rPr>
          <w:b/>
        </w:rPr>
      </w:pPr>
      <w:r>
        <w:rPr>
          <w:b/>
        </w:rPr>
        <w:tab/>
      </w:r>
      <w:r w:rsidRPr="00D32356">
        <w:rPr>
          <w:b/>
        </w:rPr>
        <w:t>(a)</w:t>
      </w:r>
      <w:r w:rsidRPr="00D32356">
        <w:rPr>
          <w:b/>
        </w:rPr>
        <w:tab/>
        <w:t xml:space="preserve">Introducing, as a matter of priority, </w:t>
      </w:r>
      <w:r w:rsidR="007F71B9">
        <w:rPr>
          <w:b/>
        </w:rPr>
        <w:t>d</w:t>
      </w:r>
      <w:r w:rsidRPr="00D32356">
        <w:rPr>
          <w:b/>
        </w:rPr>
        <w:t xml:space="preserve">omestic </w:t>
      </w:r>
      <w:r w:rsidR="007F71B9">
        <w:rPr>
          <w:b/>
        </w:rPr>
        <w:t>v</w:t>
      </w:r>
      <w:r w:rsidRPr="00D32356">
        <w:rPr>
          <w:b/>
        </w:rPr>
        <w:t xml:space="preserve">iolence </w:t>
      </w:r>
      <w:r w:rsidR="007F71B9">
        <w:rPr>
          <w:b/>
        </w:rPr>
        <w:t>p</w:t>
      </w:r>
      <w:r w:rsidRPr="00D32356">
        <w:rPr>
          <w:b/>
        </w:rPr>
        <w:t xml:space="preserve">rotection </w:t>
      </w:r>
      <w:r w:rsidR="007F71B9">
        <w:rPr>
          <w:b/>
        </w:rPr>
        <w:t>o</w:t>
      </w:r>
      <w:r w:rsidRPr="00D32356">
        <w:rPr>
          <w:b/>
        </w:rPr>
        <w:t>rders in Northern Ireland</w:t>
      </w:r>
      <w:r>
        <w:rPr>
          <w:b/>
        </w:rPr>
        <w:t>,</w:t>
      </w:r>
      <w:r w:rsidRPr="00D32356">
        <w:rPr>
          <w:b/>
        </w:rPr>
        <w:t xml:space="preserve"> as envisaged in the new Justice Bill;</w:t>
      </w:r>
    </w:p>
    <w:p w:rsidR="00B86B33" w:rsidRPr="00D32356" w:rsidRDefault="00B86B33" w:rsidP="00B86B33">
      <w:pPr>
        <w:pStyle w:val="SingleTxtG"/>
        <w:rPr>
          <w:b/>
        </w:rPr>
      </w:pPr>
      <w:r>
        <w:rPr>
          <w:b/>
        </w:rPr>
        <w:tab/>
      </w:r>
      <w:r w:rsidRPr="00D32356">
        <w:rPr>
          <w:b/>
        </w:rPr>
        <w:t>(b)</w:t>
      </w:r>
      <w:r w:rsidRPr="00D32356">
        <w:rPr>
          <w:b/>
        </w:rPr>
        <w:tab/>
        <w:t xml:space="preserve">Encouraging </w:t>
      </w:r>
      <w:r w:rsidR="006D6F4E">
        <w:rPr>
          <w:b/>
        </w:rPr>
        <w:t xml:space="preserve">the </w:t>
      </w:r>
      <w:r w:rsidRPr="00D32356">
        <w:rPr>
          <w:b/>
        </w:rPr>
        <w:t xml:space="preserve">reporting of domestic violence cases, inter alia by informing women of their rights and the existing legal avenues through which they can receive protection; </w:t>
      </w:r>
    </w:p>
    <w:p w:rsidR="00B86B33" w:rsidRPr="00D32356" w:rsidRDefault="00B86B33" w:rsidP="00B86B33">
      <w:pPr>
        <w:pStyle w:val="SingleTxtG"/>
        <w:rPr>
          <w:b/>
        </w:rPr>
      </w:pPr>
      <w:r>
        <w:rPr>
          <w:b/>
        </w:rPr>
        <w:tab/>
      </w:r>
      <w:r w:rsidRPr="00D32356">
        <w:rPr>
          <w:b/>
        </w:rPr>
        <w:t>(c)</w:t>
      </w:r>
      <w:r w:rsidRPr="00D32356">
        <w:rPr>
          <w:b/>
        </w:rPr>
        <w:tab/>
        <w:t>Ensuring that all domestic violence cases, in all U</w:t>
      </w:r>
      <w:r w:rsidR="006D6F4E">
        <w:rPr>
          <w:b/>
        </w:rPr>
        <w:t xml:space="preserve">nited </w:t>
      </w:r>
      <w:r w:rsidRPr="00D32356">
        <w:rPr>
          <w:b/>
        </w:rPr>
        <w:t>K</w:t>
      </w:r>
      <w:r w:rsidR="006D6F4E">
        <w:rPr>
          <w:b/>
        </w:rPr>
        <w:t>ingdom</w:t>
      </w:r>
      <w:r w:rsidRPr="00D32356">
        <w:rPr>
          <w:b/>
        </w:rPr>
        <w:t xml:space="preserve"> territories and dependencies</w:t>
      </w:r>
      <w:r>
        <w:rPr>
          <w:b/>
        </w:rPr>
        <w:t>,</w:t>
      </w:r>
      <w:r w:rsidRPr="00D32356">
        <w:rPr>
          <w:b/>
        </w:rPr>
        <w:t xml:space="preserve"> are thoroughly investigated, that perpetrators are prosecuted and, if </w:t>
      </w:r>
      <w:r w:rsidR="006D6F4E">
        <w:rPr>
          <w:b/>
        </w:rPr>
        <w:t xml:space="preserve">they are </w:t>
      </w:r>
      <w:r w:rsidRPr="00D32356">
        <w:rPr>
          <w:b/>
        </w:rPr>
        <w:t xml:space="preserve">convicted, </w:t>
      </w:r>
      <w:r w:rsidR="006D6F4E">
        <w:rPr>
          <w:b/>
        </w:rPr>
        <w:t xml:space="preserve">are </w:t>
      </w:r>
      <w:r w:rsidRPr="00D32356">
        <w:rPr>
          <w:b/>
        </w:rPr>
        <w:t>punished with appropriate sanctions;</w:t>
      </w:r>
    </w:p>
    <w:p w:rsidR="00B86B33" w:rsidRPr="00D32356" w:rsidRDefault="00B86B33" w:rsidP="006D6F4E">
      <w:pPr>
        <w:pStyle w:val="SingleTxtG"/>
        <w:rPr>
          <w:b/>
        </w:rPr>
      </w:pPr>
      <w:r>
        <w:rPr>
          <w:b/>
        </w:rPr>
        <w:tab/>
      </w:r>
      <w:r w:rsidRPr="00D32356">
        <w:rPr>
          <w:b/>
        </w:rPr>
        <w:t>(d)</w:t>
      </w:r>
      <w:r w:rsidRPr="00D32356">
        <w:rPr>
          <w:b/>
        </w:rPr>
        <w:tab/>
        <w:t>Ensuring that victims have access to effective remedies and means of protection, including strong police protection, adequate emergency shelter, rehabilitative services, legal assistance and other support services.</w:t>
      </w:r>
    </w:p>
    <w:p w:rsidR="00B86B33" w:rsidRDefault="00B86B33" w:rsidP="00B86B33">
      <w:pPr>
        <w:pStyle w:val="H23G"/>
      </w:pPr>
      <w:r>
        <w:tab/>
      </w:r>
      <w:r>
        <w:tab/>
      </w:r>
      <w:r w:rsidRPr="00F967CA">
        <w:t>Counter-terrorism</w:t>
      </w:r>
    </w:p>
    <w:p w:rsidR="00B86B33" w:rsidRPr="00D32356" w:rsidRDefault="00B86B33" w:rsidP="005A2A94">
      <w:pPr>
        <w:pStyle w:val="SingleTxtG"/>
        <w:numPr>
          <w:ilvl w:val="0"/>
          <w:numId w:val="11"/>
        </w:numPr>
        <w:ind w:left="1134" w:firstLine="0"/>
      </w:pPr>
      <w:r w:rsidRPr="009A5BE6">
        <w:rPr>
          <w:rFonts w:eastAsia="Calibri"/>
          <w:lang w:eastAsia="en-GB"/>
        </w:rPr>
        <w:t>The</w:t>
      </w:r>
      <w:r w:rsidRPr="00D32356">
        <w:t xml:space="preserve"> Committee is concerned that the State party </w:t>
      </w:r>
      <w:r w:rsidR="005362B6">
        <w:t xml:space="preserve">has </w:t>
      </w:r>
      <w:r w:rsidRPr="00D32356">
        <w:t>maintain</w:t>
      </w:r>
      <w:r w:rsidR="005362B6">
        <w:t>ed</w:t>
      </w:r>
      <w:r w:rsidRPr="00D32356">
        <w:t xml:space="preserve"> the broadly formulated definition of terrorism in </w:t>
      </w:r>
      <w:r w:rsidR="006D6F4E">
        <w:t>s</w:t>
      </w:r>
      <w:r w:rsidRPr="00D32356">
        <w:t>ection 1 of the Terrorism Act 2000 that can include a politically</w:t>
      </w:r>
      <w:r w:rsidR="006D6F4E">
        <w:t xml:space="preserve"> </w:t>
      </w:r>
      <w:r w:rsidRPr="00D32356">
        <w:t>motivated action which is designed to influence a government or international organi</w:t>
      </w:r>
      <w:r w:rsidR="005362B6">
        <w:t>z</w:t>
      </w:r>
      <w:r w:rsidRPr="00D32356">
        <w:t xml:space="preserve">ation, despite the concern raised by the two Independent Reviewers of Terrorism Legislation and endorsed unanimously by the Supreme Court in </w:t>
      </w:r>
      <w:r w:rsidRPr="00986C9F">
        <w:rPr>
          <w:i/>
          <w:iCs/>
        </w:rPr>
        <w:t>R v</w:t>
      </w:r>
      <w:r w:rsidR="005362B6" w:rsidRPr="00986C9F">
        <w:rPr>
          <w:i/>
          <w:iCs/>
        </w:rPr>
        <w:t>.</w:t>
      </w:r>
      <w:r w:rsidRPr="00986C9F">
        <w:rPr>
          <w:i/>
          <w:iCs/>
        </w:rPr>
        <w:t xml:space="preserve"> Gul</w:t>
      </w:r>
      <w:r w:rsidRPr="00D32356">
        <w:t xml:space="preserve"> </w:t>
      </w:r>
      <w:r w:rsidR="005362B6">
        <w:t>(</w:t>
      </w:r>
      <w:r w:rsidRPr="00D32356">
        <w:t>2013</w:t>
      </w:r>
      <w:r w:rsidR="005362B6">
        <w:t>)</w:t>
      </w:r>
      <w:r w:rsidRPr="00D32356">
        <w:t xml:space="preserve"> that the definition is “unduly restrictive of political expression”. </w:t>
      </w:r>
      <w:r w:rsidR="003A7ED8">
        <w:t>While taking note of the State party’s need to adopt measures to combat acts of terrorism, including the formulation of appropriate legislation to prevent such acts, t</w:t>
      </w:r>
      <w:r w:rsidRPr="00D32356">
        <w:t xml:space="preserve">he Committee is concerned that the new Counter-Terrorism and Security Act 2015 </w:t>
      </w:r>
      <w:r w:rsidR="001D2904">
        <w:t xml:space="preserve">(a) </w:t>
      </w:r>
      <w:r w:rsidR="0015137C">
        <w:t>introduces wide</w:t>
      </w:r>
      <w:r w:rsidR="001D2904">
        <w:t>-</w:t>
      </w:r>
      <w:r w:rsidR="0015137C">
        <w:t>ranging powers designed to promote public safety allegedly without putting in place sufficient safeguards</w:t>
      </w:r>
      <w:r w:rsidR="001D2904">
        <w:t>;</w:t>
      </w:r>
      <w:r w:rsidR="0073550E">
        <w:t xml:space="preserve"> </w:t>
      </w:r>
      <w:r w:rsidRPr="00D32356">
        <w:t>(</w:t>
      </w:r>
      <w:r w:rsidR="001D2904">
        <w:t>b</w:t>
      </w:r>
      <w:r w:rsidRPr="00D32356">
        <w:t>) further extends the power of police officers to seize and temporarily retain travel documents if there are reasonable grounds to suspect that a person intends to travel abroad to engage in terrorism-related activities;</w:t>
      </w:r>
      <w:r w:rsidR="001D2904">
        <w:t xml:space="preserve"> and</w:t>
      </w:r>
      <w:r w:rsidRPr="00D32356">
        <w:t xml:space="preserve"> (</w:t>
      </w:r>
      <w:r w:rsidR="001D2904">
        <w:t>c</w:t>
      </w:r>
      <w:r w:rsidRPr="00D32356">
        <w:t xml:space="preserve">) extends the actions that can be taken under a Terrorism Prevention and Investigation Measure, including forced relocation of terrorist suspects as far as 200 miles from their current home. </w:t>
      </w:r>
      <w:r w:rsidR="00E86A6F">
        <w:t>T</w:t>
      </w:r>
      <w:r w:rsidRPr="00D32356">
        <w:t xml:space="preserve">he Committee is </w:t>
      </w:r>
      <w:r w:rsidR="00E86A6F">
        <w:t xml:space="preserve">also </w:t>
      </w:r>
      <w:r w:rsidRPr="00D32356">
        <w:t>concerned that the Protection of Freedoms Act</w:t>
      </w:r>
      <w:r w:rsidR="00E86A6F">
        <w:t xml:space="preserve"> 2012</w:t>
      </w:r>
      <w:r w:rsidRPr="00D32356">
        <w:t xml:space="preserve"> maintains the 14</w:t>
      </w:r>
      <w:r>
        <w:t>-</w:t>
      </w:r>
      <w:r w:rsidRPr="00D32356">
        <w:t>day limit o</w:t>
      </w:r>
      <w:r w:rsidR="00E86A6F">
        <w:t>n</w:t>
      </w:r>
      <w:r w:rsidRPr="00D32356">
        <w:t xml:space="preserve"> pre-charge detention in terrorism cases</w:t>
      </w:r>
      <w:r w:rsidR="00E86A6F">
        <w:t xml:space="preserve"> and also allows</w:t>
      </w:r>
      <w:r w:rsidRPr="00D32356">
        <w:t xml:space="preserve"> for an extension </w:t>
      </w:r>
      <w:r w:rsidR="00402470">
        <w:t xml:space="preserve">of </w:t>
      </w:r>
      <w:r w:rsidRPr="00D32356">
        <w:t>up to 28 days in response to “urgent” situations</w:t>
      </w:r>
      <w:r w:rsidR="00733C83">
        <w:t xml:space="preserve">. </w:t>
      </w:r>
      <w:r w:rsidR="00E86A6F">
        <w:t>Furthermore</w:t>
      </w:r>
      <w:r w:rsidR="00733C83" w:rsidRPr="00733C83">
        <w:t>, the Committee is concerned about the potential misuse of arrest powers under section 41 of the Terrorism Act 2000 (arrest without warrant of a person reasonably suspected to be a terrorist)</w:t>
      </w:r>
      <w:r w:rsidR="005A2A94">
        <w:t>,</w:t>
      </w:r>
      <w:r w:rsidR="00733C83" w:rsidRPr="00733C83">
        <w:t xml:space="preserve"> in light of the low charge rate of those arrested under section 41. It is also concerned about the blanket denial of bail to persons arrested under section 41 of the Terrorism Act 2000 </w:t>
      </w:r>
      <w:r w:rsidRPr="00D32356">
        <w:t xml:space="preserve">(arts. 2, 9, 10, 12, 17, 19 and 26). </w:t>
      </w:r>
    </w:p>
    <w:p w:rsidR="00B86B33" w:rsidRPr="00D32356" w:rsidRDefault="00B86B33" w:rsidP="00B86B33">
      <w:pPr>
        <w:pStyle w:val="SingleTxtG"/>
        <w:rPr>
          <w:b/>
        </w:rPr>
      </w:pPr>
      <w:r w:rsidRPr="00D32356">
        <w:rPr>
          <w:b/>
        </w:rPr>
        <w:t xml:space="preserve">The State party should </w:t>
      </w:r>
      <w:r>
        <w:rPr>
          <w:b/>
        </w:rPr>
        <w:t xml:space="preserve">review </w:t>
      </w:r>
      <w:r w:rsidRPr="00D32356">
        <w:rPr>
          <w:b/>
        </w:rPr>
        <w:t>its counter-terrorism legislation</w:t>
      </w:r>
      <w:r>
        <w:rPr>
          <w:b/>
        </w:rPr>
        <w:t xml:space="preserve"> in order to bring it</w:t>
      </w:r>
      <w:r w:rsidRPr="00D32356">
        <w:rPr>
          <w:b/>
        </w:rPr>
        <w:t xml:space="preserve"> in</w:t>
      </w:r>
      <w:r w:rsidR="005A2A94">
        <w:rPr>
          <w:b/>
        </w:rPr>
        <w:t>to</w:t>
      </w:r>
      <w:r w:rsidRPr="00D32356">
        <w:rPr>
          <w:b/>
        </w:rPr>
        <w:t xml:space="preserve"> line with its obligations under the Covenant. It should, inter alia:</w:t>
      </w:r>
    </w:p>
    <w:p w:rsidR="00B86B33" w:rsidRPr="00D32356" w:rsidRDefault="00B86B33" w:rsidP="005A2A94">
      <w:pPr>
        <w:pStyle w:val="SingleTxtG"/>
        <w:rPr>
          <w:b/>
        </w:rPr>
      </w:pPr>
      <w:r>
        <w:rPr>
          <w:b/>
        </w:rPr>
        <w:lastRenderedPageBreak/>
        <w:tab/>
      </w:r>
      <w:r w:rsidRPr="00D32356">
        <w:rPr>
          <w:b/>
        </w:rPr>
        <w:t>(</w:t>
      </w:r>
      <w:r w:rsidR="003C0026">
        <w:rPr>
          <w:b/>
        </w:rPr>
        <w:t>a</w:t>
      </w:r>
      <w:r w:rsidRPr="00D32356">
        <w:rPr>
          <w:b/>
        </w:rPr>
        <w:t>)</w:t>
      </w:r>
      <w:r w:rsidRPr="00D32356">
        <w:rPr>
          <w:b/>
        </w:rPr>
        <w:tab/>
      </w:r>
      <w:r w:rsidRPr="00D32356">
        <w:rPr>
          <w:b/>
          <w:lang w:bidi="he-IL"/>
        </w:rPr>
        <w:t xml:space="preserve">Consider revising </w:t>
      </w:r>
      <w:r w:rsidRPr="00D32356">
        <w:rPr>
          <w:b/>
        </w:rPr>
        <w:t xml:space="preserve">the broad definition of terrorism to require intent to coerce, compel </w:t>
      </w:r>
      <w:r>
        <w:rPr>
          <w:b/>
        </w:rPr>
        <w:t xml:space="preserve">or </w:t>
      </w:r>
      <w:r w:rsidRPr="00D32356">
        <w:rPr>
          <w:b/>
        </w:rPr>
        <w:t>intimidate a government or section of the public, and implement</w:t>
      </w:r>
      <w:r w:rsidRPr="00D32356">
        <w:rPr>
          <w:b/>
          <w:lang w:bidi="he-IL"/>
        </w:rPr>
        <w:t>ing</w:t>
      </w:r>
      <w:r w:rsidRPr="00D32356">
        <w:rPr>
          <w:b/>
        </w:rPr>
        <w:t xml:space="preserve"> the recommendations of the Independent Reviewers of Terrorism Legislation;</w:t>
      </w:r>
    </w:p>
    <w:p w:rsidR="00B86B33" w:rsidRPr="00D32356" w:rsidRDefault="00B86B33" w:rsidP="00B86B33">
      <w:pPr>
        <w:pStyle w:val="SingleTxtG"/>
        <w:rPr>
          <w:b/>
        </w:rPr>
      </w:pPr>
      <w:r>
        <w:rPr>
          <w:b/>
        </w:rPr>
        <w:tab/>
      </w:r>
      <w:r w:rsidRPr="00D32356">
        <w:rPr>
          <w:b/>
        </w:rPr>
        <w:t>(</w:t>
      </w:r>
      <w:r w:rsidR="003C0026">
        <w:rPr>
          <w:b/>
        </w:rPr>
        <w:t>b</w:t>
      </w:r>
      <w:r w:rsidRPr="00D32356">
        <w:rPr>
          <w:b/>
        </w:rPr>
        <w:t>)</w:t>
      </w:r>
      <w:r w:rsidRPr="00D32356">
        <w:rPr>
          <w:b/>
        </w:rPr>
        <w:tab/>
        <w:t>Pursue the creation of the Privacy and Civil Liberties Board</w:t>
      </w:r>
      <w:r w:rsidR="003853E4">
        <w:rPr>
          <w:b/>
        </w:rPr>
        <w:t>,</w:t>
      </w:r>
      <w:r w:rsidRPr="00D32356">
        <w:rPr>
          <w:b/>
        </w:rPr>
        <w:t xml:space="preserve"> as an oversight mechanism;</w:t>
      </w:r>
    </w:p>
    <w:p w:rsidR="00B86B33" w:rsidRDefault="00B86B33" w:rsidP="00B86B33">
      <w:pPr>
        <w:pStyle w:val="SingleTxtG"/>
        <w:rPr>
          <w:b/>
        </w:rPr>
      </w:pPr>
      <w:r>
        <w:rPr>
          <w:b/>
        </w:rPr>
        <w:tab/>
      </w:r>
      <w:r w:rsidRPr="00D32356">
        <w:rPr>
          <w:b/>
        </w:rPr>
        <w:t>(</w:t>
      </w:r>
      <w:r w:rsidR="003C0026">
        <w:rPr>
          <w:b/>
        </w:rPr>
        <w:t>c</w:t>
      </w:r>
      <w:r w:rsidRPr="00D32356">
        <w:rPr>
          <w:b/>
        </w:rPr>
        <w:t>)</w:t>
      </w:r>
      <w:r w:rsidRPr="00D32356">
        <w:rPr>
          <w:b/>
        </w:rPr>
        <w:tab/>
      </w:r>
      <w:r w:rsidR="00400C30">
        <w:rPr>
          <w:b/>
        </w:rPr>
        <w:t>Consider r</w:t>
      </w:r>
      <w:r w:rsidRPr="00D32356">
        <w:rPr>
          <w:b/>
        </w:rPr>
        <w:t>educ</w:t>
      </w:r>
      <w:r w:rsidR="00400C30">
        <w:rPr>
          <w:b/>
        </w:rPr>
        <w:t>ing</w:t>
      </w:r>
      <w:r w:rsidRPr="00D32356">
        <w:rPr>
          <w:b/>
        </w:rPr>
        <w:t xml:space="preserve"> the maximum period of pre-charge detention in terrorism cases</w:t>
      </w:r>
      <w:r w:rsidR="00400C30">
        <w:rPr>
          <w:b/>
        </w:rPr>
        <w:t>;</w:t>
      </w:r>
    </w:p>
    <w:p w:rsidR="00400C30" w:rsidRDefault="00F80D23" w:rsidP="003853E4">
      <w:pPr>
        <w:pStyle w:val="SingleTxtG"/>
        <w:rPr>
          <w:b/>
        </w:rPr>
      </w:pPr>
      <w:r>
        <w:rPr>
          <w:b/>
        </w:rPr>
        <w:tab/>
      </w:r>
      <w:r w:rsidR="002C584D">
        <w:rPr>
          <w:b/>
        </w:rPr>
        <w:t>(d)</w:t>
      </w:r>
      <w:r w:rsidR="002C584D">
        <w:rPr>
          <w:b/>
        </w:rPr>
        <w:tab/>
      </w:r>
      <w:r w:rsidR="00036D38" w:rsidRPr="00FF1898">
        <w:rPr>
          <w:b/>
        </w:rPr>
        <w:t>Undertake a review of the exercise of arrest powers under section 41 of the Terrorism Act 2000 to ensure that the principles of necessity and proportionality are strictly observed when using such powers; ensure that any detention of suspects arrested under the Terrorism Act 2000 is based on an individualized determination that it is reasonable and necessary taking into account all the circumstances</w:t>
      </w:r>
      <w:r w:rsidR="003853E4">
        <w:rPr>
          <w:b/>
        </w:rPr>
        <w:t>,</w:t>
      </w:r>
      <w:r w:rsidR="00036D38" w:rsidRPr="00FF1898">
        <w:rPr>
          <w:b/>
        </w:rPr>
        <w:t xml:space="preserve"> rather than on the nature of the crime; and, whil</w:t>
      </w:r>
      <w:r w:rsidR="003853E4">
        <w:rPr>
          <w:b/>
        </w:rPr>
        <w:t>e</w:t>
      </w:r>
      <w:r w:rsidR="00036D38" w:rsidRPr="00FF1898">
        <w:rPr>
          <w:b/>
        </w:rPr>
        <w:t xml:space="preserve"> ensuring public safety, make bail available to such persons, as recommended by the Joint Committee on Human Rights and the Independent Reviewer of Terrorism</w:t>
      </w:r>
      <w:r w:rsidR="00377A79">
        <w:rPr>
          <w:b/>
        </w:rPr>
        <w:t xml:space="preserve"> Legislation</w:t>
      </w:r>
      <w:r w:rsidR="00036D38" w:rsidRPr="00FF1898">
        <w:rPr>
          <w:b/>
        </w:rPr>
        <w:t xml:space="preserve">. </w:t>
      </w:r>
    </w:p>
    <w:p w:rsidR="0030642B" w:rsidRPr="0030642B" w:rsidRDefault="00717D43" w:rsidP="003E5A37">
      <w:pPr>
        <w:pStyle w:val="H23G"/>
      </w:pPr>
      <w:r>
        <w:tab/>
      </w:r>
      <w:r>
        <w:tab/>
      </w:r>
      <w:r w:rsidR="0030642B" w:rsidRPr="0030642B">
        <w:t xml:space="preserve">Right of entry and deprivation of citizenship </w:t>
      </w:r>
    </w:p>
    <w:p w:rsidR="0030642B" w:rsidRPr="0030642B" w:rsidRDefault="0030642B" w:rsidP="001E3CC7">
      <w:pPr>
        <w:pStyle w:val="SingleTxtG"/>
        <w:numPr>
          <w:ilvl w:val="0"/>
          <w:numId w:val="11"/>
        </w:numPr>
        <w:ind w:left="1134" w:firstLine="0"/>
      </w:pPr>
      <w:r w:rsidRPr="0030642B">
        <w:t>While noting the authority of States to establish laws regarding the acquisition, renunciation or loss of nationality, the Committee is concerned about the in</w:t>
      </w:r>
      <w:r w:rsidR="00D860DE">
        <w:t>troduction</w:t>
      </w:r>
      <w:r w:rsidRPr="0030642B">
        <w:t xml:space="preserve"> of </w:t>
      </w:r>
      <w:r w:rsidR="001E3CC7">
        <w:t>t</w:t>
      </w:r>
      <w:r w:rsidRPr="0030642B">
        <w:t xml:space="preserve">emporary </w:t>
      </w:r>
      <w:r w:rsidR="001E3CC7">
        <w:t>e</w:t>
      </w:r>
      <w:r w:rsidRPr="0030642B">
        <w:t xml:space="preserve">xclusion </w:t>
      </w:r>
      <w:r w:rsidR="001E3CC7">
        <w:t>o</w:t>
      </w:r>
      <w:r w:rsidRPr="0030642B">
        <w:t xml:space="preserve">rders and </w:t>
      </w:r>
      <w:r w:rsidR="00D860DE">
        <w:t xml:space="preserve">the use of </w:t>
      </w:r>
      <w:r w:rsidRPr="0030642B">
        <w:t xml:space="preserve">citizenship deprivation orders in the terrorism context. The Committee is concerned about </w:t>
      </w:r>
      <w:r w:rsidR="008E65A7">
        <w:t xml:space="preserve">the possibility of </w:t>
      </w:r>
      <w:r w:rsidRPr="0030642B">
        <w:t>persons being rendered stateless as a result of such measures (arts. 12</w:t>
      </w:r>
      <w:r w:rsidR="003853E4">
        <w:t xml:space="preserve"> </w:t>
      </w:r>
      <w:r w:rsidRPr="0030642B">
        <w:t>(4) and 24</w:t>
      </w:r>
      <w:r w:rsidR="003853E4">
        <w:t xml:space="preserve"> </w:t>
      </w:r>
      <w:r w:rsidRPr="0030642B">
        <w:t xml:space="preserve">(3)). </w:t>
      </w:r>
    </w:p>
    <w:p w:rsidR="0030642B" w:rsidRPr="0030642B" w:rsidRDefault="0030642B" w:rsidP="00F61B6C">
      <w:pPr>
        <w:pStyle w:val="SingleTxtG"/>
        <w:rPr>
          <w:b/>
        </w:rPr>
      </w:pPr>
      <w:r w:rsidRPr="0030642B">
        <w:rPr>
          <w:b/>
        </w:rPr>
        <w:t>The State party should review its laws to ensure that restrictions on re-entry</w:t>
      </w:r>
      <w:r w:rsidR="00F61B6C">
        <w:rPr>
          <w:b/>
        </w:rPr>
        <w:t>,</w:t>
      </w:r>
      <w:r w:rsidRPr="0030642B">
        <w:rPr>
          <w:b/>
        </w:rPr>
        <w:t xml:space="preserve"> and denial of citizensh</w:t>
      </w:r>
      <w:r w:rsidR="008E65A7">
        <w:rPr>
          <w:b/>
        </w:rPr>
        <w:t>ip</w:t>
      </w:r>
      <w:r w:rsidR="00F61B6C">
        <w:rPr>
          <w:b/>
        </w:rPr>
        <w:t>,</w:t>
      </w:r>
      <w:r w:rsidR="008E65A7">
        <w:rPr>
          <w:b/>
        </w:rPr>
        <w:t xml:space="preserve"> on terrorism grounds</w:t>
      </w:r>
      <w:r w:rsidR="00F61B6C">
        <w:rPr>
          <w:b/>
        </w:rPr>
        <w:t>,</w:t>
      </w:r>
      <w:r w:rsidR="008E65A7">
        <w:rPr>
          <w:b/>
        </w:rPr>
        <w:t xml:space="preserve"> include</w:t>
      </w:r>
      <w:r w:rsidRPr="0030642B">
        <w:rPr>
          <w:b/>
        </w:rPr>
        <w:t xml:space="preserve"> appropriate procedural protections and </w:t>
      </w:r>
      <w:r w:rsidR="008E65A7">
        <w:rPr>
          <w:b/>
        </w:rPr>
        <w:t>are</w:t>
      </w:r>
      <w:r w:rsidRPr="0030642B">
        <w:rPr>
          <w:b/>
        </w:rPr>
        <w:t xml:space="preserve"> consistent with the principles of legality, necessity and proportionality. The State party should also ensure that appropriate standards and procedures are in place to avoid rendering an individual stateless. </w:t>
      </w:r>
    </w:p>
    <w:p w:rsidR="00B86B33" w:rsidRPr="0013796A" w:rsidRDefault="00B86B33" w:rsidP="00B86B33">
      <w:pPr>
        <w:pStyle w:val="H23G"/>
      </w:pPr>
      <w:r>
        <w:tab/>
      </w:r>
      <w:r>
        <w:tab/>
      </w:r>
      <w:r w:rsidRPr="0013796A">
        <w:t>Self-inflicted deaths</w:t>
      </w:r>
      <w:r>
        <w:t>, including in custody,</w:t>
      </w:r>
      <w:r w:rsidRPr="0013796A">
        <w:t xml:space="preserve"> and self-harm</w:t>
      </w:r>
      <w:r>
        <w:t xml:space="preserve"> in custody</w:t>
      </w:r>
    </w:p>
    <w:p w:rsidR="00B86B33" w:rsidRPr="00D32356" w:rsidRDefault="00B86B33" w:rsidP="00B5554E">
      <w:pPr>
        <w:pStyle w:val="SingleTxtG"/>
        <w:numPr>
          <w:ilvl w:val="0"/>
          <w:numId w:val="11"/>
        </w:numPr>
        <w:ind w:left="1134" w:firstLine="0"/>
      </w:pPr>
      <w:r w:rsidRPr="009A5BE6">
        <w:rPr>
          <w:rFonts w:eastAsia="Calibri"/>
          <w:lang w:eastAsia="en-GB"/>
        </w:rPr>
        <w:t>While</w:t>
      </w:r>
      <w:r w:rsidRPr="00D32356">
        <w:t xml:space="preserve"> noting the various measures taken to prevent and </w:t>
      </w:r>
      <w:r w:rsidR="00B5554E">
        <w:t xml:space="preserve">to </w:t>
      </w:r>
      <w:r w:rsidRPr="00D32356">
        <w:t>reduce the number</w:t>
      </w:r>
      <w:r w:rsidR="0030313B">
        <w:t>s</w:t>
      </w:r>
      <w:r w:rsidRPr="00D32356">
        <w:t xml:space="preserve"> of self-inflicted deaths (suicides), the Committee remains concerned about the </w:t>
      </w:r>
      <w:r w:rsidR="0030313B">
        <w:t>persistently</w:t>
      </w:r>
      <w:r w:rsidR="0030313B" w:rsidRPr="00D32356">
        <w:t xml:space="preserve"> </w:t>
      </w:r>
      <w:r w:rsidRPr="00D32356">
        <w:t xml:space="preserve">high number of suicides in Scotland, about </w:t>
      </w:r>
      <w:r w:rsidR="0030313B">
        <w:t xml:space="preserve">the </w:t>
      </w:r>
      <w:r w:rsidRPr="00D32356">
        <w:t xml:space="preserve">increased number of suicides in custody, particularly in England and Wales, </w:t>
      </w:r>
      <w:r w:rsidR="0030313B">
        <w:t>and about</w:t>
      </w:r>
      <w:r w:rsidRPr="00D32356">
        <w:t xml:space="preserve"> other </w:t>
      </w:r>
      <w:r>
        <w:t>cases</w:t>
      </w:r>
      <w:r w:rsidRPr="00D32356">
        <w:t xml:space="preserve"> of self-harm in custody. The Committee notes that young adults are a particularly vulnerable group in this regard</w:t>
      </w:r>
      <w:r w:rsidR="00B5554E">
        <w:t>,</w:t>
      </w:r>
      <w:r w:rsidRPr="00D32356">
        <w:t xml:space="preserve"> and that the Independent Review into Self-inflicted Deaths in Custody of 18</w:t>
      </w:r>
      <w:r w:rsidR="00B5554E">
        <w:t>–</w:t>
      </w:r>
      <w:r w:rsidRPr="00D32356">
        <w:t>24</w:t>
      </w:r>
      <w:r w:rsidR="00B5554E">
        <w:t>-</w:t>
      </w:r>
      <w:r w:rsidRPr="00D32356">
        <w:t>year</w:t>
      </w:r>
      <w:r w:rsidR="00B5554E">
        <w:t>-</w:t>
      </w:r>
      <w:r w:rsidRPr="00D32356">
        <w:t>olds (</w:t>
      </w:r>
      <w:r>
        <w:t>t</w:t>
      </w:r>
      <w:r w:rsidRPr="00D32356">
        <w:t>he Harris Review) presented its findings in July 2015 (arts. 2, 6, 7, 9, 10 and 24).</w:t>
      </w:r>
    </w:p>
    <w:p w:rsidR="00B86B33" w:rsidRPr="003E5A37" w:rsidRDefault="00B86B33" w:rsidP="003E5A37">
      <w:pPr>
        <w:pStyle w:val="SingleTxtG"/>
        <w:rPr>
          <w:bCs/>
        </w:rPr>
      </w:pPr>
      <w:r w:rsidRPr="003E5A37">
        <w:rPr>
          <w:b/>
          <w:bCs/>
        </w:rPr>
        <w:t>The State party should take robust measures to prevent self-inflicted deaths (suicides), including suicides and self-harm in custody, inter alia by:</w:t>
      </w:r>
    </w:p>
    <w:p w:rsidR="00B86B33" w:rsidRPr="00D32356" w:rsidRDefault="00B86B33" w:rsidP="00B5554E">
      <w:pPr>
        <w:pStyle w:val="SingleTxtG"/>
        <w:rPr>
          <w:b/>
        </w:rPr>
      </w:pPr>
      <w:r>
        <w:rPr>
          <w:b/>
        </w:rPr>
        <w:tab/>
      </w:r>
      <w:r w:rsidRPr="00D32356">
        <w:rPr>
          <w:b/>
        </w:rPr>
        <w:t>(a)</w:t>
      </w:r>
      <w:r w:rsidRPr="00D32356">
        <w:rPr>
          <w:b/>
        </w:rPr>
        <w:tab/>
      </w:r>
      <w:r w:rsidRPr="00D32356">
        <w:rPr>
          <w:b/>
          <w:lang w:bidi="he-IL"/>
        </w:rPr>
        <w:t>Studying and a</w:t>
      </w:r>
      <w:r w:rsidRPr="00D32356">
        <w:rPr>
          <w:b/>
        </w:rPr>
        <w:t xml:space="preserve">ddressing the root causes of the problem, continuing </w:t>
      </w:r>
      <w:r w:rsidR="00B5554E">
        <w:rPr>
          <w:b/>
        </w:rPr>
        <w:t xml:space="preserve">to </w:t>
      </w:r>
      <w:r w:rsidRPr="00D32356">
        <w:rPr>
          <w:b/>
        </w:rPr>
        <w:t>improv</w:t>
      </w:r>
      <w:r w:rsidR="00B5554E">
        <w:rPr>
          <w:b/>
        </w:rPr>
        <w:t>e</w:t>
      </w:r>
      <w:r w:rsidRPr="00D32356">
        <w:rPr>
          <w:b/>
        </w:rPr>
        <w:t xml:space="preserve"> the identification of persons at risk of suicide and self-harm</w:t>
      </w:r>
      <w:r w:rsidR="00B5554E">
        <w:rPr>
          <w:b/>
        </w:rPr>
        <w:t>,</w:t>
      </w:r>
      <w:r w:rsidRPr="00D32356">
        <w:rPr>
          <w:b/>
        </w:rPr>
        <w:t xml:space="preserve"> and operating effective early prevention strategies and programmes;</w:t>
      </w:r>
    </w:p>
    <w:p w:rsidR="00B86B33" w:rsidRPr="00D32356" w:rsidRDefault="00B86B33" w:rsidP="00B5554E">
      <w:pPr>
        <w:pStyle w:val="SingleTxtG"/>
        <w:rPr>
          <w:b/>
        </w:rPr>
      </w:pPr>
      <w:r>
        <w:rPr>
          <w:b/>
        </w:rPr>
        <w:tab/>
      </w:r>
      <w:r w:rsidRPr="00D32356">
        <w:rPr>
          <w:b/>
        </w:rPr>
        <w:t>(b)</w:t>
      </w:r>
      <w:r w:rsidRPr="00D32356">
        <w:rPr>
          <w:b/>
        </w:rPr>
        <w:tab/>
        <w:t xml:space="preserve">Providing adequate training to prison officials on </w:t>
      </w:r>
      <w:r w:rsidR="00B5554E">
        <w:rPr>
          <w:b/>
        </w:rPr>
        <w:t xml:space="preserve">prevention of </w:t>
      </w:r>
      <w:r w:rsidRPr="00D32356">
        <w:rPr>
          <w:b/>
        </w:rPr>
        <w:t>suicide and self-harm;</w:t>
      </w:r>
    </w:p>
    <w:p w:rsidR="00B86B33" w:rsidRPr="00D32356" w:rsidRDefault="00B86B33" w:rsidP="00B5554E">
      <w:pPr>
        <w:pStyle w:val="SingleTxtG"/>
        <w:rPr>
          <w:b/>
        </w:rPr>
      </w:pPr>
      <w:r>
        <w:rPr>
          <w:b/>
        </w:rPr>
        <w:tab/>
      </w:r>
      <w:r w:rsidRPr="00D32356">
        <w:rPr>
          <w:b/>
        </w:rPr>
        <w:t>(c)</w:t>
      </w:r>
      <w:r w:rsidRPr="00D32356">
        <w:rPr>
          <w:b/>
        </w:rPr>
        <w:tab/>
        <w:t>Ensuring adequate protection of</w:t>
      </w:r>
      <w:r w:rsidR="00B5554E">
        <w:rPr>
          <w:b/>
        </w:rPr>
        <w:t xml:space="preserve"> prisoners</w:t>
      </w:r>
      <w:r w:rsidRPr="00D32356">
        <w:rPr>
          <w:b/>
        </w:rPr>
        <w:t xml:space="preserve"> and appropriate mental health and other support services </w:t>
      </w:r>
      <w:r w:rsidR="00B5554E">
        <w:rPr>
          <w:b/>
        </w:rPr>
        <w:t>for them</w:t>
      </w:r>
      <w:r w:rsidRPr="00D32356">
        <w:rPr>
          <w:b/>
        </w:rPr>
        <w:t>;</w:t>
      </w:r>
    </w:p>
    <w:p w:rsidR="00B86B33" w:rsidRPr="00D32356" w:rsidRDefault="00B86B33" w:rsidP="00B86B33">
      <w:pPr>
        <w:pStyle w:val="SingleTxtG"/>
        <w:rPr>
          <w:b/>
        </w:rPr>
      </w:pPr>
      <w:r>
        <w:rPr>
          <w:b/>
        </w:rPr>
        <w:tab/>
      </w:r>
      <w:r w:rsidRPr="00D32356">
        <w:rPr>
          <w:b/>
        </w:rPr>
        <w:t>(d)</w:t>
      </w:r>
      <w:r w:rsidRPr="00D32356">
        <w:rPr>
          <w:b/>
        </w:rPr>
        <w:tab/>
        <w:t>Combating bullying in custody facilities effectively;</w:t>
      </w:r>
    </w:p>
    <w:p w:rsidR="00B86B33" w:rsidRPr="00D32356" w:rsidRDefault="00B86B33" w:rsidP="00B86B33">
      <w:pPr>
        <w:pStyle w:val="SingleTxtG"/>
        <w:rPr>
          <w:b/>
        </w:rPr>
      </w:pPr>
      <w:r>
        <w:rPr>
          <w:b/>
        </w:rPr>
        <w:tab/>
      </w:r>
      <w:r w:rsidRPr="00D32356">
        <w:rPr>
          <w:b/>
        </w:rPr>
        <w:t>(e)</w:t>
      </w:r>
      <w:r w:rsidRPr="00D32356">
        <w:rPr>
          <w:b/>
        </w:rPr>
        <w:tab/>
        <w:t xml:space="preserve">Ensuring that cases of suicide and self-harm are independently and thoroughly investigated and </w:t>
      </w:r>
      <w:r w:rsidR="00B5554E">
        <w:rPr>
          <w:b/>
        </w:rPr>
        <w:t xml:space="preserve">that </w:t>
      </w:r>
      <w:r w:rsidRPr="00D32356">
        <w:rPr>
          <w:b/>
        </w:rPr>
        <w:t xml:space="preserve">lessons </w:t>
      </w:r>
      <w:r w:rsidR="00B5554E">
        <w:rPr>
          <w:b/>
        </w:rPr>
        <w:t xml:space="preserve">are </w:t>
      </w:r>
      <w:r w:rsidRPr="00D32356">
        <w:rPr>
          <w:b/>
        </w:rPr>
        <w:t>learned;</w:t>
      </w:r>
    </w:p>
    <w:p w:rsidR="00B86B33" w:rsidRPr="00D32356" w:rsidRDefault="00B86B33" w:rsidP="00B5554E">
      <w:pPr>
        <w:pStyle w:val="SingleTxtG"/>
        <w:rPr>
          <w:b/>
        </w:rPr>
      </w:pPr>
      <w:r>
        <w:rPr>
          <w:b/>
        </w:rPr>
        <w:tab/>
      </w:r>
      <w:r w:rsidRPr="00D32356">
        <w:rPr>
          <w:b/>
        </w:rPr>
        <w:t>(f)</w:t>
      </w:r>
      <w:r w:rsidRPr="00D32356">
        <w:rPr>
          <w:b/>
        </w:rPr>
        <w:tab/>
        <w:t xml:space="preserve">Giving due consideration to the Harris Review </w:t>
      </w:r>
      <w:r w:rsidR="00B5554E">
        <w:rPr>
          <w:b/>
        </w:rPr>
        <w:t>r</w:t>
      </w:r>
      <w:r w:rsidRPr="00D32356">
        <w:rPr>
          <w:b/>
        </w:rPr>
        <w:t xml:space="preserve">eport and </w:t>
      </w:r>
      <w:r w:rsidRPr="00D32356">
        <w:rPr>
          <w:b/>
          <w:lang w:bidi="he-IL"/>
        </w:rPr>
        <w:t xml:space="preserve">to </w:t>
      </w:r>
      <w:r w:rsidRPr="00D32356">
        <w:rPr>
          <w:b/>
        </w:rPr>
        <w:t xml:space="preserve">implementing its recommendations. </w:t>
      </w:r>
    </w:p>
    <w:p w:rsidR="00B86B33" w:rsidRPr="00D32356" w:rsidRDefault="00B86B33" w:rsidP="00B86B33">
      <w:pPr>
        <w:pStyle w:val="H23G"/>
      </w:pPr>
      <w:r w:rsidRPr="00D32356">
        <w:tab/>
      </w:r>
      <w:r>
        <w:tab/>
      </w:r>
      <w:r w:rsidRPr="00D32356">
        <w:t>Termination of pregnancy in Northern Ireland</w:t>
      </w:r>
    </w:p>
    <w:p w:rsidR="00B86B33" w:rsidRDefault="00B86B33" w:rsidP="00AD5E45">
      <w:pPr>
        <w:pStyle w:val="SingleTxtG"/>
        <w:numPr>
          <w:ilvl w:val="0"/>
          <w:numId w:val="11"/>
        </w:numPr>
        <w:ind w:left="1134" w:firstLine="0"/>
      </w:pPr>
      <w:r w:rsidRPr="009A5BE6">
        <w:rPr>
          <w:rFonts w:eastAsia="Calibri"/>
          <w:lang w:eastAsia="en-GB"/>
        </w:rPr>
        <w:t>The</w:t>
      </w:r>
      <w:r w:rsidRPr="009F448D">
        <w:t xml:space="preserve"> Committee is concerned about the highly restricted circumstances in which termination of pregnancy is permitted </w:t>
      </w:r>
      <w:r w:rsidR="008A64CD">
        <w:t>by</w:t>
      </w:r>
      <w:r w:rsidRPr="009F448D">
        <w:t xml:space="preserve"> law in Northern Ireland and about the severe criminal sanctions for unlawful abortion</w:t>
      </w:r>
      <w:r>
        <w:t xml:space="preserve">, </w:t>
      </w:r>
      <w:r w:rsidR="008A64CD">
        <w:t>which put</w:t>
      </w:r>
      <w:r w:rsidRPr="001B4DE7">
        <w:t xml:space="preserve"> women</w:t>
      </w:r>
      <w:r>
        <w:t>’s life and health at risk and forc</w:t>
      </w:r>
      <w:r w:rsidR="008A64CD">
        <w:t>e</w:t>
      </w:r>
      <w:r>
        <w:t xml:space="preserve"> them</w:t>
      </w:r>
      <w:r w:rsidRPr="001B4DE7">
        <w:t xml:space="preserve"> to </w:t>
      </w:r>
      <w:r>
        <w:t>travel in order to seek</w:t>
      </w:r>
      <w:r w:rsidR="008A64CD">
        <w:t xml:space="preserve"> an</w:t>
      </w:r>
      <w:r w:rsidRPr="001B4DE7">
        <w:t xml:space="preserve"> </w:t>
      </w:r>
      <w:r>
        <w:t>abortion</w:t>
      </w:r>
      <w:r w:rsidRPr="009F448D">
        <w:t>.</w:t>
      </w:r>
      <w:r>
        <w:t xml:space="preserve"> </w:t>
      </w:r>
      <w:r w:rsidRPr="009F448D">
        <w:t xml:space="preserve">The Committee notes </w:t>
      </w:r>
      <w:r>
        <w:t xml:space="preserve">with concern </w:t>
      </w:r>
      <w:r w:rsidRPr="009F448D">
        <w:t xml:space="preserve">that the </w:t>
      </w:r>
      <w:r w:rsidR="00AD5E45" w:rsidRPr="009F448D">
        <w:rPr>
          <w:bCs/>
        </w:rPr>
        <w:t>Department of Justice for Northern Ireland</w:t>
      </w:r>
      <w:r w:rsidRPr="009F448D">
        <w:rPr>
          <w:bCs/>
        </w:rPr>
        <w:t xml:space="preserve">, after having held a consultation on the possible decriminalization and legalization of abortion in cases of </w:t>
      </w:r>
      <w:r>
        <w:rPr>
          <w:bCs/>
        </w:rPr>
        <w:t>fatal</w:t>
      </w:r>
      <w:r w:rsidRPr="009F448D">
        <w:rPr>
          <w:bCs/>
        </w:rPr>
        <w:t xml:space="preserve"> </w:t>
      </w:r>
      <w:r w:rsidR="00303518" w:rsidRPr="009F448D">
        <w:rPr>
          <w:bCs/>
        </w:rPr>
        <w:t>foetal</w:t>
      </w:r>
      <w:r w:rsidRPr="009F448D">
        <w:rPr>
          <w:bCs/>
        </w:rPr>
        <w:t xml:space="preserve"> abnormality and pregnancy as a result of rape or incest, indicated in April 2015 that it would propose legislation to legalize termination of pregnancy </w:t>
      </w:r>
      <w:r>
        <w:rPr>
          <w:bCs/>
        </w:rPr>
        <w:t>only in circumstances of fatal</w:t>
      </w:r>
      <w:r w:rsidRPr="009F448D">
        <w:rPr>
          <w:bCs/>
        </w:rPr>
        <w:t xml:space="preserve"> </w:t>
      </w:r>
      <w:r w:rsidR="00303518" w:rsidRPr="009F448D">
        <w:rPr>
          <w:bCs/>
        </w:rPr>
        <w:t>foetal</w:t>
      </w:r>
      <w:r w:rsidRPr="009F448D">
        <w:rPr>
          <w:bCs/>
        </w:rPr>
        <w:t xml:space="preserve"> abnormality</w:t>
      </w:r>
      <w:r w:rsidR="00303518">
        <w:rPr>
          <w:bCs/>
        </w:rPr>
        <w:t>,</w:t>
      </w:r>
      <w:r w:rsidRPr="009F448D">
        <w:rPr>
          <w:bCs/>
        </w:rPr>
        <w:t xml:space="preserve"> </w:t>
      </w:r>
      <w:r>
        <w:rPr>
          <w:bCs/>
        </w:rPr>
        <w:t>due to “complex issues” raised by pregnancy</w:t>
      </w:r>
      <w:r w:rsidR="00303518">
        <w:rPr>
          <w:bCs/>
        </w:rPr>
        <w:t xml:space="preserve"> occurring</w:t>
      </w:r>
      <w:r>
        <w:rPr>
          <w:bCs/>
        </w:rPr>
        <w:t xml:space="preserve"> as a result of sexual crimes</w:t>
      </w:r>
      <w:r w:rsidRPr="009F448D">
        <w:rPr>
          <w:bCs/>
        </w:rPr>
        <w:t xml:space="preserve"> (arts. </w:t>
      </w:r>
      <w:r w:rsidRPr="009F448D">
        <w:t xml:space="preserve">3, 6, 7 </w:t>
      </w:r>
      <w:r>
        <w:t xml:space="preserve">and </w:t>
      </w:r>
      <w:r w:rsidRPr="009F448D">
        <w:t xml:space="preserve">17). </w:t>
      </w:r>
    </w:p>
    <w:p w:rsidR="00B86B33" w:rsidRPr="00B533F0" w:rsidRDefault="00B86B33" w:rsidP="00B86B33">
      <w:pPr>
        <w:pStyle w:val="SingleTxtG"/>
      </w:pPr>
      <w:r w:rsidRPr="00D918AC">
        <w:rPr>
          <w:b/>
        </w:rPr>
        <w:t xml:space="preserve">The State party should, as a matter of priority, amend </w:t>
      </w:r>
      <w:r w:rsidR="00286C1B">
        <w:rPr>
          <w:b/>
        </w:rPr>
        <w:t xml:space="preserve">its </w:t>
      </w:r>
      <w:r w:rsidRPr="00D918AC">
        <w:rPr>
          <w:b/>
        </w:rPr>
        <w:t xml:space="preserve">legislation on abortion in Northern Ireland with a view to providing for additional exceptions to the legal ban on abortion, including in cases of rape, incest </w:t>
      </w:r>
      <w:r w:rsidR="00C13862">
        <w:rPr>
          <w:b/>
        </w:rPr>
        <w:t>and</w:t>
      </w:r>
      <w:r w:rsidRPr="00D918AC">
        <w:rPr>
          <w:b/>
        </w:rPr>
        <w:t xml:space="preserve"> fatal </w:t>
      </w:r>
      <w:r w:rsidR="00303518" w:rsidRPr="00D918AC">
        <w:rPr>
          <w:b/>
        </w:rPr>
        <w:t>foetal</w:t>
      </w:r>
      <w:r w:rsidRPr="00D918AC">
        <w:rPr>
          <w:b/>
        </w:rPr>
        <w:t xml:space="preserve"> abnormality</w:t>
      </w:r>
      <w:r w:rsidRPr="00D918AC">
        <w:t>.</w:t>
      </w:r>
      <w:r w:rsidR="00C13862">
        <w:t xml:space="preserve"> </w:t>
      </w:r>
      <w:r w:rsidRPr="0000385D">
        <w:rPr>
          <w:b/>
        </w:rPr>
        <w:t xml:space="preserve">The State party should also </w:t>
      </w:r>
      <w:r w:rsidR="00C13862">
        <w:rPr>
          <w:b/>
        </w:rPr>
        <w:t>ensure</w:t>
      </w:r>
      <w:r w:rsidRPr="0000385D">
        <w:rPr>
          <w:b/>
        </w:rPr>
        <w:t xml:space="preserve"> access to information on abortion</w:t>
      </w:r>
      <w:r w:rsidR="00720916">
        <w:rPr>
          <w:b/>
        </w:rPr>
        <w:t xml:space="preserve">, </w:t>
      </w:r>
      <w:r w:rsidRPr="0000385D">
        <w:rPr>
          <w:b/>
        </w:rPr>
        <w:t xml:space="preserve">contraception and sexual and reproductive health </w:t>
      </w:r>
      <w:r w:rsidR="00720916">
        <w:rPr>
          <w:b/>
        </w:rPr>
        <w:t>options</w:t>
      </w:r>
      <w:r>
        <w:rPr>
          <w:b/>
        </w:rPr>
        <w:t>.</w:t>
      </w:r>
    </w:p>
    <w:p w:rsidR="00B86B33" w:rsidRPr="001F54DC" w:rsidRDefault="00B86B33" w:rsidP="00B86B33">
      <w:pPr>
        <w:pStyle w:val="H23G"/>
      </w:pPr>
      <w:r>
        <w:tab/>
      </w:r>
      <w:r>
        <w:tab/>
      </w:r>
      <w:r w:rsidRPr="001F54DC">
        <w:t>Torture</w:t>
      </w:r>
    </w:p>
    <w:p w:rsidR="00B86B33" w:rsidRPr="001F54DC" w:rsidRDefault="00DE4272" w:rsidP="00986C9F">
      <w:pPr>
        <w:pStyle w:val="SingleTxtG"/>
        <w:numPr>
          <w:ilvl w:val="0"/>
          <w:numId w:val="11"/>
        </w:numPr>
        <w:ind w:left="1134" w:firstLine="0"/>
      </w:pPr>
      <w:r>
        <w:t>While noting the State party’s argument that the</w:t>
      </w:r>
      <w:r w:rsidR="00303518">
        <w:t xml:space="preserve"> definition of torture in the</w:t>
      </w:r>
      <w:r>
        <w:t xml:space="preserve"> </w:t>
      </w:r>
      <w:r w:rsidR="000415E5" w:rsidRPr="001F54DC">
        <w:t xml:space="preserve">Criminal Justice Act </w:t>
      </w:r>
      <w:r w:rsidRPr="001F54DC">
        <w:t xml:space="preserve">1988 </w:t>
      </w:r>
      <w:r w:rsidR="00303518">
        <w:t>is</w:t>
      </w:r>
      <w:r w:rsidRPr="001F54DC">
        <w:t xml:space="preserve"> broader than </w:t>
      </w:r>
      <w:r w:rsidR="00303518">
        <w:t xml:space="preserve">that in </w:t>
      </w:r>
      <w:r w:rsidRPr="001F54DC">
        <w:t>the Convention against Torture</w:t>
      </w:r>
      <w:r w:rsidR="00303518">
        <w:t xml:space="preserve"> </w:t>
      </w:r>
      <w:r w:rsidR="00303518" w:rsidRPr="00303518">
        <w:t>and Other Cruel, Inhuman or Degrading Treatment or Punishment</w:t>
      </w:r>
      <w:r w:rsidR="007114C7">
        <w:t>,</w:t>
      </w:r>
      <w:r w:rsidRPr="001F54DC">
        <w:t xml:space="preserve"> </w:t>
      </w:r>
      <w:r w:rsidR="007114C7">
        <w:t>t</w:t>
      </w:r>
      <w:r w:rsidR="00B86B33" w:rsidRPr="001F54DC">
        <w:t xml:space="preserve">he </w:t>
      </w:r>
      <w:r w:rsidR="00B86B33" w:rsidRPr="009A5BE6">
        <w:rPr>
          <w:rFonts w:eastAsia="Calibri"/>
          <w:lang w:eastAsia="en-GB"/>
        </w:rPr>
        <w:t>Committee</w:t>
      </w:r>
      <w:r w:rsidR="00B86B33" w:rsidRPr="001F54DC">
        <w:t xml:space="preserve"> is concerned </w:t>
      </w:r>
      <w:r w:rsidR="00B86B33" w:rsidRPr="000C10AF">
        <w:rPr>
          <w:bCs/>
        </w:rPr>
        <w:t>that</w:t>
      </w:r>
      <w:r w:rsidR="00B86B33" w:rsidRPr="001F54DC">
        <w:t xml:space="preserve"> the defence of “lawful authority, justification or excuse” to a charge of official intentional infliction of severe pain or suffering</w:t>
      </w:r>
      <w:r w:rsidR="00303518">
        <w:t>,</w:t>
      </w:r>
      <w:r w:rsidR="00B86B33" w:rsidRPr="001F54DC">
        <w:t xml:space="preserve"> </w:t>
      </w:r>
      <w:r w:rsidR="00303518">
        <w:t>as set forth</w:t>
      </w:r>
      <w:r w:rsidR="00303518" w:rsidRPr="001F54DC">
        <w:t xml:space="preserve"> </w:t>
      </w:r>
      <w:r w:rsidR="00B86B33" w:rsidRPr="001F54DC">
        <w:t xml:space="preserve">in </w:t>
      </w:r>
      <w:r w:rsidR="00303518">
        <w:t>s</w:t>
      </w:r>
      <w:r w:rsidR="00B86B33" w:rsidRPr="001F54DC">
        <w:t xml:space="preserve">ections 134 (4) and (5) of the 1988 </w:t>
      </w:r>
      <w:r w:rsidR="000415E5" w:rsidRPr="00030C61">
        <w:t>Act</w:t>
      </w:r>
      <w:r w:rsidR="00303518" w:rsidRPr="00030C61">
        <w:t>,</w:t>
      </w:r>
      <w:r w:rsidR="000415E5" w:rsidRPr="00030C61">
        <w:t xml:space="preserve"> </w:t>
      </w:r>
      <w:r w:rsidR="00B86B33" w:rsidRPr="00030C61">
        <w:t xml:space="preserve">is broadly worded, </w:t>
      </w:r>
      <w:r w:rsidR="00B86B33" w:rsidRPr="00030C61">
        <w:rPr>
          <w:lang w:bidi="he-IL"/>
        </w:rPr>
        <w:t xml:space="preserve">and </w:t>
      </w:r>
      <w:r w:rsidR="00B86B33" w:rsidRPr="00030C61">
        <w:t>could allow for wide application</w:t>
      </w:r>
      <w:r w:rsidR="00A910FE">
        <w:t>,</w:t>
      </w:r>
      <w:r w:rsidR="00B86B33" w:rsidRPr="00030C61">
        <w:t xml:space="preserve"> </w:t>
      </w:r>
      <w:r w:rsidR="00B86B33" w:rsidRPr="00030C61">
        <w:rPr>
          <w:lang w:bidi="he-IL"/>
        </w:rPr>
        <w:t xml:space="preserve">including </w:t>
      </w:r>
      <w:r w:rsidR="00B86B33" w:rsidRPr="00030C61">
        <w:t>to the absolute prohibition of torture (art. 7).</w:t>
      </w:r>
    </w:p>
    <w:p w:rsidR="00B86B33" w:rsidRPr="001F54DC" w:rsidRDefault="00B86B33" w:rsidP="00B86B33">
      <w:pPr>
        <w:pStyle w:val="SingleTxtG"/>
      </w:pPr>
      <w:r w:rsidRPr="001F54DC">
        <w:rPr>
          <w:b/>
        </w:rPr>
        <w:t>The State party should review its legislation with a view to ensuring that any possible defences for torture are repealed, in accordance with article 7 of the Covenant</w:t>
      </w:r>
      <w:r>
        <w:rPr>
          <w:b/>
          <w:lang w:bidi="he-IL"/>
        </w:rPr>
        <w:t xml:space="preserve"> and other internationally accepted standards</w:t>
      </w:r>
      <w:r w:rsidRPr="001F54DC">
        <w:rPr>
          <w:b/>
        </w:rPr>
        <w:t>.</w:t>
      </w:r>
    </w:p>
    <w:p w:rsidR="00B86B33" w:rsidRPr="00DC5A52" w:rsidRDefault="00B86B33" w:rsidP="00B86B33">
      <w:pPr>
        <w:pStyle w:val="H23G"/>
      </w:pPr>
      <w:r>
        <w:tab/>
      </w:r>
      <w:r>
        <w:tab/>
      </w:r>
      <w:r w:rsidRPr="009B558B">
        <w:t>Diplomatic assurances and non-refoulement</w:t>
      </w:r>
      <w:r>
        <w:t xml:space="preserve"> </w:t>
      </w:r>
    </w:p>
    <w:p w:rsidR="00B86B33" w:rsidRPr="00BE5DA9" w:rsidRDefault="00B86B33" w:rsidP="00030C61">
      <w:pPr>
        <w:pStyle w:val="SingleTxtG"/>
        <w:numPr>
          <w:ilvl w:val="0"/>
          <w:numId w:val="11"/>
        </w:numPr>
        <w:ind w:left="1134" w:firstLine="0"/>
      </w:pPr>
      <w:r w:rsidRPr="00BE5DA9">
        <w:t xml:space="preserve">The Committee is concerned that the State party continues to rely on its </w:t>
      </w:r>
      <w:r w:rsidR="00030C61">
        <w:t>“d</w:t>
      </w:r>
      <w:r w:rsidRPr="00BE5DA9">
        <w:t xml:space="preserve">eportation with </w:t>
      </w:r>
      <w:r w:rsidR="00030C61">
        <w:t>a</w:t>
      </w:r>
      <w:r w:rsidRPr="00BE5DA9">
        <w:t>ssurances</w:t>
      </w:r>
      <w:r w:rsidR="00030C61">
        <w:t>”</w:t>
      </w:r>
      <w:r w:rsidRPr="00BE5DA9">
        <w:t xml:space="preserve"> policy to justify the deportation of foreign nationals suspected of terrorism-related offenses to countries where </w:t>
      </w:r>
      <w:r>
        <w:t xml:space="preserve">it is reported that </w:t>
      </w:r>
      <w:r w:rsidRPr="00BE5DA9">
        <w:t>they may face a real risk of torture or other forms of ill-treatment and notes that, while there are no plans to abandon the policy, its framework is under review by the Independent Reviewer of Terrorism Legislation</w:t>
      </w:r>
      <w:r>
        <w:t xml:space="preserve">. </w:t>
      </w:r>
      <w:r w:rsidRPr="00BE5DA9">
        <w:t>Despite the memorand</w:t>
      </w:r>
      <w:r w:rsidR="00030C61">
        <w:t>ums</w:t>
      </w:r>
      <w:r w:rsidRPr="00BE5DA9">
        <w:t xml:space="preserve"> of </w:t>
      </w:r>
      <w:r w:rsidRPr="00005A69">
        <w:t xml:space="preserve">understanding on deportation with assurances </w:t>
      </w:r>
      <w:r w:rsidR="00030C61">
        <w:t xml:space="preserve">that have been </w:t>
      </w:r>
      <w:r w:rsidRPr="00005A69">
        <w:t xml:space="preserve">concluded with a number of countries and </w:t>
      </w:r>
      <w:r w:rsidR="00030C61">
        <w:t xml:space="preserve">the </w:t>
      </w:r>
      <w:r w:rsidRPr="00005A69">
        <w:t xml:space="preserve">arrangements for post-transfer monitoring, the Committee remains concerned that these measures may not ensure that the individuals </w:t>
      </w:r>
      <w:r w:rsidR="00030C61">
        <w:t xml:space="preserve">affected </w:t>
      </w:r>
      <w:r w:rsidRPr="00005A69">
        <w:t>will not be subject</w:t>
      </w:r>
      <w:r w:rsidR="00030C61">
        <w:t>ed</w:t>
      </w:r>
      <w:r w:rsidRPr="00005A69">
        <w:t xml:space="preserve"> to treatment contrary to articles 6 and 7 of the Covenant</w:t>
      </w:r>
      <w:r w:rsidRPr="00BE5DA9">
        <w:t xml:space="preserve"> (arts. 2, 6 </w:t>
      </w:r>
      <w:r>
        <w:t xml:space="preserve">and </w:t>
      </w:r>
      <w:r w:rsidRPr="00BE5DA9">
        <w:t>7</w:t>
      </w:r>
      <w:r>
        <w:rPr>
          <w:lang w:bidi="he-IL"/>
        </w:rPr>
        <w:t>)</w:t>
      </w:r>
      <w:r w:rsidRPr="00BE5DA9">
        <w:t xml:space="preserve">. </w:t>
      </w:r>
    </w:p>
    <w:p w:rsidR="00B86B33" w:rsidRPr="00BE5DA9" w:rsidRDefault="00B86B33" w:rsidP="00392638">
      <w:pPr>
        <w:pStyle w:val="SingleTxtG"/>
        <w:rPr>
          <w:b/>
          <w:lang w:val="en-US"/>
        </w:rPr>
      </w:pPr>
      <w:r w:rsidRPr="00BE5DA9">
        <w:rPr>
          <w:b/>
          <w:lang w:val="en-US"/>
        </w:rPr>
        <w:t>The Committee recalls its previous recommendation (</w:t>
      </w:r>
      <w:r w:rsidR="00030C61">
        <w:rPr>
          <w:b/>
          <w:lang w:val="en-US"/>
        </w:rPr>
        <w:t xml:space="preserve">see </w:t>
      </w:r>
      <w:r w:rsidRPr="00BE5DA9">
        <w:rPr>
          <w:b/>
          <w:lang w:val="en-US"/>
        </w:rPr>
        <w:t>CCPR/C/GBR/CO/6, para.</w:t>
      </w:r>
      <w:r w:rsidR="00392638">
        <w:rPr>
          <w:b/>
          <w:lang w:val="en-US"/>
        </w:rPr>
        <w:t> </w:t>
      </w:r>
      <w:r w:rsidRPr="00BE5DA9">
        <w:rPr>
          <w:b/>
          <w:lang w:val="en-US"/>
        </w:rPr>
        <w:t xml:space="preserve">12) and recommends that the State party strictly apply the absolute prohibition </w:t>
      </w:r>
      <w:r w:rsidR="00392638">
        <w:rPr>
          <w:b/>
          <w:lang w:val="en-US"/>
        </w:rPr>
        <w:t>on</w:t>
      </w:r>
      <w:r w:rsidR="00392638" w:rsidRPr="00BE5DA9">
        <w:rPr>
          <w:b/>
          <w:lang w:val="en-US"/>
        </w:rPr>
        <w:t xml:space="preserve"> </w:t>
      </w:r>
      <w:r w:rsidRPr="00BE5DA9">
        <w:rPr>
          <w:b/>
          <w:lang w:val="en-US"/>
        </w:rPr>
        <w:t xml:space="preserve">refoulement under articles 6 and 7 of the Covenant; continue </w:t>
      </w:r>
      <w:r w:rsidR="00392638">
        <w:rPr>
          <w:b/>
          <w:lang w:val="en-US"/>
        </w:rPr>
        <w:t xml:space="preserve">to </w:t>
      </w:r>
      <w:r w:rsidRPr="00BE5DA9">
        <w:rPr>
          <w:b/>
          <w:lang w:val="en-US"/>
        </w:rPr>
        <w:t>exercis</w:t>
      </w:r>
      <w:r w:rsidR="00392638">
        <w:rPr>
          <w:b/>
          <w:lang w:val="en-US"/>
        </w:rPr>
        <w:t>e</w:t>
      </w:r>
      <w:r w:rsidRPr="00BE5DA9">
        <w:rPr>
          <w:b/>
          <w:lang w:val="en-US"/>
        </w:rPr>
        <w:t xml:space="preserve"> the utmost care in evaluating diplomatic assurances</w:t>
      </w:r>
      <w:r>
        <w:rPr>
          <w:b/>
          <w:lang w:val="en-US"/>
        </w:rPr>
        <w:t>;</w:t>
      </w:r>
      <w:r w:rsidRPr="00BE5DA9">
        <w:rPr>
          <w:b/>
          <w:lang w:val="en-US"/>
        </w:rPr>
        <w:t xml:space="preserve"> ensure that appropriate, effective and independent post-transfer monitoring of individuals who are transferred pursuant to diplomatic assurances </w:t>
      </w:r>
      <w:r w:rsidR="00392638">
        <w:rPr>
          <w:b/>
          <w:lang w:val="en-US"/>
        </w:rPr>
        <w:t>is</w:t>
      </w:r>
      <w:r w:rsidR="00392638" w:rsidRPr="00BE5DA9">
        <w:rPr>
          <w:b/>
          <w:lang w:val="en-US"/>
        </w:rPr>
        <w:t xml:space="preserve"> </w:t>
      </w:r>
      <w:r w:rsidRPr="00BE5DA9">
        <w:rPr>
          <w:b/>
          <w:lang w:val="en-US"/>
        </w:rPr>
        <w:t xml:space="preserve">in place; refrain from relying on such assurances where </w:t>
      </w:r>
      <w:r>
        <w:rPr>
          <w:b/>
          <w:lang w:val="en-US"/>
        </w:rPr>
        <w:t>the State party</w:t>
      </w:r>
      <w:r w:rsidRPr="00BE5DA9">
        <w:rPr>
          <w:b/>
          <w:lang w:val="en-US"/>
        </w:rPr>
        <w:t xml:space="preserve"> is not in a position to effectively monitor the treatment of such persons after their extradition, expulsion, transfe</w:t>
      </w:r>
      <w:r>
        <w:rPr>
          <w:b/>
          <w:lang w:val="en-US"/>
        </w:rPr>
        <w:t xml:space="preserve">r or return to other countries; </w:t>
      </w:r>
      <w:r w:rsidRPr="00BE5DA9">
        <w:rPr>
          <w:b/>
          <w:lang w:val="en-US"/>
        </w:rPr>
        <w:t xml:space="preserve">and take appropriate remedial action when assurances are not fulfilled. </w:t>
      </w:r>
    </w:p>
    <w:p w:rsidR="00B86B33" w:rsidRPr="00BE5DA9" w:rsidRDefault="00B86B33" w:rsidP="00B86B33">
      <w:pPr>
        <w:pStyle w:val="H23G"/>
      </w:pPr>
      <w:r>
        <w:tab/>
      </w:r>
      <w:r>
        <w:tab/>
      </w:r>
      <w:r w:rsidRPr="00BE5DA9">
        <w:t>Corporal punishment</w:t>
      </w:r>
    </w:p>
    <w:p w:rsidR="00B86B33" w:rsidRPr="00D45BFB" w:rsidRDefault="00B86B33" w:rsidP="001274C3">
      <w:pPr>
        <w:pStyle w:val="SingleTxtG"/>
        <w:numPr>
          <w:ilvl w:val="0"/>
          <w:numId w:val="11"/>
        </w:numPr>
        <w:ind w:left="1134" w:firstLine="0"/>
      </w:pPr>
      <w:r w:rsidRPr="009A5BE6">
        <w:rPr>
          <w:rFonts w:eastAsia="Calibri"/>
          <w:lang w:eastAsia="en-GB"/>
        </w:rPr>
        <w:t>The</w:t>
      </w:r>
      <w:r w:rsidRPr="00D45BFB">
        <w:t xml:space="preserve"> Committee </w:t>
      </w:r>
      <w:r w:rsidR="00C505C8">
        <w:t>remains</w:t>
      </w:r>
      <w:r w:rsidRPr="00D45BFB">
        <w:t xml:space="preserve"> concerned that corporal punishment </w:t>
      </w:r>
      <w:r w:rsidR="002C7CAA">
        <w:t>is still not fully outlawed</w:t>
      </w:r>
      <w:r w:rsidRPr="00D45BFB">
        <w:t xml:space="preserve"> in the home</w:t>
      </w:r>
      <w:r>
        <w:rPr>
          <w:lang w:bidi="he-IL"/>
        </w:rPr>
        <w:t xml:space="preserve"> and certain educational and alternative care facilities</w:t>
      </w:r>
      <w:r w:rsidRPr="00D45BFB">
        <w:t xml:space="preserve"> in </w:t>
      </w:r>
      <w:r w:rsidR="002C7CAA">
        <w:t xml:space="preserve">the United Kingdom and in </w:t>
      </w:r>
      <w:r w:rsidRPr="00D45BFB">
        <w:t xml:space="preserve">almost all British Crown </w:t>
      </w:r>
      <w:r w:rsidR="00392638">
        <w:t>d</w:t>
      </w:r>
      <w:r w:rsidRPr="00D45BFB">
        <w:t xml:space="preserve">ependencies and </w:t>
      </w:r>
      <w:r w:rsidR="00392638">
        <w:t>o</w:t>
      </w:r>
      <w:r w:rsidRPr="00D45BFB">
        <w:t xml:space="preserve">verseas </w:t>
      </w:r>
      <w:r w:rsidR="00392638">
        <w:t>t</w:t>
      </w:r>
      <w:r w:rsidRPr="00D45BFB">
        <w:t xml:space="preserve">erritories. It is </w:t>
      </w:r>
      <w:r w:rsidR="001274C3">
        <w:t>also</w:t>
      </w:r>
      <w:r w:rsidR="001274C3" w:rsidRPr="00D45BFB">
        <w:t xml:space="preserve"> </w:t>
      </w:r>
      <w:r w:rsidRPr="00D45BFB">
        <w:t xml:space="preserve">concerned about the lack of </w:t>
      </w:r>
      <w:r w:rsidR="001274C3">
        <w:t xml:space="preserve">an </w:t>
      </w:r>
      <w:r w:rsidRPr="00D45BFB">
        <w:t>explicit prohibition o</w:t>
      </w:r>
      <w:r w:rsidR="001274C3">
        <w:t>n</w:t>
      </w:r>
      <w:r w:rsidRPr="00D45BFB">
        <w:t xml:space="preserve"> corporal punishment in the home and </w:t>
      </w:r>
      <w:r w:rsidR="001274C3">
        <w:t xml:space="preserve">about </w:t>
      </w:r>
      <w:r w:rsidRPr="00D45BFB">
        <w:t xml:space="preserve">the existing legal defences </w:t>
      </w:r>
      <w:r w:rsidRPr="00D45BFB">
        <w:rPr>
          <w:lang w:eastAsia="en-GB"/>
        </w:rPr>
        <w:t xml:space="preserve">of “reasonable punishment” in England, Wales and Northern Ireland </w:t>
      </w:r>
      <w:r w:rsidR="001274C3">
        <w:rPr>
          <w:lang w:eastAsia="en-GB"/>
        </w:rPr>
        <w:t>and</w:t>
      </w:r>
      <w:r w:rsidR="001274C3" w:rsidRPr="00D45BFB">
        <w:rPr>
          <w:lang w:eastAsia="en-GB"/>
        </w:rPr>
        <w:t xml:space="preserve"> </w:t>
      </w:r>
      <w:r w:rsidRPr="00D45BFB">
        <w:rPr>
          <w:lang w:eastAsia="en-GB"/>
        </w:rPr>
        <w:t xml:space="preserve">“justifiable assault” in Scotland (arts. 7 and 24). </w:t>
      </w:r>
    </w:p>
    <w:p w:rsidR="00B86B33" w:rsidRDefault="00B86B33" w:rsidP="001274C3">
      <w:pPr>
        <w:pStyle w:val="SingleTxtG"/>
        <w:rPr>
          <w:b/>
        </w:rPr>
      </w:pPr>
      <w:r w:rsidRPr="00D45BFB">
        <w:rPr>
          <w:b/>
        </w:rPr>
        <w:t xml:space="preserve">The State party should take practical steps, including through legislative measures where appropriate, to put an end to corporal punishment in all settings, including the home, throughout United Kingdom and </w:t>
      </w:r>
      <w:r w:rsidRPr="00D45BFB">
        <w:rPr>
          <w:b/>
          <w:bCs/>
        </w:rPr>
        <w:t xml:space="preserve">all Crown </w:t>
      </w:r>
      <w:r w:rsidR="001274C3">
        <w:rPr>
          <w:b/>
          <w:bCs/>
        </w:rPr>
        <w:t>d</w:t>
      </w:r>
      <w:r w:rsidRPr="00D45BFB">
        <w:rPr>
          <w:b/>
          <w:bCs/>
        </w:rPr>
        <w:t xml:space="preserve">ependencies and </w:t>
      </w:r>
      <w:r w:rsidR="001274C3">
        <w:rPr>
          <w:b/>
          <w:bCs/>
        </w:rPr>
        <w:t>o</w:t>
      </w:r>
      <w:r w:rsidRPr="00D45BFB">
        <w:rPr>
          <w:b/>
          <w:bCs/>
        </w:rPr>
        <w:t xml:space="preserve">verseas </w:t>
      </w:r>
      <w:r w:rsidR="001274C3">
        <w:rPr>
          <w:b/>
          <w:bCs/>
        </w:rPr>
        <w:t>t</w:t>
      </w:r>
      <w:r w:rsidRPr="00D45BFB">
        <w:rPr>
          <w:b/>
          <w:bCs/>
        </w:rPr>
        <w:t>errit</w:t>
      </w:r>
      <w:r>
        <w:rPr>
          <w:b/>
          <w:bCs/>
        </w:rPr>
        <w:t xml:space="preserve">ories, and </w:t>
      </w:r>
      <w:r w:rsidR="00402470">
        <w:rPr>
          <w:b/>
          <w:bCs/>
        </w:rPr>
        <w:t xml:space="preserve">should </w:t>
      </w:r>
      <w:r>
        <w:rPr>
          <w:b/>
          <w:bCs/>
        </w:rPr>
        <w:t xml:space="preserve">repeal all existing </w:t>
      </w:r>
      <w:r w:rsidRPr="00D45BFB">
        <w:rPr>
          <w:b/>
          <w:bCs/>
        </w:rPr>
        <w:t>legal defences across the State party’s jurisdiction. It should encourage</w:t>
      </w:r>
      <w:r w:rsidRPr="00D45BFB">
        <w:rPr>
          <w:b/>
        </w:rPr>
        <w:t xml:space="preserve"> non-violent forms of discipline as alternatives to corporal punishment, and</w:t>
      </w:r>
      <w:r w:rsidR="001274C3">
        <w:rPr>
          <w:b/>
        </w:rPr>
        <w:t xml:space="preserve"> should</w:t>
      </w:r>
      <w:r w:rsidRPr="00D45BFB">
        <w:rPr>
          <w:b/>
        </w:rPr>
        <w:t xml:space="preserve"> conduct public information campaigns to raise awareness about its harmful effects.</w:t>
      </w:r>
    </w:p>
    <w:p w:rsidR="00B86B33" w:rsidRPr="00A74846" w:rsidRDefault="00B86B33" w:rsidP="00B86B33">
      <w:pPr>
        <w:pStyle w:val="H23G"/>
      </w:pPr>
      <w:r>
        <w:tab/>
      </w:r>
      <w:r>
        <w:tab/>
      </w:r>
      <w:r w:rsidRPr="00352B8D">
        <w:t>Immigration detention</w:t>
      </w:r>
      <w:r w:rsidRPr="00A74846">
        <w:t xml:space="preserve"> </w:t>
      </w:r>
    </w:p>
    <w:p w:rsidR="00B86B33" w:rsidRPr="00624500" w:rsidRDefault="00B86B33" w:rsidP="003D5D90">
      <w:pPr>
        <w:pStyle w:val="SingleTxtG"/>
        <w:numPr>
          <w:ilvl w:val="0"/>
          <w:numId w:val="11"/>
        </w:numPr>
        <w:ind w:left="1134" w:firstLine="0"/>
      </w:pPr>
      <w:r w:rsidRPr="009A5BE6">
        <w:rPr>
          <w:rFonts w:eastAsia="Calibri"/>
          <w:lang w:eastAsia="en-GB"/>
        </w:rPr>
        <w:t>The</w:t>
      </w:r>
      <w:r w:rsidRPr="00624500">
        <w:t xml:space="preserve"> Committee is concerned that no </w:t>
      </w:r>
      <w:r w:rsidR="00B27C22">
        <w:t xml:space="preserve">fixed </w:t>
      </w:r>
      <w:r w:rsidRPr="00624500">
        <w:t xml:space="preserve">time limit on the duration of detention in </w:t>
      </w:r>
      <w:r w:rsidR="00A14B0E">
        <w:t>i</w:t>
      </w:r>
      <w:r w:rsidRPr="00624500">
        <w:t xml:space="preserve">mmigration </w:t>
      </w:r>
      <w:r w:rsidR="00A14B0E">
        <w:t>r</w:t>
      </w:r>
      <w:r w:rsidRPr="00624500">
        <w:t xml:space="preserve">emoval </w:t>
      </w:r>
      <w:r w:rsidR="00A14B0E">
        <w:t>c</w:t>
      </w:r>
      <w:r w:rsidRPr="00624500">
        <w:t xml:space="preserve">entres has been established and that individuals may be detained for prolonged periods. It </w:t>
      </w:r>
      <w:r w:rsidR="004117CC">
        <w:t>also</w:t>
      </w:r>
      <w:r w:rsidR="004117CC" w:rsidRPr="00624500">
        <w:t xml:space="preserve"> </w:t>
      </w:r>
      <w:r w:rsidRPr="00624500">
        <w:t xml:space="preserve">notes that the detained fast track system in the asylum process suffers from a number of </w:t>
      </w:r>
      <w:r w:rsidR="00B27C22">
        <w:t xml:space="preserve">apparent </w:t>
      </w:r>
      <w:r w:rsidRPr="00624500">
        <w:t>deficiencies, including failure</w:t>
      </w:r>
      <w:r w:rsidR="003D5D90">
        <w:t xml:space="preserve"> to prevent</w:t>
      </w:r>
      <w:r w:rsidRPr="00624500">
        <w:t xml:space="preserve"> torture survivors </w:t>
      </w:r>
      <w:r>
        <w:rPr>
          <w:lang w:bidi="he-IL"/>
        </w:rPr>
        <w:t xml:space="preserve">from </w:t>
      </w:r>
      <w:r w:rsidRPr="00624500">
        <w:t>enter</w:t>
      </w:r>
      <w:r>
        <w:rPr>
          <w:lang w:bidi="he-IL"/>
        </w:rPr>
        <w:t>ing</w:t>
      </w:r>
      <w:r w:rsidRPr="00624500">
        <w:t xml:space="preserve"> the </w:t>
      </w:r>
      <w:r w:rsidR="00A14B0E">
        <w:t>detained fast track</w:t>
      </w:r>
      <w:r w:rsidR="00A14B0E" w:rsidRPr="00624500">
        <w:t xml:space="preserve"> </w:t>
      </w:r>
      <w:r>
        <w:rPr>
          <w:lang w:bidi="he-IL"/>
        </w:rPr>
        <w:t xml:space="preserve">system </w:t>
      </w:r>
      <w:r w:rsidRPr="00624500">
        <w:t xml:space="preserve">and </w:t>
      </w:r>
      <w:r w:rsidR="003D5D90">
        <w:t xml:space="preserve">failure to </w:t>
      </w:r>
      <w:r w:rsidRPr="00624500">
        <w:t>provid</w:t>
      </w:r>
      <w:r w:rsidR="003D5D90">
        <w:t>e</w:t>
      </w:r>
      <w:r w:rsidRPr="00624500">
        <w:t xml:space="preserve"> effective access to justice, and </w:t>
      </w:r>
      <w:r w:rsidR="00B27C22">
        <w:t xml:space="preserve">that it </w:t>
      </w:r>
      <w:r w:rsidRPr="00624500">
        <w:t xml:space="preserve">has been </w:t>
      </w:r>
      <w:r w:rsidR="00B27C22">
        <w:t xml:space="preserve">criticized by domestic courts and </w:t>
      </w:r>
      <w:r w:rsidR="004117CC">
        <w:t>was</w:t>
      </w:r>
      <w:r w:rsidR="00B27C22">
        <w:t xml:space="preserve"> </w:t>
      </w:r>
      <w:r w:rsidRPr="00624500">
        <w:t xml:space="preserve">suspended </w:t>
      </w:r>
      <w:r w:rsidR="00B27C22">
        <w:t xml:space="preserve">by the Immigration Minister </w:t>
      </w:r>
      <w:r w:rsidRPr="00624500">
        <w:t>on 2 July 2015 pending a comprehensive review that is ongoing (arts.</w:t>
      </w:r>
      <w:r w:rsidR="00915325">
        <w:t> </w:t>
      </w:r>
      <w:r w:rsidRPr="00624500">
        <w:t xml:space="preserve">7, 9, 10 </w:t>
      </w:r>
      <w:r>
        <w:t xml:space="preserve">and </w:t>
      </w:r>
      <w:r w:rsidRPr="00624500">
        <w:t xml:space="preserve">13). </w:t>
      </w:r>
    </w:p>
    <w:p w:rsidR="00B86B33" w:rsidRPr="003E5A37" w:rsidRDefault="00B86B33" w:rsidP="003E5A37">
      <w:pPr>
        <w:pStyle w:val="SingleTxtG"/>
        <w:rPr>
          <w:bCs/>
        </w:rPr>
      </w:pPr>
      <w:r w:rsidRPr="003E5A37">
        <w:rPr>
          <w:b/>
          <w:bCs/>
        </w:rPr>
        <w:t>The State party should:</w:t>
      </w:r>
    </w:p>
    <w:p w:rsidR="00B86B33" w:rsidRPr="00D32356" w:rsidRDefault="00B86B33" w:rsidP="006770BB">
      <w:pPr>
        <w:pStyle w:val="SingleTxtG"/>
        <w:rPr>
          <w:b/>
        </w:rPr>
      </w:pPr>
      <w:r>
        <w:rPr>
          <w:b/>
        </w:rPr>
        <w:tab/>
      </w:r>
      <w:r w:rsidRPr="00392638">
        <w:rPr>
          <w:b/>
        </w:rPr>
        <w:t>(a)</w:t>
      </w:r>
      <w:r w:rsidRPr="00392638">
        <w:rPr>
          <w:b/>
        </w:rPr>
        <w:tab/>
      </w:r>
      <w:r w:rsidR="00392638">
        <w:rPr>
          <w:b/>
        </w:rPr>
        <w:t>E</w:t>
      </w:r>
      <w:r w:rsidRPr="00392638">
        <w:rPr>
          <w:b/>
        </w:rPr>
        <w:t>stablish</w:t>
      </w:r>
      <w:r w:rsidRPr="00D32356">
        <w:rPr>
          <w:b/>
        </w:rPr>
        <w:t xml:space="preserve"> a statutory time limit on the duration of immigration detention and ensure that detention is a measure of last resort and is justified as reasonable, necessary and proportionate in the light of the</w:t>
      </w:r>
      <w:r w:rsidRPr="00D32356">
        <w:rPr>
          <w:b/>
          <w:lang w:bidi="he-IL"/>
        </w:rPr>
        <w:t xml:space="preserve"> relevant</w:t>
      </w:r>
      <w:r w:rsidRPr="00D32356">
        <w:rPr>
          <w:b/>
        </w:rPr>
        <w:t xml:space="preserve"> circumstances;</w:t>
      </w:r>
    </w:p>
    <w:p w:rsidR="00B86B33" w:rsidRPr="00D32356" w:rsidRDefault="00B86B33" w:rsidP="00A14B0E">
      <w:pPr>
        <w:pStyle w:val="SingleTxtG"/>
        <w:rPr>
          <w:rFonts w:eastAsia="Calibri"/>
          <w:b/>
          <w:lang w:eastAsia="en-GB"/>
        </w:rPr>
      </w:pPr>
      <w:r>
        <w:rPr>
          <w:rFonts w:eastAsia="Calibri"/>
          <w:b/>
          <w:lang w:eastAsia="en-GB"/>
        </w:rPr>
        <w:tab/>
      </w:r>
      <w:r w:rsidRPr="00D32356">
        <w:rPr>
          <w:rFonts w:eastAsia="Calibri"/>
          <w:b/>
          <w:lang w:eastAsia="en-GB"/>
        </w:rPr>
        <w:t>(b)</w:t>
      </w:r>
      <w:r w:rsidRPr="00D32356">
        <w:rPr>
          <w:rFonts w:eastAsia="Calibri"/>
          <w:b/>
          <w:lang w:eastAsia="en-GB"/>
        </w:rPr>
        <w:tab/>
      </w:r>
      <w:r w:rsidRPr="00D32356">
        <w:rPr>
          <w:b/>
        </w:rPr>
        <w:t>Ensure that reforms to the detained fast track system are fully compliant with the State party’s obligations under the Covenant</w:t>
      </w:r>
      <w:r w:rsidRPr="00D32356">
        <w:rPr>
          <w:b/>
          <w:lang w:bidi="he-IL"/>
        </w:rPr>
        <w:t xml:space="preserve">. It should also ensure </w:t>
      </w:r>
      <w:r w:rsidRPr="00D32356">
        <w:rPr>
          <w:b/>
        </w:rPr>
        <w:t>that the system protects vulnerable persons</w:t>
      </w:r>
      <w:r w:rsidRPr="00D32356">
        <w:rPr>
          <w:b/>
          <w:lang w:bidi="he-IL"/>
        </w:rPr>
        <w:t>,</w:t>
      </w:r>
      <w:r w:rsidRPr="00D32356">
        <w:rPr>
          <w:b/>
        </w:rPr>
        <w:t xml:space="preserve"> and provides for effective safeguards against arbitrariness and for effective access to justice, including to legal aid. </w:t>
      </w:r>
    </w:p>
    <w:p w:rsidR="00B86B33" w:rsidRPr="004F63AA" w:rsidRDefault="00B86B33" w:rsidP="00B86B33">
      <w:pPr>
        <w:pStyle w:val="H23G"/>
      </w:pPr>
      <w:r>
        <w:tab/>
      </w:r>
      <w:r>
        <w:tab/>
      </w:r>
      <w:r w:rsidRPr="00F82708">
        <w:t>Fair trial and administration of justice</w:t>
      </w:r>
    </w:p>
    <w:p w:rsidR="00B86B33" w:rsidRDefault="00B86B33" w:rsidP="002159F0">
      <w:pPr>
        <w:pStyle w:val="SingleTxtG"/>
        <w:numPr>
          <w:ilvl w:val="0"/>
          <w:numId w:val="11"/>
        </w:numPr>
        <w:ind w:left="1134" w:firstLine="0"/>
      </w:pPr>
      <w:r w:rsidRPr="004F63AA">
        <w:t>The Committee is concerned that the Justice and Security Act 2013 extended the use of closed material procedures to civil proceedings involving sensitive material</w:t>
      </w:r>
      <w:r>
        <w:rPr>
          <w:lang w:bidi="he-IL"/>
        </w:rPr>
        <w:t>,</w:t>
      </w:r>
      <w:r w:rsidRPr="004F63AA">
        <w:t xml:space="preserve"> the disclosure of which would damage national security, including to civil claims for damage</w:t>
      </w:r>
      <w:r w:rsidR="00402470">
        <w:t>s</w:t>
      </w:r>
      <w:r w:rsidRPr="004F63AA">
        <w:t xml:space="preserve"> and </w:t>
      </w:r>
      <w:r w:rsidR="006770BB">
        <w:t>to</w:t>
      </w:r>
      <w:r w:rsidRPr="004F63AA">
        <w:t xml:space="preserve"> </w:t>
      </w:r>
      <w:r w:rsidR="002159F0">
        <w:t>historical conflict-related cases</w:t>
      </w:r>
      <w:r w:rsidRPr="004F63AA">
        <w:t xml:space="preserve"> in Northern Ireland. The Committee notes the serious concerns in relation to </w:t>
      </w:r>
      <w:r>
        <w:rPr>
          <w:lang w:bidi="he-IL"/>
        </w:rPr>
        <w:t xml:space="preserve">the adequacy </w:t>
      </w:r>
      <w:r>
        <w:rPr>
          <w:rFonts w:hint="cs"/>
          <w:lang w:bidi="he-IL"/>
        </w:rPr>
        <w:t xml:space="preserve">of the </w:t>
      </w:r>
      <w:r w:rsidRPr="004F63AA">
        <w:t xml:space="preserve">safeguards in place, notably the </w:t>
      </w:r>
      <w:r w:rsidR="00610947">
        <w:t>s</w:t>
      </w:r>
      <w:r w:rsidRPr="004F63AA">
        <w:t xml:space="preserve">pecial </w:t>
      </w:r>
      <w:r w:rsidR="00610947">
        <w:t>a</w:t>
      </w:r>
      <w:r w:rsidRPr="004F63AA">
        <w:t xml:space="preserve">dvocate </w:t>
      </w:r>
      <w:r w:rsidR="00610947">
        <w:t>s</w:t>
      </w:r>
      <w:r w:rsidRPr="004F63AA">
        <w:t>ystem</w:t>
      </w:r>
      <w:r w:rsidR="00610947">
        <w:t>,</w:t>
      </w:r>
      <w:r w:rsidRPr="004F63AA">
        <w:t xml:space="preserve"> </w:t>
      </w:r>
      <w:r w:rsidR="00610947">
        <w:t>which</w:t>
      </w:r>
      <w:r w:rsidR="00610947" w:rsidRPr="004F63AA">
        <w:t xml:space="preserve"> </w:t>
      </w:r>
      <w:r w:rsidRPr="004F63AA">
        <w:t>has been widely criticized, including by the Joint Committee on Human Rights, for not securing sufficiently the rights of the affected parties, including equality of arms. The Committee is also concerned that the new test for miscarriage of justice</w:t>
      </w:r>
      <w:r w:rsidR="00610947">
        <w:t>,</w:t>
      </w:r>
      <w:r w:rsidRPr="004F63AA">
        <w:t xml:space="preserve"> introduced in 2014</w:t>
      </w:r>
      <w:r w:rsidR="00610947">
        <w:t>,</w:t>
      </w:r>
      <w:r w:rsidRPr="004F63AA">
        <w:t xml:space="preserve"> may not be in compliance with article 14 </w:t>
      </w:r>
      <w:r w:rsidR="00610947">
        <w:t>(</w:t>
      </w:r>
      <w:r w:rsidRPr="004F63AA">
        <w:t>6</w:t>
      </w:r>
      <w:r w:rsidR="00610947">
        <w:t>)</w:t>
      </w:r>
      <w:r w:rsidRPr="004F63AA">
        <w:t xml:space="preserve"> of the Covenant. It</w:t>
      </w:r>
      <w:r w:rsidR="00610947">
        <w:t> </w:t>
      </w:r>
      <w:r w:rsidRPr="004F63AA">
        <w:t>is further concerned about the impact of reforms to the legal aid system on access to justice, including cuts to legal aid in Scotland</w:t>
      </w:r>
      <w:r>
        <w:t xml:space="preserve">, </w:t>
      </w:r>
      <w:r w:rsidRPr="004F63AA">
        <w:t xml:space="preserve">the shortcomings in the exceptional funding scheme introduced by the Legal Aid, Sentencing and Punishment of Offenders Act 2012, </w:t>
      </w:r>
      <w:r w:rsidR="00A026E9">
        <w:rPr>
          <w:lang w:bidi="he-IL"/>
        </w:rPr>
        <w:t>plans to introduce</w:t>
      </w:r>
      <w:r>
        <w:rPr>
          <w:lang w:bidi="he-IL"/>
        </w:rPr>
        <w:t xml:space="preserve"> a </w:t>
      </w:r>
      <w:r w:rsidRPr="004F63AA">
        <w:t>residence test for civil legal aid</w:t>
      </w:r>
      <w:r w:rsidR="002159F0">
        <w:t>,</w:t>
      </w:r>
      <w:r w:rsidRPr="004F63AA">
        <w:t xml:space="preserve"> and the </w:t>
      </w:r>
      <w:r w:rsidR="00A026E9">
        <w:t>linkage between</w:t>
      </w:r>
      <w:r w:rsidRPr="004F63AA">
        <w:t xml:space="preserve"> legal aid for judicial review applications </w:t>
      </w:r>
      <w:r w:rsidR="00A026E9">
        <w:t>and whether</w:t>
      </w:r>
      <w:r w:rsidRPr="004F63AA">
        <w:t xml:space="preserve"> permission to proceed with the case is granted by the court</w:t>
      </w:r>
      <w:r>
        <w:t>.</w:t>
      </w:r>
      <w:r w:rsidRPr="004F63AA">
        <w:t xml:space="preserve"> </w:t>
      </w:r>
      <w:r w:rsidR="002159F0">
        <w:t>T</w:t>
      </w:r>
      <w:r w:rsidRPr="004F63AA">
        <w:t xml:space="preserve">he Committee is concerned about the delays across the criminal justice system in Northern Ireland (arts. 2 and 14). </w:t>
      </w:r>
    </w:p>
    <w:p w:rsidR="00B86B33" w:rsidRPr="003E5A37" w:rsidRDefault="00B86B33" w:rsidP="003E5A37">
      <w:pPr>
        <w:pStyle w:val="SingleTxtG"/>
        <w:rPr>
          <w:bCs/>
        </w:rPr>
      </w:pPr>
      <w:r w:rsidRPr="003E5A37">
        <w:rPr>
          <w:b/>
          <w:bCs/>
        </w:rPr>
        <w:t>The State party should:</w:t>
      </w:r>
    </w:p>
    <w:p w:rsidR="00B86B33" w:rsidRPr="00D32356" w:rsidRDefault="00B86B33" w:rsidP="003617CD">
      <w:pPr>
        <w:pStyle w:val="SingleTxtG"/>
        <w:rPr>
          <w:b/>
        </w:rPr>
      </w:pPr>
      <w:r>
        <w:rPr>
          <w:b/>
        </w:rPr>
        <w:tab/>
      </w:r>
      <w:r w:rsidRPr="00D32356">
        <w:rPr>
          <w:b/>
        </w:rPr>
        <w:t>(a)</w:t>
      </w:r>
      <w:r w:rsidRPr="00D32356">
        <w:rPr>
          <w:b/>
        </w:rPr>
        <w:tab/>
        <w:t>Ensure that any restrictions or limitation</w:t>
      </w:r>
      <w:r w:rsidR="00B7496E">
        <w:rPr>
          <w:b/>
        </w:rPr>
        <w:t>s</w:t>
      </w:r>
      <w:r w:rsidRPr="00D32356">
        <w:rPr>
          <w:b/>
        </w:rPr>
        <w:t xml:space="preserve"> </w:t>
      </w:r>
      <w:r w:rsidR="00B7496E">
        <w:rPr>
          <w:b/>
        </w:rPr>
        <w:t>on</w:t>
      </w:r>
      <w:r w:rsidR="00B7496E" w:rsidRPr="00D32356">
        <w:rPr>
          <w:b/>
        </w:rPr>
        <w:t xml:space="preserve"> </w:t>
      </w:r>
      <w:r w:rsidRPr="00D32356">
        <w:rPr>
          <w:b/>
        </w:rPr>
        <w:t xml:space="preserve">fair trial guarantees </w:t>
      </w:r>
      <w:r w:rsidR="00B7496E">
        <w:rPr>
          <w:b/>
        </w:rPr>
        <w:t>that are based on</w:t>
      </w:r>
      <w:r w:rsidRPr="00D32356">
        <w:rPr>
          <w:b/>
        </w:rPr>
        <w:t xml:space="preserve"> national security grounds</w:t>
      </w:r>
      <w:r>
        <w:rPr>
          <w:b/>
        </w:rPr>
        <w:t xml:space="preserve">, including </w:t>
      </w:r>
      <w:r w:rsidRPr="00C37A0B">
        <w:rPr>
          <w:b/>
        </w:rPr>
        <w:t>the use of closed material procedures</w:t>
      </w:r>
      <w:r>
        <w:rPr>
          <w:b/>
        </w:rPr>
        <w:t>,</w:t>
      </w:r>
      <w:r w:rsidRPr="00D32356">
        <w:rPr>
          <w:b/>
        </w:rPr>
        <w:t xml:space="preserve"> are fully compliant with its obligations under the Covenant,</w:t>
      </w:r>
      <w:r w:rsidR="00B7496E">
        <w:rPr>
          <w:b/>
        </w:rPr>
        <w:t xml:space="preserve"> and</w:t>
      </w:r>
      <w:r w:rsidRPr="00D32356">
        <w:rPr>
          <w:b/>
        </w:rPr>
        <w:t xml:space="preserve"> </w:t>
      </w:r>
      <w:r>
        <w:rPr>
          <w:b/>
          <w:lang w:bidi="he-IL"/>
        </w:rPr>
        <w:t>particularly</w:t>
      </w:r>
      <w:r w:rsidRPr="00D32356">
        <w:rPr>
          <w:b/>
        </w:rPr>
        <w:t xml:space="preserve"> that the use of closed material procedures in cases involving serious human rights violations do</w:t>
      </w:r>
      <w:r w:rsidR="00B7496E">
        <w:rPr>
          <w:b/>
        </w:rPr>
        <w:t>es</w:t>
      </w:r>
      <w:r w:rsidRPr="00D32356">
        <w:rPr>
          <w:b/>
        </w:rPr>
        <w:t xml:space="preserve"> not create obstacles to the establishing of State responsibility and accountability </w:t>
      </w:r>
      <w:r w:rsidR="003617CD">
        <w:rPr>
          <w:b/>
        </w:rPr>
        <w:t>or</w:t>
      </w:r>
      <w:r w:rsidRPr="00D32356">
        <w:rPr>
          <w:b/>
        </w:rPr>
        <w:t xml:space="preserve"> compromise the right of victims to </w:t>
      </w:r>
      <w:r>
        <w:rPr>
          <w:b/>
        </w:rPr>
        <w:t xml:space="preserve">a fair trial and </w:t>
      </w:r>
      <w:r w:rsidRPr="00D32356">
        <w:rPr>
          <w:b/>
        </w:rPr>
        <w:t>an effective remedy;</w:t>
      </w:r>
    </w:p>
    <w:p w:rsidR="00B86B33" w:rsidRPr="00D32356" w:rsidRDefault="00B86B33" w:rsidP="003617CD">
      <w:pPr>
        <w:pStyle w:val="SingleTxtG"/>
        <w:rPr>
          <w:b/>
        </w:rPr>
      </w:pPr>
      <w:r>
        <w:rPr>
          <w:b/>
        </w:rPr>
        <w:tab/>
      </w:r>
      <w:r w:rsidRPr="00D32356">
        <w:rPr>
          <w:b/>
        </w:rPr>
        <w:t>(b)</w:t>
      </w:r>
      <w:r w:rsidRPr="00D32356">
        <w:rPr>
          <w:b/>
        </w:rPr>
        <w:tab/>
        <w:t xml:space="preserve">Review the new test for miscarriage of justice with a view to ensuring its compatibility with article 14 </w:t>
      </w:r>
      <w:r w:rsidR="003617CD">
        <w:rPr>
          <w:b/>
        </w:rPr>
        <w:t>(</w:t>
      </w:r>
      <w:r w:rsidRPr="00D32356">
        <w:rPr>
          <w:b/>
        </w:rPr>
        <w:t>6</w:t>
      </w:r>
      <w:r w:rsidR="003617CD">
        <w:rPr>
          <w:b/>
        </w:rPr>
        <w:t>)</w:t>
      </w:r>
      <w:r w:rsidRPr="00D32356">
        <w:rPr>
          <w:b/>
        </w:rPr>
        <w:t xml:space="preserve"> of the Covenant;</w:t>
      </w:r>
    </w:p>
    <w:p w:rsidR="00B86B33" w:rsidRPr="00D32356" w:rsidRDefault="00B86B33" w:rsidP="00FB232F">
      <w:pPr>
        <w:pStyle w:val="SingleTxtG"/>
        <w:rPr>
          <w:b/>
        </w:rPr>
      </w:pPr>
      <w:r>
        <w:rPr>
          <w:b/>
        </w:rPr>
        <w:tab/>
      </w:r>
      <w:r w:rsidRPr="00D32356">
        <w:rPr>
          <w:b/>
        </w:rPr>
        <w:t>(c)</w:t>
      </w:r>
      <w:r w:rsidRPr="00D32356">
        <w:rPr>
          <w:b/>
        </w:rPr>
        <w:tab/>
        <w:t xml:space="preserve">Ensure that changes to the legal aid system do not undermine the right of access to courts and effective remedy, inter alia by addressing the weaknesses in the exceptional funding scheme for legal aid, by </w:t>
      </w:r>
      <w:r w:rsidR="00C7742A">
        <w:rPr>
          <w:b/>
        </w:rPr>
        <w:t>reviewing</w:t>
      </w:r>
      <w:r w:rsidRPr="00D32356">
        <w:rPr>
          <w:b/>
        </w:rPr>
        <w:t xml:space="preserve"> the </w:t>
      </w:r>
      <w:r w:rsidR="00C7742A">
        <w:rPr>
          <w:b/>
        </w:rPr>
        <w:t xml:space="preserve">need for a </w:t>
      </w:r>
      <w:r w:rsidRPr="00D32356">
        <w:rPr>
          <w:b/>
        </w:rPr>
        <w:t xml:space="preserve">residence test and </w:t>
      </w:r>
      <w:r w:rsidR="00C7742A">
        <w:rPr>
          <w:b/>
        </w:rPr>
        <w:t xml:space="preserve">for </w:t>
      </w:r>
      <w:r w:rsidR="00FB232F">
        <w:rPr>
          <w:b/>
        </w:rPr>
        <w:t>restrictions on</w:t>
      </w:r>
      <w:r w:rsidRPr="00D32356">
        <w:rPr>
          <w:b/>
        </w:rPr>
        <w:t xml:space="preserve"> legal aid;</w:t>
      </w:r>
    </w:p>
    <w:p w:rsidR="00B86B33" w:rsidRPr="00D32356" w:rsidRDefault="00B86B33" w:rsidP="00B86B33">
      <w:pPr>
        <w:pStyle w:val="SingleTxtG"/>
        <w:rPr>
          <w:b/>
        </w:rPr>
      </w:pPr>
      <w:r>
        <w:rPr>
          <w:b/>
        </w:rPr>
        <w:tab/>
      </w:r>
      <w:r w:rsidRPr="00D32356">
        <w:rPr>
          <w:b/>
        </w:rPr>
        <w:t>(d)</w:t>
      </w:r>
      <w:r w:rsidRPr="00D32356">
        <w:rPr>
          <w:b/>
        </w:rPr>
        <w:tab/>
        <w:t>Take concrete measures to reduce avoidable delay</w:t>
      </w:r>
      <w:r w:rsidRPr="00D32356">
        <w:rPr>
          <w:b/>
          <w:lang w:bidi="he-IL"/>
        </w:rPr>
        <w:t>s</w:t>
      </w:r>
      <w:r w:rsidRPr="00D32356">
        <w:rPr>
          <w:b/>
        </w:rPr>
        <w:t xml:space="preserve"> in the criminal justice system in Northern Ireland, including by introducing custodial time limits.</w:t>
      </w:r>
    </w:p>
    <w:p w:rsidR="00B86B33" w:rsidRPr="00005A69" w:rsidRDefault="00B86B33" w:rsidP="00B86B33">
      <w:pPr>
        <w:pStyle w:val="H23G"/>
      </w:pPr>
      <w:r>
        <w:tab/>
      </w:r>
      <w:r>
        <w:tab/>
      </w:r>
      <w:r w:rsidRPr="00005A69">
        <w:t>Administration of juvenile justice</w:t>
      </w:r>
    </w:p>
    <w:p w:rsidR="00B86B33" w:rsidRPr="00851947" w:rsidRDefault="00B86B33" w:rsidP="00FB232F">
      <w:pPr>
        <w:pStyle w:val="SingleTxtG"/>
        <w:numPr>
          <w:ilvl w:val="0"/>
          <w:numId w:val="11"/>
        </w:numPr>
        <w:ind w:left="1134" w:firstLine="0"/>
      </w:pPr>
      <w:r w:rsidRPr="00851947">
        <w:t>The Committee is concerned that the age of criminal responsibility is set at 8 years in Scotland (and at 12 years for criminal prosecution) and</w:t>
      </w:r>
      <w:r>
        <w:rPr>
          <w:lang w:bidi="he-IL"/>
        </w:rPr>
        <w:t xml:space="preserve"> at </w:t>
      </w:r>
      <w:r w:rsidRPr="00851947">
        <w:t xml:space="preserve">10 years in England, Wales and Northern Ireland, which is not in accordance with international standards. It is also concerned about reports that a high number of child defendants remanded in custody do not subsequently receive custodial sentences, which may </w:t>
      </w:r>
      <w:r>
        <w:t>indicate</w:t>
      </w:r>
      <w:r w:rsidRPr="00851947">
        <w:t xml:space="preserve"> that their detention was not absolutely necessary (arts. 9, 14 and 24). </w:t>
      </w:r>
    </w:p>
    <w:p w:rsidR="00B86B33" w:rsidRPr="00392638" w:rsidRDefault="00B86B33" w:rsidP="00B86B33">
      <w:pPr>
        <w:pStyle w:val="SingleTxtG"/>
        <w:rPr>
          <w:rFonts w:eastAsia="Malgun Gothic"/>
          <w:b/>
          <w:lang w:val="en-US"/>
        </w:rPr>
      </w:pPr>
      <w:r w:rsidRPr="00392638">
        <w:rPr>
          <w:rFonts w:eastAsia="Malgun Gothic"/>
          <w:b/>
          <w:lang w:val="en-US" w:eastAsia="en-GB"/>
        </w:rPr>
        <w:t>The State party should</w:t>
      </w:r>
      <w:r w:rsidRPr="00392638">
        <w:rPr>
          <w:rFonts w:eastAsia="Malgun Gothic"/>
          <w:b/>
          <w:lang w:val="en-US"/>
        </w:rPr>
        <w:t>:</w:t>
      </w:r>
    </w:p>
    <w:p w:rsidR="00B86B33" w:rsidRPr="00851947" w:rsidRDefault="00B86B33" w:rsidP="00392638">
      <w:pPr>
        <w:pStyle w:val="SingleTxtG"/>
        <w:rPr>
          <w:rFonts w:eastAsia="Malgun Gothic"/>
          <w:b/>
          <w:lang w:val="en-US"/>
        </w:rPr>
      </w:pPr>
      <w:r w:rsidRPr="00392638">
        <w:rPr>
          <w:rFonts w:eastAsia="Malgun Gothic"/>
          <w:b/>
          <w:lang w:val="en-US"/>
        </w:rPr>
        <w:tab/>
        <w:t>(a)</w:t>
      </w:r>
      <w:r w:rsidRPr="00392638">
        <w:rPr>
          <w:rFonts w:eastAsia="Malgun Gothic"/>
          <w:b/>
          <w:lang w:val="en-US"/>
        </w:rPr>
        <w:tab/>
      </w:r>
      <w:r w:rsidR="00392638">
        <w:rPr>
          <w:rFonts w:eastAsia="Malgun Gothic"/>
          <w:b/>
          <w:lang w:val="en-US" w:eastAsia="en-GB"/>
        </w:rPr>
        <w:t>R</w:t>
      </w:r>
      <w:r w:rsidRPr="00392638">
        <w:rPr>
          <w:rFonts w:eastAsia="Malgun Gothic"/>
          <w:b/>
          <w:lang w:val="en-US" w:eastAsia="en-GB"/>
        </w:rPr>
        <w:t>aise</w:t>
      </w:r>
      <w:r w:rsidRPr="00851947">
        <w:rPr>
          <w:rFonts w:eastAsia="Malgun Gothic"/>
          <w:b/>
          <w:lang w:val="en-US" w:eastAsia="en-GB"/>
        </w:rPr>
        <w:t xml:space="preserve"> the minimum age of criminal responsibility </w:t>
      </w:r>
      <w:r w:rsidRPr="00851947">
        <w:rPr>
          <w:rFonts w:eastAsia="Malgun Gothic"/>
          <w:b/>
          <w:lang w:val="en-US"/>
        </w:rPr>
        <w:t xml:space="preserve">in accordance with international standards and ensure the full implementation of </w:t>
      </w:r>
      <w:r>
        <w:rPr>
          <w:rFonts w:eastAsia="Malgun Gothic"/>
          <w:b/>
          <w:lang w:val="en-US" w:bidi="he-IL"/>
        </w:rPr>
        <w:t>international standards for juvenile</w:t>
      </w:r>
      <w:r w:rsidRPr="00851947">
        <w:rPr>
          <w:rFonts w:eastAsia="Malgun Gothic"/>
          <w:b/>
          <w:lang w:val="en-US"/>
        </w:rPr>
        <w:t xml:space="preserve"> justice; </w:t>
      </w:r>
    </w:p>
    <w:p w:rsidR="00B86B33" w:rsidRPr="00851947" w:rsidRDefault="00B86B33" w:rsidP="00392638">
      <w:pPr>
        <w:pStyle w:val="SingleTxtG"/>
        <w:rPr>
          <w:rFonts w:eastAsia="Malgun Gothic"/>
          <w:b/>
          <w:lang w:val="en-US"/>
        </w:rPr>
      </w:pPr>
      <w:r>
        <w:rPr>
          <w:rFonts w:eastAsia="Malgun Gothic"/>
          <w:b/>
          <w:lang w:val="en-US"/>
        </w:rPr>
        <w:tab/>
      </w:r>
      <w:r w:rsidRPr="00851947">
        <w:rPr>
          <w:rFonts w:eastAsia="Malgun Gothic"/>
          <w:b/>
          <w:lang w:val="en-US"/>
        </w:rPr>
        <w:t>(b)</w:t>
      </w:r>
      <w:r w:rsidRPr="00851947">
        <w:rPr>
          <w:rFonts w:eastAsia="Malgun Gothic"/>
          <w:b/>
          <w:lang w:val="en-US"/>
        </w:rPr>
        <w:tab/>
      </w:r>
      <w:r w:rsidR="00392638">
        <w:rPr>
          <w:rFonts w:eastAsia="Malgun Gothic"/>
          <w:b/>
          <w:lang w:val="en-US"/>
        </w:rPr>
        <w:t>S</w:t>
      </w:r>
      <w:r w:rsidRPr="00851947">
        <w:rPr>
          <w:rFonts w:eastAsia="Malgun Gothic"/>
          <w:b/>
          <w:lang w:val="en-US"/>
        </w:rPr>
        <w:t xml:space="preserve">tep up its efforts with a view to further reducing the number of children in the juvenile justice system; </w:t>
      </w:r>
    </w:p>
    <w:p w:rsidR="00B86B33" w:rsidRDefault="00B86B33" w:rsidP="00253145">
      <w:pPr>
        <w:pStyle w:val="SingleTxtG"/>
        <w:rPr>
          <w:rFonts w:eastAsia="Malgun Gothic"/>
          <w:b/>
          <w:lang w:val="en-US"/>
        </w:rPr>
      </w:pPr>
      <w:r>
        <w:rPr>
          <w:rFonts w:eastAsia="Malgun Gothic"/>
          <w:b/>
          <w:lang w:val="en-US"/>
        </w:rPr>
        <w:tab/>
        <w:t>(c)</w:t>
      </w:r>
      <w:r>
        <w:rPr>
          <w:rFonts w:eastAsia="Malgun Gothic"/>
          <w:b/>
          <w:lang w:val="en-US"/>
        </w:rPr>
        <w:tab/>
      </w:r>
      <w:r w:rsidR="00392638">
        <w:rPr>
          <w:rFonts w:eastAsia="Malgun Gothic"/>
          <w:b/>
          <w:lang w:val="en-US"/>
        </w:rPr>
        <w:t>E</w:t>
      </w:r>
      <w:r w:rsidRPr="00851947">
        <w:rPr>
          <w:rFonts w:eastAsia="Malgun Gothic"/>
          <w:b/>
          <w:lang w:val="en-US"/>
        </w:rPr>
        <w:t xml:space="preserve">nsure that detention on remand of child </w:t>
      </w:r>
      <w:r w:rsidR="00253145">
        <w:rPr>
          <w:rFonts w:eastAsia="Malgun Gothic"/>
          <w:b/>
          <w:lang w:val="en-US"/>
        </w:rPr>
        <w:t>defendants</w:t>
      </w:r>
      <w:r w:rsidR="00253145" w:rsidRPr="00851947">
        <w:rPr>
          <w:rFonts w:eastAsia="Malgun Gothic"/>
          <w:b/>
          <w:lang w:val="en-US"/>
        </w:rPr>
        <w:t xml:space="preserve"> </w:t>
      </w:r>
      <w:r w:rsidRPr="00851947">
        <w:rPr>
          <w:rFonts w:eastAsia="Malgun Gothic"/>
          <w:b/>
          <w:lang w:val="en-US"/>
        </w:rPr>
        <w:t>is used only as a measure of last resort and for the shortest possible period of time and that suitable bail packages are available to child</w:t>
      </w:r>
      <w:r>
        <w:rPr>
          <w:rFonts w:eastAsia="Malgun Gothic"/>
          <w:b/>
          <w:lang w:val="en-US"/>
        </w:rPr>
        <w:t xml:space="preserve"> </w:t>
      </w:r>
      <w:r w:rsidR="00253145">
        <w:rPr>
          <w:rFonts w:eastAsia="Malgun Gothic"/>
          <w:b/>
          <w:lang w:val="en-US"/>
        </w:rPr>
        <w:t xml:space="preserve">defendants </w:t>
      </w:r>
      <w:r>
        <w:rPr>
          <w:rFonts w:eastAsia="Malgun Gothic"/>
          <w:b/>
          <w:lang w:val="en-US"/>
        </w:rPr>
        <w:t>in Northern Ireland.</w:t>
      </w:r>
    </w:p>
    <w:p w:rsidR="00B86B33" w:rsidRPr="00DB44EC" w:rsidRDefault="00B86B33" w:rsidP="00B86B33">
      <w:pPr>
        <w:pStyle w:val="H23G"/>
      </w:pPr>
      <w:r>
        <w:tab/>
      </w:r>
      <w:r>
        <w:tab/>
        <w:t>Government surveillance and interception of c</w:t>
      </w:r>
      <w:r w:rsidRPr="00352B8D">
        <w:t>ommunications</w:t>
      </w:r>
      <w:r w:rsidRPr="00DB44EC">
        <w:t xml:space="preserve"> </w:t>
      </w:r>
    </w:p>
    <w:p w:rsidR="00B86B33" w:rsidRPr="007C4AEB" w:rsidRDefault="00B86B33" w:rsidP="00FE6B43">
      <w:pPr>
        <w:pStyle w:val="SingleTxtG"/>
        <w:numPr>
          <w:ilvl w:val="0"/>
          <w:numId w:val="11"/>
        </w:numPr>
        <w:ind w:left="1134" w:firstLine="0"/>
      </w:pPr>
      <w:r w:rsidRPr="007C4AEB">
        <w:t xml:space="preserve">The Committee is concerned that the State party’s current legal regime governing the </w:t>
      </w:r>
      <w:r w:rsidRPr="009A5BE6">
        <w:rPr>
          <w:rFonts w:eastAsia="Calibri"/>
          <w:lang w:eastAsia="en-GB"/>
        </w:rPr>
        <w:t>interception</w:t>
      </w:r>
      <w:r w:rsidRPr="007C4AEB">
        <w:t xml:space="preserve"> of communications and communication</w:t>
      </w:r>
      <w:r w:rsidR="00402470">
        <w:t>s</w:t>
      </w:r>
      <w:r w:rsidRPr="007C4AEB">
        <w:t xml:space="preserve"> data allows for mass interception of communications and lacks sufficient safeguards against arbitrary interference with the right to privacy. It notes, inter alia, reports that Amnesty International’s e</w:t>
      </w:r>
      <w:r w:rsidR="00123285">
        <w:t>-</w:t>
      </w:r>
      <w:r w:rsidRPr="007C4AEB">
        <w:t>mail communication</w:t>
      </w:r>
      <w:r w:rsidR="00123285">
        <w:t>s</w:t>
      </w:r>
      <w:r w:rsidRPr="007C4AEB">
        <w:t xml:space="preserve"> had been intercepted by the </w:t>
      </w:r>
      <w:r w:rsidR="00123285">
        <w:t>G</w:t>
      </w:r>
      <w:r w:rsidRPr="007C4AEB">
        <w:t xml:space="preserve">overnment under a general warrant. The Committee is concerned (a) that the Regulation of Investigatory Powers Act 2000, </w:t>
      </w:r>
      <w:r w:rsidR="00123285">
        <w:t>which</w:t>
      </w:r>
      <w:r w:rsidR="00123285" w:rsidRPr="007C4AEB">
        <w:t xml:space="preserve"> </w:t>
      </w:r>
      <w:r w:rsidRPr="007C4AEB">
        <w:t>makes a distinction between “internal” and “external” communications, provides for untargeted warrants for the interception of external private communication</w:t>
      </w:r>
      <w:r w:rsidR="00123285">
        <w:t>s</w:t>
      </w:r>
      <w:r w:rsidRPr="007C4AEB">
        <w:t xml:space="preserve"> and communication</w:t>
      </w:r>
      <w:r w:rsidR="00402470">
        <w:t>s</w:t>
      </w:r>
      <w:r w:rsidRPr="007C4AEB">
        <w:t xml:space="preserve"> data </w:t>
      </w:r>
      <w:r w:rsidR="00123285">
        <w:t>that</w:t>
      </w:r>
      <w:r w:rsidR="00123285" w:rsidRPr="007C4AEB">
        <w:t xml:space="preserve"> </w:t>
      </w:r>
      <w:r w:rsidRPr="007C4AEB">
        <w:t xml:space="preserve">are sent or received outside the </w:t>
      </w:r>
      <w:r w:rsidR="00472034">
        <w:t>United Kingdom</w:t>
      </w:r>
      <w:r w:rsidRPr="007C4AEB">
        <w:t xml:space="preserve"> without affording the same safeguards as </w:t>
      </w:r>
      <w:r w:rsidR="00123285">
        <w:t>apply to the</w:t>
      </w:r>
      <w:r w:rsidRPr="007C4AEB">
        <w:t xml:space="preserve"> interception of internal communications; </w:t>
      </w:r>
      <w:r w:rsidR="00FE6B43">
        <w:t xml:space="preserve">and </w:t>
      </w:r>
      <w:r w:rsidRPr="007C4AEB">
        <w:t xml:space="preserve">(b) about the lack of sufficient safeguards </w:t>
      </w:r>
      <w:r w:rsidR="00FE6B43">
        <w:t>in regard to the obtaining of</w:t>
      </w:r>
      <w:r w:rsidRPr="007C4AEB">
        <w:t xml:space="preserve"> private communications from foreign security agencies and </w:t>
      </w:r>
      <w:r w:rsidR="00FE6B43">
        <w:t>the</w:t>
      </w:r>
      <w:r w:rsidR="00FE6B43" w:rsidRPr="007C4AEB">
        <w:t xml:space="preserve"> </w:t>
      </w:r>
      <w:r w:rsidRPr="007C4AEB">
        <w:t xml:space="preserve">sharing </w:t>
      </w:r>
      <w:r w:rsidR="00FE6B43">
        <w:t xml:space="preserve">of </w:t>
      </w:r>
      <w:r w:rsidRPr="007C4AEB">
        <w:t xml:space="preserve">personal communications data with such agencies. The Committee is </w:t>
      </w:r>
      <w:r w:rsidR="00FE6B43">
        <w:t>also</w:t>
      </w:r>
      <w:r w:rsidR="00FE6B43" w:rsidRPr="007C4AEB">
        <w:t xml:space="preserve"> </w:t>
      </w:r>
      <w:r w:rsidRPr="007C4AEB">
        <w:t xml:space="preserve">concerned that the Data Retention </w:t>
      </w:r>
      <w:r w:rsidR="00FE6B43">
        <w:t xml:space="preserve">and </w:t>
      </w:r>
      <w:r w:rsidRPr="007C4AEB">
        <w:t xml:space="preserve">Investigatory Powers Act </w:t>
      </w:r>
      <w:r w:rsidR="00FE6B43">
        <w:t xml:space="preserve">2014 </w:t>
      </w:r>
      <w:r w:rsidRPr="007C4AEB">
        <w:t xml:space="preserve">provides for wide powers </w:t>
      </w:r>
      <w:r w:rsidR="00FE6B43">
        <w:t>for the</w:t>
      </w:r>
      <w:r w:rsidRPr="007C4AEB">
        <w:t xml:space="preserve"> retention of communication</w:t>
      </w:r>
      <w:r w:rsidR="00402470">
        <w:t>s</w:t>
      </w:r>
      <w:r w:rsidRPr="007C4AEB">
        <w:t xml:space="preserve"> data</w:t>
      </w:r>
      <w:r w:rsidR="00FE6B43">
        <w:t>,</w:t>
      </w:r>
      <w:r w:rsidRPr="007C4AEB">
        <w:t xml:space="preserve"> and</w:t>
      </w:r>
      <w:r w:rsidR="00FE6B43">
        <w:t xml:space="preserve"> that</w:t>
      </w:r>
      <w:r w:rsidRPr="007C4AEB">
        <w:t xml:space="preserve"> access to such data does not appear to be limited to the most serious crimes (arts. 2, 17, 19 and 26).</w:t>
      </w:r>
    </w:p>
    <w:p w:rsidR="00B86B33" w:rsidRPr="007C4AEB" w:rsidRDefault="00B86B33" w:rsidP="00B86B33">
      <w:pPr>
        <w:pStyle w:val="SingleTxtG"/>
        <w:rPr>
          <w:b/>
        </w:rPr>
      </w:pPr>
      <w:r w:rsidRPr="007C4AEB">
        <w:rPr>
          <w:b/>
        </w:rPr>
        <w:t>The State party should:</w:t>
      </w:r>
    </w:p>
    <w:p w:rsidR="00B86B33" w:rsidRPr="002F1CFD" w:rsidRDefault="00B86B33" w:rsidP="00924561">
      <w:pPr>
        <w:pStyle w:val="SingleTxtG"/>
        <w:rPr>
          <w:b/>
        </w:rPr>
      </w:pPr>
      <w:r>
        <w:rPr>
          <w:b/>
        </w:rPr>
        <w:tab/>
      </w:r>
      <w:r w:rsidRPr="002F1CFD">
        <w:rPr>
          <w:b/>
        </w:rPr>
        <w:t>(a)</w:t>
      </w:r>
      <w:r w:rsidRPr="002F1CFD">
        <w:rPr>
          <w:b/>
        </w:rPr>
        <w:tab/>
      </w:r>
      <w:r w:rsidRPr="007C4AEB">
        <w:rPr>
          <w:b/>
          <w:color w:val="00000A"/>
        </w:rPr>
        <w:t xml:space="preserve">Review the regime regulating the interception of personal communications and </w:t>
      </w:r>
      <w:r w:rsidR="00924561">
        <w:rPr>
          <w:b/>
          <w:color w:val="00000A"/>
        </w:rPr>
        <w:t xml:space="preserve">the </w:t>
      </w:r>
      <w:r w:rsidRPr="007C4AEB">
        <w:rPr>
          <w:b/>
          <w:color w:val="00000A"/>
        </w:rPr>
        <w:t>retention of communication</w:t>
      </w:r>
      <w:r w:rsidR="00402470">
        <w:rPr>
          <w:b/>
          <w:color w:val="00000A"/>
        </w:rPr>
        <w:t>s</w:t>
      </w:r>
      <w:r w:rsidRPr="007C4AEB">
        <w:rPr>
          <w:b/>
          <w:color w:val="00000A"/>
        </w:rPr>
        <w:t xml:space="preserve"> data, </w:t>
      </w:r>
      <w:r w:rsidR="00924561">
        <w:rPr>
          <w:b/>
          <w:color w:val="00000A"/>
        </w:rPr>
        <w:t>also taking</w:t>
      </w:r>
      <w:r w:rsidRPr="007C4AEB">
        <w:rPr>
          <w:b/>
          <w:color w:val="00000A"/>
        </w:rPr>
        <w:t xml:space="preserve"> into account the recommendations made by the Intelligence and Security Committee of Parliament</w:t>
      </w:r>
      <w:r>
        <w:rPr>
          <w:b/>
          <w:color w:val="00000A"/>
        </w:rPr>
        <w:t xml:space="preserve"> and the Independent Reviewer of Terrorism Legislation</w:t>
      </w:r>
      <w:r w:rsidRPr="007C4AEB">
        <w:rPr>
          <w:b/>
          <w:color w:val="00000A"/>
        </w:rPr>
        <w:t xml:space="preserve">, with a view to ensuring that such activities, both within and outside the State party, conform </w:t>
      </w:r>
      <w:r w:rsidR="00924561">
        <w:rPr>
          <w:b/>
          <w:color w:val="00000A"/>
        </w:rPr>
        <w:t>with</w:t>
      </w:r>
      <w:r w:rsidRPr="007C4AEB">
        <w:rPr>
          <w:b/>
          <w:color w:val="00000A"/>
        </w:rPr>
        <w:t xml:space="preserve"> its obligations under the Covenant, including article 17</w:t>
      </w:r>
      <w:r>
        <w:rPr>
          <w:b/>
          <w:color w:val="00000A"/>
          <w:lang w:bidi="he-IL"/>
        </w:rPr>
        <w:t>. I</w:t>
      </w:r>
      <w:r w:rsidRPr="007C4AEB">
        <w:rPr>
          <w:b/>
          <w:color w:val="00000A"/>
        </w:rPr>
        <w:t>n particular, measures should be taken to ensure that any interference with the right to privacy complies with the principles of legality, proportionality and necessity, regardless of the nationality or location of the individuals whose communication</w:t>
      </w:r>
      <w:r>
        <w:rPr>
          <w:b/>
          <w:color w:val="00000A"/>
        </w:rPr>
        <w:t>s are under direct surveillance;</w:t>
      </w:r>
    </w:p>
    <w:p w:rsidR="00B86B33" w:rsidRPr="007C4AEB" w:rsidRDefault="00B86B33" w:rsidP="00411020">
      <w:pPr>
        <w:pStyle w:val="SingleTxtG"/>
        <w:rPr>
          <w:b/>
        </w:rPr>
      </w:pPr>
      <w:r>
        <w:rPr>
          <w:b/>
        </w:rPr>
        <w:tab/>
      </w:r>
      <w:r w:rsidRPr="007C4AEB">
        <w:rPr>
          <w:b/>
        </w:rPr>
        <w:t>(b)</w:t>
      </w:r>
      <w:r w:rsidRPr="007C4AEB">
        <w:rPr>
          <w:b/>
        </w:rPr>
        <w:tab/>
        <w:t xml:space="preserve">Ensure that any interference with the right to privacy, </w:t>
      </w:r>
      <w:r w:rsidR="00402470">
        <w:rPr>
          <w:b/>
        </w:rPr>
        <w:t xml:space="preserve">with the </w:t>
      </w:r>
      <w:r w:rsidRPr="007C4AEB">
        <w:rPr>
          <w:b/>
        </w:rPr>
        <w:t xml:space="preserve">family, </w:t>
      </w:r>
      <w:r w:rsidR="00402470">
        <w:rPr>
          <w:b/>
        </w:rPr>
        <w:t xml:space="preserve">with the </w:t>
      </w:r>
      <w:r w:rsidRPr="007C4AEB">
        <w:rPr>
          <w:b/>
        </w:rPr>
        <w:t xml:space="preserve">home or </w:t>
      </w:r>
      <w:r w:rsidR="00402470">
        <w:rPr>
          <w:b/>
        </w:rPr>
        <w:t xml:space="preserve">with </w:t>
      </w:r>
      <w:r w:rsidRPr="007C4AEB">
        <w:rPr>
          <w:b/>
        </w:rPr>
        <w:t>correspondence is authorized by laws that (i) are publicly accessible; (ii) contain provisions that ensure that collection of, access to and use of communications data are tailored to specific legitimate aims; (iii) are sufficiently precise and specify in detail the precise circumstances in which any such interference may be permitted, the procedures for authorization, the categories of persons who may be placed under surveillance, the limit on the duration of surveillance</w:t>
      </w:r>
      <w:r w:rsidR="00411020">
        <w:rPr>
          <w:b/>
        </w:rPr>
        <w:t xml:space="preserve">, and </w:t>
      </w:r>
      <w:r w:rsidRPr="007C4AEB">
        <w:rPr>
          <w:b/>
        </w:rPr>
        <w:t>procedures for the use and storage of data collected; and (iv) provide for effective safeguards against abuse</w:t>
      </w:r>
      <w:r>
        <w:rPr>
          <w:b/>
        </w:rPr>
        <w:t>;</w:t>
      </w:r>
    </w:p>
    <w:p w:rsidR="00B86B33" w:rsidRPr="007C4AEB" w:rsidRDefault="00B86B33" w:rsidP="00B86B33">
      <w:pPr>
        <w:pStyle w:val="SingleTxtG"/>
        <w:rPr>
          <w:b/>
        </w:rPr>
      </w:pPr>
      <w:r>
        <w:rPr>
          <w:b/>
        </w:rPr>
        <w:tab/>
      </w:r>
      <w:r w:rsidRPr="007C4AEB">
        <w:rPr>
          <w:b/>
        </w:rPr>
        <w:t>(c)</w:t>
      </w:r>
      <w:r w:rsidRPr="007C4AEB">
        <w:rPr>
          <w:b/>
        </w:rPr>
        <w:tab/>
        <w:t xml:space="preserve">Ensure that robust oversight systems over surveillance, interception and intelligence-sharing of personal communications activities are in place, including by providing for judicial involvement in the authorization </w:t>
      </w:r>
      <w:r>
        <w:rPr>
          <w:b/>
        </w:rPr>
        <w:t>of</w:t>
      </w:r>
      <w:r w:rsidRPr="007C4AEB">
        <w:rPr>
          <w:b/>
        </w:rPr>
        <w:t xml:space="preserve"> such measures</w:t>
      </w:r>
      <w:r>
        <w:rPr>
          <w:b/>
        </w:rPr>
        <w:t xml:space="preserve"> in all cases</w:t>
      </w:r>
      <w:r w:rsidRPr="007C4AEB">
        <w:rPr>
          <w:b/>
        </w:rPr>
        <w:t xml:space="preserve">, and </w:t>
      </w:r>
      <w:r w:rsidR="00430D75">
        <w:rPr>
          <w:b/>
        </w:rPr>
        <w:t xml:space="preserve">by </w:t>
      </w:r>
      <w:r w:rsidRPr="007C4AEB">
        <w:rPr>
          <w:b/>
        </w:rPr>
        <w:t>considering the establishment of strong and independent oversight mandates with a view to preventing abuses;</w:t>
      </w:r>
    </w:p>
    <w:p w:rsidR="00EF6F77" w:rsidRDefault="00B86B33" w:rsidP="00430D75">
      <w:pPr>
        <w:pStyle w:val="SingleTxtG"/>
        <w:rPr>
          <w:b/>
        </w:rPr>
      </w:pPr>
      <w:r>
        <w:rPr>
          <w:b/>
        </w:rPr>
        <w:tab/>
      </w:r>
      <w:r w:rsidRPr="007C4AEB">
        <w:rPr>
          <w:b/>
        </w:rPr>
        <w:t>(d)</w:t>
      </w:r>
      <w:r w:rsidRPr="007C4AEB">
        <w:rPr>
          <w:b/>
        </w:rPr>
        <w:tab/>
      </w:r>
      <w:r w:rsidR="00AD741C">
        <w:rPr>
          <w:b/>
        </w:rPr>
        <w:t>R</w:t>
      </w:r>
      <w:r w:rsidRPr="007C4AEB">
        <w:rPr>
          <w:b/>
        </w:rPr>
        <w:t>evise the Data Retention</w:t>
      </w:r>
      <w:r w:rsidR="00430D75">
        <w:rPr>
          <w:b/>
        </w:rPr>
        <w:t xml:space="preserve"> and</w:t>
      </w:r>
      <w:r w:rsidRPr="007C4AEB">
        <w:rPr>
          <w:b/>
        </w:rPr>
        <w:t xml:space="preserve"> Investigatory Powers Act </w:t>
      </w:r>
      <w:r w:rsidR="00430D75">
        <w:rPr>
          <w:b/>
        </w:rPr>
        <w:t xml:space="preserve">2014 </w:t>
      </w:r>
      <w:r w:rsidRPr="007C4AEB">
        <w:rPr>
          <w:b/>
        </w:rPr>
        <w:t>with a view to ensuring that access to communication</w:t>
      </w:r>
      <w:r w:rsidR="00402470">
        <w:rPr>
          <w:b/>
        </w:rPr>
        <w:t>s</w:t>
      </w:r>
      <w:r w:rsidRPr="007C4AEB">
        <w:rPr>
          <w:b/>
        </w:rPr>
        <w:t xml:space="preserve"> data is limited to </w:t>
      </w:r>
      <w:r>
        <w:rPr>
          <w:b/>
        </w:rPr>
        <w:t xml:space="preserve">the extent strictly necessary for prosecution of the </w:t>
      </w:r>
      <w:r w:rsidRPr="007C4AEB">
        <w:rPr>
          <w:b/>
        </w:rPr>
        <w:t>most serious crimes</w:t>
      </w:r>
      <w:r>
        <w:rPr>
          <w:b/>
        </w:rPr>
        <w:t xml:space="preserve"> and </w:t>
      </w:r>
      <w:r w:rsidR="00430D75">
        <w:rPr>
          <w:b/>
        </w:rPr>
        <w:t xml:space="preserve">is </w:t>
      </w:r>
      <w:r>
        <w:rPr>
          <w:b/>
        </w:rPr>
        <w:t>dependent upon prior judicial authorization</w:t>
      </w:r>
      <w:r w:rsidRPr="007C4AEB">
        <w:rPr>
          <w:b/>
        </w:rPr>
        <w:t>;</w:t>
      </w:r>
      <w:r w:rsidRPr="009945E1" w:rsidDel="000E1E1E">
        <w:rPr>
          <w:b/>
        </w:rPr>
        <w:t xml:space="preserve"> </w:t>
      </w:r>
    </w:p>
    <w:p w:rsidR="00B86B33" w:rsidRPr="0049198E" w:rsidRDefault="00B86B33" w:rsidP="00430D75">
      <w:pPr>
        <w:pStyle w:val="SingleTxtG"/>
        <w:ind w:firstLine="567"/>
        <w:rPr>
          <w:b/>
        </w:rPr>
      </w:pPr>
      <w:r w:rsidRPr="0049198E">
        <w:rPr>
          <w:b/>
        </w:rPr>
        <w:t>(e)</w:t>
      </w:r>
      <w:r w:rsidRPr="0049198E">
        <w:rPr>
          <w:b/>
        </w:rPr>
        <w:tab/>
      </w:r>
      <w:r w:rsidRPr="007C4AEB">
        <w:rPr>
          <w:b/>
        </w:rPr>
        <w:t xml:space="preserve">Ensure that </w:t>
      </w:r>
      <w:r w:rsidR="00430D75">
        <w:rPr>
          <w:b/>
        </w:rPr>
        <w:t>persons affected</w:t>
      </w:r>
      <w:r w:rsidRPr="007C4AEB">
        <w:rPr>
          <w:b/>
        </w:rPr>
        <w:t xml:space="preserve"> have access to effective remedies in cases of abuse.</w:t>
      </w:r>
    </w:p>
    <w:p w:rsidR="00B86B33" w:rsidRPr="004110B7" w:rsidRDefault="00B86B33" w:rsidP="00B86B33">
      <w:pPr>
        <w:pStyle w:val="H23G"/>
      </w:pPr>
      <w:r>
        <w:tab/>
      </w:r>
      <w:r>
        <w:tab/>
      </w:r>
      <w:r w:rsidRPr="004110B7">
        <w:t>Prisoners’ right to vote</w:t>
      </w:r>
    </w:p>
    <w:p w:rsidR="00B86B33" w:rsidRDefault="00B86B33" w:rsidP="00E6791B">
      <w:pPr>
        <w:pStyle w:val="SingleTxtG"/>
        <w:numPr>
          <w:ilvl w:val="0"/>
          <w:numId w:val="11"/>
        </w:numPr>
        <w:ind w:left="1134" w:firstLine="0"/>
      </w:pPr>
      <w:r w:rsidRPr="00EC056A">
        <w:t>The Committee</w:t>
      </w:r>
      <w:r>
        <w:t xml:space="preserve">, recalling its previous concern </w:t>
      </w:r>
      <w:r w:rsidRPr="00EC056A">
        <w:t>(CCPR/C/GBR/CO/6, para. 28)</w:t>
      </w:r>
      <w:r>
        <w:t>,</w:t>
      </w:r>
      <w:r>
        <w:rPr>
          <w:b/>
        </w:rPr>
        <w:t xml:space="preserve"> </w:t>
      </w:r>
      <w:r>
        <w:t xml:space="preserve">regrets the lack of progress in reviewing </w:t>
      </w:r>
      <w:r>
        <w:rPr>
          <w:lang w:bidi="he-IL"/>
        </w:rPr>
        <w:t>the State party’</w:t>
      </w:r>
      <w:r>
        <w:rPr>
          <w:rFonts w:hint="cs"/>
          <w:lang w:bidi="he-IL"/>
        </w:rPr>
        <w:t xml:space="preserve">s </w:t>
      </w:r>
      <w:r>
        <w:t xml:space="preserve">legislation denying the right to vote to </w:t>
      </w:r>
      <w:r>
        <w:rPr>
          <w:lang w:bidi="he-IL"/>
        </w:rPr>
        <w:t xml:space="preserve">any </w:t>
      </w:r>
      <w:r>
        <w:t xml:space="preserve">prisoner serving </w:t>
      </w:r>
      <w:r w:rsidR="00E6791B">
        <w:t xml:space="preserve">a </w:t>
      </w:r>
      <w:r>
        <w:t>custodial sentence (art. 25).</w:t>
      </w:r>
    </w:p>
    <w:p w:rsidR="00B86B33" w:rsidRDefault="00B86B33" w:rsidP="00E6791B">
      <w:pPr>
        <w:pStyle w:val="SingleTxtG"/>
        <w:rPr>
          <w:b/>
        </w:rPr>
      </w:pPr>
      <w:r w:rsidRPr="0016441B">
        <w:rPr>
          <w:b/>
        </w:rPr>
        <w:t xml:space="preserve">The </w:t>
      </w:r>
      <w:r>
        <w:rPr>
          <w:b/>
        </w:rPr>
        <w:t xml:space="preserve">Committee reiterates its previous recommendation </w:t>
      </w:r>
      <w:r w:rsidRPr="0016441B">
        <w:rPr>
          <w:b/>
        </w:rPr>
        <w:t>(CCPR/C/GBR/CO/6, para.</w:t>
      </w:r>
      <w:r w:rsidR="00E6791B">
        <w:rPr>
          <w:b/>
        </w:rPr>
        <w:t> </w:t>
      </w:r>
      <w:r w:rsidRPr="0016441B">
        <w:rPr>
          <w:b/>
        </w:rPr>
        <w:t>28)</w:t>
      </w:r>
      <w:r>
        <w:rPr>
          <w:b/>
        </w:rPr>
        <w:t xml:space="preserve"> that the State party amend</w:t>
      </w:r>
      <w:r w:rsidRPr="0016441B">
        <w:rPr>
          <w:b/>
        </w:rPr>
        <w:t xml:space="preserve"> its legislation </w:t>
      </w:r>
      <w:r w:rsidR="00E6791B">
        <w:rPr>
          <w:b/>
        </w:rPr>
        <w:t>that denies</w:t>
      </w:r>
      <w:r w:rsidR="00E6791B" w:rsidRPr="0016441B">
        <w:rPr>
          <w:b/>
        </w:rPr>
        <w:t xml:space="preserve"> </w:t>
      </w:r>
      <w:r>
        <w:rPr>
          <w:b/>
        </w:rPr>
        <w:t>any</w:t>
      </w:r>
      <w:r w:rsidRPr="0016441B">
        <w:rPr>
          <w:b/>
        </w:rPr>
        <w:t xml:space="preserve"> convicted prisoner the right to vote</w:t>
      </w:r>
      <w:r>
        <w:rPr>
          <w:b/>
        </w:rPr>
        <w:t>,</w:t>
      </w:r>
      <w:r w:rsidRPr="0016441B">
        <w:rPr>
          <w:b/>
        </w:rPr>
        <w:t xml:space="preserve"> with a view to ensuring its full compliance with article 10</w:t>
      </w:r>
      <w:r w:rsidR="00E6791B">
        <w:rPr>
          <w:b/>
        </w:rPr>
        <w:t xml:space="preserve"> (</w:t>
      </w:r>
      <w:r w:rsidRPr="0016441B">
        <w:rPr>
          <w:b/>
        </w:rPr>
        <w:t>3</w:t>
      </w:r>
      <w:r w:rsidR="00E6791B">
        <w:rPr>
          <w:b/>
        </w:rPr>
        <w:t>)</w:t>
      </w:r>
      <w:r w:rsidRPr="0016441B">
        <w:rPr>
          <w:b/>
        </w:rPr>
        <w:t>, read in conjunction with article 25</w:t>
      </w:r>
      <w:r w:rsidR="00E6791B">
        <w:rPr>
          <w:b/>
        </w:rPr>
        <w:t>,</w:t>
      </w:r>
      <w:r w:rsidRPr="0016441B">
        <w:rPr>
          <w:b/>
        </w:rPr>
        <w:t xml:space="preserve"> of the Covenant. </w:t>
      </w:r>
    </w:p>
    <w:p w:rsidR="00B86B33" w:rsidRPr="00352B8D" w:rsidRDefault="00B86B33" w:rsidP="00B86B33">
      <w:pPr>
        <w:pStyle w:val="H23G"/>
      </w:pPr>
      <w:r>
        <w:tab/>
      </w:r>
      <w:r>
        <w:tab/>
      </w:r>
      <w:r w:rsidRPr="00352B8D">
        <w:t xml:space="preserve">Dissemination of information relating to the Covenant </w:t>
      </w:r>
    </w:p>
    <w:p w:rsidR="00B86B33" w:rsidRPr="00D32356" w:rsidRDefault="00B86B33" w:rsidP="00E6791B">
      <w:pPr>
        <w:pStyle w:val="SingleTxtG"/>
        <w:numPr>
          <w:ilvl w:val="0"/>
          <w:numId w:val="11"/>
        </w:numPr>
        <w:ind w:left="1134" w:firstLine="0"/>
      </w:pPr>
      <w:r w:rsidRPr="00D32356">
        <w:t>The State party should disseminate</w:t>
      </w:r>
      <w:r w:rsidR="00E6791B">
        <w:t xml:space="preserve"> widely</w:t>
      </w:r>
      <w:r w:rsidRPr="00D32356">
        <w:t xml:space="preserve"> the Covenant, the text of its seventh periodic report and the present concluding observations</w:t>
      </w:r>
      <w:r w:rsidR="00E6791B">
        <w:t>,</w:t>
      </w:r>
      <w:r w:rsidRPr="00D32356">
        <w:t xml:space="preserve"> among the judicial, legislative and administrative authorities, civil society and non-governmental organizations operating in the country, </w:t>
      </w:r>
      <w:r w:rsidR="00E6791B">
        <w:t>and</w:t>
      </w:r>
      <w:r w:rsidRPr="00D32356">
        <w:t xml:space="preserve"> the general public. </w:t>
      </w:r>
    </w:p>
    <w:p w:rsidR="00B86B33" w:rsidRPr="00D32356" w:rsidRDefault="00B86B33" w:rsidP="006506D8">
      <w:pPr>
        <w:pStyle w:val="SingleTxtG"/>
        <w:numPr>
          <w:ilvl w:val="0"/>
          <w:numId w:val="11"/>
        </w:numPr>
        <w:ind w:left="1134" w:firstLine="0"/>
      </w:pPr>
      <w:r w:rsidRPr="00D32356">
        <w:t xml:space="preserve">In accordance with rule 71, paragraph 5, of the Committee’s rules of procedure, the State party </w:t>
      </w:r>
      <w:r w:rsidRPr="009A5BE6">
        <w:rPr>
          <w:rFonts w:eastAsia="Calibri"/>
          <w:lang w:eastAsia="en-GB"/>
        </w:rPr>
        <w:t>should</w:t>
      </w:r>
      <w:r w:rsidRPr="00D32356">
        <w:t xml:space="preserve"> provide, within one year, relevant information on its implementation of the Committee’s recommendations made in paragraphs </w:t>
      </w:r>
      <w:r w:rsidR="00FF0392">
        <w:t>8</w:t>
      </w:r>
      <w:r w:rsidR="00EF6F77">
        <w:t xml:space="preserve"> </w:t>
      </w:r>
      <w:r w:rsidR="00CD12FC">
        <w:t>(</w:t>
      </w:r>
      <w:r w:rsidR="006506D8">
        <w:t>a</w:t>
      </w:r>
      <w:r w:rsidR="00CD12FC" w:rsidRPr="00340E4F">
        <w:t>ccountability for conflict-related violations in Northern Ireland</w:t>
      </w:r>
      <w:r w:rsidR="00CD12FC">
        <w:t>)</w:t>
      </w:r>
      <w:r w:rsidRPr="00D32356">
        <w:t xml:space="preserve"> and </w:t>
      </w:r>
      <w:r w:rsidR="00FF0392">
        <w:t>9</w:t>
      </w:r>
      <w:r w:rsidR="00CD12FC">
        <w:t xml:space="preserve"> (</w:t>
      </w:r>
      <w:r w:rsidR="006506D8">
        <w:t>a</w:t>
      </w:r>
      <w:r w:rsidR="00647AB2">
        <w:t>ccountability for human rights violations committed by British forces abroad)</w:t>
      </w:r>
      <w:r w:rsidRPr="00D32356">
        <w:t xml:space="preserve"> above. </w:t>
      </w:r>
    </w:p>
    <w:p w:rsidR="00B86B33" w:rsidRPr="00D32356" w:rsidRDefault="00B86B33" w:rsidP="006506D8">
      <w:pPr>
        <w:pStyle w:val="SingleTxtG"/>
        <w:numPr>
          <w:ilvl w:val="0"/>
          <w:numId w:val="11"/>
        </w:numPr>
        <w:ind w:left="1134" w:firstLine="0"/>
      </w:pPr>
      <w:r w:rsidRPr="00D32356">
        <w:t xml:space="preserve">The Committee requests that the State party submit its next periodic report </w:t>
      </w:r>
      <w:r w:rsidR="006506D8">
        <w:t>by</w:t>
      </w:r>
      <w:r w:rsidRPr="00D32356">
        <w:t xml:space="preserve"> </w:t>
      </w:r>
      <w:r w:rsidR="008F67FE">
        <w:t>24</w:t>
      </w:r>
      <w:r w:rsidR="00AF70A9">
        <w:t> </w:t>
      </w:r>
      <w:r w:rsidR="008F67FE">
        <w:t>July 2020</w:t>
      </w:r>
      <w:r w:rsidRPr="00D32356">
        <w:t xml:space="preserve"> and that it include in it specific up-to-date information on the implementation of all its recommendations and </w:t>
      </w:r>
      <w:r w:rsidR="006506D8">
        <w:t>of</w:t>
      </w:r>
      <w:r w:rsidR="006506D8" w:rsidRPr="00D32356">
        <w:t xml:space="preserve"> </w:t>
      </w:r>
      <w:r w:rsidRPr="00D32356">
        <w:t xml:space="preserve">the Covenant as a whole. The Committee requests that the State party, in preparing the report, broadly consult civil society and </w:t>
      </w:r>
      <w:r w:rsidR="00AF70A9">
        <w:t>non-governmental organizations</w:t>
      </w:r>
      <w:r w:rsidR="00AF70A9" w:rsidRPr="00D32356">
        <w:t xml:space="preserve"> </w:t>
      </w:r>
      <w:r w:rsidRPr="00D32356">
        <w:t>operating in the country. In accordance with General Assembly resolution 68/268, the word limit for the report is 21,200 words.</w:t>
      </w:r>
    </w:p>
    <w:p w:rsidR="00442A83" w:rsidRPr="00AC4723" w:rsidRDefault="00B86B33" w:rsidP="00B86B33">
      <w:pPr>
        <w:spacing w:before="240"/>
        <w:ind w:left="1134" w:right="1134"/>
        <w:jc w:val="center"/>
      </w:pPr>
      <w:r>
        <w:rPr>
          <w:u w:val="single"/>
        </w:rPr>
        <w:tab/>
      </w:r>
      <w:r>
        <w:rPr>
          <w:u w:val="single"/>
        </w:rPr>
        <w:tab/>
      </w:r>
      <w:r>
        <w:rPr>
          <w:u w:val="single"/>
        </w:rPr>
        <w:tab/>
      </w:r>
    </w:p>
    <w:sectPr w:rsidR="00442A83" w:rsidRPr="00AC4723" w:rsidSect="00531456">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9T08:39:00Z" w:initials="Start">
    <w:p w:rsidR="00531456" w:rsidRDefault="0053145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NO&gt;&gt;N1518229E&lt;&lt;ODS JOB NO&gt;&gt;</w:t>
      </w:r>
    </w:p>
    <w:p w:rsidR="00531456" w:rsidRDefault="00531456">
      <w:pPr>
        <w:pStyle w:val="CommentText"/>
      </w:pPr>
      <w:r>
        <w:t>&lt;&lt;ODS DOC SYMBOL1&gt;&gt;CCPR/C/GBR/CO/7&lt;&lt;ODS DOC SYMBOL1&gt;&gt;</w:t>
      </w:r>
    </w:p>
    <w:p w:rsidR="00531456" w:rsidRDefault="0053145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C61" w:rsidRDefault="00030C61"/>
    <w:p w:rsidR="00F45344" w:rsidRDefault="00F45344"/>
  </w:endnote>
  <w:endnote w:type="continuationSeparator" w:id="0">
    <w:p w:rsidR="00030C61" w:rsidRDefault="00030C61"/>
    <w:p w:rsidR="00F45344" w:rsidRDefault="00F45344"/>
  </w:endnote>
  <w:endnote w:type="continuationNotice" w:id="1">
    <w:p w:rsidR="00030C61" w:rsidRDefault="00030C61"/>
    <w:p w:rsidR="00F45344" w:rsidRDefault="00F45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61" w:rsidRPr="00AC4723" w:rsidRDefault="00030C61" w:rsidP="00AC4723">
    <w:pPr>
      <w:pStyle w:val="Footer"/>
      <w:tabs>
        <w:tab w:val="right" w:pos="9638"/>
      </w:tabs>
    </w:pPr>
    <w:r w:rsidRPr="00AC4723">
      <w:rPr>
        <w:b/>
        <w:sz w:val="18"/>
      </w:rPr>
      <w:fldChar w:fldCharType="begin"/>
    </w:r>
    <w:r w:rsidRPr="00AC4723">
      <w:rPr>
        <w:b/>
        <w:sz w:val="18"/>
      </w:rPr>
      <w:instrText xml:space="preserve"> PAGE  \* MERGEFORMAT </w:instrText>
    </w:r>
    <w:r w:rsidRPr="00AC4723">
      <w:rPr>
        <w:b/>
        <w:sz w:val="18"/>
      </w:rPr>
      <w:fldChar w:fldCharType="separate"/>
    </w:r>
    <w:r w:rsidR="0042653D">
      <w:rPr>
        <w:b/>
        <w:noProof/>
        <w:sz w:val="18"/>
      </w:rPr>
      <w:t>12</w:t>
    </w:r>
    <w:r w:rsidRPr="00AC4723">
      <w:rPr>
        <w:b/>
        <w:sz w:val="18"/>
      </w:rPr>
      <w:fldChar w:fldCharType="end"/>
    </w:r>
    <w:r>
      <w:rPr>
        <w:sz w:val="18"/>
      </w:rPr>
      <w:tab/>
    </w:r>
  </w:p>
  <w:p w:rsidR="00F45344" w:rsidRDefault="00F453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61" w:rsidRPr="00AC4723" w:rsidRDefault="00030C61" w:rsidP="00AC4723">
    <w:pPr>
      <w:pStyle w:val="Footer"/>
      <w:tabs>
        <w:tab w:val="right" w:pos="9638"/>
      </w:tabs>
      <w:rPr>
        <w:b/>
        <w:sz w:val="18"/>
      </w:rPr>
    </w:pPr>
    <w:r>
      <w:tab/>
    </w:r>
    <w:r w:rsidRPr="00AC4723">
      <w:rPr>
        <w:b/>
        <w:sz w:val="18"/>
      </w:rPr>
      <w:fldChar w:fldCharType="begin"/>
    </w:r>
    <w:r w:rsidRPr="00AC4723">
      <w:rPr>
        <w:b/>
        <w:sz w:val="18"/>
      </w:rPr>
      <w:instrText xml:space="preserve"> PAGE  \* MERGEFORMAT </w:instrText>
    </w:r>
    <w:r w:rsidRPr="00AC4723">
      <w:rPr>
        <w:b/>
        <w:sz w:val="18"/>
      </w:rPr>
      <w:fldChar w:fldCharType="separate"/>
    </w:r>
    <w:r w:rsidR="0042653D">
      <w:rPr>
        <w:b/>
        <w:noProof/>
        <w:sz w:val="18"/>
      </w:rPr>
      <w:t>11</w:t>
    </w:r>
    <w:r w:rsidRPr="00AC4723">
      <w:rPr>
        <w:b/>
        <w:sz w:val="18"/>
      </w:rPr>
      <w:fldChar w:fldCharType="end"/>
    </w:r>
  </w:p>
  <w:p w:rsidR="00F45344" w:rsidRDefault="00F4534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531456" w:rsidTr="00531456">
      <w:tc>
        <w:tcPr>
          <w:tcW w:w="3614" w:type="dxa"/>
          <w:shd w:val="clear" w:color="auto" w:fill="auto"/>
        </w:tcPr>
        <w:p w:rsidR="00531456" w:rsidRDefault="00531456" w:rsidP="00531456">
          <w:pPr>
            <w:pStyle w:val="Footer"/>
            <w:rPr>
              <w:sz w:val="20"/>
            </w:rPr>
          </w:pPr>
          <w:r>
            <w:rPr>
              <w:noProof/>
              <w:lang w:eastAsia="zh-CN"/>
            </w:rPr>
            <w:drawing>
              <wp:anchor distT="0" distB="0" distL="114300" distR="114300" simplePos="0" relativeHeight="251659264" behindDoc="0" locked="0" layoutInCell="1" allowOverlap="1">
                <wp:simplePos x="0" y="0"/>
                <wp:positionH relativeFrom="page">
                  <wp:posOffset>5339715</wp:posOffset>
                </wp:positionH>
                <wp:positionV relativeFrom="page">
                  <wp:posOffset>-365760</wp:posOffset>
                </wp:positionV>
                <wp:extent cx="694690" cy="694690"/>
                <wp:effectExtent l="0" t="0" r="0" b="0"/>
                <wp:wrapNone/>
                <wp:docPr id="1" name="Picture 1" descr="http://undocs.org/m2/QRCode2.ashx?DS=CCPR/C/GBR/CO/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GBR/CO/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rPr>
            <w:t>GE.15-13453(E)</w:t>
          </w:r>
        </w:p>
        <w:p w:rsidR="00531456" w:rsidRPr="00531456" w:rsidRDefault="00531456" w:rsidP="00531456">
          <w:pPr>
            <w:pStyle w:val="Footer"/>
            <w:rPr>
              <w:rFonts w:ascii="Barcode 3 of 9 by request" w:hAnsi="Barcode 3 of 9 by request"/>
              <w:sz w:val="24"/>
            </w:rPr>
          </w:pPr>
          <w:r>
            <w:rPr>
              <w:rFonts w:ascii="Barcode 3 of 9 by request" w:hAnsi="Barcode 3 of 9 by request"/>
              <w:sz w:val="24"/>
            </w:rPr>
            <w:t>*1513453*</w:t>
          </w:r>
        </w:p>
      </w:tc>
      <w:tc>
        <w:tcPr>
          <w:tcW w:w="4752" w:type="dxa"/>
          <w:shd w:val="clear" w:color="auto" w:fill="auto"/>
        </w:tcPr>
        <w:p w:rsidR="00531456" w:rsidRDefault="00531456" w:rsidP="00531456">
          <w:pPr>
            <w:pStyle w:val="Footer"/>
            <w:spacing w:line="240" w:lineRule="atLeast"/>
            <w:jc w:val="right"/>
            <w:rPr>
              <w:sz w:val="20"/>
            </w:rPr>
          </w:pPr>
          <w:r>
            <w:rPr>
              <w:noProof/>
              <w:sz w:val="20"/>
              <w:lang w:eastAsia="zh-CN"/>
            </w:rPr>
            <w:drawing>
              <wp:inline distT="0" distB="0" distL="0" distR="0">
                <wp:extent cx="933450" cy="228600"/>
                <wp:effectExtent l="0" t="0" r="0" b="0"/>
                <wp:docPr id="2" name="Picture 2" descr="C:\Word2010\WordMacros\recyc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d2010\WordMacros\recycle_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p>
      </w:tc>
    </w:tr>
  </w:tbl>
  <w:p w:rsidR="00531456" w:rsidRPr="00531456" w:rsidRDefault="00531456" w:rsidP="0053145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C61" w:rsidRPr="000B175B" w:rsidRDefault="00030C61" w:rsidP="000B175B">
      <w:pPr>
        <w:tabs>
          <w:tab w:val="right" w:pos="2155"/>
        </w:tabs>
        <w:spacing w:after="80"/>
        <w:ind w:left="680"/>
        <w:rPr>
          <w:u w:val="single"/>
        </w:rPr>
      </w:pPr>
      <w:r>
        <w:rPr>
          <w:u w:val="single"/>
        </w:rPr>
        <w:tab/>
      </w:r>
    </w:p>
    <w:p w:rsidR="00F45344" w:rsidRDefault="00F45344"/>
  </w:footnote>
  <w:footnote w:type="continuationSeparator" w:id="0">
    <w:p w:rsidR="00030C61" w:rsidRPr="00FC68B7" w:rsidRDefault="00030C61" w:rsidP="00FC68B7">
      <w:pPr>
        <w:tabs>
          <w:tab w:val="left" w:pos="2155"/>
        </w:tabs>
        <w:spacing w:after="80"/>
        <w:ind w:left="680"/>
        <w:rPr>
          <w:u w:val="single"/>
        </w:rPr>
      </w:pPr>
      <w:r>
        <w:rPr>
          <w:u w:val="single"/>
        </w:rPr>
        <w:tab/>
      </w:r>
    </w:p>
    <w:p w:rsidR="00F45344" w:rsidRDefault="00F45344"/>
  </w:footnote>
  <w:footnote w:type="continuationNotice" w:id="1">
    <w:p w:rsidR="00030C61" w:rsidRDefault="00030C61"/>
    <w:p w:rsidR="00F45344" w:rsidRDefault="00F45344"/>
  </w:footnote>
  <w:footnote w:id="2">
    <w:p w:rsidR="00030C61" w:rsidRDefault="00030C61" w:rsidP="00D66397">
      <w:pPr>
        <w:pStyle w:val="FootnoteText"/>
      </w:pPr>
      <w:r>
        <w:tab/>
      </w:r>
      <w:r>
        <w:rPr>
          <w:sz w:val="20"/>
        </w:rPr>
        <w:t>*</w:t>
      </w:r>
      <w:r>
        <w:tab/>
        <w:t>Adopted by the Committee at its 114th</w:t>
      </w:r>
      <w:r>
        <w:rPr>
          <w:color w:val="FF0000"/>
        </w:rPr>
        <w:t xml:space="preserve"> </w:t>
      </w:r>
      <w:r w:rsidRPr="00AF0342">
        <w:rPr>
          <w:color w:val="000000"/>
        </w:rPr>
        <w:t>session (29 June-24 July 2015).</w:t>
      </w:r>
    </w:p>
  </w:footnote>
  <w:footnote w:id="3">
    <w:p w:rsidR="00030C61" w:rsidRPr="008A44D1" w:rsidRDefault="00030C61" w:rsidP="00B86B33">
      <w:pPr>
        <w:pStyle w:val="FootnoteText"/>
      </w:pPr>
      <w:r>
        <w:tab/>
      </w:r>
      <w:r w:rsidRPr="00B86B33">
        <w:rPr>
          <w:sz w:val="20"/>
        </w:rPr>
        <w:t>**</w:t>
      </w:r>
      <w:r>
        <w:rPr>
          <w:sz w:val="20"/>
        </w:rPr>
        <w:tab/>
      </w:r>
      <w:r>
        <w:rPr>
          <w:color w:val="000000"/>
          <w:szCs w:val="18"/>
          <w:lang w:eastAsia="en-GB"/>
        </w:rPr>
        <w:t>The present document also covers the British overseas territories and the Crown dependencies.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61" w:rsidRPr="00AC4723" w:rsidRDefault="00030C61">
    <w:pPr>
      <w:pStyle w:val="Header"/>
    </w:pPr>
    <w:r>
      <w:t>CCPR/C/GBR/CO/7</w:t>
    </w:r>
  </w:p>
  <w:p w:rsidR="00F45344" w:rsidRDefault="00F453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61" w:rsidRPr="00AC4723" w:rsidRDefault="00030C61" w:rsidP="00AC4723">
    <w:pPr>
      <w:pStyle w:val="Header"/>
      <w:jc w:val="right"/>
    </w:pPr>
    <w:r>
      <w:t>CCPR/C/GBR/CO/7</w:t>
    </w:r>
  </w:p>
  <w:p w:rsidR="00F45344" w:rsidRDefault="00F453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DAB6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A752FB"/>
    <w:multiLevelType w:val="hybridMultilevel"/>
    <w:tmpl w:val="788C2C58"/>
    <w:lvl w:ilvl="0" w:tplc="A0CE82D0">
      <w:start w:val="7"/>
      <w:numFmt w:val="decimal"/>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DE7A5C"/>
    <w:multiLevelType w:val="hybridMultilevel"/>
    <w:tmpl w:val="E722C2BA"/>
    <w:lvl w:ilvl="0" w:tplc="E6364B42">
      <w:start w:val="6"/>
      <w:numFmt w:val="decimal"/>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4A6FD4"/>
    <w:multiLevelType w:val="hybridMultilevel"/>
    <w:tmpl w:val="D85867F6"/>
    <w:lvl w:ilvl="0" w:tplc="CB3EA47E">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4FC200C5"/>
    <w:multiLevelType w:val="hybridMultilevel"/>
    <w:tmpl w:val="836E8C76"/>
    <w:lvl w:ilvl="0" w:tplc="6CCE8C1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560430B2"/>
    <w:multiLevelType w:val="hybridMultilevel"/>
    <w:tmpl w:val="5B6004FA"/>
    <w:lvl w:ilvl="0" w:tplc="51325B20">
      <w:start w:val="3"/>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62077C7F"/>
    <w:multiLevelType w:val="hybridMultilevel"/>
    <w:tmpl w:val="CEFC534A"/>
    <w:lvl w:ilvl="0" w:tplc="80A0011A">
      <w:start w:val="5"/>
      <w:numFmt w:val="decimal"/>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23143E"/>
    <w:multiLevelType w:val="hybridMultilevel"/>
    <w:tmpl w:val="7338A1F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ACF2F9F"/>
    <w:multiLevelType w:val="hybridMultilevel"/>
    <w:tmpl w:val="33DE5B28"/>
    <w:lvl w:ilvl="0" w:tplc="CF184F5C">
      <w:start w:val="16"/>
      <w:numFmt w:val="decimal"/>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4"/>
  </w:num>
  <w:num w:numId="5">
    <w:abstractNumId w:val="7"/>
  </w:num>
  <w:num w:numId="6">
    <w:abstractNumId w:val="3"/>
  </w:num>
  <w:num w:numId="7">
    <w:abstractNumId w:val="2"/>
  </w:num>
  <w:num w:numId="8">
    <w:abstractNumId w:val="10"/>
  </w:num>
  <w:num w:numId="9">
    <w:abstractNumId w:val="0"/>
  </w:num>
  <w:num w:numId="10">
    <w:abstractNumId w:val="8"/>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355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23"/>
    <w:rsid w:val="000107D9"/>
    <w:rsid w:val="0001682A"/>
    <w:rsid w:val="00017367"/>
    <w:rsid w:val="00020C4A"/>
    <w:rsid w:val="000272B3"/>
    <w:rsid w:val="00030C61"/>
    <w:rsid w:val="00036D38"/>
    <w:rsid w:val="000415E5"/>
    <w:rsid w:val="00050F6B"/>
    <w:rsid w:val="00057E97"/>
    <w:rsid w:val="00060C3A"/>
    <w:rsid w:val="00063AE4"/>
    <w:rsid w:val="00063BD8"/>
    <w:rsid w:val="00072C8C"/>
    <w:rsid w:val="000733B5"/>
    <w:rsid w:val="00081815"/>
    <w:rsid w:val="00084F44"/>
    <w:rsid w:val="00087E74"/>
    <w:rsid w:val="000931C0"/>
    <w:rsid w:val="000A45D3"/>
    <w:rsid w:val="000A4C5B"/>
    <w:rsid w:val="000B175B"/>
    <w:rsid w:val="000B3A0F"/>
    <w:rsid w:val="000B4EF7"/>
    <w:rsid w:val="000C10AF"/>
    <w:rsid w:val="000C2C03"/>
    <w:rsid w:val="000C2D2E"/>
    <w:rsid w:val="000C2EDF"/>
    <w:rsid w:val="000E0415"/>
    <w:rsid w:val="000F001A"/>
    <w:rsid w:val="000F3F49"/>
    <w:rsid w:val="00103BF6"/>
    <w:rsid w:val="00104E71"/>
    <w:rsid w:val="001103AA"/>
    <w:rsid w:val="00120A3E"/>
    <w:rsid w:val="00123285"/>
    <w:rsid w:val="001274C3"/>
    <w:rsid w:val="00134E53"/>
    <w:rsid w:val="001374C4"/>
    <w:rsid w:val="00144421"/>
    <w:rsid w:val="0015137C"/>
    <w:rsid w:val="00157D63"/>
    <w:rsid w:val="00161FF9"/>
    <w:rsid w:val="00165333"/>
    <w:rsid w:val="00165F3A"/>
    <w:rsid w:val="0016650A"/>
    <w:rsid w:val="00183968"/>
    <w:rsid w:val="001A6686"/>
    <w:rsid w:val="001B4892"/>
    <w:rsid w:val="001B4B04"/>
    <w:rsid w:val="001C0D03"/>
    <w:rsid w:val="001C0F08"/>
    <w:rsid w:val="001C5BCD"/>
    <w:rsid w:val="001C6663"/>
    <w:rsid w:val="001C7895"/>
    <w:rsid w:val="001D0C8C"/>
    <w:rsid w:val="001D26DF"/>
    <w:rsid w:val="001D2904"/>
    <w:rsid w:val="001D3A03"/>
    <w:rsid w:val="001D4463"/>
    <w:rsid w:val="001E3CC7"/>
    <w:rsid w:val="001E3DF9"/>
    <w:rsid w:val="001E6725"/>
    <w:rsid w:val="001F2CA1"/>
    <w:rsid w:val="00202DA8"/>
    <w:rsid w:val="00206ECB"/>
    <w:rsid w:val="002109F3"/>
    <w:rsid w:val="00211E0B"/>
    <w:rsid w:val="00213969"/>
    <w:rsid w:val="002159F0"/>
    <w:rsid w:val="0023210C"/>
    <w:rsid w:val="00237BF6"/>
    <w:rsid w:val="0024193D"/>
    <w:rsid w:val="0024633E"/>
    <w:rsid w:val="0024710F"/>
    <w:rsid w:val="00247FF5"/>
    <w:rsid w:val="00253145"/>
    <w:rsid w:val="00267F5F"/>
    <w:rsid w:val="00270B8F"/>
    <w:rsid w:val="00275BCB"/>
    <w:rsid w:val="00286B4D"/>
    <w:rsid w:val="00286C1B"/>
    <w:rsid w:val="0028754A"/>
    <w:rsid w:val="00294E81"/>
    <w:rsid w:val="002A047B"/>
    <w:rsid w:val="002A2E8E"/>
    <w:rsid w:val="002A5917"/>
    <w:rsid w:val="002A76B8"/>
    <w:rsid w:val="002B7891"/>
    <w:rsid w:val="002C0301"/>
    <w:rsid w:val="002C584D"/>
    <w:rsid w:val="002C704B"/>
    <w:rsid w:val="002C7CAA"/>
    <w:rsid w:val="002D06F7"/>
    <w:rsid w:val="002E28A6"/>
    <w:rsid w:val="002E6FC8"/>
    <w:rsid w:val="002F12F3"/>
    <w:rsid w:val="002F175C"/>
    <w:rsid w:val="002F4B10"/>
    <w:rsid w:val="0030313B"/>
    <w:rsid w:val="00303518"/>
    <w:rsid w:val="0030642B"/>
    <w:rsid w:val="00307557"/>
    <w:rsid w:val="00315F51"/>
    <w:rsid w:val="0032180F"/>
    <w:rsid w:val="003229D8"/>
    <w:rsid w:val="0032576A"/>
    <w:rsid w:val="00345103"/>
    <w:rsid w:val="00345DFC"/>
    <w:rsid w:val="0035008C"/>
    <w:rsid w:val="00352709"/>
    <w:rsid w:val="00354BA0"/>
    <w:rsid w:val="003617CD"/>
    <w:rsid w:val="00367567"/>
    <w:rsid w:val="00371178"/>
    <w:rsid w:val="00377A79"/>
    <w:rsid w:val="0038336C"/>
    <w:rsid w:val="003853E4"/>
    <w:rsid w:val="003909AC"/>
    <w:rsid w:val="00392638"/>
    <w:rsid w:val="00395981"/>
    <w:rsid w:val="003A4126"/>
    <w:rsid w:val="003A6810"/>
    <w:rsid w:val="003A7ED8"/>
    <w:rsid w:val="003C0026"/>
    <w:rsid w:val="003C2CC4"/>
    <w:rsid w:val="003D2FE7"/>
    <w:rsid w:val="003D4477"/>
    <w:rsid w:val="003D4B23"/>
    <w:rsid w:val="003D5D90"/>
    <w:rsid w:val="003E4186"/>
    <w:rsid w:val="003E5A37"/>
    <w:rsid w:val="003F375C"/>
    <w:rsid w:val="00400349"/>
    <w:rsid w:val="00400C30"/>
    <w:rsid w:val="00401BFC"/>
    <w:rsid w:val="00402470"/>
    <w:rsid w:val="00403285"/>
    <w:rsid w:val="00410C89"/>
    <w:rsid w:val="00411020"/>
    <w:rsid w:val="004117CC"/>
    <w:rsid w:val="00412AAE"/>
    <w:rsid w:val="004178F7"/>
    <w:rsid w:val="0042653D"/>
    <w:rsid w:val="00426B9B"/>
    <w:rsid w:val="00430D75"/>
    <w:rsid w:val="004325CB"/>
    <w:rsid w:val="00436B33"/>
    <w:rsid w:val="00437BDA"/>
    <w:rsid w:val="00442A83"/>
    <w:rsid w:val="00443C9E"/>
    <w:rsid w:val="0045495B"/>
    <w:rsid w:val="004631DF"/>
    <w:rsid w:val="00472034"/>
    <w:rsid w:val="0048444B"/>
    <w:rsid w:val="00486DAC"/>
    <w:rsid w:val="00487488"/>
    <w:rsid w:val="004A1EF3"/>
    <w:rsid w:val="004D0987"/>
    <w:rsid w:val="004E3D7D"/>
    <w:rsid w:val="0050150E"/>
    <w:rsid w:val="00502853"/>
    <w:rsid w:val="00502940"/>
    <w:rsid w:val="00502D82"/>
    <w:rsid w:val="0050538C"/>
    <w:rsid w:val="00514A27"/>
    <w:rsid w:val="0052136D"/>
    <w:rsid w:val="0052775E"/>
    <w:rsid w:val="00531456"/>
    <w:rsid w:val="005362B6"/>
    <w:rsid w:val="005420F2"/>
    <w:rsid w:val="005432FF"/>
    <w:rsid w:val="00551F19"/>
    <w:rsid w:val="005628B6"/>
    <w:rsid w:val="005637D4"/>
    <w:rsid w:val="005669C5"/>
    <w:rsid w:val="0057073F"/>
    <w:rsid w:val="00573789"/>
    <w:rsid w:val="005767EE"/>
    <w:rsid w:val="00577B3A"/>
    <w:rsid w:val="0058132A"/>
    <w:rsid w:val="005848B3"/>
    <w:rsid w:val="00590F87"/>
    <w:rsid w:val="00592C4A"/>
    <w:rsid w:val="00595349"/>
    <w:rsid w:val="00595AD8"/>
    <w:rsid w:val="00597D1E"/>
    <w:rsid w:val="005A2A94"/>
    <w:rsid w:val="005B3DB3"/>
    <w:rsid w:val="005C30E1"/>
    <w:rsid w:val="005C7791"/>
    <w:rsid w:val="005F75BA"/>
    <w:rsid w:val="005F7717"/>
    <w:rsid w:val="005F7B75"/>
    <w:rsid w:val="006001EE"/>
    <w:rsid w:val="00605042"/>
    <w:rsid w:val="00610947"/>
    <w:rsid w:val="00611FC4"/>
    <w:rsid w:val="006176FB"/>
    <w:rsid w:val="00623ED6"/>
    <w:rsid w:val="00640B26"/>
    <w:rsid w:val="0064397A"/>
    <w:rsid w:val="00643B34"/>
    <w:rsid w:val="00647AB2"/>
    <w:rsid w:val="006506D8"/>
    <w:rsid w:val="006514D3"/>
    <w:rsid w:val="00652D0A"/>
    <w:rsid w:val="00661E73"/>
    <w:rsid w:val="00661FCE"/>
    <w:rsid w:val="00662BB6"/>
    <w:rsid w:val="00667F3E"/>
    <w:rsid w:val="006770BB"/>
    <w:rsid w:val="00681EEE"/>
    <w:rsid w:val="00684C21"/>
    <w:rsid w:val="00690146"/>
    <w:rsid w:val="00693637"/>
    <w:rsid w:val="006946DB"/>
    <w:rsid w:val="00697F87"/>
    <w:rsid w:val="006A588B"/>
    <w:rsid w:val="006C43DE"/>
    <w:rsid w:val="006D37AF"/>
    <w:rsid w:val="006D51D0"/>
    <w:rsid w:val="006D6F4E"/>
    <w:rsid w:val="006D7CF4"/>
    <w:rsid w:val="006E564B"/>
    <w:rsid w:val="006E7191"/>
    <w:rsid w:val="006F13A6"/>
    <w:rsid w:val="006F37E6"/>
    <w:rsid w:val="006F6B66"/>
    <w:rsid w:val="00703577"/>
    <w:rsid w:val="007114C7"/>
    <w:rsid w:val="007177BE"/>
    <w:rsid w:val="00717D43"/>
    <w:rsid w:val="00717EC6"/>
    <w:rsid w:val="00720916"/>
    <w:rsid w:val="0072632A"/>
    <w:rsid w:val="007327D5"/>
    <w:rsid w:val="00733C83"/>
    <w:rsid w:val="0073550E"/>
    <w:rsid w:val="00741F53"/>
    <w:rsid w:val="007629C8"/>
    <w:rsid w:val="00776589"/>
    <w:rsid w:val="00785D78"/>
    <w:rsid w:val="007A513B"/>
    <w:rsid w:val="007B17C2"/>
    <w:rsid w:val="007B1828"/>
    <w:rsid w:val="007B6BA5"/>
    <w:rsid w:val="007C3390"/>
    <w:rsid w:val="007C4F4B"/>
    <w:rsid w:val="007C6EF3"/>
    <w:rsid w:val="007C784F"/>
    <w:rsid w:val="007D5D92"/>
    <w:rsid w:val="007E0B2D"/>
    <w:rsid w:val="007F177B"/>
    <w:rsid w:val="007F6611"/>
    <w:rsid w:val="007F71B9"/>
    <w:rsid w:val="0081003E"/>
    <w:rsid w:val="008105B8"/>
    <w:rsid w:val="008242D7"/>
    <w:rsid w:val="008257B1"/>
    <w:rsid w:val="00826AF6"/>
    <w:rsid w:val="00843767"/>
    <w:rsid w:val="008679D9"/>
    <w:rsid w:val="0089287D"/>
    <w:rsid w:val="008962AC"/>
    <w:rsid w:val="00896875"/>
    <w:rsid w:val="008979B1"/>
    <w:rsid w:val="008A03A0"/>
    <w:rsid w:val="008A1DB2"/>
    <w:rsid w:val="008A21E1"/>
    <w:rsid w:val="008A44D1"/>
    <w:rsid w:val="008A5374"/>
    <w:rsid w:val="008A64CD"/>
    <w:rsid w:val="008A6B25"/>
    <w:rsid w:val="008A6C4F"/>
    <w:rsid w:val="008B2335"/>
    <w:rsid w:val="008B5CF4"/>
    <w:rsid w:val="008B64AA"/>
    <w:rsid w:val="008C1D46"/>
    <w:rsid w:val="008C3426"/>
    <w:rsid w:val="008C6E79"/>
    <w:rsid w:val="008E0678"/>
    <w:rsid w:val="008E2246"/>
    <w:rsid w:val="008E3645"/>
    <w:rsid w:val="008E65A7"/>
    <w:rsid w:val="008F67FE"/>
    <w:rsid w:val="008F717C"/>
    <w:rsid w:val="00900460"/>
    <w:rsid w:val="009004B7"/>
    <w:rsid w:val="00910F40"/>
    <w:rsid w:val="00912C08"/>
    <w:rsid w:val="00915325"/>
    <w:rsid w:val="009223CA"/>
    <w:rsid w:val="00924561"/>
    <w:rsid w:val="00924DB2"/>
    <w:rsid w:val="00936325"/>
    <w:rsid w:val="00940F93"/>
    <w:rsid w:val="00947A98"/>
    <w:rsid w:val="00951308"/>
    <w:rsid w:val="0095138D"/>
    <w:rsid w:val="0095347F"/>
    <w:rsid w:val="00957E73"/>
    <w:rsid w:val="00960C69"/>
    <w:rsid w:val="009641AC"/>
    <w:rsid w:val="00967FB1"/>
    <w:rsid w:val="009738D7"/>
    <w:rsid w:val="009760F3"/>
    <w:rsid w:val="0097771B"/>
    <w:rsid w:val="00986C9F"/>
    <w:rsid w:val="009909F5"/>
    <w:rsid w:val="009A0E8D"/>
    <w:rsid w:val="009A4196"/>
    <w:rsid w:val="009A4E94"/>
    <w:rsid w:val="009B26E7"/>
    <w:rsid w:val="009B3FBE"/>
    <w:rsid w:val="009B5428"/>
    <w:rsid w:val="009E7A46"/>
    <w:rsid w:val="009F66A6"/>
    <w:rsid w:val="00A00A3F"/>
    <w:rsid w:val="00A01489"/>
    <w:rsid w:val="00A026E9"/>
    <w:rsid w:val="00A05658"/>
    <w:rsid w:val="00A14B0E"/>
    <w:rsid w:val="00A32ABE"/>
    <w:rsid w:val="00A338F1"/>
    <w:rsid w:val="00A37813"/>
    <w:rsid w:val="00A44615"/>
    <w:rsid w:val="00A459FD"/>
    <w:rsid w:val="00A5662C"/>
    <w:rsid w:val="00A72F22"/>
    <w:rsid w:val="00A7360F"/>
    <w:rsid w:val="00A748A6"/>
    <w:rsid w:val="00A769F4"/>
    <w:rsid w:val="00A776B4"/>
    <w:rsid w:val="00A902B8"/>
    <w:rsid w:val="00A910FE"/>
    <w:rsid w:val="00A930D0"/>
    <w:rsid w:val="00A94361"/>
    <w:rsid w:val="00AA293C"/>
    <w:rsid w:val="00AB7955"/>
    <w:rsid w:val="00AC4723"/>
    <w:rsid w:val="00AC7ED3"/>
    <w:rsid w:val="00AD2AF6"/>
    <w:rsid w:val="00AD5E45"/>
    <w:rsid w:val="00AD741C"/>
    <w:rsid w:val="00AE2828"/>
    <w:rsid w:val="00AF0342"/>
    <w:rsid w:val="00AF436D"/>
    <w:rsid w:val="00AF70A9"/>
    <w:rsid w:val="00B01BBC"/>
    <w:rsid w:val="00B02023"/>
    <w:rsid w:val="00B13CEB"/>
    <w:rsid w:val="00B13E9B"/>
    <w:rsid w:val="00B27C22"/>
    <w:rsid w:val="00B30179"/>
    <w:rsid w:val="00B339A7"/>
    <w:rsid w:val="00B343AF"/>
    <w:rsid w:val="00B37B09"/>
    <w:rsid w:val="00B521C0"/>
    <w:rsid w:val="00B5554E"/>
    <w:rsid w:val="00B56E4A"/>
    <w:rsid w:val="00B56E9C"/>
    <w:rsid w:val="00B64B1F"/>
    <w:rsid w:val="00B6553F"/>
    <w:rsid w:val="00B66E5E"/>
    <w:rsid w:val="00B67B50"/>
    <w:rsid w:val="00B722AE"/>
    <w:rsid w:val="00B72DBC"/>
    <w:rsid w:val="00B7496E"/>
    <w:rsid w:val="00B77D05"/>
    <w:rsid w:val="00B81206"/>
    <w:rsid w:val="00B81E12"/>
    <w:rsid w:val="00B86B33"/>
    <w:rsid w:val="00B86C3D"/>
    <w:rsid w:val="00B9067B"/>
    <w:rsid w:val="00B97DB3"/>
    <w:rsid w:val="00BA2828"/>
    <w:rsid w:val="00BA5FDD"/>
    <w:rsid w:val="00BB06B5"/>
    <w:rsid w:val="00BB12DB"/>
    <w:rsid w:val="00BB6E7E"/>
    <w:rsid w:val="00BB75C3"/>
    <w:rsid w:val="00BC2574"/>
    <w:rsid w:val="00BC2C23"/>
    <w:rsid w:val="00BC698B"/>
    <w:rsid w:val="00BC74E9"/>
    <w:rsid w:val="00BC7B29"/>
    <w:rsid w:val="00BC7B66"/>
    <w:rsid w:val="00BD3EE0"/>
    <w:rsid w:val="00BD6124"/>
    <w:rsid w:val="00BE6EB7"/>
    <w:rsid w:val="00BF06A9"/>
    <w:rsid w:val="00BF68A8"/>
    <w:rsid w:val="00C10166"/>
    <w:rsid w:val="00C11A03"/>
    <w:rsid w:val="00C13862"/>
    <w:rsid w:val="00C31392"/>
    <w:rsid w:val="00C42FEB"/>
    <w:rsid w:val="00C463DD"/>
    <w:rsid w:val="00C4724C"/>
    <w:rsid w:val="00C505C8"/>
    <w:rsid w:val="00C62233"/>
    <w:rsid w:val="00C629A0"/>
    <w:rsid w:val="00C72A7E"/>
    <w:rsid w:val="00C745C3"/>
    <w:rsid w:val="00C7742A"/>
    <w:rsid w:val="00C825C6"/>
    <w:rsid w:val="00C90444"/>
    <w:rsid w:val="00CA119F"/>
    <w:rsid w:val="00CC2C12"/>
    <w:rsid w:val="00CC6026"/>
    <w:rsid w:val="00CD12FC"/>
    <w:rsid w:val="00CD45FA"/>
    <w:rsid w:val="00CE4A8F"/>
    <w:rsid w:val="00D14250"/>
    <w:rsid w:val="00D15B61"/>
    <w:rsid w:val="00D2031B"/>
    <w:rsid w:val="00D25FE2"/>
    <w:rsid w:val="00D43252"/>
    <w:rsid w:val="00D47EEA"/>
    <w:rsid w:val="00D50987"/>
    <w:rsid w:val="00D62B91"/>
    <w:rsid w:val="00D66397"/>
    <w:rsid w:val="00D82860"/>
    <w:rsid w:val="00D860DE"/>
    <w:rsid w:val="00D872DB"/>
    <w:rsid w:val="00D95303"/>
    <w:rsid w:val="00D95BFF"/>
    <w:rsid w:val="00D978C6"/>
    <w:rsid w:val="00DA3111"/>
    <w:rsid w:val="00DA3C1C"/>
    <w:rsid w:val="00DB0C79"/>
    <w:rsid w:val="00DC1912"/>
    <w:rsid w:val="00DE4272"/>
    <w:rsid w:val="00DE7AF3"/>
    <w:rsid w:val="00DF436F"/>
    <w:rsid w:val="00E10F74"/>
    <w:rsid w:val="00E239B7"/>
    <w:rsid w:val="00E27346"/>
    <w:rsid w:val="00E31D5E"/>
    <w:rsid w:val="00E6791B"/>
    <w:rsid w:val="00E71BC8"/>
    <w:rsid w:val="00E7260F"/>
    <w:rsid w:val="00E764CD"/>
    <w:rsid w:val="00E779FC"/>
    <w:rsid w:val="00E80A9B"/>
    <w:rsid w:val="00E86A6F"/>
    <w:rsid w:val="00E932E0"/>
    <w:rsid w:val="00E96630"/>
    <w:rsid w:val="00EA1C17"/>
    <w:rsid w:val="00EB154C"/>
    <w:rsid w:val="00EB2581"/>
    <w:rsid w:val="00ED26A1"/>
    <w:rsid w:val="00ED625E"/>
    <w:rsid w:val="00ED7A2A"/>
    <w:rsid w:val="00EF1D7F"/>
    <w:rsid w:val="00EF5E46"/>
    <w:rsid w:val="00EF6F77"/>
    <w:rsid w:val="00EF7880"/>
    <w:rsid w:val="00F03F87"/>
    <w:rsid w:val="00F0593C"/>
    <w:rsid w:val="00F20C3D"/>
    <w:rsid w:val="00F25BE1"/>
    <w:rsid w:val="00F27F4E"/>
    <w:rsid w:val="00F40355"/>
    <w:rsid w:val="00F43E9E"/>
    <w:rsid w:val="00F43F13"/>
    <w:rsid w:val="00F45344"/>
    <w:rsid w:val="00F61B6C"/>
    <w:rsid w:val="00F63E75"/>
    <w:rsid w:val="00F80D23"/>
    <w:rsid w:val="00F81033"/>
    <w:rsid w:val="00F8273F"/>
    <w:rsid w:val="00F9057C"/>
    <w:rsid w:val="00F906D7"/>
    <w:rsid w:val="00F93781"/>
    <w:rsid w:val="00F9547C"/>
    <w:rsid w:val="00FB232F"/>
    <w:rsid w:val="00FB4926"/>
    <w:rsid w:val="00FB4ED2"/>
    <w:rsid w:val="00FB613B"/>
    <w:rsid w:val="00FC68B7"/>
    <w:rsid w:val="00FE106A"/>
    <w:rsid w:val="00FE6697"/>
    <w:rsid w:val="00FE6B43"/>
    <w:rsid w:val="00FF0392"/>
    <w:rsid w:val="00FF4043"/>
    <w:rsid w:val="00FF4FE2"/>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95138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95138D"/>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B86B33"/>
    <w:rPr>
      <w:lang w:eastAsia="en-US"/>
    </w:rPr>
  </w:style>
  <w:style w:type="character" w:customStyle="1" w:styleId="sessionsubtitle">
    <w:name w:val="sessionsubtitle"/>
    <w:rsid w:val="00B86B33"/>
  </w:style>
  <w:style w:type="character" w:customStyle="1" w:styleId="FootnoteTextChar">
    <w:name w:val="Footnote Text Char"/>
    <w:aliases w:val="5_G Char"/>
    <w:link w:val="FootnoteText"/>
    <w:rsid w:val="00B86B33"/>
    <w:rPr>
      <w:rFonts w:eastAsia="SimSun"/>
      <w:sz w:val="18"/>
      <w:lang w:val="en-US" w:eastAsia="zh-CN"/>
    </w:rPr>
  </w:style>
  <w:style w:type="paragraph" w:styleId="BalloonText">
    <w:name w:val="Balloon Text"/>
    <w:basedOn w:val="Normal"/>
    <w:link w:val="BalloonTextChar"/>
    <w:rsid w:val="00B86B33"/>
    <w:pPr>
      <w:spacing w:line="240" w:lineRule="auto"/>
    </w:pPr>
    <w:rPr>
      <w:rFonts w:ascii="Tahoma" w:hAnsi="Tahoma" w:cs="Tahoma"/>
      <w:sz w:val="16"/>
      <w:szCs w:val="16"/>
    </w:rPr>
  </w:style>
  <w:style w:type="character" w:customStyle="1" w:styleId="BalloonTextChar">
    <w:name w:val="Balloon Text Char"/>
    <w:link w:val="BalloonText"/>
    <w:rsid w:val="00B86B33"/>
    <w:rPr>
      <w:rFonts w:ascii="Tahoma" w:hAnsi="Tahoma" w:cs="Tahoma"/>
      <w:sz w:val="16"/>
      <w:szCs w:val="16"/>
      <w:lang w:eastAsia="en-US"/>
    </w:rPr>
  </w:style>
  <w:style w:type="paragraph" w:styleId="Revision">
    <w:name w:val="Revision"/>
    <w:hidden/>
    <w:uiPriority w:val="99"/>
    <w:semiHidden/>
    <w:rsid w:val="003E5A37"/>
    <w:rPr>
      <w:lang w:eastAsia="en-US"/>
    </w:rPr>
  </w:style>
  <w:style w:type="character" w:styleId="CommentReference">
    <w:name w:val="annotation reference"/>
    <w:rsid w:val="00967FB1"/>
    <w:rPr>
      <w:sz w:val="16"/>
      <w:szCs w:val="16"/>
    </w:rPr>
  </w:style>
  <w:style w:type="paragraph" w:styleId="CommentText">
    <w:name w:val="annotation text"/>
    <w:basedOn w:val="Normal"/>
    <w:link w:val="CommentTextChar"/>
    <w:rsid w:val="00967FB1"/>
    <w:pPr>
      <w:spacing w:line="240" w:lineRule="auto"/>
    </w:pPr>
  </w:style>
  <w:style w:type="character" w:customStyle="1" w:styleId="CommentTextChar">
    <w:name w:val="Comment Text Char"/>
    <w:link w:val="CommentText"/>
    <w:rsid w:val="00967FB1"/>
    <w:rPr>
      <w:lang w:eastAsia="en-US"/>
    </w:rPr>
  </w:style>
  <w:style w:type="paragraph" w:styleId="CommentSubject">
    <w:name w:val="annotation subject"/>
    <w:basedOn w:val="CommentText"/>
    <w:next w:val="CommentText"/>
    <w:link w:val="CommentSubjectChar"/>
    <w:rsid w:val="00967FB1"/>
    <w:rPr>
      <w:b/>
      <w:bCs/>
    </w:rPr>
  </w:style>
  <w:style w:type="character" w:customStyle="1" w:styleId="CommentSubjectChar">
    <w:name w:val="Comment Subject Char"/>
    <w:link w:val="CommentSubject"/>
    <w:rsid w:val="00967FB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95138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95138D"/>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B86B33"/>
    <w:rPr>
      <w:lang w:eastAsia="en-US"/>
    </w:rPr>
  </w:style>
  <w:style w:type="character" w:customStyle="1" w:styleId="sessionsubtitle">
    <w:name w:val="sessionsubtitle"/>
    <w:rsid w:val="00B86B33"/>
  </w:style>
  <w:style w:type="character" w:customStyle="1" w:styleId="FootnoteTextChar">
    <w:name w:val="Footnote Text Char"/>
    <w:aliases w:val="5_G Char"/>
    <w:link w:val="FootnoteText"/>
    <w:rsid w:val="00B86B33"/>
    <w:rPr>
      <w:rFonts w:eastAsia="SimSun"/>
      <w:sz w:val="18"/>
      <w:lang w:val="en-US" w:eastAsia="zh-CN"/>
    </w:rPr>
  </w:style>
  <w:style w:type="paragraph" w:styleId="BalloonText">
    <w:name w:val="Balloon Text"/>
    <w:basedOn w:val="Normal"/>
    <w:link w:val="BalloonTextChar"/>
    <w:rsid w:val="00B86B33"/>
    <w:pPr>
      <w:spacing w:line="240" w:lineRule="auto"/>
    </w:pPr>
    <w:rPr>
      <w:rFonts w:ascii="Tahoma" w:hAnsi="Tahoma" w:cs="Tahoma"/>
      <w:sz w:val="16"/>
      <w:szCs w:val="16"/>
    </w:rPr>
  </w:style>
  <w:style w:type="character" w:customStyle="1" w:styleId="BalloonTextChar">
    <w:name w:val="Balloon Text Char"/>
    <w:link w:val="BalloonText"/>
    <w:rsid w:val="00B86B33"/>
    <w:rPr>
      <w:rFonts w:ascii="Tahoma" w:hAnsi="Tahoma" w:cs="Tahoma"/>
      <w:sz w:val="16"/>
      <w:szCs w:val="16"/>
      <w:lang w:eastAsia="en-US"/>
    </w:rPr>
  </w:style>
  <w:style w:type="paragraph" w:styleId="Revision">
    <w:name w:val="Revision"/>
    <w:hidden/>
    <w:uiPriority w:val="99"/>
    <w:semiHidden/>
    <w:rsid w:val="003E5A37"/>
    <w:rPr>
      <w:lang w:eastAsia="en-US"/>
    </w:rPr>
  </w:style>
  <w:style w:type="character" w:styleId="CommentReference">
    <w:name w:val="annotation reference"/>
    <w:rsid w:val="00967FB1"/>
    <w:rPr>
      <w:sz w:val="16"/>
      <w:szCs w:val="16"/>
    </w:rPr>
  </w:style>
  <w:style w:type="paragraph" w:styleId="CommentText">
    <w:name w:val="annotation text"/>
    <w:basedOn w:val="Normal"/>
    <w:link w:val="CommentTextChar"/>
    <w:rsid w:val="00967FB1"/>
    <w:pPr>
      <w:spacing w:line="240" w:lineRule="auto"/>
    </w:pPr>
  </w:style>
  <w:style w:type="character" w:customStyle="1" w:styleId="CommentTextChar">
    <w:name w:val="Comment Text Char"/>
    <w:link w:val="CommentText"/>
    <w:rsid w:val="00967FB1"/>
    <w:rPr>
      <w:lang w:eastAsia="en-US"/>
    </w:rPr>
  </w:style>
  <w:style w:type="paragraph" w:styleId="CommentSubject">
    <w:name w:val="annotation subject"/>
    <w:basedOn w:val="CommentText"/>
    <w:next w:val="CommentText"/>
    <w:link w:val="CommentSubjectChar"/>
    <w:rsid w:val="00967FB1"/>
    <w:rPr>
      <w:b/>
      <w:bCs/>
    </w:rPr>
  </w:style>
  <w:style w:type="character" w:customStyle="1" w:styleId="CommentSubjectChar">
    <w:name w:val="Comment Subject Char"/>
    <w:link w:val="CommentSubject"/>
    <w:rsid w:val="00967FB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051">
      <w:bodyDiv w:val="1"/>
      <w:marLeft w:val="0"/>
      <w:marRight w:val="0"/>
      <w:marTop w:val="0"/>
      <w:marBottom w:val="0"/>
      <w:divBdr>
        <w:top w:val="none" w:sz="0" w:space="0" w:color="auto"/>
        <w:left w:val="none" w:sz="0" w:space="0" w:color="auto"/>
        <w:bottom w:val="none" w:sz="0" w:space="0" w:color="auto"/>
        <w:right w:val="none" w:sz="0" w:space="0" w:color="auto"/>
      </w:divBdr>
    </w:div>
    <w:div w:id="188031341">
      <w:bodyDiv w:val="1"/>
      <w:marLeft w:val="0"/>
      <w:marRight w:val="0"/>
      <w:marTop w:val="0"/>
      <w:marBottom w:val="0"/>
      <w:divBdr>
        <w:top w:val="none" w:sz="0" w:space="0" w:color="auto"/>
        <w:left w:val="none" w:sz="0" w:space="0" w:color="auto"/>
        <w:bottom w:val="none" w:sz="0" w:space="0" w:color="auto"/>
        <w:right w:val="none" w:sz="0" w:space="0" w:color="auto"/>
      </w:divBdr>
    </w:div>
    <w:div w:id="235942528">
      <w:bodyDiv w:val="1"/>
      <w:marLeft w:val="0"/>
      <w:marRight w:val="0"/>
      <w:marTop w:val="0"/>
      <w:marBottom w:val="0"/>
      <w:divBdr>
        <w:top w:val="none" w:sz="0" w:space="0" w:color="auto"/>
        <w:left w:val="none" w:sz="0" w:space="0" w:color="auto"/>
        <w:bottom w:val="none" w:sz="0" w:space="0" w:color="auto"/>
        <w:right w:val="none" w:sz="0" w:space="0" w:color="auto"/>
      </w:divBdr>
    </w:div>
    <w:div w:id="635381285">
      <w:bodyDiv w:val="1"/>
      <w:marLeft w:val="0"/>
      <w:marRight w:val="0"/>
      <w:marTop w:val="0"/>
      <w:marBottom w:val="0"/>
      <w:divBdr>
        <w:top w:val="none" w:sz="0" w:space="0" w:color="auto"/>
        <w:left w:val="none" w:sz="0" w:space="0" w:color="auto"/>
        <w:bottom w:val="none" w:sz="0" w:space="0" w:color="auto"/>
        <w:right w:val="none" w:sz="0" w:space="0" w:color="auto"/>
      </w:divBdr>
    </w:div>
    <w:div w:id="80504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0</TotalTime>
  <Pages>12</Pages>
  <Words>5576</Words>
  <Characters>31787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Thodiyil Sindu</dc:creator>
  <cp:lastModifiedBy>Temporaire</cp:lastModifiedBy>
  <cp:revision>3</cp:revision>
  <cp:lastPrinted>2015-08-19T06:40:00Z</cp:lastPrinted>
  <dcterms:created xsi:type="dcterms:W3CDTF">2015-08-19T06:40:00Z</dcterms:created>
  <dcterms:modified xsi:type="dcterms:W3CDTF">2015-08-19T06:40:00Z</dcterms:modified>
</cp:coreProperties>
</file>