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21C9" w14:textId="77777777" w:rsidR="00787A58" w:rsidRDefault="00787A58" w:rsidP="00787A58">
      <w:pPr>
        <w:spacing w:line="240" w:lineRule="auto"/>
        <w:rPr>
          <w:sz w:val="2"/>
        </w:rPr>
        <w:sectPr w:rsidR="00787A58" w:rsidSect="00A351F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13A6F914" w14:textId="144C05F9" w:rsidR="00787A58" w:rsidRDefault="00A351F4" w:rsidP="00A351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93950">
        <w:rPr>
          <w:lang w:val="fr-FR"/>
        </w:rPr>
        <w:t>Comité pour l</w:t>
      </w:r>
      <w:r>
        <w:rPr>
          <w:lang w:val="fr-FR"/>
        </w:rPr>
        <w:t>’</w:t>
      </w:r>
      <w:r w:rsidRPr="00393950">
        <w:rPr>
          <w:lang w:val="fr-FR"/>
        </w:rPr>
        <w:t xml:space="preserve">élimination de la discrimination </w:t>
      </w:r>
      <w:r>
        <w:rPr>
          <w:lang w:val="fr-FR"/>
        </w:rPr>
        <w:br/>
      </w:r>
      <w:r w:rsidRPr="00393950">
        <w:rPr>
          <w:lang w:val="fr-FR"/>
        </w:rPr>
        <w:t>à l</w:t>
      </w:r>
      <w:r>
        <w:rPr>
          <w:lang w:val="fr-FR"/>
        </w:rPr>
        <w:t>’</w:t>
      </w:r>
      <w:r w:rsidRPr="00393950">
        <w:rPr>
          <w:lang w:val="fr-FR"/>
        </w:rPr>
        <w:t>égard des femmes</w:t>
      </w:r>
    </w:p>
    <w:p w14:paraId="438DE950" w14:textId="425A021B" w:rsidR="00A351F4" w:rsidRPr="00A351F4" w:rsidRDefault="00A351F4" w:rsidP="00A351F4">
      <w:pPr>
        <w:pStyle w:val="SingleTxt"/>
        <w:spacing w:after="0" w:line="120" w:lineRule="exact"/>
        <w:rPr>
          <w:sz w:val="10"/>
          <w:lang w:val="fr-FR"/>
        </w:rPr>
      </w:pPr>
    </w:p>
    <w:p w14:paraId="120F9529" w14:textId="7ADA0714" w:rsidR="00A351F4" w:rsidRPr="00A351F4" w:rsidRDefault="00A351F4" w:rsidP="00A351F4">
      <w:pPr>
        <w:pStyle w:val="SingleTxt"/>
        <w:spacing w:after="0" w:line="120" w:lineRule="exact"/>
        <w:rPr>
          <w:sz w:val="10"/>
          <w:lang w:val="fr-FR"/>
        </w:rPr>
      </w:pPr>
    </w:p>
    <w:p w14:paraId="194E8B85" w14:textId="754B2D87" w:rsidR="00A351F4" w:rsidRPr="00A351F4" w:rsidRDefault="00A351F4" w:rsidP="00A351F4">
      <w:pPr>
        <w:pStyle w:val="SingleTxt"/>
        <w:spacing w:after="0" w:line="120" w:lineRule="exact"/>
        <w:rPr>
          <w:sz w:val="10"/>
          <w:lang w:val="fr-FR"/>
        </w:rPr>
      </w:pPr>
    </w:p>
    <w:p w14:paraId="3883E69B" w14:textId="77777777" w:rsidR="00A351F4" w:rsidRPr="00393950" w:rsidRDefault="00A351F4" w:rsidP="00A351F4">
      <w:pPr>
        <w:pStyle w:val="TitleHCH"/>
        <w:ind w:right="1260"/>
        <w:rPr>
          <w:lang w:val="fr-FR"/>
        </w:rPr>
      </w:pPr>
      <w:r w:rsidRPr="00393950">
        <w:rPr>
          <w:lang w:val="fr-FR"/>
        </w:rPr>
        <w:tab/>
      </w:r>
      <w:r w:rsidRPr="00393950">
        <w:rPr>
          <w:lang w:val="fr-FR"/>
        </w:rPr>
        <w:tab/>
        <w:t>Observations finales concernant le cinquième rapport périodique du Liechtenstein</w:t>
      </w:r>
      <w:r w:rsidRPr="00A351F4">
        <w:rPr>
          <w:b w:val="0"/>
          <w:bCs/>
          <w:sz w:val="20"/>
          <w:szCs w:val="20"/>
          <w:lang w:val="fr-FR"/>
        </w:rPr>
        <w:footnoteReference w:customMarkFollows="1" w:id="1"/>
        <w:t>*</w:t>
      </w:r>
    </w:p>
    <w:p w14:paraId="3732A333" w14:textId="77777777" w:rsidR="00A351F4" w:rsidRPr="00E76131" w:rsidRDefault="00A351F4" w:rsidP="00A351F4">
      <w:pPr>
        <w:pStyle w:val="SingleTxt"/>
        <w:spacing w:after="0" w:line="120" w:lineRule="exact"/>
        <w:rPr>
          <w:sz w:val="10"/>
          <w:lang w:val="fr-FR"/>
        </w:rPr>
      </w:pPr>
    </w:p>
    <w:p w14:paraId="2CAB9BAB" w14:textId="77777777" w:rsidR="00A351F4" w:rsidRPr="00E76131" w:rsidRDefault="00A351F4" w:rsidP="00A351F4">
      <w:pPr>
        <w:pStyle w:val="SingleTxt"/>
        <w:spacing w:after="0" w:line="120" w:lineRule="exact"/>
        <w:rPr>
          <w:sz w:val="10"/>
          <w:lang w:val="fr-FR"/>
        </w:rPr>
      </w:pPr>
    </w:p>
    <w:p w14:paraId="4E7FB52E" w14:textId="1D9FFD7B" w:rsidR="00A351F4" w:rsidRPr="00393950" w:rsidRDefault="00A351F4" w:rsidP="00A351F4">
      <w:pPr>
        <w:pStyle w:val="SingleTxt"/>
        <w:numPr>
          <w:ilvl w:val="0"/>
          <w:numId w:val="38"/>
        </w:numPr>
        <w:spacing w:line="240" w:lineRule="exact"/>
        <w:ind w:left="1267"/>
        <w:rPr>
          <w:lang w:val="fr-FR"/>
        </w:rPr>
      </w:pPr>
      <w:r w:rsidRPr="00393950">
        <w:rPr>
          <w:lang w:val="fr-FR"/>
        </w:rPr>
        <w:t>Le Comité a examiné le cinquième rapport périodique du Liechtenstein (</w:t>
      </w:r>
      <w:hyperlink r:id="rId15" w:history="1">
        <w:r w:rsidRPr="00FC485F">
          <w:rPr>
            <w:rStyle w:val="Hyperlink"/>
            <w:lang w:val="fr-FR"/>
          </w:rPr>
          <w:t>CEDAW/C/LIE/5</w:t>
        </w:r>
      </w:hyperlink>
      <w:r w:rsidRPr="00393950">
        <w:rPr>
          <w:lang w:val="fr-FR"/>
        </w:rPr>
        <w:t>) à ses 1606</w:t>
      </w:r>
      <w:r w:rsidRPr="00393950">
        <w:rPr>
          <w:vertAlign w:val="superscript"/>
          <w:lang w:val="fr-FR"/>
        </w:rPr>
        <w:t>e</w:t>
      </w:r>
      <w:r w:rsidRPr="00393950">
        <w:rPr>
          <w:lang w:val="fr-FR"/>
        </w:rPr>
        <w:t xml:space="preserve"> et 1607</w:t>
      </w:r>
      <w:r w:rsidRPr="00393950">
        <w:rPr>
          <w:vertAlign w:val="superscript"/>
          <w:lang w:val="fr-FR"/>
        </w:rPr>
        <w:t>e</w:t>
      </w:r>
      <w:r>
        <w:rPr>
          <w:lang w:val="fr-FR"/>
        </w:rPr>
        <w:t> </w:t>
      </w:r>
      <w:r w:rsidRPr="00393950">
        <w:rPr>
          <w:lang w:val="fr-FR"/>
        </w:rPr>
        <w:t xml:space="preserve">séances (voir </w:t>
      </w:r>
      <w:bookmarkStart w:id="1" w:name="_GoBack"/>
      <w:bookmarkEnd w:id="1"/>
      <w:r>
        <w:fldChar w:fldCharType="begin"/>
      </w:r>
      <w:r>
        <w:instrText xml:space="preserve"> HYPERLINK "https://undocs.org/fr/CEDAW/C/SR.1606" </w:instrText>
      </w:r>
      <w:r>
        <w:fldChar w:fldCharType="separate"/>
      </w:r>
      <w:r w:rsidRPr="00FC485F">
        <w:rPr>
          <w:rStyle w:val="Hyperlink"/>
          <w:lang w:val="fr-FR"/>
        </w:rPr>
        <w:t>CEDAW/C/SR.1606</w:t>
      </w:r>
      <w:r>
        <w:rPr>
          <w:rStyle w:val="Hyperlink"/>
          <w:lang w:val="fr-FR"/>
        </w:rPr>
        <w:fldChar w:fldCharType="end"/>
      </w:r>
      <w:r w:rsidRPr="00393950">
        <w:rPr>
          <w:lang w:val="fr-FR"/>
        </w:rPr>
        <w:t xml:space="preserve"> et </w:t>
      </w:r>
      <w:hyperlink r:id="rId16" w:history="1">
        <w:r w:rsidRPr="00FC485F">
          <w:rPr>
            <w:rStyle w:val="Hyperlink"/>
            <w:lang w:val="fr-FR"/>
          </w:rPr>
          <w:t>CEDAW/C/SR.1607</w:t>
        </w:r>
      </w:hyperlink>
      <w:r w:rsidRPr="00393950">
        <w:rPr>
          <w:lang w:val="fr-FR"/>
        </w:rPr>
        <w:t>), le 5 juillet 2018.</w:t>
      </w:r>
    </w:p>
    <w:p w14:paraId="1456792F" w14:textId="77777777" w:rsidR="00A351F4" w:rsidRPr="00E76131" w:rsidRDefault="00A351F4" w:rsidP="00A351F4">
      <w:pPr>
        <w:pStyle w:val="SingleTxt"/>
        <w:spacing w:after="0" w:line="120" w:lineRule="exact"/>
        <w:rPr>
          <w:b/>
          <w:sz w:val="10"/>
          <w:lang w:val="fr-FR"/>
        </w:rPr>
      </w:pPr>
    </w:p>
    <w:p w14:paraId="5473C0E3" w14:textId="77777777" w:rsidR="00A351F4" w:rsidRPr="00E76131" w:rsidRDefault="00A351F4" w:rsidP="00A351F4">
      <w:pPr>
        <w:pStyle w:val="SingleTxt"/>
        <w:spacing w:after="0" w:line="120" w:lineRule="exact"/>
        <w:rPr>
          <w:b/>
          <w:sz w:val="10"/>
          <w:lang w:val="fr-FR"/>
        </w:rPr>
      </w:pPr>
    </w:p>
    <w:p w14:paraId="77BBA2DF" w14:textId="77777777" w:rsidR="00A351F4" w:rsidRPr="00393950" w:rsidRDefault="00A351F4" w:rsidP="00A351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393950">
        <w:rPr>
          <w:lang w:val="fr-FR"/>
        </w:rPr>
        <w:t>A.</w:t>
      </w:r>
      <w:r w:rsidRPr="00393950">
        <w:rPr>
          <w:lang w:val="fr-FR"/>
        </w:rPr>
        <w:tab/>
        <w:t>Introduction</w:t>
      </w:r>
    </w:p>
    <w:p w14:paraId="7464401E" w14:textId="77777777" w:rsidR="00A351F4" w:rsidRPr="00E76131" w:rsidRDefault="00A351F4" w:rsidP="00A351F4">
      <w:pPr>
        <w:pStyle w:val="SingleTxt"/>
        <w:spacing w:after="0" w:line="120" w:lineRule="exact"/>
        <w:rPr>
          <w:sz w:val="10"/>
          <w:lang w:val="fr-FR"/>
        </w:rPr>
      </w:pPr>
    </w:p>
    <w:p w14:paraId="44FCA985" w14:textId="77777777" w:rsidR="00A351F4" w:rsidRPr="00E76131" w:rsidRDefault="00A351F4" w:rsidP="00A351F4">
      <w:pPr>
        <w:pStyle w:val="SingleTxt"/>
        <w:spacing w:after="0" w:line="120" w:lineRule="exact"/>
        <w:rPr>
          <w:sz w:val="10"/>
          <w:lang w:val="fr-FR"/>
        </w:rPr>
      </w:pPr>
    </w:p>
    <w:p w14:paraId="2C003F71" w14:textId="39A6A09E" w:rsidR="00A351F4" w:rsidRPr="00393950" w:rsidRDefault="00A351F4" w:rsidP="00A351F4">
      <w:pPr>
        <w:pStyle w:val="SingleTxt"/>
        <w:numPr>
          <w:ilvl w:val="0"/>
          <w:numId w:val="38"/>
        </w:numPr>
        <w:spacing w:line="240" w:lineRule="exact"/>
        <w:ind w:left="1267"/>
        <w:rPr>
          <w:lang w:val="fr-FR"/>
        </w:rPr>
      </w:pPr>
      <w:r w:rsidRPr="00393950">
        <w:rPr>
          <w:lang w:val="fr-FR"/>
        </w:rPr>
        <w:t>Le Comité accueille avec satisfaction le cinquième rapport périodique de l</w:t>
      </w:r>
      <w:r>
        <w:rPr>
          <w:lang w:val="fr-FR"/>
        </w:rPr>
        <w:t>’</w:t>
      </w:r>
      <w:r w:rsidRPr="00393950">
        <w:rPr>
          <w:lang w:val="fr-FR"/>
        </w:rPr>
        <w:t>État partie, qui a été soumis à partir de la liste de points et de questions établie avant la soumission du rapport (</w:t>
      </w:r>
      <w:hyperlink r:id="rId17" w:history="1">
        <w:r w:rsidRPr="00FC485F">
          <w:rPr>
            <w:rStyle w:val="Hyperlink"/>
            <w:lang w:val="fr-FR"/>
          </w:rPr>
          <w:t>CEDAW/C/LIE/QPR/5</w:t>
        </w:r>
      </w:hyperlink>
      <w:r w:rsidRPr="00393950">
        <w:rPr>
          <w:lang w:val="fr-FR"/>
        </w:rPr>
        <w:t>), ainsi que son rapport de suivi du rapport périodique précédent (</w:t>
      </w:r>
      <w:hyperlink r:id="rId18" w:history="1">
        <w:r w:rsidRPr="00FC485F">
          <w:rPr>
            <w:rStyle w:val="Hyperlink"/>
            <w:lang w:val="fr-FR"/>
          </w:rPr>
          <w:t>CEDAW/C/LIE/CO/4/Add.1</w:t>
        </w:r>
      </w:hyperlink>
      <w:r w:rsidRPr="00393950">
        <w:rPr>
          <w:lang w:val="fr-FR"/>
        </w:rPr>
        <w:t>). Il remercie l</w:t>
      </w:r>
      <w:r>
        <w:rPr>
          <w:lang w:val="fr-FR"/>
        </w:rPr>
        <w:t>’</w:t>
      </w:r>
      <w:r w:rsidRPr="00393950">
        <w:rPr>
          <w:lang w:val="fr-FR"/>
        </w:rPr>
        <w:t>État partie, dont la délégation a présenté le rapport oralement, et qui a apporté des éclaircissements complémentaires aux questions posées oralement par le Comité pendant le dialogue.</w:t>
      </w:r>
    </w:p>
    <w:p w14:paraId="208E89A6" w14:textId="77777777" w:rsidR="00A351F4" w:rsidRPr="00393950" w:rsidRDefault="00A351F4" w:rsidP="00A351F4">
      <w:pPr>
        <w:pStyle w:val="SingleTxt"/>
        <w:numPr>
          <w:ilvl w:val="0"/>
          <w:numId w:val="38"/>
        </w:numPr>
        <w:spacing w:line="240" w:lineRule="exact"/>
        <w:ind w:left="1267"/>
        <w:rPr>
          <w:lang w:val="fr-FR"/>
        </w:rPr>
      </w:pPr>
      <w:r w:rsidRPr="00393950">
        <w:rPr>
          <w:lang w:val="fr-FR"/>
        </w:rPr>
        <w:t>Le Comité remercie l</w:t>
      </w:r>
      <w:r>
        <w:rPr>
          <w:lang w:val="fr-FR"/>
        </w:rPr>
        <w:t>’</w:t>
      </w:r>
      <w:r w:rsidRPr="00393950">
        <w:rPr>
          <w:lang w:val="fr-FR"/>
        </w:rPr>
        <w:t>État partie d</w:t>
      </w:r>
      <w:r>
        <w:rPr>
          <w:lang w:val="fr-FR"/>
        </w:rPr>
        <w:t>’</w:t>
      </w:r>
      <w:r w:rsidRPr="00393950">
        <w:rPr>
          <w:lang w:val="fr-FR"/>
        </w:rPr>
        <w:t>avoir envoyé une délégation, conduite par Martin Frick, Ambassadeur et Directeur du Bureau des affaires étrangères de la Principauté du Liechtenstein. La délégation comprenait aussi des représentants du Bureau des migrations et des passeports, du Bureau de l</w:t>
      </w:r>
      <w:r>
        <w:rPr>
          <w:lang w:val="fr-FR"/>
        </w:rPr>
        <w:t>’</w:t>
      </w:r>
      <w:r w:rsidRPr="00393950">
        <w:rPr>
          <w:lang w:val="fr-FR"/>
        </w:rPr>
        <w:t>éducation, de la police nationale, du Bureau des services sociaux, du Bureau des affaires étrangères et de la Mission permanente du Liechtenstein auprès de l</w:t>
      </w:r>
      <w:r>
        <w:rPr>
          <w:lang w:val="fr-FR"/>
        </w:rPr>
        <w:t>’</w:t>
      </w:r>
      <w:r w:rsidRPr="00393950">
        <w:rPr>
          <w:lang w:val="fr-FR"/>
        </w:rPr>
        <w:t>Office des Nations Unies et des autres organisations internationales à Genève, ainsi que des interprètes.</w:t>
      </w:r>
    </w:p>
    <w:p w14:paraId="1743769B" w14:textId="77777777" w:rsidR="00A351F4" w:rsidRPr="00E76131" w:rsidRDefault="00A351F4" w:rsidP="00A351F4">
      <w:pPr>
        <w:pStyle w:val="SingleTxt"/>
        <w:spacing w:after="0" w:line="120" w:lineRule="exact"/>
        <w:rPr>
          <w:b/>
          <w:sz w:val="10"/>
          <w:lang w:val="fr-FR"/>
        </w:rPr>
      </w:pPr>
    </w:p>
    <w:p w14:paraId="1229CEDC" w14:textId="77777777" w:rsidR="00A351F4" w:rsidRPr="00E76131" w:rsidRDefault="00A351F4" w:rsidP="00A351F4">
      <w:pPr>
        <w:pStyle w:val="SingleTxt"/>
        <w:spacing w:after="0" w:line="120" w:lineRule="exact"/>
        <w:rPr>
          <w:b/>
          <w:sz w:val="10"/>
          <w:lang w:val="fr-FR"/>
        </w:rPr>
      </w:pPr>
    </w:p>
    <w:p w14:paraId="68F18A63" w14:textId="77777777" w:rsidR="00A351F4" w:rsidRPr="00393950" w:rsidRDefault="00A351F4" w:rsidP="00A351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393950">
        <w:rPr>
          <w:lang w:val="fr-FR"/>
        </w:rPr>
        <w:t>B.</w:t>
      </w:r>
      <w:r w:rsidRPr="00393950">
        <w:rPr>
          <w:lang w:val="fr-FR"/>
        </w:rPr>
        <w:tab/>
        <w:t>Aspects positifs</w:t>
      </w:r>
    </w:p>
    <w:p w14:paraId="1556E836" w14:textId="77777777" w:rsidR="00A351F4" w:rsidRPr="00E76131" w:rsidRDefault="00A351F4" w:rsidP="00A351F4">
      <w:pPr>
        <w:pStyle w:val="SingleTxt"/>
        <w:spacing w:after="0" w:line="120" w:lineRule="exact"/>
        <w:rPr>
          <w:sz w:val="10"/>
          <w:lang w:val="fr-FR"/>
        </w:rPr>
      </w:pPr>
    </w:p>
    <w:p w14:paraId="421716D7" w14:textId="77777777" w:rsidR="00A351F4" w:rsidRPr="00E76131" w:rsidRDefault="00A351F4" w:rsidP="00A351F4">
      <w:pPr>
        <w:pStyle w:val="SingleTxt"/>
        <w:spacing w:after="0" w:line="120" w:lineRule="exact"/>
        <w:rPr>
          <w:sz w:val="10"/>
          <w:lang w:val="fr-FR"/>
        </w:rPr>
      </w:pPr>
    </w:p>
    <w:p w14:paraId="0AD40AEE" w14:textId="486C975A" w:rsidR="00A351F4" w:rsidRPr="00393950" w:rsidRDefault="00A351F4" w:rsidP="00A351F4">
      <w:pPr>
        <w:pStyle w:val="SingleTxt"/>
        <w:numPr>
          <w:ilvl w:val="0"/>
          <w:numId w:val="38"/>
        </w:numPr>
        <w:spacing w:line="240" w:lineRule="exact"/>
        <w:ind w:left="1267"/>
        <w:rPr>
          <w:lang w:val="fr-FR"/>
        </w:rPr>
      </w:pPr>
      <w:r w:rsidRPr="00393950">
        <w:rPr>
          <w:lang w:val="fr-FR"/>
        </w:rPr>
        <w:t>Le Comité salue les progrès réalisés depuis l</w:t>
      </w:r>
      <w:r>
        <w:rPr>
          <w:lang w:val="fr-FR"/>
        </w:rPr>
        <w:t>’</w:t>
      </w:r>
      <w:r w:rsidRPr="00393950">
        <w:rPr>
          <w:lang w:val="fr-FR"/>
        </w:rPr>
        <w:t>examen, en 2011, du quatrième rapport périodique (</w:t>
      </w:r>
      <w:hyperlink r:id="rId19" w:history="1">
        <w:r w:rsidRPr="00FC485F">
          <w:rPr>
            <w:rStyle w:val="Hyperlink"/>
            <w:lang w:val="fr-FR"/>
          </w:rPr>
          <w:t>CEDAW/C/LIE/4</w:t>
        </w:r>
      </w:hyperlink>
      <w:r w:rsidRPr="00393950">
        <w:rPr>
          <w:lang w:val="fr-FR"/>
        </w:rPr>
        <w:t>) de l</w:t>
      </w:r>
      <w:r>
        <w:rPr>
          <w:lang w:val="fr-FR"/>
        </w:rPr>
        <w:t>’</w:t>
      </w:r>
      <w:r w:rsidRPr="00393950">
        <w:rPr>
          <w:lang w:val="fr-FR"/>
        </w:rPr>
        <w:t>État partie en ce qui concerne les réformes législatives, en particulier l</w:t>
      </w:r>
      <w:r>
        <w:rPr>
          <w:lang w:val="fr-FR"/>
        </w:rPr>
        <w:t>’</w:t>
      </w:r>
      <w:r w:rsidRPr="00393950">
        <w:rPr>
          <w:lang w:val="fr-FR"/>
        </w:rPr>
        <w:t>adoption des textes suivants</w:t>
      </w:r>
      <w:r>
        <w:rPr>
          <w:lang w:val="fr-FR"/>
        </w:rPr>
        <w:t> :</w:t>
      </w:r>
      <w:r w:rsidRPr="00393950">
        <w:rPr>
          <w:lang w:val="fr-FR"/>
        </w:rPr>
        <w:t xml:space="preserve"> </w:t>
      </w:r>
    </w:p>
    <w:p w14:paraId="03B3F141" w14:textId="77777777" w:rsidR="00A351F4" w:rsidRPr="00393950" w:rsidRDefault="00A351F4" w:rsidP="00A351F4">
      <w:pPr>
        <w:pStyle w:val="SingleTxt"/>
        <w:rPr>
          <w:lang w:val="fr-FR"/>
        </w:rPr>
      </w:pPr>
      <w:r w:rsidRPr="00393950">
        <w:rPr>
          <w:lang w:val="fr-FR"/>
        </w:rPr>
        <w:tab/>
        <w:t>a)</w:t>
      </w:r>
      <w:r w:rsidRPr="00393950">
        <w:rPr>
          <w:lang w:val="fr-FR"/>
        </w:rPr>
        <w:tab/>
        <w:t>En 2016, la loi n</w:t>
      </w:r>
      <w:r w:rsidRPr="00393950">
        <w:rPr>
          <w:vertAlign w:val="superscript"/>
          <w:lang w:val="fr-FR"/>
        </w:rPr>
        <w:t>o</w:t>
      </w:r>
      <w:r w:rsidRPr="00393950">
        <w:rPr>
          <w:lang w:val="fr-FR"/>
        </w:rPr>
        <w:t> 504 relative à l</w:t>
      </w:r>
      <w:r>
        <w:rPr>
          <w:lang w:val="fr-FR"/>
        </w:rPr>
        <w:t>’</w:t>
      </w:r>
      <w:r w:rsidRPr="00393950">
        <w:rPr>
          <w:lang w:val="fr-FR"/>
        </w:rPr>
        <w:t>Association liechtensteinoise des droits de l</w:t>
      </w:r>
      <w:r>
        <w:rPr>
          <w:lang w:val="fr-FR"/>
        </w:rPr>
        <w:t>’</w:t>
      </w:r>
      <w:r w:rsidRPr="00393950">
        <w:rPr>
          <w:lang w:val="fr-FR"/>
        </w:rPr>
        <w:t>homme, qui constitue le fondement juridique de l</w:t>
      </w:r>
      <w:r>
        <w:rPr>
          <w:lang w:val="fr-FR"/>
        </w:rPr>
        <w:t>’</w:t>
      </w:r>
      <w:r w:rsidRPr="00393950">
        <w:rPr>
          <w:lang w:val="fr-FR"/>
        </w:rPr>
        <w:t>institution nationale de défense des droits de l</w:t>
      </w:r>
      <w:r>
        <w:rPr>
          <w:lang w:val="fr-FR"/>
        </w:rPr>
        <w:t>’</w:t>
      </w:r>
      <w:r w:rsidRPr="00393950">
        <w:rPr>
          <w:lang w:val="fr-FR"/>
        </w:rPr>
        <w:t>homme du Liechtenstein</w:t>
      </w:r>
      <w:r>
        <w:rPr>
          <w:lang w:val="fr-FR"/>
        </w:rPr>
        <w:t> ;</w:t>
      </w:r>
    </w:p>
    <w:p w14:paraId="293B0535" w14:textId="77777777" w:rsidR="00A351F4" w:rsidRPr="00393950" w:rsidRDefault="00A351F4" w:rsidP="00A351F4">
      <w:pPr>
        <w:pStyle w:val="SingleTxt"/>
        <w:rPr>
          <w:lang w:val="fr-FR"/>
        </w:rPr>
      </w:pPr>
      <w:r>
        <w:rPr>
          <w:lang w:val="fr-FR"/>
        </w:rPr>
        <w:lastRenderedPageBreak/>
        <w:tab/>
      </w:r>
      <w:r w:rsidRPr="00393950">
        <w:rPr>
          <w:lang w:val="fr-FR"/>
        </w:rPr>
        <w:t>b)</w:t>
      </w:r>
      <w:r w:rsidRPr="00393950">
        <w:rPr>
          <w:lang w:val="fr-FR"/>
        </w:rPr>
        <w:tab/>
        <w:t>En 2016, l</w:t>
      </w:r>
      <w:r>
        <w:rPr>
          <w:lang w:val="fr-FR"/>
        </w:rPr>
        <w:t>’</w:t>
      </w:r>
      <w:r w:rsidRPr="00393950">
        <w:rPr>
          <w:lang w:val="fr-FR"/>
        </w:rPr>
        <w:t>article 283 du Code pénal, qui fait figurer le genre parmi les motifs de discrimination interdits</w:t>
      </w:r>
      <w:r>
        <w:rPr>
          <w:lang w:val="fr-FR"/>
        </w:rPr>
        <w:t> ;</w:t>
      </w:r>
      <w:r w:rsidRPr="00393950">
        <w:rPr>
          <w:lang w:val="fr-FR"/>
        </w:rPr>
        <w:t xml:space="preserve"> </w:t>
      </w:r>
    </w:p>
    <w:p w14:paraId="58439DBD" w14:textId="77777777" w:rsidR="00A351F4" w:rsidRPr="00393950" w:rsidRDefault="00A351F4" w:rsidP="00A351F4">
      <w:pPr>
        <w:pStyle w:val="SingleTxt"/>
        <w:rPr>
          <w:lang w:val="fr-FR"/>
        </w:rPr>
      </w:pPr>
      <w:r>
        <w:rPr>
          <w:lang w:val="fr-FR"/>
        </w:rPr>
        <w:tab/>
      </w:r>
      <w:r w:rsidRPr="00393950">
        <w:rPr>
          <w:lang w:val="fr-FR"/>
        </w:rPr>
        <w:t>c)</w:t>
      </w:r>
      <w:r w:rsidRPr="00393950">
        <w:rPr>
          <w:lang w:val="fr-FR"/>
        </w:rPr>
        <w:tab/>
        <w:t>En 2015, la nouvelle loi relative aux parents et aux enfants, qui fait de la garde conjointe la règle générale après toute séparation ou tout divorce, pour autant qu</w:t>
      </w:r>
      <w:r>
        <w:rPr>
          <w:lang w:val="fr-FR"/>
        </w:rPr>
        <w:t>’</w:t>
      </w:r>
      <w:r w:rsidRPr="00393950">
        <w:rPr>
          <w:lang w:val="fr-FR"/>
        </w:rPr>
        <w:t>elle soit dans l</w:t>
      </w:r>
      <w:r>
        <w:rPr>
          <w:lang w:val="fr-FR"/>
        </w:rPr>
        <w:t>’</w:t>
      </w:r>
      <w:r w:rsidRPr="00393950">
        <w:rPr>
          <w:lang w:val="fr-FR"/>
        </w:rPr>
        <w:t>intérêt supérieur de l</w:t>
      </w:r>
      <w:r>
        <w:rPr>
          <w:lang w:val="fr-FR"/>
        </w:rPr>
        <w:t>’</w:t>
      </w:r>
      <w:r w:rsidRPr="00393950">
        <w:rPr>
          <w:lang w:val="fr-FR"/>
        </w:rPr>
        <w:t>enfant</w:t>
      </w:r>
      <w:r>
        <w:rPr>
          <w:lang w:val="fr-FR"/>
        </w:rPr>
        <w:t> ;</w:t>
      </w:r>
      <w:r w:rsidRPr="00393950">
        <w:rPr>
          <w:lang w:val="fr-FR"/>
        </w:rPr>
        <w:t xml:space="preserve"> </w:t>
      </w:r>
    </w:p>
    <w:p w14:paraId="3507538C" w14:textId="77777777" w:rsidR="00A351F4" w:rsidRPr="00393950" w:rsidRDefault="00A351F4" w:rsidP="00A351F4">
      <w:pPr>
        <w:pStyle w:val="SingleTxt"/>
        <w:rPr>
          <w:lang w:val="fr-FR"/>
        </w:rPr>
      </w:pPr>
      <w:r>
        <w:rPr>
          <w:lang w:val="fr-FR"/>
        </w:rPr>
        <w:tab/>
      </w:r>
      <w:r w:rsidRPr="00393950">
        <w:rPr>
          <w:lang w:val="fr-FR"/>
        </w:rPr>
        <w:t>d)</w:t>
      </w:r>
      <w:r w:rsidRPr="00393950">
        <w:rPr>
          <w:lang w:val="fr-FR"/>
        </w:rPr>
        <w:tab/>
        <w:t>En 2012, les modifications de la loi relative à l</w:t>
      </w:r>
      <w:r>
        <w:rPr>
          <w:lang w:val="fr-FR"/>
        </w:rPr>
        <w:t>’</w:t>
      </w:r>
      <w:r w:rsidRPr="00393950">
        <w:rPr>
          <w:lang w:val="fr-FR"/>
        </w:rPr>
        <w:t>asile qui établissent des motifs fondés sur le sexe pour lesquels le droit d</w:t>
      </w:r>
      <w:r>
        <w:rPr>
          <w:lang w:val="fr-FR"/>
        </w:rPr>
        <w:t>’</w:t>
      </w:r>
      <w:r w:rsidRPr="00393950">
        <w:rPr>
          <w:lang w:val="fr-FR"/>
        </w:rPr>
        <w:t>asile peut être obtenu</w:t>
      </w:r>
      <w:r>
        <w:rPr>
          <w:lang w:val="fr-FR"/>
        </w:rPr>
        <w:t> ;</w:t>
      </w:r>
      <w:r w:rsidRPr="00393950">
        <w:rPr>
          <w:lang w:val="fr-FR"/>
        </w:rPr>
        <w:t xml:space="preserve"> </w:t>
      </w:r>
    </w:p>
    <w:p w14:paraId="751CED4F" w14:textId="77777777" w:rsidR="00A351F4" w:rsidRPr="00393950" w:rsidRDefault="00A351F4" w:rsidP="00A351F4">
      <w:pPr>
        <w:pStyle w:val="SingleTxt"/>
        <w:rPr>
          <w:lang w:val="fr-FR"/>
        </w:rPr>
      </w:pPr>
      <w:r>
        <w:rPr>
          <w:lang w:val="fr-FR"/>
        </w:rPr>
        <w:tab/>
      </w:r>
      <w:r w:rsidRPr="00393950">
        <w:rPr>
          <w:lang w:val="fr-FR"/>
        </w:rPr>
        <w:t>e)</w:t>
      </w:r>
      <w:r w:rsidRPr="00393950">
        <w:rPr>
          <w:lang w:val="fr-FR"/>
        </w:rPr>
        <w:tab/>
        <w:t>En 2012, les modifications du droit des successions, grâce auxquelles la part successorale légale du (de la) conjoint(e) ou concubin(e) déclaré(e) survivant(e) est passée d</w:t>
      </w:r>
      <w:r>
        <w:rPr>
          <w:lang w:val="fr-FR"/>
        </w:rPr>
        <w:t>’</w:t>
      </w:r>
      <w:r w:rsidRPr="00393950">
        <w:rPr>
          <w:lang w:val="fr-FR"/>
        </w:rPr>
        <w:t>un tiers à la moitié du patrimoine</w:t>
      </w:r>
      <w:r>
        <w:rPr>
          <w:lang w:val="fr-FR"/>
        </w:rPr>
        <w:t> ;</w:t>
      </w:r>
    </w:p>
    <w:p w14:paraId="71C8EC87" w14:textId="77777777" w:rsidR="00A351F4" w:rsidRPr="00393950" w:rsidRDefault="00A351F4" w:rsidP="00A351F4">
      <w:pPr>
        <w:pStyle w:val="SingleTxt"/>
        <w:rPr>
          <w:lang w:val="fr-FR"/>
        </w:rPr>
      </w:pPr>
      <w:r>
        <w:rPr>
          <w:lang w:val="fr-FR"/>
        </w:rPr>
        <w:tab/>
      </w:r>
      <w:r w:rsidRPr="00393950">
        <w:rPr>
          <w:lang w:val="fr-FR"/>
        </w:rPr>
        <w:t>f)</w:t>
      </w:r>
      <w:r w:rsidRPr="00393950">
        <w:rPr>
          <w:lang w:val="fr-FR"/>
        </w:rPr>
        <w:tab/>
        <w:t>En 2011, les modifications de la loi régissant les infractions sexuelles, qui instaurent des poursuites d</w:t>
      </w:r>
      <w:r>
        <w:rPr>
          <w:lang w:val="fr-FR"/>
        </w:rPr>
        <w:t>’</w:t>
      </w:r>
      <w:r w:rsidRPr="00393950">
        <w:rPr>
          <w:lang w:val="fr-FR"/>
        </w:rPr>
        <w:t>office dans les cas de menaces dangereuses dirigées contre des membres de la famille proche, de harcèlement, de viol ou d</w:t>
      </w:r>
      <w:r>
        <w:rPr>
          <w:lang w:val="fr-FR"/>
        </w:rPr>
        <w:t>’</w:t>
      </w:r>
      <w:r w:rsidRPr="00393950">
        <w:rPr>
          <w:lang w:val="fr-FR"/>
        </w:rPr>
        <w:t>agressions sexuelles commis dans le mariage ou dans une union libre, ainsi que de mariages forcés</w:t>
      </w:r>
      <w:r>
        <w:rPr>
          <w:lang w:val="fr-FR"/>
        </w:rPr>
        <w:t> ;</w:t>
      </w:r>
    </w:p>
    <w:p w14:paraId="4426E88F" w14:textId="77777777" w:rsidR="00A351F4" w:rsidRPr="00393950" w:rsidRDefault="00A351F4" w:rsidP="00A351F4">
      <w:pPr>
        <w:pStyle w:val="SingleTxt"/>
        <w:rPr>
          <w:lang w:val="fr-FR"/>
        </w:rPr>
      </w:pPr>
      <w:r>
        <w:rPr>
          <w:lang w:val="fr-FR"/>
        </w:rPr>
        <w:tab/>
      </w:r>
      <w:r w:rsidRPr="00393950">
        <w:rPr>
          <w:lang w:val="fr-FR"/>
        </w:rPr>
        <w:t>g)</w:t>
      </w:r>
      <w:r w:rsidRPr="00393950">
        <w:rPr>
          <w:lang w:val="fr-FR"/>
        </w:rPr>
        <w:tab/>
        <w:t>En 2011, les modifications du Code pénal portant interdiction des mutilations génitales féminines.</w:t>
      </w:r>
    </w:p>
    <w:p w14:paraId="23B496FC" w14:textId="77777777" w:rsidR="00A351F4" w:rsidRPr="00393950" w:rsidRDefault="00A351F4" w:rsidP="00A351F4">
      <w:pPr>
        <w:pStyle w:val="SingleTxt"/>
        <w:numPr>
          <w:ilvl w:val="0"/>
          <w:numId w:val="38"/>
        </w:numPr>
        <w:spacing w:line="240" w:lineRule="exact"/>
        <w:ind w:left="1267"/>
        <w:rPr>
          <w:lang w:val="fr-FR"/>
        </w:rPr>
      </w:pPr>
      <w:r w:rsidRPr="00393950">
        <w:rPr>
          <w:lang w:val="fr-FR"/>
        </w:rPr>
        <w:t>Le Comité salue les efforts faits par l</w:t>
      </w:r>
      <w:r>
        <w:rPr>
          <w:lang w:val="fr-FR"/>
        </w:rPr>
        <w:t>’</w:t>
      </w:r>
      <w:r w:rsidRPr="00393950">
        <w:rPr>
          <w:lang w:val="fr-FR"/>
        </w:rPr>
        <w:t>État partie pour améliorer son cadre institutionnel et politique en vue d</w:t>
      </w:r>
      <w:r>
        <w:rPr>
          <w:lang w:val="fr-FR"/>
        </w:rPr>
        <w:t>’</w:t>
      </w:r>
      <w:r w:rsidRPr="00393950">
        <w:rPr>
          <w:lang w:val="fr-FR"/>
        </w:rPr>
        <w:t>accélérer l</w:t>
      </w:r>
      <w:r>
        <w:rPr>
          <w:lang w:val="fr-FR"/>
        </w:rPr>
        <w:t>’</w:t>
      </w:r>
      <w:r w:rsidRPr="00393950">
        <w:rPr>
          <w:lang w:val="fr-FR"/>
        </w:rPr>
        <w:t>élimination de la discrimination à l</w:t>
      </w:r>
      <w:r>
        <w:rPr>
          <w:lang w:val="fr-FR"/>
        </w:rPr>
        <w:t>’</w:t>
      </w:r>
      <w:r w:rsidRPr="00393950">
        <w:rPr>
          <w:lang w:val="fr-FR"/>
        </w:rPr>
        <w:t>égard des femmes et de promouvoir l</w:t>
      </w:r>
      <w:r>
        <w:rPr>
          <w:lang w:val="fr-FR"/>
        </w:rPr>
        <w:t>’</w:t>
      </w:r>
      <w:r w:rsidRPr="00393950">
        <w:rPr>
          <w:lang w:val="fr-FR"/>
        </w:rPr>
        <w:t>égalité femmes-hommes, notamment l</w:t>
      </w:r>
      <w:r>
        <w:rPr>
          <w:lang w:val="fr-FR"/>
        </w:rPr>
        <w:t>’</w:t>
      </w:r>
      <w:r w:rsidRPr="00393950">
        <w:rPr>
          <w:lang w:val="fr-FR"/>
        </w:rPr>
        <w:t>adoption des mesures suivantes</w:t>
      </w:r>
      <w:r>
        <w:rPr>
          <w:lang w:val="fr-FR"/>
        </w:rPr>
        <w:t> :</w:t>
      </w:r>
    </w:p>
    <w:p w14:paraId="6210FDA3" w14:textId="77777777" w:rsidR="00A351F4" w:rsidRPr="00393950" w:rsidRDefault="00A351F4" w:rsidP="00A351F4">
      <w:pPr>
        <w:pStyle w:val="SingleTxt"/>
        <w:rPr>
          <w:lang w:val="fr-FR"/>
        </w:rPr>
      </w:pPr>
      <w:r w:rsidRPr="00393950">
        <w:rPr>
          <w:lang w:val="fr-FR"/>
        </w:rPr>
        <w:tab/>
        <w:t>a)</w:t>
      </w:r>
      <w:r w:rsidRPr="00393950">
        <w:rPr>
          <w:lang w:val="fr-FR"/>
        </w:rPr>
        <w:tab/>
        <w:t>En 2018, une stratégie nationale pour la réalisation des objectifs de développement durable</w:t>
      </w:r>
      <w:r>
        <w:rPr>
          <w:lang w:val="fr-FR"/>
        </w:rPr>
        <w:t> ;</w:t>
      </w:r>
    </w:p>
    <w:p w14:paraId="40DF49FB" w14:textId="77777777" w:rsidR="00A351F4" w:rsidRPr="00393950" w:rsidRDefault="00A351F4" w:rsidP="00A351F4">
      <w:pPr>
        <w:pStyle w:val="SingleTxt"/>
        <w:rPr>
          <w:lang w:val="fr-FR"/>
        </w:rPr>
      </w:pPr>
      <w:r>
        <w:rPr>
          <w:lang w:val="fr-FR"/>
        </w:rPr>
        <w:tab/>
      </w:r>
      <w:r w:rsidRPr="00393950">
        <w:rPr>
          <w:lang w:val="fr-FR"/>
        </w:rPr>
        <w:t>b)</w:t>
      </w:r>
      <w:r w:rsidRPr="00393950">
        <w:rPr>
          <w:lang w:val="fr-FR"/>
        </w:rPr>
        <w:tab/>
        <w:t>En 2017, la révision des Directives relatives à la lutte contre la traite des êtres humains</w:t>
      </w:r>
      <w:r>
        <w:rPr>
          <w:lang w:val="fr-FR"/>
        </w:rPr>
        <w:t> ;</w:t>
      </w:r>
    </w:p>
    <w:p w14:paraId="5125EE03" w14:textId="77777777" w:rsidR="00A351F4" w:rsidRPr="00393950" w:rsidRDefault="00A351F4" w:rsidP="00A351F4">
      <w:pPr>
        <w:pStyle w:val="SingleTxt"/>
        <w:rPr>
          <w:lang w:val="fr-FR"/>
        </w:rPr>
      </w:pPr>
      <w:r>
        <w:rPr>
          <w:lang w:val="fr-FR"/>
        </w:rPr>
        <w:tab/>
      </w:r>
      <w:r w:rsidRPr="00393950">
        <w:rPr>
          <w:lang w:val="fr-FR"/>
        </w:rPr>
        <w:t>c)</w:t>
      </w:r>
      <w:r w:rsidRPr="00393950">
        <w:rPr>
          <w:lang w:val="fr-FR"/>
        </w:rPr>
        <w:tab/>
        <w:t>Le programme de gouvernement pour la période 2017-2021, qui comporte divers objectifs tendant à éliminer les stéréotypes fondés sur le genre et à promouvoir l</w:t>
      </w:r>
      <w:r>
        <w:rPr>
          <w:lang w:val="fr-FR"/>
        </w:rPr>
        <w:t>’</w:t>
      </w:r>
      <w:r w:rsidRPr="00393950">
        <w:rPr>
          <w:lang w:val="fr-FR"/>
        </w:rPr>
        <w:t xml:space="preserve">égalité de fait entre les femmes et les hommes. </w:t>
      </w:r>
    </w:p>
    <w:p w14:paraId="3728BC09" w14:textId="77777777" w:rsidR="00A351F4" w:rsidRPr="00393950" w:rsidRDefault="00A351F4" w:rsidP="00A351F4">
      <w:pPr>
        <w:pStyle w:val="SingleTxt"/>
        <w:numPr>
          <w:ilvl w:val="0"/>
          <w:numId w:val="32"/>
        </w:numPr>
        <w:spacing w:line="240" w:lineRule="exact"/>
        <w:ind w:left="1267"/>
        <w:rPr>
          <w:lang w:val="fr-FR"/>
        </w:rPr>
      </w:pPr>
      <w:r w:rsidRPr="00393950">
        <w:rPr>
          <w:lang w:val="fr-FR"/>
        </w:rPr>
        <w:t>Le Comité note avec satisfaction que, depuis l</w:t>
      </w:r>
      <w:r>
        <w:rPr>
          <w:lang w:val="fr-FR"/>
        </w:rPr>
        <w:t>’</w:t>
      </w:r>
      <w:r w:rsidRPr="00393950">
        <w:rPr>
          <w:lang w:val="fr-FR"/>
        </w:rPr>
        <w:t>examen du rapport précédent, l</w:t>
      </w:r>
      <w:r>
        <w:rPr>
          <w:lang w:val="fr-FR"/>
        </w:rPr>
        <w:t>’</w:t>
      </w:r>
      <w:r w:rsidRPr="00393950">
        <w:rPr>
          <w:lang w:val="fr-FR"/>
        </w:rPr>
        <w:t>État partie a adhéré aux instruments internationaux et régionaux ci-après ou les a ratifiés</w:t>
      </w:r>
      <w:r>
        <w:rPr>
          <w:lang w:val="fr-FR"/>
        </w:rPr>
        <w:t> :</w:t>
      </w:r>
    </w:p>
    <w:p w14:paraId="30C28208" w14:textId="77777777" w:rsidR="00A351F4" w:rsidRPr="00393950" w:rsidRDefault="00A351F4" w:rsidP="00A351F4">
      <w:pPr>
        <w:pStyle w:val="SingleTxt"/>
        <w:rPr>
          <w:lang w:val="fr-FR"/>
        </w:rPr>
      </w:pPr>
      <w:r w:rsidRPr="00393950">
        <w:rPr>
          <w:lang w:val="fr-FR"/>
        </w:rPr>
        <w:tab/>
        <w:t>a)</w:t>
      </w:r>
      <w:r w:rsidRPr="00393950">
        <w:rPr>
          <w:lang w:val="fr-FR"/>
        </w:rPr>
        <w:tab/>
        <w:t>En 2013, le Protocole facultatif à la Convention relative aux droits de l</w:t>
      </w:r>
      <w:r>
        <w:rPr>
          <w:lang w:val="fr-FR"/>
        </w:rPr>
        <w:t>’</w:t>
      </w:r>
      <w:r w:rsidRPr="00393950">
        <w:rPr>
          <w:lang w:val="fr-FR"/>
        </w:rPr>
        <w:t>enfant, concernant la vente d</w:t>
      </w:r>
      <w:r>
        <w:rPr>
          <w:lang w:val="fr-FR"/>
        </w:rPr>
        <w:t>’</w:t>
      </w:r>
      <w:r w:rsidRPr="00393950">
        <w:rPr>
          <w:lang w:val="fr-FR"/>
        </w:rPr>
        <w:t>enfants, la prostitution des enfants et la pornographie mettant en scène des enfants, et en 2017, le Protocole facultatif à la Convention relative aux droits de l</w:t>
      </w:r>
      <w:r>
        <w:rPr>
          <w:lang w:val="fr-FR"/>
        </w:rPr>
        <w:t>’</w:t>
      </w:r>
      <w:r w:rsidRPr="00393950">
        <w:rPr>
          <w:lang w:val="fr-FR"/>
        </w:rPr>
        <w:t>enfant établissant une procédure de présentation de communications</w:t>
      </w:r>
      <w:r>
        <w:rPr>
          <w:lang w:val="fr-FR"/>
        </w:rPr>
        <w:t> ;</w:t>
      </w:r>
      <w:r w:rsidRPr="00393950">
        <w:rPr>
          <w:lang w:val="fr-FR"/>
        </w:rPr>
        <w:t xml:space="preserve"> </w:t>
      </w:r>
    </w:p>
    <w:p w14:paraId="310341CD" w14:textId="77777777" w:rsidR="00A351F4" w:rsidRPr="00393950" w:rsidRDefault="00A351F4" w:rsidP="00A351F4">
      <w:pPr>
        <w:pStyle w:val="SingleTxt"/>
        <w:rPr>
          <w:lang w:val="fr-FR"/>
        </w:rPr>
      </w:pPr>
      <w:r>
        <w:rPr>
          <w:lang w:val="fr-FR"/>
        </w:rPr>
        <w:tab/>
      </w:r>
      <w:r w:rsidRPr="00393950">
        <w:rPr>
          <w:lang w:val="fr-FR"/>
        </w:rPr>
        <w:t>b)</w:t>
      </w:r>
      <w:r w:rsidRPr="00393950">
        <w:rPr>
          <w:lang w:val="fr-FR"/>
        </w:rPr>
        <w:tab/>
        <w:t>En 2016, la Convention du Conseil de l</w:t>
      </w:r>
      <w:r>
        <w:rPr>
          <w:lang w:val="fr-FR"/>
        </w:rPr>
        <w:t>’</w:t>
      </w:r>
      <w:r w:rsidRPr="00393950">
        <w:rPr>
          <w:lang w:val="fr-FR"/>
        </w:rPr>
        <w:t>Europe sur la lutte contre la traite des êtres humains</w:t>
      </w:r>
      <w:r>
        <w:rPr>
          <w:lang w:val="fr-FR"/>
        </w:rPr>
        <w:t> ;</w:t>
      </w:r>
    </w:p>
    <w:p w14:paraId="65002798" w14:textId="77777777" w:rsidR="00A351F4" w:rsidRPr="00393950" w:rsidRDefault="00A351F4" w:rsidP="00A351F4">
      <w:pPr>
        <w:pStyle w:val="SingleTxt"/>
        <w:rPr>
          <w:lang w:val="fr-FR"/>
        </w:rPr>
      </w:pPr>
      <w:r>
        <w:rPr>
          <w:lang w:val="fr-FR"/>
        </w:rPr>
        <w:tab/>
      </w:r>
      <w:r w:rsidRPr="00393950">
        <w:rPr>
          <w:lang w:val="fr-FR"/>
        </w:rPr>
        <w:t>c)</w:t>
      </w:r>
      <w:r w:rsidRPr="00393950">
        <w:rPr>
          <w:lang w:val="fr-FR"/>
        </w:rPr>
        <w:tab/>
        <w:t>En 2016, la Convention du Conseil de l</w:t>
      </w:r>
      <w:r>
        <w:rPr>
          <w:lang w:val="fr-FR"/>
        </w:rPr>
        <w:t>’</w:t>
      </w:r>
      <w:r w:rsidRPr="00393950">
        <w:rPr>
          <w:lang w:val="fr-FR"/>
        </w:rPr>
        <w:t>Europe sur la protection des enfants contre l</w:t>
      </w:r>
      <w:r>
        <w:rPr>
          <w:lang w:val="fr-FR"/>
        </w:rPr>
        <w:t>’</w:t>
      </w:r>
      <w:r w:rsidRPr="00393950">
        <w:rPr>
          <w:lang w:val="fr-FR"/>
        </w:rPr>
        <w:t>exploitation et les abus sexuels.</w:t>
      </w:r>
    </w:p>
    <w:p w14:paraId="51FBCF0E" w14:textId="77777777" w:rsidR="00A351F4" w:rsidRPr="00DA3FC9" w:rsidRDefault="00A351F4" w:rsidP="00A351F4">
      <w:pPr>
        <w:pStyle w:val="SingleTxt"/>
        <w:spacing w:after="0" w:line="120" w:lineRule="exact"/>
        <w:rPr>
          <w:b/>
          <w:sz w:val="10"/>
          <w:lang w:val="fr-FR"/>
        </w:rPr>
      </w:pPr>
    </w:p>
    <w:p w14:paraId="444327F3"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93950">
        <w:rPr>
          <w:lang w:val="fr-FR"/>
        </w:rPr>
        <w:t>Objectifs de développement durable</w:t>
      </w:r>
    </w:p>
    <w:p w14:paraId="5F606347" w14:textId="77777777" w:rsidR="00A351F4" w:rsidRPr="00DA3FC9" w:rsidRDefault="00A351F4" w:rsidP="00A351F4">
      <w:pPr>
        <w:pStyle w:val="SingleTxt"/>
        <w:spacing w:after="0" w:line="120" w:lineRule="exact"/>
        <w:rPr>
          <w:sz w:val="10"/>
          <w:lang w:val="fr-FR"/>
        </w:rPr>
      </w:pPr>
    </w:p>
    <w:p w14:paraId="0FCD7802" w14:textId="77777777" w:rsidR="00A351F4" w:rsidRPr="00393950" w:rsidRDefault="00A351F4" w:rsidP="00A351F4">
      <w:pPr>
        <w:pStyle w:val="SingleTxt"/>
        <w:numPr>
          <w:ilvl w:val="0"/>
          <w:numId w:val="32"/>
        </w:numPr>
        <w:spacing w:line="240" w:lineRule="exact"/>
        <w:ind w:left="1267"/>
        <w:rPr>
          <w:lang w:val="fr-FR"/>
        </w:rPr>
      </w:pPr>
      <w:r w:rsidRPr="00393950">
        <w:rPr>
          <w:lang w:val="fr-FR"/>
        </w:rPr>
        <w:t>Le Comité se félicite de l</w:t>
      </w:r>
      <w:r>
        <w:rPr>
          <w:lang w:val="fr-FR"/>
        </w:rPr>
        <w:t>’</w:t>
      </w:r>
      <w:r w:rsidRPr="00393950">
        <w:rPr>
          <w:lang w:val="fr-FR"/>
        </w:rPr>
        <w:t>appui apporté par la communauté internationale aux objectifs de développement durable et invite l</w:t>
      </w:r>
      <w:r>
        <w:rPr>
          <w:lang w:val="fr-FR"/>
        </w:rPr>
        <w:t>’</w:t>
      </w:r>
      <w:r w:rsidRPr="00393950">
        <w:rPr>
          <w:lang w:val="fr-FR"/>
        </w:rPr>
        <w:t>État partie à réaliser l</w:t>
      </w:r>
      <w:r>
        <w:rPr>
          <w:lang w:val="fr-FR"/>
        </w:rPr>
        <w:t>’</w:t>
      </w:r>
      <w:r w:rsidRPr="00393950">
        <w:rPr>
          <w:lang w:val="fr-FR"/>
        </w:rPr>
        <w:t xml:space="preserve">égalité </w:t>
      </w:r>
      <w:r w:rsidRPr="001A1294">
        <w:rPr>
          <w:i/>
          <w:iCs/>
          <w:lang w:val="fr-FR"/>
        </w:rPr>
        <w:t>de jure</w:t>
      </w:r>
      <w:r w:rsidRPr="00393950">
        <w:rPr>
          <w:lang w:val="fr-FR"/>
        </w:rPr>
        <w:t xml:space="preserve"> et de facto (effective) des femmes et des hommes, conformément aux dispositions de la Convention, dans tous les aspects de la mise en œuvre du Programme de développement durable à l</w:t>
      </w:r>
      <w:r>
        <w:rPr>
          <w:lang w:val="fr-FR"/>
        </w:rPr>
        <w:t>’</w:t>
      </w:r>
      <w:r w:rsidRPr="00393950">
        <w:rPr>
          <w:lang w:val="fr-FR"/>
        </w:rPr>
        <w:t>horizon 2030. Il rappelle l</w:t>
      </w:r>
      <w:r>
        <w:rPr>
          <w:lang w:val="fr-FR"/>
        </w:rPr>
        <w:t>’</w:t>
      </w:r>
      <w:r w:rsidRPr="00393950">
        <w:rPr>
          <w:lang w:val="fr-FR"/>
        </w:rPr>
        <w:t>importance de l</w:t>
      </w:r>
      <w:r>
        <w:rPr>
          <w:lang w:val="fr-FR"/>
        </w:rPr>
        <w:t>’</w:t>
      </w:r>
      <w:r w:rsidRPr="00393950">
        <w:rPr>
          <w:lang w:val="fr-FR"/>
        </w:rPr>
        <w:t>objectif 5 et de l</w:t>
      </w:r>
      <w:r>
        <w:rPr>
          <w:lang w:val="fr-FR"/>
        </w:rPr>
        <w:t>’</w:t>
      </w:r>
      <w:r w:rsidRPr="00393950">
        <w:rPr>
          <w:lang w:val="fr-FR"/>
        </w:rPr>
        <w:t>intégration des principes d</w:t>
      </w:r>
      <w:r>
        <w:rPr>
          <w:lang w:val="fr-FR"/>
        </w:rPr>
        <w:t>’</w:t>
      </w:r>
      <w:r w:rsidRPr="00393950">
        <w:rPr>
          <w:lang w:val="fr-FR"/>
        </w:rPr>
        <w:t>égalité et de non-discrimination à l</w:t>
      </w:r>
      <w:r>
        <w:rPr>
          <w:lang w:val="fr-FR"/>
        </w:rPr>
        <w:t>’</w:t>
      </w:r>
      <w:r w:rsidRPr="00393950">
        <w:rPr>
          <w:lang w:val="fr-FR"/>
        </w:rPr>
        <w:t xml:space="preserve">ensemble des </w:t>
      </w:r>
      <w:r w:rsidRPr="00393950">
        <w:rPr>
          <w:lang w:val="fr-FR"/>
        </w:rPr>
        <w:lastRenderedPageBreak/>
        <w:t>17</w:t>
      </w:r>
      <w:r>
        <w:rPr>
          <w:lang w:val="fr-FR"/>
        </w:rPr>
        <w:t> </w:t>
      </w:r>
      <w:r w:rsidRPr="00393950">
        <w:rPr>
          <w:lang w:val="fr-FR"/>
        </w:rPr>
        <w:t>objectifs. Il engage l</w:t>
      </w:r>
      <w:r>
        <w:rPr>
          <w:lang w:val="fr-FR"/>
        </w:rPr>
        <w:t>’</w:t>
      </w:r>
      <w:r w:rsidRPr="00393950">
        <w:rPr>
          <w:lang w:val="fr-FR"/>
        </w:rPr>
        <w:t>État partie à reconnaître les femmes comme force motrice du développement durable du pays et à adopter des politiques et des stratégies pertinentes à cet effet.</w:t>
      </w:r>
    </w:p>
    <w:p w14:paraId="588196B4" w14:textId="77777777" w:rsidR="00A351F4" w:rsidRPr="00DA3FC9" w:rsidRDefault="00A351F4" w:rsidP="00A351F4">
      <w:pPr>
        <w:pStyle w:val="SingleTxt"/>
        <w:spacing w:after="0" w:line="120" w:lineRule="exact"/>
        <w:rPr>
          <w:b/>
          <w:sz w:val="10"/>
          <w:lang w:val="fr-FR"/>
        </w:rPr>
      </w:pPr>
    </w:p>
    <w:p w14:paraId="7E7F5725" w14:textId="77777777" w:rsidR="00A351F4" w:rsidRPr="00DA3FC9" w:rsidRDefault="00A351F4" w:rsidP="00A351F4">
      <w:pPr>
        <w:pStyle w:val="SingleTxt"/>
        <w:spacing w:after="0" w:line="120" w:lineRule="exact"/>
        <w:rPr>
          <w:b/>
          <w:sz w:val="10"/>
          <w:lang w:val="fr-FR"/>
        </w:rPr>
      </w:pPr>
    </w:p>
    <w:p w14:paraId="763F2BE3" w14:textId="77777777" w:rsidR="00A351F4" w:rsidRPr="00393950" w:rsidRDefault="00A351F4" w:rsidP="00A351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sidRPr="00393950">
        <w:rPr>
          <w:lang w:val="fr-FR"/>
        </w:rPr>
        <w:t>.</w:t>
      </w:r>
      <w:r w:rsidRPr="00393950">
        <w:rPr>
          <w:lang w:val="fr-FR"/>
        </w:rPr>
        <w:tab/>
        <w:t>Parlement</w:t>
      </w:r>
    </w:p>
    <w:p w14:paraId="708390A2" w14:textId="77777777" w:rsidR="00A351F4" w:rsidRPr="00DA3FC9" w:rsidRDefault="00A351F4" w:rsidP="00A351F4">
      <w:pPr>
        <w:pStyle w:val="SingleTxt"/>
        <w:spacing w:after="0" w:line="120" w:lineRule="exact"/>
        <w:rPr>
          <w:sz w:val="10"/>
          <w:lang w:val="fr-FR"/>
        </w:rPr>
      </w:pPr>
    </w:p>
    <w:p w14:paraId="025089B9" w14:textId="77777777" w:rsidR="00A351F4" w:rsidRPr="00DA3FC9" w:rsidRDefault="00A351F4" w:rsidP="00A351F4">
      <w:pPr>
        <w:pStyle w:val="SingleTxt"/>
        <w:spacing w:after="0" w:line="120" w:lineRule="exact"/>
        <w:rPr>
          <w:sz w:val="10"/>
          <w:lang w:val="fr-FR"/>
        </w:rPr>
      </w:pPr>
    </w:p>
    <w:p w14:paraId="66C01CDA" w14:textId="77777777" w:rsidR="00A351F4" w:rsidRPr="00393950" w:rsidRDefault="00A351F4" w:rsidP="00A351F4">
      <w:pPr>
        <w:pStyle w:val="SingleTxt"/>
        <w:numPr>
          <w:ilvl w:val="0"/>
          <w:numId w:val="32"/>
        </w:numPr>
        <w:spacing w:line="240" w:lineRule="exact"/>
        <w:ind w:left="1267"/>
        <w:rPr>
          <w:b/>
          <w:lang w:val="fr-FR"/>
        </w:rPr>
      </w:pPr>
      <w:r w:rsidRPr="00393950">
        <w:rPr>
          <w:b/>
          <w:bCs/>
          <w:lang w:val="fr-FR"/>
        </w:rPr>
        <w:t>Le Comité souligne le rôle essentiel du pouvoir législatif s</w:t>
      </w:r>
      <w:r>
        <w:rPr>
          <w:b/>
          <w:bCs/>
          <w:lang w:val="fr-FR"/>
        </w:rPr>
        <w:t>’</w:t>
      </w:r>
      <w:r w:rsidRPr="00393950">
        <w:rPr>
          <w:b/>
          <w:bCs/>
          <w:lang w:val="fr-FR"/>
        </w:rPr>
        <w:t>agissant de garantir la pleine mise en œuvre de la Convention (voir la déclaration faite par le Comité sur ses relations avec les parlementaires, adoptée à la quarante-cinquième session, en 2010).</w:t>
      </w:r>
      <w:r w:rsidRPr="00393950">
        <w:rPr>
          <w:lang w:val="fr-FR"/>
        </w:rPr>
        <w:t xml:space="preserve"> </w:t>
      </w:r>
      <w:r w:rsidRPr="00393950">
        <w:rPr>
          <w:b/>
          <w:bCs/>
          <w:lang w:val="fr-FR"/>
        </w:rPr>
        <w:t>Il invite le Parlement du Liechtenstein (</w:t>
      </w:r>
      <w:r w:rsidRPr="001A1294">
        <w:rPr>
          <w:b/>
          <w:bCs/>
          <w:lang w:val="fr-FR"/>
        </w:rPr>
        <w:t>Landtag</w:t>
      </w:r>
      <w:r w:rsidRPr="00393950">
        <w:rPr>
          <w:b/>
          <w:bCs/>
          <w:lang w:val="fr-FR"/>
        </w:rPr>
        <w:t>) à prendre, dans le cadre de son mandat, les mesures nécessaires en vue de donner suite aux présentes observations finales avant la soumission du prochain rapport périodique, en application de la Convention.</w:t>
      </w:r>
    </w:p>
    <w:p w14:paraId="731FBC33" w14:textId="77777777" w:rsidR="00A351F4" w:rsidRPr="00DA3FC9" w:rsidRDefault="00A351F4" w:rsidP="00A351F4">
      <w:pPr>
        <w:pStyle w:val="SingleTxt"/>
        <w:spacing w:after="0" w:line="120" w:lineRule="exact"/>
        <w:rPr>
          <w:b/>
          <w:sz w:val="10"/>
          <w:lang w:val="fr-FR"/>
        </w:rPr>
      </w:pPr>
    </w:p>
    <w:p w14:paraId="2383DBAD" w14:textId="77777777" w:rsidR="00A351F4" w:rsidRPr="00DA3FC9" w:rsidRDefault="00A351F4" w:rsidP="00A351F4">
      <w:pPr>
        <w:pStyle w:val="SingleTxt"/>
        <w:spacing w:after="0" w:line="120" w:lineRule="exact"/>
        <w:rPr>
          <w:b/>
          <w:sz w:val="10"/>
          <w:lang w:val="fr-FR"/>
        </w:rPr>
      </w:pPr>
    </w:p>
    <w:p w14:paraId="148F4C19" w14:textId="77777777" w:rsidR="00A351F4" w:rsidRDefault="00A351F4" w:rsidP="00A351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w:t>
      </w:r>
      <w:r w:rsidRPr="00393950">
        <w:rPr>
          <w:lang w:val="fr-FR"/>
        </w:rPr>
        <w:t>.</w:t>
      </w:r>
      <w:r w:rsidRPr="00393950">
        <w:rPr>
          <w:lang w:val="fr-FR"/>
        </w:rPr>
        <w:tab/>
        <w:t>Principaux sujets de préoccupation et recommandations</w:t>
      </w:r>
    </w:p>
    <w:p w14:paraId="58672329" w14:textId="77777777" w:rsidR="00A351F4" w:rsidRPr="00DA3FC9" w:rsidRDefault="00A351F4" w:rsidP="00A351F4">
      <w:pPr>
        <w:pStyle w:val="SingleTxt"/>
        <w:spacing w:after="0" w:line="120" w:lineRule="exact"/>
        <w:rPr>
          <w:sz w:val="10"/>
          <w:lang w:val="fr-FR"/>
        </w:rPr>
      </w:pPr>
    </w:p>
    <w:p w14:paraId="07BCD20F" w14:textId="77777777" w:rsidR="00A351F4" w:rsidRPr="00DA3FC9" w:rsidRDefault="00A351F4" w:rsidP="00A351F4">
      <w:pPr>
        <w:pStyle w:val="SingleTxt"/>
        <w:spacing w:after="0" w:line="120" w:lineRule="exact"/>
        <w:rPr>
          <w:sz w:val="10"/>
          <w:lang w:val="fr-FR"/>
        </w:rPr>
      </w:pPr>
    </w:p>
    <w:p w14:paraId="71D34E15"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 xml:space="preserve">Réserves </w:t>
      </w:r>
    </w:p>
    <w:p w14:paraId="52676427" w14:textId="77777777" w:rsidR="00A351F4" w:rsidRPr="00DA3FC9" w:rsidRDefault="00A351F4" w:rsidP="00A351F4">
      <w:pPr>
        <w:pStyle w:val="SingleTxt"/>
        <w:spacing w:after="0" w:line="120" w:lineRule="exact"/>
        <w:rPr>
          <w:sz w:val="10"/>
          <w:lang w:val="fr-FR"/>
        </w:rPr>
      </w:pPr>
    </w:p>
    <w:p w14:paraId="637A14FE" w14:textId="77777777" w:rsidR="00A351F4" w:rsidRPr="00393950" w:rsidRDefault="00A351F4" w:rsidP="00A351F4">
      <w:pPr>
        <w:pStyle w:val="SingleTxt"/>
        <w:numPr>
          <w:ilvl w:val="0"/>
          <w:numId w:val="32"/>
        </w:numPr>
        <w:spacing w:line="240" w:lineRule="exact"/>
        <w:ind w:left="1267"/>
        <w:rPr>
          <w:lang w:val="fr-FR"/>
        </w:rPr>
      </w:pPr>
      <w:r w:rsidRPr="00393950">
        <w:rPr>
          <w:lang w:val="fr-FR"/>
        </w:rPr>
        <w:t>S</w:t>
      </w:r>
      <w:r>
        <w:rPr>
          <w:lang w:val="fr-FR"/>
        </w:rPr>
        <w:t>’</w:t>
      </w:r>
      <w:r w:rsidRPr="00393950">
        <w:rPr>
          <w:lang w:val="fr-FR"/>
        </w:rPr>
        <w:t>il respecte la souveraineté juridique de l</w:t>
      </w:r>
      <w:r>
        <w:rPr>
          <w:lang w:val="fr-FR"/>
        </w:rPr>
        <w:t>’</w:t>
      </w:r>
      <w:r w:rsidRPr="00393950">
        <w:rPr>
          <w:lang w:val="fr-FR"/>
        </w:rPr>
        <w:t>État partie de décider librement de son chef de l</w:t>
      </w:r>
      <w:r>
        <w:rPr>
          <w:lang w:val="fr-FR"/>
        </w:rPr>
        <w:t>’</w:t>
      </w:r>
      <w:r w:rsidRPr="00393950">
        <w:rPr>
          <w:lang w:val="fr-FR"/>
        </w:rPr>
        <w:t>État, le Comité s</w:t>
      </w:r>
      <w:r>
        <w:rPr>
          <w:lang w:val="fr-FR"/>
        </w:rPr>
        <w:t>’</w:t>
      </w:r>
      <w:r w:rsidRPr="00393950">
        <w:rPr>
          <w:lang w:val="fr-FR"/>
        </w:rPr>
        <w:t>inquiète de ce que l</w:t>
      </w:r>
      <w:r>
        <w:rPr>
          <w:lang w:val="fr-FR"/>
        </w:rPr>
        <w:t>’</w:t>
      </w:r>
      <w:r w:rsidRPr="00393950">
        <w:rPr>
          <w:lang w:val="fr-FR"/>
        </w:rPr>
        <w:t>exclusion systématique des femmes de la succession au trône n</w:t>
      </w:r>
      <w:r>
        <w:rPr>
          <w:lang w:val="fr-FR"/>
        </w:rPr>
        <w:t>’</w:t>
      </w:r>
      <w:r w:rsidRPr="00393950">
        <w:rPr>
          <w:lang w:val="fr-FR"/>
        </w:rPr>
        <w:t>entrave l</w:t>
      </w:r>
      <w:r>
        <w:rPr>
          <w:lang w:val="fr-FR"/>
        </w:rPr>
        <w:t>’</w:t>
      </w:r>
      <w:r w:rsidRPr="00393950">
        <w:rPr>
          <w:lang w:val="fr-FR"/>
        </w:rPr>
        <w:t>application dans l</w:t>
      </w:r>
      <w:r>
        <w:rPr>
          <w:lang w:val="fr-FR"/>
        </w:rPr>
        <w:t>’</w:t>
      </w:r>
      <w:r w:rsidRPr="00393950">
        <w:rPr>
          <w:lang w:val="fr-FR"/>
        </w:rPr>
        <w:t xml:space="preserve">État partie de la Convention dans sa globalité. </w:t>
      </w:r>
    </w:p>
    <w:p w14:paraId="5D843288" w14:textId="08F73C41" w:rsidR="00A351F4" w:rsidRPr="00393950" w:rsidRDefault="00A351F4" w:rsidP="00A351F4">
      <w:pPr>
        <w:pStyle w:val="SingleTxt"/>
        <w:numPr>
          <w:ilvl w:val="0"/>
          <w:numId w:val="32"/>
        </w:numPr>
        <w:spacing w:line="240" w:lineRule="exact"/>
        <w:ind w:left="1267"/>
        <w:rPr>
          <w:lang w:val="fr-FR"/>
        </w:rPr>
      </w:pPr>
      <w:r w:rsidRPr="00393950">
        <w:rPr>
          <w:b/>
          <w:bCs/>
          <w:lang w:val="fr-FR"/>
        </w:rPr>
        <w:t>Réaffirmant la préoccupation qu</w:t>
      </w:r>
      <w:r>
        <w:rPr>
          <w:b/>
          <w:bCs/>
          <w:lang w:val="fr-FR"/>
        </w:rPr>
        <w:t>’</w:t>
      </w:r>
      <w:r w:rsidRPr="00393950">
        <w:rPr>
          <w:b/>
          <w:bCs/>
          <w:lang w:val="fr-FR"/>
        </w:rPr>
        <w:t>il a déjà exprimée (</w:t>
      </w:r>
      <w:hyperlink r:id="rId20" w:history="1">
        <w:r w:rsidRPr="00FC485F">
          <w:rPr>
            <w:rStyle w:val="Hyperlink"/>
            <w:b/>
            <w:bCs/>
            <w:lang w:val="fr-FR"/>
          </w:rPr>
          <w:t>CEDAW/C/LIE/CO/4</w:t>
        </w:r>
      </w:hyperlink>
      <w:r w:rsidRPr="00393950">
        <w:rPr>
          <w:b/>
          <w:bCs/>
          <w:lang w:val="fr-FR"/>
        </w:rPr>
        <w:t xml:space="preserve">, </w:t>
      </w:r>
      <w:r>
        <w:rPr>
          <w:b/>
          <w:bCs/>
          <w:lang w:val="fr-FR"/>
        </w:rPr>
        <w:t>par. </w:t>
      </w:r>
      <w:r w:rsidRPr="00393950">
        <w:rPr>
          <w:b/>
          <w:bCs/>
          <w:lang w:val="fr-FR"/>
        </w:rPr>
        <w:t>13), le Comité rappelle à l</w:t>
      </w:r>
      <w:r>
        <w:rPr>
          <w:b/>
          <w:bCs/>
          <w:lang w:val="fr-FR"/>
        </w:rPr>
        <w:t>’</w:t>
      </w:r>
      <w:r w:rsidRPr="00393950">
        <w:rPr>
          <w:b/>
          <w:bCs/>
          <w:lang w:val="fr-FR"/>
        </w:rPr>
        <w:t>État partie qu</w:t>
      </w:r>
      <w:r>
        <w:rPr>
          <w:b/>
          <w:bCs/>
          <w:lang w:val="fr-FR"/>
        </w:rPr>
        <w:t>’</w:t>
      </w:r>
      <w:r w:rsidRPr="00393950">
        <w:rPr>
          <w:b/>
          <w:bCs/>
          <w:lang w:val="fr-FR"/>
        </w:rPr>
        <w:t>il juge la réserve à l</w:t>
      </w:r>
      <w:r>
        <w:rPr>
          <w:b/>
          <w:bCs/>
          <w:lang w:val="fr-FR"/>
        </w:rPr>
        <w:t>’</w:t>
      </w:r>
      <w:r w:rsidRPr="00393950">
        <w:rPr>
          <w:b/>
          <w:bCs/>
          <w:lang w:val="fr-FR"/>
        </w:rPr>
        <w:t>article 1 de la Convention contraire à cette dernière et invite l</w:t>
      </w:r>
      <w:r>
        <w:rPr>
          <w:b/>
          <w:bCs/>
          <w:lang w:val="fr-FR"/>
        </w:rPr>
        <w:t>’</w:t>
      </w:r>
      <w:r w:rsidRPr="00393950">
        <w:rPr>
          <w:b/>
          <w:bCs/>
          <w:lang w:val="fr-FR"/>
        </w:rPr>
        <w:t>État partie à réexaminer cette réserve en vue de la retirer.</w:t>
      </w:r>
    </w:p>
    <w:p w14:paraId="33937894" w14:textId="77777777" w:rsidR="00A351F4" w:rsidRPr="00DA3FC9" w:rsidRDefault="00A351F4" w:rsidP="00A351F4">
      <w:pPr>
        <w:pStyle w:val="SingleTxt"/>
        <w:spacing w:after="0" w:line="120" w:lineRule="exact"/>
        <w:rPr>
          <w:b/>
          <w:sz w:val="10"/>
          <w:lang w:val="fr-FR"/>
        </w:rPr>
      </w:pPr>
    </w:p>
    <w:p w14:paraId="3B859231"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Visibilité de la Convention, du Protocole facultatif et des recommandations générales du Comité</w:t>
      </w:r>
    </w:p>
    <w:p w14:paraId="0E464622" w14:textId="77777777" w:rsidR="00A351F4" w:rsidRPr="00DA3FC9" w:rsidRDefault="00A351F4" w:rsidP="00A351F4">
      <w:pPr>
        <w:pStyle w:val="SingleTxt"/>
        <w:spacing w:after="0" w:line="120" w:lineRule="exact"/>
        <w:rPr>
          <w:sz w:val="10"/>
          <w:lang w:val="fr-FR"/>
        </w:rPr>
      </w:pPr>
    </w:p>
    <w:p w14:paraId="38FD4225" w14:textId="77777777" w:rsidR="00A351F4" w:rsidRPr="00393950" w:rsidRDefault="00A351F4" w:rsidP="00A351F4">
      <w:pPr>
        <w:pStyle w:val="SingleTxt"/>
        <w:numPr>
          <w:ilvl w:val="0"/>
          <w:numId w:val="32"/>
        </w:numPr>
        <w:spacing w:line="240" w:lineRule="exact"/>
        <w:ind w:left="1267"/>
        <w:rPr>
          <w:lang w:val="fr-FR"/>
        </w:rPr>
      </w:pPr>
      <w:r w:rsidRPr="00393950">
        <w:rPr>
          <w:lang w:val="fr-FR"/>
        </w:rPr>
        <w:t>Le Comité note avec inquiétude que bien que les traités internationaux auxquels l</w:t>
      </w:r>
      <w:r>
        <w:rPr>
          <w:lang w:val="fr-FR"/>
        </w:rPr>
        <w:t>’</w:t>
      </w:r>
      <w:r w:rsidRPr="00393950">
        <w:rPr>
          <w:lang w:val="fr-FR"/>
        </w:rPr>
        <w:t>État partie a adhéré ou qu</w:t>
      </w:r>
      <w:r>
        <w:rPr>
          <w:lang w:val="fr-FR"/>
        </w:rPr>
        <w:t>’</w:t>
      </w:r>
      <w:r w:rsidRPr="00393950">
        <w:rPr>
          <w:lang w:val="fr-FR"/>
        </w:rPr>
        <w:t>il a ratifiés priment sur les lois nationales, la Convention n</w:t>
      </w:r>
      <w:r>
        <w:rPr>
          <w:lang w:val="fr-FR"/>
        </w:rPr>
        <w:t>’</w:t>
      </w:r>
      <w:r w:rsidRPr="00393950">
        <w:rPr>
          <w:lang w:val="fr-FR"/>
        </w:rPr>
        <w:t>a jamais été invoquée ou mentionnée dans des procédures judiciaires au cours de la période considérée. Il craint que cela s</w:t>
      </w:r>
      <w:r>
        <w:rPr>
          <w:lang w:val="fr-FR"/>
        </w:rPr>
        <w:t>’</w:t>
      </w:r>
      <w:r w:rsidRPr="00393950">
        <w:rPr>
          <w:lang w:val="fr-FR"/>
        </w:rPr>
        <w:t>explique par une mauvaise connaissance de la Convention au sein de l</w:t>
      </w:r>
      <w:r>
        <w:rPr>
          <w:lang w:val="fr-FR"/>
        </w:rPr>
        <w:t>’</w:t>
      </w:r>
      <w:r w:rsidRPr="00393950">
        <w:rPr>
          <w:lang w:val="fr-FR"/>
        </w:rPr>
        <w:t>appareil judiciaire et de la profession juridique, ainsi que de la part des femmes elles-mêmes, en particulier celles appartenant à des minorités, les migrantes et les réfugiées.</w:t>
      </w:r>
    </w:p>
    <w:p w14:paraId="66DF5D55" w14:textId="77777777" w:rsidR="00A351F4" w:rsidRPr="00393950" w:rsidRDefault="00A351F4" w:rsidP="00A351F4">
      <w:pPr>
        <w:pStyle w:val="SingleTxt"/>
        <w:numPr>
          <w:ilvl w:val="0"/>
          <w:numId w:val="32"/>
        </w:numPr>
        <w:spacing w:line="240" w:lineRule="exact"/>
        <w:ind w:left="1267"/>
        <w:rPr>
          <w:b/>
          <w:lang w:val="fr-FR"/>
        </w:rPr>
      </w:pPr>
      <w:r w:rsidRPr="00393950">
        <w:rPr>
          <w:b/>
          <w:bCs/>
          <w:lang w:val="fr-FR"/>
        </w:rPr>
        <w:t>Le Comité recommande à l</w:t>
      </w:r>
      <w:r>
        <w:rPr>
          <w:b/>
          <w:bCs/>
          <w:lang w:val="fr-FR"/>
        </w:rPr>
        <w:t>’</w:t>
      </w:r>
      <w:r w:rsidRPr="00393950">
        <w:rPr>
          <w:b/>
          <w:bCs/>
          <w:lang w:val="fr-FR"/>
        </w:rPr>
        <w:t>État partie de prendre toutes les dispositions utiles pour que la Convention soit suffisamment connue et appliquée dans toutes les lois, décisions de justice et politiques relatives à l</w:t>
      </w:r>
      <w:r>
        <w:rPr>
          <w:b/>
          <w:bCs/>
          <w:lang w:val="fr-FR"/>
        </w:rPr>
        <w:t>’</w:t>
      </w:r>
      <w:r w:rsidRPr="00393950">
        <w:rPr>
          <w:b/>
          <w:bCs/>
          <w:lang w:val="fr-FR"/>
        </w:rPr>
        <w:t>égalité des femmes et des hommes et à la promotion des femmes, notamment en la diffusant largement, ainsi que le Protocole facultatif s</w:t>
      </w:r>
      <w:r>
        <w:rPr>
          <w:b/>
          <w:bCs/>
          <w:lang w:val="fr-FR"/>
        </w:rPr>
        <w:t>’</w:t>
      </w:r>
      <w:r w:rsidRPr="00393950">
        <w:rPr>
          <w:b/>
          <w:bCs/>
          <w:lang w:val="fr-FR"/>
        </w:rPr>
        <w:t>y rapportant, auprès du grand public, de la magistrature, des agents de la force publique et des membres de la profession juridique.</w:t>
      </w:r>
      <w:r w:rsidRPr="00393950">
        <w:rPr>
          <w:lang w:val="fr-FR"/>
        </w:rPr>
        <w:t xml:space="preserve"> </w:t>
      </w:r>
      <w:r w:rsidRPr="00393950">
        <w:rPr>
          <w:b/>
          <w:bCs/>
          <w:lang w:val="fr-FR"/>
        </w:rPr>
        <w:t>À cet égard, il recommande également à l</w:t>
      </w:r>
      <w:r>
        <w:rPr>
          <w:b/>
          <w:bCs/>
          <w:lang w:val="fr-FR"/>
        </w:rPr>
        <w:t>’</w:t>
      </w:r>
      <w:r w:rsidRPr="00393950">
        <w:rPr>
          <w:b/>
          <w:bCs/>
          <w:lang w:val="fr-FR"/>
        </w:rPr>
        <w:t>État partie de prendre des mesures particulières et ciblées, en coopération avec la société civile, afin de garantir la pleine application de la Convention, du Protocole facultatif et des recommandations générales du Comité.</w:t>
      </w:r>
    </w:p>
    <w:p w14:paraId="220C6231" w14:textId="77777777" w:rsidR="00A351F4" w:rsidRPr="00DA3FC9" w:rsidRDefault="00A351F4" w:rsidP="00A351F4">
      <w:pPr>
        <w:pStyle w:val="SingleTxt"/>
        <w:spacing w:after="0" w:line="120" w:lineRule="exact"/>
        <w:rPr>
          <w:b/>
          <w:sz w:val="10"/>
          <w:lang w:val="fr-FR"/>
        </w:rPr>
      </w:pPr>
    </w:p>
    <w:p w14:paraId="501FC33F"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Accès à la justice</w:t>
      </w:r>
    </w:p>
    <w:p w14:paraId="6D9232BB" w14:textId="77777777" w:rsidR="00A351F4" w:rsidRPr="00DA3FC9" w:rsidRDefault="00A351F4" w:rsidP="00A351F4">
      <w:pPr>
        <w:pStyle w:val="SingleTxt"/>
        <w:spacing w:after="0" w:line="120" w:lineRule="exact"/>
        <w:rPr>
          <w:sz w:val="10"/>
          <w:lang w:val="fr-FR"/>
        </w:rPr>
      </w:pPr>
    </w:p>
    <w:p w14:paraId="1CB130E3" w14:textId="77777777" w:rsidR="00A351F4" w:rsidRPr="00393950" w:rsidRDefault="00A351F4" w:rsidP="00A351F4">
      <w:pPr>
        <w:pStyle w:val="SingleTxt"/>
        <w:numPr>
          <w:ilvl w:val="0"/>
          <w:numId w:val="32"/>
        </w:numPr>
        <w:spacing w:line="240" w:lineRule="exact"/>
        <w:ind w:left="1267"/>
        <w:rPr>
          <w:lang w:val="fr-FR"/>
        </w:rPr>
      </w:pPr>
      <w:r w:rsidRPr="00393950">
        <w:rPr>
          <w:lang w:val="fr-FR"/>
        </w:rPr>
        <w:t>Tout en prenant acte des assurances de la délégation, qui a affirmé que l</w:t>
      </w:r>
      <w:r>
        <w:rPr>
          <w:lang w:val="fr-FR"/>
        </w:rPr>
        <w:t>’</w:t>
      </w:r>
      <w:r w:rsidRPr="00393950">
        <w:rPr>
          <w:lang w:val="fr-FR"/>
        </w:rPr>
        <w:t>accès des femmes à la justice est pleinement garanti et qu</w:t>
      </w:r>
      <w:r>
        <w:rPr>
          <w:lang w:val="fr-FR"/>
        </w:rPr>
        <w:t>’</w:t>
      </w:r>
      <w:r w:rsidRPr="00393950">
        <w:rPr>
          <w:lang w:val="fr-FR"/>
        </w:rPr>
        <w:t>il n</w:t>
      </w:r>
      <w:r>
        <w:rPr>
          <w:lang w:val="fr-FR"/>
        </w:rPr>
        <w:t>’</w:t>
      </w:r>
      <w:r w:rsidRPr="00393950">
        <w:rPr>
          <w:lang w:val="fr-FR"/>
        </w:rPr>
        <w:t>existe aucune restriction spécifique dans la législation, le Comité s</w:t>
      </w:r>
      <w:r>
        <w:rPr>
          <w:lang w:val="fr-FR"/>
        </w:rPr>
        <w:t>’</w:t>
      </w:r>
      <w:r w:rsidRPr="00393950">
        <w:rPr>
          <w:lang w:val="fr-FR"/>
        </w:rPr>
        <w:t>inquiète des informations selon lesquelles l</w:t>
      </w:r>
      <w:r>
        <w:rPr>
          <w:lang w:val="fr-FR"/>
        </w:rPr>
        <w:t>’</w:t>
      </w:r>
      <w:r w:rsidRPr="00393950">
        <w:rPr>
          <w:lang w:val="fr-FR"/>
        </w:rPr>
        <w:t xml:space="preserve">accès des femmes à la justice est limité dans la pratique, en particulier dans le cas </w:t>
      </w:r>
      <w:r w:rsidRPr="00393950">
        <w:rPr>
          <w:lang w:val="fr-FR"/>
        </w:rPr>
        <w:lastRenderedPageBreak/>
        <w:t>des femmes handicapées et des femmes ayant une connaissance insuffisante de la langue allemande, telles que les réfugiées, les demandeuses d</w:t>
      </w:r>
      <w:r>
        <w:rPr>
          <w:lang w:val="fr-FR"/>
        </w:rPr>
        <w:t>’</w:t>
      </w:r>
      <w:r w:rsidRPr="00393950">
        <w:rPr>
          <w:lang w:val="fr-FR"/>
        </w:rPr>
        <w:t>asile et les migrantes. En outre, il note avec préoccupation le faible nombre de demandes d</w:t>
      </w:r>
      <w:r>
        <w:rPr>
          <w:lang w:val="fr-FR"/>
        </w:rPr>
        <w:t>’</w:t>
      </w:r>
      <w:r w:rsidRPr="00393950">
        <w:rPr>
          <w:lang w:val="fr-FR"/>
        </w:rPr>
        <w:t>arbitrage ou de recours qui ont été formées en vertu de la loi relative à l</w:t>
      </w:r>
      <w:r>
        <w:rPr>
          <w:lang w:val="fr-FR"/>
        </w:rPr>
        <w:t>’</w:t>
      </w:r>
      <w:r w:rsidRPr="00393950">
        <w:rPr>
          <w:lang w:val="fr-FR"/>
        </w:rPr>
        <w:t>égalité des femmes et des hommes devant la Cour de justice du Liechtenstein pendant la période considérée.</w:t>
      </w:r>
    </w:p>
    <w:p w14:paraId="54AD3F2B" w14:textId="77777777" w:rsidR="00A351F4" w:rsidRPr="00393950" w:rsidRDefault="00A351F4" w:rsidP="00A351F4">
      <w:pPr>
        <w:pStyle w:val="SingleTxt"/>
        <w:numPr>
          <w:ilvl w:val="0"/>
          <w:numId w:val="32"/>
        </w:numPr>
        <w:spacing w:line="240" w:lineRule="exact"/>
        <w:ind w:left="1267"/>
        <w:rPr>
          <w:b/>
          <w:lang w:val="fr-FR"/>
        </w:rPr>
      </w:pPr>
      <w:r w:rsidRPr="00393950">
        <w:rPr>
          <w:b/>
          <w:bCs/>
          <w:lang w:val="fr-FR"/>
        </w:rPr>
        <w:t>Conformément à sa recommandation générale n</w:t>
      </w:r>
      <w:r w:rsidRPr="00393950">
        <w:rPr>
          <w:b/>
          <w:bCs/>
          <w:vertAlign w:val="superscript"/>
          <w:lang w:val="fr-FR"/>
        </w:rPr>
        <w:t>o</w:t>
      </w:r>
      <w:r w:rsidRPr="00393950">
        <w:rPr>
          <w:b/>
          <w:bCs/>
          <w:lang w:val="fr-FR"/>
        </w:rPr>
        <w:t xml:space="preserve"> 33 (2015) sur l</w:t>
      </w:r>
      <w:r>
        <w:rPr>
          <w:b/>
          <w:bCs/>
          <w:lang w:val="fr-FR"/>
        </w:rPr>
        <w:t>’</w:t>
      </w:r>
      <w:r w:rsidRPr="00393950">
        <w:rPr>
          <w:b/>
          <w:bCs/>
          <w:lang w:val="fr-FR"/>
        </w:rPr>
        <w:t>accès des femmes à la justice, le Comité recommande à l</w:t>
      </w:r>
      <w:r>
        <w:rPr>
          <w:b/>
          <w:bCs/>
          <w:lang w:val="fr-FR"/>
        </w:rPr>
        <w:t>’</w:t>
      </w:r>
      <w:r w:rsidRPr="00393950">
        <w:rPr>
          <w:b/>
          <w:bCs/>
          <w:lang w:val="fr-FR"/>
        </w:rPr>
        <w:t>État partie</w:t>
      </w:r>
      <w:r>
        <w:rPr>
          <w:b/>
          <w:bCs/>
          <w:lang w:val="fr-FR"/>
        </w:rPr>
        <w:t> :</w:t>
      </w:r>
    </w:p>
    <w:p w14:paraId="155D3222" w14:textId="77777777" w:rsidR="00A351F4" w:rsidRPr="00393950" w:rsidRDefault="00A351F4" w:rsidP="00A351F4">
      <w:pPr>
        <w:pStyle w:val="SingleTxt"/>
        <w:rPr>
          <w:b/>
          <w:lang w:val="fr-FR"/>
        </w:rPr>
      </w:pPr>
      <w:r>
        <w:rPr>
          <w:b/>
          <w:bCs/>
          <w:lang w:val="fr-FR"/>
        </w:rPr>
        <w:tab/>
      </w:r>
      <w:r w:rsidRPr="00393950">
        <w:rPr>
          <w:b/>
          <w:bCs/>
          <w:lang w:val="fr-FR"/>
        </w:rPr>
        <w:t>a)</w:t>
      </w:r>
      <w:r w:rsidRPr="00393950">
        <w:rPr>
          <w:lang w:val="fr-FR"/>
        </w:rPr>
        <w:tab/>
      </w:r>
      <w:r w:rsidRPr="00393950">
        <w:rPr>
          <w:b/>
          <w:bCs/>
          <w:lang w:val="fr-FR"/>
        </w:rPr>
        <w:t>De sensibiliser le grand public à la législation interdisant la discrimination à l</w:t>
      </w:r>
      <w:r>
        <w:rPr>
          <w:b/>
          <w:bCs/>
          <w:lang w:val="fr-FR"/>
        </w:rPr>
        <w:t>’</w:t>
      </w:r>
      <w:r w:rsidRPr="00393950">
        <w:rPr>
          <w:b/>
          <w:bCs/>
          <w:lang w:val="fr-FR"/>
        </w:rPr>
        <w:t>égard des femmes et aux recours ouverts aux victimes, ainsi que de renforcer les capacités de la magistrature et de former la force publique à appliquer cette législation de manière stricte</w:t>
      </w:r>
      <w:r>
        <w:rPr>
          <w:b/>
          <w:bCs/>
          <w:lang w:val="fr-FR"/>
        </w:rPr>
        <w:t> ;</w:t>
      </w:r>
    </w:p>
    <w:p w14:paraId="33591034" w14:textId="77777777" w:rsidR="00A351F4" w:rsidRPr="00393950" w:rsidRDefault="00A351F4" w:rsidP="00A351F4">
      <w:pPr>
        <w:pStyle w:val="SingleTxt"/>
        <w:rPr>
          <w:b/>
          <w:lang w:val="fr-FR"/>
        </w:rPr>
      </w:pPr>
      <w:r>
        <w:rPr>
          <w:b/>
          <w:bCs/>
          <w:lang w:val="fr-FR"/>
        </w:rPr>
        <w:tab/>
      </w:r>
      <w:r w:rsidRPr="00393950">
        <w:rPr>
          <w:b/>
          <w:bCs/>
          <w:lang w:val="fr-FR"/>
        </w:rPr>
        <w:t>b)</w:t>
      </w:r>
      <w:r w:rsidRPr="00393950">
        <w:rPr>
          <w:lang w:val="fr-FR"/>
        </w:rPr>
        <w:tab/>
      </w:r>
      <w:r w:rsidRPr="00393950">
        <w:rPr>
          <w:b/>
          <w:bCs/>
          <w:lang w:val="fr-FR"/>
        </w:rPr>
        <w:t>De renforcer les mesures prises pour sensibiliser les femmes et les filles à leurs droits ainsi qu</w:t>
      </w:r>
      <w:r>
        <w:rPr>
          <w:b/>
          <w:bCs/>
          <w:lang w:val="fr-FR"/>
        </w:rPr>
        <w:t>’</w:t>
      </w:r>
      <w:r w:rsidRPr="00393950">
        <w:rPr>
          <w:b/>
          <w:bCs/>
          <w:lang w:val="fr-FR"/>
        </w:rPr>
        <w:t>aux voies de recours et aux services disponibles.</w:t>
      </w:r>
    </w:p>
    <w:p w14:paraId="7ACF6A29" w14:textId="77777777" w:rsidR="00A351F4" w:rsidRPr="00DA3FC9" w:rsidRDefault="00A351F4" w:rsidP="00A351F4">
      <w:pPr>
        <w:pStyle w:val="SingleTxt"/>
        <w:spacing w:after="0" w:line="120" w:lineRule="exact"/>
        <w:rPr>
          <w:b/>
          <w:sz w:val="10"/>
          <w:lang w:val="fr-FR"/>
        </w:rPr>
      </w:pPr>
    </w:p>
    <w:p w14:paraId="0228ADD8"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393950">
        <w:rPr>
          <w:lang w:val="fr-FR"/>
        </w:rPr>
        <w:tab/>
        <w:t>Mécanisme national de promotion des femmes</w:t>
      </w:r>
    </w:p>
    <w:p w14:paraId="6DA1F030" w14:textId="77777777" w:rsidR="00A351F4" w:rsidRPr="00DA3FC9" w:rsidRDefault="00A351F4" w:rsidP="00A351F4">
      <w:pPr>
        <w:pStyle w:val="SingleTxt"/>
        <w:spacing w:after="0" w:line="120" w:lineRule="exact"/>
        <w:rPr>
          <w:sz w:val="10"/>
          <w:lang w:val="fr-FR"/>
        </w:rPr>
      </w:pPr>
    </w:p>
    <w:p w14:paraId="78884E88" w14:textId="77777777" w:rsidR="00A351F4" w:rsidRPr="00393950" w:rsidRDefault="00A351F4" w:rsidP="00A351F4">
      <w:pPr>
        <w:pStyle w:val="SingleTxt"/>
        <w:numPr>
          <w:ilvl w:val="0"/>
          <w:numId w:val="32"/>
        </w:numPr>
        <w:spacing w:line="240" w:lineRule="exact"/>
        <w:ind w:left="1267"/>
        <w:rPr>
          <w:lang w:val="fr-FR"/>
        </w:rPr>
      </w:pPr>
      <w:r w:rsidRPr="00393950">
        <w:rPr>
          <w:lang w:val="fr-FR"/>
        </w:rPr>
        <w:t>Le Comité s</w:t>
      </w:r>
      <w:r>
        <w:rPr>
          <w:lang w:val="fr-FR"/>
        </w:rPr>
        <w:t>’</w:t>
      </w:r>
      <w:r w:rsidRPr="00393950">
        <w:rPr>
          <w:lang w:val="fr-FR"/>
        </w:rPr>
        <w:t>inquiète qu</w:t>
      </w:r>
      <w:r>
        <w:rPr>
          <w:lang w:val="fr-FR"/>
        </w:rPr>
        <w:t>’</w:t>
      </w:r>
      <w:r w:rsidRPr="00393950">
        <w:rPr>
          <w:lang w:val="fr-FR"/>
        </w:rPr>
        <w:t>il n</w:t>
      </w:r>
      <w:r>
        <w:rPr>
          <w:lang w:val="fr-FR"/>
        </w:rPr>
        <w:t>’</w:t>
      </w:r>
      <w:r w:rsidRPr="00393950">
        <w:rPr>
          <w:lang w:val="fr-FR"/>
        </w:rPr>
        <w:t>y ait pas, à l</w:t>
      </w:r>
      <w:r>
        <w:rPr>
          <w:lang w:val="fr-FR"/>
        </w:rPr>
        <w:t>’</w:t>
      </w:r>
      <w:r w:rsidRPr="00393950">
        <w:rPr>
          <w:lang w:val="fr-FR"/>
        </w:rPr>
        <w:t>échelle nationale, de politique, de stratégie ou de programme d</w:t>
      </w:r>
      <w:r>
        <w:rPr>
          <w:lang w:val="fr-FR"/>
        </w:rPr>
        <w:t>’</w:t>
      </w:r>
      <w:r w:rsidRPr="00393950">
        <w:rPr>
          <w:lang w:val="fr-FR"/>
        </w:rPr>
        <w:t>action global en matière d</w:t>
      </w:r>
      <w:r>
        <w:rPr>
          <w:lang w:val="fr-FR"/>
        </w:rPr>
        <w:t>’</w:t>
      </w:r>
      <w:r w:rsidRPr="00393950">
        <w:rPr>
          <w:lang w:val="fr-FR"/>
        </w:rPr>
        <w:t>égalité des femmes et des hommes permettant de s</w:t>
      </w:r>
      <w:r>
        <w:rPr>
          <w:lang w:val="fr-FR"/>
        </w:rPr>
        <w:t>’</w:t>
      </w:r>
      <w:r w:rsidRPr="00393950">
        <w:rPr>
          <w:lang w:val="fr-FR"/>
        </w:rPr>
        <w:t>attaquer systématiquement aux causes structurelles des inégalités persistantes. Le Comité prend également note avec inquiétude de la réorganisation des responsabilités en ce qui concerne l</w:t>
      </w:r>
      <w:r>
        <w:rPr>
          <w:lang w:val="fr-FR"/>
        </w:rPr>
        <w:t>’</w:t>
      </w:r>
      <w:r w:rsidRPr="00393950">
        <w:rPr>
          <w:lang w:val="fr-FR"/>
        </w:rPr>
        <w:t>égalité femmes-hommes dans l</w:t>
      </w:r>
      <w:r>
        <w:rPr>
          <w:lang w:val="fr-FR"/>
        </w:rPr>
        <w:t>’</w:t>
      </w:r>
      <w:r w:rsidRPr="00393950">
        <w:rPr>
          <w:lang w:val="fr-FR"/>
        </w:rPr>
        <w:t>administration publique, y compris le transfert du Service de l</w:t>
      </w:r>
      <w:r>
        <w:rPr>
          <w:lang w:val="fr-FR"/>
        </w:rPr>
        <w:t>’</w:t>
      </w:r>
      <w:r w:rsidRPr="00393950">
        <w:rPr>
          <w:lang w:val="fr-FR"/>
        </w:rPr>
        <w:t>égalité des chances, anciennement public et indépendant, vers un service relevant du Bureau des services sociaux, ainsi que l</w:t>
      </w:r>
      <w:r>
        <w:rPr>
          <w:lang w:val="fr-FR"/>
        </w:rPr>
        <w:t>’</w:t>
      </w:r>
      <w:r w:rsidRPr="00393950">
        <w:rPr>
          <w:lang w:val="fr-FR"/>
        </w:rPr>
        <w:t>intégration de la Commission de l</w:t>
      </w:r>
      <w:r>
        <w:rPr>
          <w:lang w:val="fr-FR"/>
        </w:rPr>
        <w:t>’</w:t>
      </w:r>
      <w:r w:rsidRPr="00393950">
        <w:rPr>
          <w:lang w:val="fr-FR"/>
        </w:rPr>
        <w:t xml:space="preserve">égalité des sexes et du Bureau du </w:t>
      </w:r>
      <w:r>
        <w:rPr>
          <w:lang w:val="fr-FR"/>
        </w:rPr>
        <w:t>m</w:t>
      </w:r>
      <w:r w:rsidRPr="00393950">
        <w:rPr>
          <w:lang w:val="fr-FR"/>
        </w:rPr>
        <w:t>édiateur pour l</w:t>
      </w:r>
      <w:r>
        <w:rPr>
          <w:lang w:val="fr-FR"/>
        </w:rPr>
        <w:t>’</w:t>
      </w:r>
      <w:r w:rsidRPr="00393950">
        <w:rPr>
          <w:lang w:val="fr-FR"/>
        </w:rPr>
        <w:t>enfance et la jeunesse à l</w:t>
      </w:r>
      <w:r>
        <w:rPr>
          <w:lang w:val="fr-FR"/>
        </w:rPr>
        <w:t>’</w:t>
      </w:r>
      <w:r w:rsidRPr="00393950">
        <w:rPr>
          <w:lang w:val="fr-FR"/>
        </w:rPr>
        <w:t>Association de défense des droits de l</w:t>
      </w:r>
      <w:r>
        <w:rPr>
          <w:lang w:val="fr-FR"/>
        </w:rPr>
        <w:t>’</w:t>
      </w:r>
      <w:r w:rsidRPr="00393950">
        <w:rPr>
          <w:lang w:val="fr-FR"/>
        </w:rPr>
        <w:t>homme au Liechtenstein. La nouvelle structure a un mandat moins étendu en ce qui concerne la promotion de l</w:t>
      </w:r>
      <w:r>
        <w:rPr>
          <w:lang w:val="fr-FR"/>
        </w:rPr>
        <w:t>’</w:t>
      </w:r>
      <w:r w:rsidRPr="00393950">
        <w:rPr>
          <w:lang w:val="fr-FR"/>
        </w:rPr>
        <w:t>égalité femmes-hommes, de moindres responsabilités et une moins grande visibilité. Le Comité est également préoccupé par les informations fournies par la délégation, selon lesquelles l</w:t>
      </w:r>
      <w:r>
        <w:rPr>
          <w:lang w:val="fr-FR"/>
        </w:rPr>
        <w:t>’</w:t>
      </w:r>
      <w:r w:rsidRPr="00393950">
        <w:rPr>
          <w:lang w:val="fr-FR"/>
        </w:rPr>
        <w:t xml:space="preserve">État partie ne dispose pas de ressources financières suffisantes pour améliorer encore le mécanisme national de promotion des femmes. </w:t>
      </w:r>
    </w:p>
    <w:p w14:paraId="2039BA4F" w14:textId="77777777" w:rsidR="00A351F4" w:rsidRPr="00393950" w:rsidRDefault="00A351F4" w:rsidP="00A351F4">
      <w:pPr>
        <w:pStyle w:val="SingleTxt"/>
        <w:numPr>
          <w:ilvl w:val="0"/>
          <w:numId w:val="32"/>
        </w:numPr>
        <w:spacing w:line="240" w:lineRule="exact"/>
        <w:ind w:left="1267"/>
        <w:rPr>
          <w:b/>
          <w:lang w:val="fr-FR"/>
        </w:rPr>
      </w:pPr>
      <w:r w:rsidRPr="00393950">
        <w:rPr>
          <w:b/>
          <w:bCs/>
          <w:lang w:val="fr-FR"/>
        </w:rPr>
        <w:t>Le Comité recommande à l</w:t>
      </w:r>
      <w:r>
        <w:rPr>
          <w:b/>
          <w:bCs/>
          <w:lang w:val="fr-FR"/>
        </w:rPr>
        <w:t>’</w:t>
      </w:r>
      <w:r w:rsidRPr="00393950">
        <w:rPr>
          <w:b/>
          <w:bCs/>
          <w:lang w:val="fr-FR"/>
        </w:rPr>
        <w:t>État partie</w:t>
      </w:r>
      <w:r>
        <w:rPr>
          <w:b/>
          <w:bCs/>
          <w:lang w:val="fr-FR"/>
        </w:rPr>
        <w:t> :</w:t>
      </w:r>
    </w:p>
    <w:p w14:paraId="61AD28C3" w14:textId="77777777" w:rsidR="00A351F4" w:rsidRPr="00393950" w:rsidRDefault="00A351F4" w:rsidP="00A351F4">
      <w:pPr>
        <w:pStyle w:val="SingleTxt"/>
        <w:rPr>
          <w:b/>
          <w:lang w:val="fr-FR"/>
        </w:rPr>
      </w:pPr>
      <w:r>
        <w:rPr>
          <w:b/>
          <w:bCs/>
          <w:lang w:val="fr-FR"/>
        </w:rPr>
        <w:tab/>
      </w:r>
      <w:r w:rsidRPr="00393950">
        <w:rPr>
          <w:b/>
          <w:bCs/>
          <w:lang w:val="fr-FR"/>
        </w:rPr>
        <w:t>a)</w:t>
      </w:r>
      <w:r w:rsidRPr="00393950">
        <w:rPr>
          <w:lang w:val="fr-FR"/>
        </w:rPr>
        <w:tab/>
      </w:r>
      <w:r w:rsidRPr="00393950">
        <w:rPr>
          <w:b/>
          <w:bCs/>
          <w:lang w:val="fr-FR"/>
        </w:rPr>
        <w:t>D</w:t>
      </w:r>
      <w:r>
        <w:rPr>
          <w:b/>
          <w:bCs/>
          <w:lang w:val="fr-FR"/>
        </w:rPr>
        <w:t>’</w:t>
      </w:r>
      <w:r w:rsidRPr="00393950">
        <w:rPr>
          <w:b/>
          <w:bCs/>
          <w:lang w:val="fr-FR"/>
        </w:rPr>
        <w:t>adopter une politique et une stratégie intégrées en faveur de l</w:t>
      </w:r>
      <w:r>
        <w:rPr>
          <w:b/>
          <w:bCs/>
          <w:lang w:val="fr-FR"/>
        </w:rPr>
        <w:t>’</w:t>
      </w:r>
      <w:r w:rsidRPr="00393950">
        <w:rPr>
          <w:b/>
          <w:bCs/>
          <w:lang w:val="fr-FR"/>
        </w:rPr>
        <w:t>égalité femmes-hommes et de sa prise en compte systématique, y compris en ayant recours à des processus de budgétisation tenant compte de la problématique femmes-hommes, avec des mécanismes efficaces de suivi et de responsabilisation dans tous les secteurs et à tous les niveaux de l</w:t>
      </w:r>
      <w:r>
        <w:rPr>
          <w:b/>
          <w:bCs/>
          <w:lang w:val="fr-FR"/>
        </w:rPr>
        <w:t>’</w:t>
      </w:r>
      <w:r w:rsidRPr="00393950">
        <w:rPr>
          <w:b/>
          <w:bCs/>
          <w:lang w:val="fr-FR"/>
        </w:rPr>
        <w:t>administration publique</w:t>
      </w:r>
      <w:r>
        <w:rPr>
          <w:b/>
          <w:bCs/>
          <w:lang w:val="fr-FR"/>
        </w:rPr>
        <w:t> ;</w:t>
      </w:r>
    </w:p>
    <w:p w14:paraId="4B01A64B" w14:textId="77777777" w:rsidR="00A351F4" w:rsidRPr="00393950" w:rsidRDefault="00A351F4" w:rsidP="00A351F4">
      <w:pPr>
        <w:pStyle w:val="SingleTxt"/>
        <w:rPr>
          <w:b/>
          <w:lang w:val="fr-FR"/>
        </w:rPr>
      </w:pPr>
      <w:r>
        <w:rPr>
          <w:b/>
          <w:bCs/>
          <w:lang w:val="fr-FR"/>
        </w:rPr>
        <w:tab/>
      </w:r>
      <w:r w:rsidRPr="00393950">
        <w:rPr>
          <w:b/>
          <w:bCs/>
          <w:lang w:val="fr-FR"/>
        </w:rPr>
        <w:t>b)</w:t>
      </w:r>
      <w:r w:rsidRPr="00393950">
        <w:rPr>
          <w:lang w:val="fr-FR"/>
        </w:rPr>
        <w:tab/>
      </w:r>
      <w:r w:rsidRPr="00393950">
        <w:rPr>
          <w:b/>
          <w:bCs/>
          <w:lang w:val="fr-FR"/>
        </w:rPr>
        <w:t>De renforcer le Service de l</w:t>
      </w:r>
      <w:r>
        <w:rPr>
          <w:b/>
          <w:bCs/>
          <w:lang w:val="fr-FR"/>
        </w:rPr>
        <w:t>’</w:t>
      </w:r>
      <w:r w:rsidRPr="00393950">
        <w:rPr>
          <w:b/>
          <w:bCs/>
          <w:lang w:val="fr-FR"/>
        </w:rPr>
        <w:t>égalité des chances et de veiller à ce qu</w:t>
      </w:r>
      <w:r>
        <w:rPr>
          <w:b/>
          <w:bCs/>
          <w:lang w:val="fr-FR"/>
        </w:rPr>
        <w:t>’</w:t>
      </w:r>
      <w:r w:rsidRPr="00393950">
        <w:rPr>
          <w:b/>
          <w:bCs/>
          <w:lang w:val="fr-FR"/>
        </w:rPr>
        <w:t>il bénéficie de l</w:t>
      </w:r>
      <w:r>
        <w:rPr>
          <w:b/>
          <w:bCs/>
          <w:lang w:val="fr-FR"/>
        </w:rPr>
        <w:t>’</w:t>
      </w:r>
      <w:r w:rsidRPr="00393950">
        <w:rPr>
          <w:b/>
          <w:bCs/>
          <w:lang w:val="fr-FR"/>
        </w:rPr>
        <w:t>autorité, de la notoriété et des ressources humaines et financières nécessaires pour faire efficacement progresser les droits des femmes, qu</w:t>
      </w:r>
      <w:r>
        <w:rPr>
          <w:b/>
          <w:bCs/>
          <w:lang w:val="fr-FR"/>
        </w:rPr>
        <w:t>’</w:t>
      </w:r>
      <w:r w:rsidRPr="00393950">
        <w:rPr>
          <w:b/>
          <w:bCs/>
          <w:lang w:val="fr-FR"/>
        </w:rPr>
        <w:t>il apprécie régulièrement les progrès accomplis dans l</w:t>
      </w:r>
      <w:r>
        <w:rPr>
          <w:b/>
          <w:bCs/>
          <w:lang w:val="fr-FR"/>
        </w:rPr>
        <w:t>’</w:t>
      </w:r>
      <w:r w:rsidRPr="00393950">
        <w:rPr>
          <w:b/>
          <w:bCs/>
          <w:lang w:val="fr-FR"/>
        </w:rPr>
        <w:t>application des politiques, plans et programmes en faveur de l</w:t>
      </w:r>
      <w:r>
        <w:rPr>
          <w:b/>
          <w:bCs/>
          <w:lang w:val="fr-FR"/>
        </w:rPr>
        <w:t>’</w:t>
      </w:r>
      <w:r w:rsidRPr="00393950">
        <w:rPr>
          <w:b/>
          <w:bCs/>
          <w:lang w:val="fr-FR"/>
        </w:rPr>
        <w:t>égalité femmes-hommes et qu</w:t>
      </w:r>
      <w:r>
        <w:rPr>
          <w:b/>
          <w:bCs/>
          <w:lang w:val="fr-FR"/>
        </w:rPr>
        <w:t>’</w:t>
      </w:r>
      <w:r w:rsidRPr="00393950">
        <w:rPr>
          <w:b/>
          <w:bCs/>
          <w:lang w:val="fr-FR"/>
        </w:rPr>
        <w:t>il évalue l</w:t>
      </w:r>
      <w:r>
        <w:rPr>
          <w:b/>
          <w:bCs/>
          <w:lang w:val="fr-FR"/>
        </w:rPr>
        <w:t>’</w:t>
      </w:r>
      <w:r w:rsidRPr="00393950">
        <w:rPr>
          <w:b/>
          <w:bCs/>
          <w:lang w:val="fr-FR"/>
        </w:rPr>
        <w:t>incidence de ces initiatives</w:t>
      </w:r>
      <w:r>
        <w:rPr>
          <w:b/>
          <w:bCs/>
          <w:lang w:val="fr-FR"/>
        </w:rPr>
        <w:t> ;</w:t>
      </w:r>
      <w:r w:rsidRPr="00393950">
        <w:rPr>
          <w:lang w:val="fr-FR"/>
        </w:rPr>
        <w:t xml:space="preserve"> </w:t>
      </w:r>
    </w:p>
    <w:p w14:paraId="195562D7" w14:textId="77777777" w:rsidR="00A351F4" w:rsidRPr="00393950" w:rsidRDefault="00A351F4" w:rsidP="00A351F4">
      <w:pPr>
        <w:pStyle w:val="SingleTxt"/>
        <w:rPr>
          <w:lang w:val="fr-FR"/>
        </w:rPr>
      </w:pPr>
      <w:r>
        <w:rPr>
          <w:b/>
          <w:bCs/>
          <w:lang w:val="fr-FR"/>
        </w:rPr>
        <w:tab/>
      </w:r>
      <w:r w:rsidRPr="00393950">
        <w:rPr>
          <w:b/>
          <w:bCs/>
          <w:lang w:val="fr-FR"/>
        </w:rPr>
        <w:t>c)</w:t>
      </w:r>
      <w:r w:rsidRPr="00393950">
        <w:rPr>
          <w:lang w:val="fr-FR"/>
        </w:rPr>
        <w:tab/>
      </w:r>
      <w:r w:rsidRPr="00393950">
        <w:rPr>
          <w:b/>
          <w:bCs/>
          <w:lang w:val="fr-FR"/>
        </w:rPr>
        <w:t>De garantir que des ressources financières suffisantes sont allouées au bon fonctionnement du mécanisme national de promotion des femmes et à l</w:t>
      </w:r>
      <w:r>
        <w:rPr>
          <w:b/>
          <w:bCs/>
          <w:lang w:val="fr-FR"/>
        </w:rPr>
        <w:t>’</w:t>
      </w:r>
      <w:r w:rsidRPr="00393950">
        <w:rPr>
          <w:b/>
          <w:bCs/>
          <w:lang w:val="fr-FR"/>
        </w:rPr>
        <w:t>application, dans l</w:t>
      </w:r>
      <w:r>
        <w:rPr>
          <w:b/>
          <w:bCs/>
          <w:lang w:val="fr-FR"/>
        </w:rPr>
        <w:t>’</w:t>
      </w:r>
      <w:r w:rsidRPr="00393950">
        <w:rPr>
          <w:b/>
          <w:bCs/>
          <w:lang w:val="fr-FR"/>
        </w:rPr>
        <w:t>État partie, de la Convention dans sa globalité.</w:t>
      </w:r>
    </w:p>
    <w:p w14:paraId="7BBD928A" w14:textId="77777777" w:rsidR="00A351F4" w:rsidRPr="00DA3FC9" w:rsidRDefault="00A351F4" w:rsidP="00A351F4">
      <w:pPr>
        <w:pStyle w:val="SingleTxt"/>
        <w:spacing w:after="0" w:line="120" w:lineRule="exact"/>
        <w:rPr>
          <w:b/>
          <w:sz w:val="10"/>
          <w:lang w:val="fr-FR"/>
        </w:rPr>
      </w:pPr>
    </w:p>
    <w:p w14:paraId="32ABC06E"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Institution nationale de défense des droits de l</w:t>
      </w:r>
      <w:r>
        <w:rPr>
          <w:lang w:val="fr-FR"/>
        </w:rPr>
        <w:t>’</w:t>
      </w:r>
      <w:r w:rsidRPr="00393950">
        <w:rPr>
          <w:lang w:val="fr-FR"/>
        </w:rPr>
        <w:t>homme</w:t>
      </w:r>
    </w:p>
    <w:p w14:paraId="0201FF07" w14:textId="77777777" w:rsidR="00A351F4" w:rsidRPr="00DA3FC9" w:rsidRDefault="00A351F4" w:rsidP="00A351F4">
      <w:pPr>
        <w:pStyle w:val="SingleTxt"/>
        <w:spacing w:after="0" w:line="120" w:lineRule="exact"/>
        <w:rPr>
          <w:sz w:val="10"/>
          <w:lang w:val="fr-FR"/>
        </w:rPr>
      </w:pPr>
    </w:p>
    <w:p w14:paraId="21A15276" w14:textId="77777777" w:rsidR="00A351F4" w:rsidRPr="00393950" w:rsidRDefault="00A351F4" w:rsidP="00A351F4">
      <w:pPr>
        <w:pStyle w:val="SingleTxt"/>
        <w:numPr>
          <w:ilvl w:val="0"/>
          <w:numId w:val="32"/>
        </w:numPr>
        <w:spacing w:line="240" w:lineRule="exact"/>
        <w:ind w:left="1267"/>
        <w:rPr>
          <w:lang w:val="fr-FR"/>
        </w:rPr>
      </w:pPr>
      <w:r w:rsidRPr="00393950">
        <w:rPr>
          <w:lang w:val="fr-FR"/>
        </w:rPr>
        <w:t>Le Comité salue l</w:t>
      </w:r>
      <w:r>
        <w:rPr>
          <w:lang w:val="fr-FR"/>
        </w:rPr>
        <w:t>’</w:t>
      </w:r>
      <w:r w:rsidRPr="00393950">
        <w:rPr>
          <w:lang w:val="fr-FR"/>
        </w:rPr>
        <w:t>adoption de la loi relative à l</w:t>
      </w:r>
      <w:r>
        <w:rPr>
          <w:lang w:val="fr-FR"/>
        </w:rPr>
        <w:t>’</w:t>
      </w:r>
      <w:r w:rsidRPr="00393950">
        <w:rPr>
          <w:lang w:val="fr-FR"/>
        </w:rPr>
        <w:t>Association liechtensteinoise des droits de l</w:t>
      </w:r>
      <w:r>
        <w:rPr>
          <w:lang w:val="fr-FR"/>
        </w:rPr>
        <w:t>’</w:t>
      </w:r>
      <w:r w:rsidRPr="00393950">
        <w:rPr>
          <w:lang w:val="fr-FR"/>
        </w:rPr>
        <w:t>homme, en 2016, et la création par la suite de l</w:t>
      </w:r>
      <w:r>
        <w:rPr>
          <w:lang w:val="fr-FR"/>
        </w:rPr>
        <w:t>’</w:t>
      </w:r>
      <w:r w:rsidRPr="00393950">
        <w:rPr>
          <w:lang w:val="fr-FR"/>
        </w:rPr>
        <w:t xml:space="preserve">Association, qui aspire </w:t>
      </w:r>
      <w:r w:rsidRPr="00393950">
        <w:rPr>
          <w:lang w:val="fr-FR"/>
        </w:rPr>
        <w:lastRenderedPageBreak/>
        <w:t>à devenir l</w:t>
      </w:r>
      <w:r>
        <w:rPr>
          <w:lang w:val="fr-FR"/>
        </w:rPr>
        <w:t>’</w:t>
      </w:r>
      <w:r w:rsidRPr="00393950">
        <w:rPr>
          <w:lang w:val="fr-FR"/>
        </w:rPr>
        <w:t>institution nationale de défense des droits de l</w:t>
      </w:r>
      <w:r>
        <w:rPr>
          <w:lang w:val="fr-FR"/>
        </w:rPr>
        <w:t>’</w:t>
      </w:r>
      <w:r w:rsidRPr="00393950">
        <w:rPr>
          <w:lang w:val="fr-FR"/>
        </w:rPr>
        <w:t>homme de l</w:t>
      </w:r>
      <w:r>
        <w:rPr>
          <w:lang w:val="fr-FR"/>
        </w:rPr>
        <w:t>’</w:t>
      </w:r>
      <w:r w:rsidRPr="00393950">
        <w:rPr>
          <w:lang w:val="fr-FR"/>
        </w:rPr>
        <w:t>État partie. Il est toutefois préoccupé par le fait que l</w:t>
      </w:r>
      <w:r>
        <w:rPr>
          <w:lang w:val="fr-FR"/>
        </w:rPr>
        <w:t>’</w:t>
      </w:r>
      <w:r w:rsidRPr="00393950">
        <w:rPr>
          <w:lang w:val="fr-FR"/>
        </w:rPr>
        <w:t>Association n</w:t>
      </w:r>
      <w:r>
        <w:rPr>
          <w:lang w:val="fr-FR"/>
        </w:rPr>
        <w:t>’</w:t>
      </w:r>
      <w:r w:rsidRPr="00393950">
        <w:rPr>
          <w:lang w:val="fr-FR"/>
        </w:rPr>
        <w:t>a pas demandé à être accréditée par l</w:t>
      </w:r>
      <w:r>
        <w:rPr>
          <w:lang w:val="fr-FR"/>
        </w:rPr>
        <w:t>’</w:t>
      </w:r>
      <w:r w:rsidRPr="00393950">
        <w:rPr>
          <w:lang w:val="fr-FR"/>
        </w:rPr>
        <w:t>Alliance globale des institutions nationales des droits de l</w:t>
      </w:r>
      <w:r>
        <w:rPr>
          <w:lang w:val="fr-FR"/>
        </w:rPr>
        <w:t>’</w:t>
      </w:r>
      <w:r w:rsidRPr="00393950">
        <w:rPr>
          <w:lang w:val="fr-FR"/>
        </w:rPr>
        <w:t>homme et qu</w:t>
      </w:r>
      <w:r>
        <w:rPr>
          <w:lang w:val="fr-FR"/>
        </w:rPr>
        <w:t>’</w:t>
      </w:r>
      <w:r w:rsidRPr="00393950">
        <w:rPr>
          <w:lang w:val="fr-FR"/>
        </w:rPr>
        <w:t>elle n</w:t>
      </w:r>
      <w:r>
        <w:rPr>
          <w:lang w:val="fr-FR"/>
        </w:rPr>
        <w:t>’</w:t>
      </w:r>
      <w:r w:rsidRPr="00393950">
        <w:rPr>
          <w:lang w:val="fr-FR"/>
        </w:rPr>
        <w:t>a pas le droit de déposer des plaintes en son nom propre. Il note en outre avec préoccupation que les ressources humaines et financières allouées à l</w:t>
      </w:r>
      <w:r>
        <w:rPr>
          <w:lang w:val="fr-FR"/>
        </w:rPr>
        <w:t>’</w:t>
      </w:r>
      <w:r w:rsidRPr="00393950">
        <w:rPr>
          <w:lang w:val="fr-FR"/>
        </w:rPr>
        <w:t>Association ne sont pas garanties pour plus de trois ans, après quoi l</w:t>
      </w:r>
      <w:r>
        <w:rPr>
          <w:lang w:val="fr-FR"/>
        </w:rPr>
        <w:t>’</w:t>
      </w:r>
      <w:r w:rsidRPr="00393950">
        <w:rPr>
          <w:lang w:val="fr-FR"/>
        </w:rPr>
        <w:t>Association pourrait être contrainte de trouver seule des financements.</w:t>
      </w:r>
    </w:p>
    <w:p w14:paraId="44E54512" w14:textId="77777777" w:rsidR="00A351F4" w:rsidRPr="00393950" w:rsidRDefault="00A351F4" w:rsidP="00A351F4">
      <w:pPr>
        <w:pStyle w:val="SingleTxt"/>
        <w:numPr>
          <w:ilvl w:val="0"/>
          <w:numId w:val="32"/>
        </w:numPr>
        <w:spacing w:line="240" w:lineRule="exact"/>
        <w:ind w:left="1267"/>
        <w:rPr>
          <w:b/>
          <w:lang w:val="fr-FR"/>
        </w:rPr>
      </w:pPr>
      <w:r w:rsidRPr="00393950">
        <w:rPr>
          <w:b/>
          <w:bCs/>
          <w:lang w:val="fr-FR"/>
        </w:rPr>
        <w:t>Le Comité recommande à l</w:t>
      </w:r>
      <w:r>
        <w:rPr>
          <w:b/>
          <w:bCs/>
          <w:lang w:val="fr-FR"/>
        </w:rPr>
        <w:t>’</w:t>
      </w:r>
      <w:r w:rsidRPr="00393950">
        <w:rPr>
          <w:b/>
          <w:bCs/>
          <w:lang w:val="fr-FR"/>
        </w:rPr>
        <w:t>État partie d</w:t>
      </w:r>
      <w:r>
        <w:rPr>
          <w:b/>
          <w:bCs/>
          <w:lang w:val="fr-FR"/>
        </w:rPr>
        <w:t>’</w:t>
      </w:r>
      <w:r w:rsidRPr="00393950">
        <w:rPr>
          <w:b/>
          <w:bCs/>
          <w:lang w:val="fr-FR"/>
        </w:rPr>
        <w:t>encourager l</w:t>
      </w:r>
      <w:r>
        <w:rPr>
          <w:b/>
          <w:bCs/>
          <w:lang w:val="fr-FR"/>
        </w:rPr>
        <w:t>’</w:t>
      </w:r>
      <w:r w:rsidRPr="00393950">
        <w:rPr>
          <w:b/>
          <w:bCs/>
          <w:lang w:val="fr-FR"/>
        </w:rPr>
        <w:t>Association liechtensteinoise des droits de l</w:t>
      </w:r>
      <w:r>
        <w:rPr>
          <w:b/>
          <w:bCs/>
          <w:lang w:val="fr-FR"/>
        </w:rPr>
        <w:t>’</w:t>
      </w:r>
      <w:r w:rsidRPr="00393950">
        <w:rPr>
          <w:b/>
          <w:bCs/>
          <w:lang w:val="fr-FR"/>
        </w:rPr>
        <w:t>homme à demander l</w:t>
      </w:r>
      <w:r>
        <w:rPr>
          <w:b/>
          <w:bCs/>
          <w:lang w:val="fr-FR"/>
        </w:rPr>
        <w:t>’</w:t>
      </w:r>
      <w:r w:rsidRPr="00393950">
        <w:rPr>
          <w:b/>
          <w:bCs/>
          <w:lang w:val="fr-FR"/>
        </w:rPr>
        <w:t>accréditation de statut A auprès de l</w:t>
      </w:r>
      <w:r>
        <w:rPr>
          <w:b/>
          <w:bCs/>
          <w:lang w:val="fr-FR"/>
        </w:rPr>
        <w:t>’</w:t>
      </w:r>
      <w:r w:rsidRPr="00393950">
        <w:rPr>
          <w:b/>
          <w:bCs/>
          <w:lang w:val="fr-FR"/>
        </w:rPr>
        <w:t>Alliance globale des institutions nationales des droits de l</w:t>
      </w:r>
      <w:r>
        <w:rPr>
          <w:b/>
          <w:bCs/>
          <w:lang w:val="fr-FR"/>
        </w:rPr>
        <w:t>’</w:t>
      </w:r>
      <w:r w:rsidRPr="00393950">
        <w:rPr>
          <w:b/>
          <w:bCs/>
          <w:lang w:val="fr-FR"/>
        </w:rPr>
        <w:t>homme, de l</w:t>
      </w:r>
      <w:r>
        <w:rPr>
          <w:b/>
          <w:bCs/>
          <w:lang w:val="fr-FR"/>
        </w:rPr>
        <w:t>’</w:t>
      </w:r>
      <w:r w:rsidRPr="00393950">
        <w:rPr>
          <w:b/>
          <w:bCs/>
          <w:lang w:val="fr-FR"/>
        </w:rPr>
        <w:t>habiliter à déposer des plaintes en son nom propre et de lui allouer des ressources humaines, techniques et financières durables et suffisantes pour lui permettre de s</w:t>
      </w:r>
      <w:r>
        <w:rPr>
          <w:b/>
          <w:bCs/>
          <w:lang w:val="fr-FR"/>
        </w:rPr>
        <w:t>’</w:t>
      </w:r>
      <w:r w:rsidRPr="00393950">
        <w:rPr>
          <w:b/>
          <w:bCs/>
          <w:lang w:val="fr-FR"/>
        </w:rPr>
        <w:t>acquitter efficacement de son mandat, en particulier en ce qui concerne les droits des femmes et l</w:t>
      </w:r>
      <w:r>
        <w:rPr>
          <w:b/>
          <w:bCs/>
          <w:lang w:val="fr-FR"/>
        </w:rPr>
        <w:t>’</w:t>
      </w:r>
      <w:r w:rsidRPr="00393950">
        <w:rPr>
          <w:b/>
          <w:bCs/>
          <w:lang w:val="fr-FR"/>
        </w:rPr>
        <w:t>égalité des femmes-hommes, conformément aux Principes concernant le statut des institutions nationales de promotion et de protection des droits de l</w:t>
      </w:r>
      <w:r>
        <w:rPr>
          <w:b/>
          <w:bCs/>
          <w:lang w:val="fr-FR"/>
        </w:rPr>
        <w:t>’</w:t>
      </w:r>
      <w:r w:rsidRPr="00393950">
        <w:rPr>
          <w:b/>
          <w:bCs/>
          <w:lang w:val="fr-FR"/>
        </w:rPr>
        <w:t>homme (Principes de Paris).</w:t>
      </w:r>
      <w:r w:rsidRPr="00393950">
        <w:rPr>
          <w:lang w:val="fr-FR"/>
        </w:rPr>
        <w:t xml:space="preserve"> </w:t>
      </w:r>
      <w:r w:rsidRPr="00393950">
        <w:rPr>
          <w:b/>
          <w:bCs/>
          <w:lang w:val="fr-FR"/>
        </w:rPr>
        <w:t>Il rappelle à l</w:t>
      </w:r>
      <w:r>
        <w:rPr>
          <w:b/>
          <w:bCs/>
          <w:lang w:val="fr-FR"/>
        </w:rPr>
        <w:t>’</w:t>
      </w:r>
      <w:r w:rsidRPr="00393950">
        <w:rPr>
          <w:b/>
          <w:bCs/>
          <w:lang w:val="fr-FR"/>
        </w:rPr>
        <w:t>État partie que, pour garantir l</w:t>
      </w:r>
      <w:r>
        <w:rPr>
          <w:b/>
          <w:bCs/>
          <w:lang w:val="fr-FR"/>
        </w:rPr>
        <w:t>’</w:t>
      </w:r>
      <w:r w:rsidRPr="00393950">
        <w:rPr>
          <w:b/>
          <w:bCs/>
          <w:lang w:val="fr-FR"/>
        </w:rPr>
        <w:t>indépendance de l</w:t>
      </w:r>
      <w:r>
        <w:rPr>
          <w:b/>
          <w:bCs/>
          <w:lang w:val="fr-FR"/>
        </w:rPr>
        <w:t>’</w:t>
      </w:r>
      <w:r w:rsidRPr="00393950">
        <w:rPr>
          <w:b/>
          <w:bCs/>
          <w:lang w:val="fr-FR"/>
        </w:rPr>
        <w:t>institution nationale de défense des droits de l</w:t>
      </w:r>
      <w:r>
        <w:rPr>
          <w:b/>
          <w:bCs/>
          <w:lang w:val="fr-FR"/>
        </w:rPr>
        <w:t>’</w:t>
      </w:r>
      <w:r w:rsidRPr="00393950">
        <w:rPr>
          <w:b/>
          <w:bCs/>
          <w:lang w:val="fr-FR"/>
        </w:rPr>
        <w:t>homme, et indépendamment des autres sources de financement, il devrait veiller à ce que des fonds suffisants lui soient alloués pour lui permettre de s</w:t>
      </w:r>
      <w:r>
        <w:rPr>
          <w:b/>
          <w:bCs/>
          <w:lang w:val="fr-FR"/>
        </w:rPr>
        <w:t>’</w:t>
      </w:r>
      <w:r w:rsidRPr="00393950">
        <w:rPr>
          <w:b/>
          <w:bCs/>
          <w:lang w:val="fr-FR"/>
        </w:rPr>
        <w:t>acquitter de son mandat.</w:t>
      </w:r>
    </w:p>
    <w:p w14:paraId="2A97A9F8" w14:textId="77777777" w:rsidR="00A351F4" w:rsidRPr="00DA3FC9" w:rsidRDefault="00A351F4" w:rsidP="00A351F4">
      <w:pPr>
        <w:pStyle w:val="SingleTxt"/>
        <w:spacing w:after="0" w:line="120" w:lineRule="exact"/>
        <w:rPr>
          <w:b/>
          <w:sz w:val="10"/>
          <w:lang w:val="fr-FR"/>
        </w:rPr>
      </w:pPr>
    </w:p>
    <w:p w14:paraId="17604E30"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Mesures temporaires spéciales</w:t>
      </w:r>
    </w:p>
    <w:p w14:paraId="64A438AA" w14:textId="77777777" w:rsidR="00A351F4" w:rsidRPr="00DA3FC9" w:rsidRDefault="00A351F4" w:rsidP="00A351F4">
      <w:pPr>
        <w:pStyle w:val="SingleTxt"/>
        <w:spacing w:after="0" w:line="120" w:lineRule="exact"/>
        <w:rPr>
          <w:sz w:val="10"/>
          <w:lang w:val="fr-FR"/>
        </w:rPr>
      </w:pPr>
    </w:p>
    <w:p w14:paraId="0B1EB890" w14:textId="77777777" w:rsidR="00A351F4" w:rsidRPr="00393950" w:rsidRDefault="00A351F4" w:rsidP="00A351F4">
      <w:pPr>
        <w:pStyle w:val="SingleTxt"/>
        <w:numPr>
          <w:ilvl w:val="0"/>
          <w:numId w:val="32"/>
        </w:numPr>
        <w:spacing w:line="240" w:lineRule="exact"/>
        <w:ind w:left="1267"/>
        <w:rPr>
          <w:lang w:val="fr-FR"/>
        </w:rPr>
      </w:pPr>
      <w:r w:rsidRPr="00393950">
        <w:rPr>
          <w:lang w:val="fr-FR"/>
        </w:rPr>
        <w:t>Le Comité accueille avec satisfaction les mesures que le Gouvernement a prises pour renforcer l</w:t>
      </w:r>
      <w:r>
        <w:rPr>
          <w:lang w:val="fr-FR"/>
        </w:rPr>
        <w:t>’</w:t>
      </w:r>
      <w:r w:rsidRPr="00393950">
        <w:rPr>
          <w:lang w:val="fr-FR"/>
        </w:rPr>
        <w:t>égalité des chances, notamment l</w:t>
      </w:r>
      <w:r>
        <w:rPr>
          <w:lang w:val="fr-FR"/>
        </w:rPr>
        <w:t>’</w:t>
      </w:r>
      <w:r w:rsidRPr="00393950">
        <w:rPr>
          <w:lang w:val="fr-FR"/>
        </w:rPr>
        <w:t>organisation d</w:t>
      </w:r>
      <w:r>
        <w:rPr>
          <w:lang w:val="fr-FR"/>
        </w:rPr>
        <w:t>’</w:t>
      </w:r>
      <w:r w:rsidRPr="00393950">
        <w:rPr>
          <w:lang w:val="fr-FR"/>
        </w:rPr>
        <w:t>un cours sur la vie politique à l</w:t>
      </w:r>
      <w:r>
        <w:rPr>
          <w:lang w:val="fr-FR"/>
        </w:rPr>
        <w:t>’</w:t>
      </w:r>
      <w:r w:rsidRPr="00393950">
        <w:rPr>
          <w:lang w:val="fr-FR"/>
        </w:rPr>
        <w:t>intention des femmes, les discussions avec les membres du Parlement et l</w:t>
      </w:r>
      <w:r>
        <w:rPr>
          <w:lang w:val="fr-FR"/>
        </w:rPr>
        <w:t>’</w:t>
      </w:r>
      <w:r w:rsidRPr="00393950">
        <w:rPr>
          <w:lang w:val="fr-FR"/>
        </w:rPr>
        <w:t>exposition sur les femmes qui sont des exemples à suivre, mais il demeure préoccupé par le fait que l</w:t>
      </w:r>
      <w:r>
        <w:rPr>
          <w:lang w:val="fr-FR"/>
        </w:rPr>
        <w:t>’</w:t>
      </w:r>
      <w:r w:rsidRPr="00393950">
        <w:rPr>
          <w:lang w:val="fr-FR"/>
        </w:rPr>
        <w:t>État partie ait une compréhension limitée des mesures temporaires spéciales au sens du paragraphe 1 de l</w:t>
      </w:r>
      <w:r>
        <w:rPr>
          <w:lang w:val="fr-FR"/>
        </w:rPr>
        <w:t>’</w:t>
      </w:r>
      <w:r w:rsidRPr="00393950">
        <w:rPr>
          <w:lang w:val="fr-FR"/>
        </w:rPr>
        <w:t>article 4 de la Convention. Il note avec regret que la plupart des mesures ont été prises sans considération de leur viabilité à long terme. Il rappelle à l</w:t>
      </w:r>
      <w:r>
        <w:rPr>
          <w:lang w:val="fr-FR"/>
        </w:rPr>
        <w:t>’</w:t>
      </w:r>
      <w:r w:rsidRPr="00393950">
        <w:rPr>
          <w:lang w:val="fr-FR"/>
        </w:rPr>
        <w:t>État partie que, même si son système de démocratie directe permet aux particuliers de demander un vote public afin de modifier la législation nationale de sorte que, par exemple, des quotas pour la représentation des femmes dans la vie politique et publique puissent être mis en place, cela ne l</w:t>
      </w:r>
      <w:r>
        <w:rPr>
          <w:lang w:val="fr-FR"/>
        </w:rPr>
        <w:t>’</w:t>
      </w:r>
      <w:r w:rsidRPr="00393950">
        <w:rPr>
          <w:lang w:val="fr-FR"/>
        </w:rPr>
        <w:t>exonère pas de son obligation d</w:t>
      </w:r>
      <w:r>
        <w:rPr>
          <w:lang w:val="fr-FR"/>
        </w:rPr>
        <w:t>’</w:t>
      </w:r>
      <w:r w:rsidRPr="00393950">
        <w:rPr>
          <w:lang w:val="fr-FR"/>
        </w:rPr>
        <w:t>adopter des mesures ciblées, y compris des mesures temporaires spéciales, conformément à la recommandation générale n</w:t>
      </w:r>
      <w:r w:rsidRPr="00393950">
        <w:rPr>
          <w:vertAlign w:val="superscript"/>
          <w:lang w:val="fr-FR"/>
        </w:rPr>
        <w:t>o</w:t>
      </w:r>
      <w:r>
        <w:rPr>
          <w:lang w:val="fr-FR"/>
        </w:rPr>
        <w:t> </w:t>
      </w:r>
      <w:r w:rsidRPr="00393950">
        <w:rPr>
          <w:lang w:val="fr-FR"/>
        </w:rPr>
        <w:t>25</w:t>
      </w:r>
      <w:r>
        <w:rPr>
          <w:lang w:val="fr-FR"/>
        </w:rPr>
        <w:t> </w:t>
      </w:r>
      <w:r w:rsidRPr="00393950">
        <w:rPr>
          <w:lang w:val="fr-FR"/>
        </w:rPr>
        <w:t>(2004) sur les mesures temporaires spéciales, afin d</w:t>
      </w:r>
      <w:r>
        <w:rPr>
          <w:lang w:val="fr-FR"/>
        </w:rPr>
        <w:t>’</w:t>
      </w:r>
      <w:r w:rsidRPr="00393950">
        <w:rPr>
          <w:lang w:val="fr-FR"/>
        </w:rPr>
        <w:t>accélérer l</w:t>
      </w:r>
      <w:r>
        <w:rPr>
          <w:lang w:val="fr-FR"/>
        </w:rPr>
        <w:t>’</w:t>
      </w:r>
      <w:r w:rsidRPr="00393950">
        <w:rPr>
          <w:lang w:val="fr-FR"/>
        </w:rPr>
        <w:t>égalité des femmes et des hommes dans tous les domaines visés par la Convention.</w:t>
      </w:r>
    </w:p>
    <w:p w14:paraId="349B27E2" w14:textId="77777777" w:rsidR="00A351F4" w:rsidRPr="00393950" w:rsidRDefault="00A351F4" w:rsidP="00A351F4">
      <w:pPr>
        <w:pStyle w:val="SingleTxt"/>
        <w:numPr>
          <w:ilvl w:val="0"/>
          <w:numId w:val="32"/>
        </w:numPr>
        <w:spacing w:line="240" w:lineRule="exact"/>
        <w:ind w:left="1267"/>
        <w:rPr>
          <w:b/>
          <w:lang w:val="fr-FR"/>
        </w:rPr>
      </w:pPr>
      <w:r w:rsidRPr="00393950">
        <w:rPr>
          <w:b/>
          <w:bCs/>
          <w:lang w:val="fr-FR"/>
        </w:rPr>
        <w:t>Le Comité recommande à l</w:t>
      </w:r>
      <w:r>
        <w:rPr>
          <w:b/>
          <w:bCs/>
          <w:lang w:val="fr-FR"/>
        </w:rPr>
        <w:t>’</w:t>
      </w:r>
      <w:r w:rsidRPr="00393950">
        <w:rPr>
          <w:b/>
          <w:bCs/>
          <w:lang w:val="fr-FR"/>
        </w:rPr>
        <w:t>État partie</w:t>
      </w:r>
      <w:r>
        <w:rPr>
          <w:b/>
          <w:bCs/>
          <w:lang w:val="fr-FR"/>
        </w:rPr>
        <w:t> :</w:t>
      </w:r>
      <w:r w:rsidRPr="00393950">
        <w:rPr>
          <w:lang w:val="fr-FR"/>
        </w:rPr>
        <w:t xml:space="preserve"> </w:t>
      </w:r>
    </w:p>
    <w:p w14:paraId="3F55CC16" w14:textId="77777777" w:rsidR="00A351F4" w:rsidRPr="00393950" w:rsidRDefault="00A351F4" w:rsidP="00A351F4">
      <w:pPr>
        <w:pStyle w:val="SingleTxt"/>
        <w:rPr>
          <w:b/>
          <w:lang w:val="fr-FR"/>
        </w:rPr>
      </w:pPr>
      <w:r>
        <w:rPr>
          <w:b/>
          <w:bCs/>
          <w:lang w:val="fr-FR"/>
        </w:rPr>
        <w:tab/>
      </w:r>
      <w:r w:rsidRPr="00393950">
        <w:rPr>
          <w:b/>
          <w:bCs/>
          <w:lang w:val="fr-FR"/>
        </w:rPr>
        <w:t>a)</w:t>
      </w:r>
      <w:r w:rsidRPr="00393950">
        <w:rPr>
          <w:lang w:val="fr-FR"/>
        </w:rPr>
        <w:tab/>
      </w:r>
      <w:r w:rsidRPr="00393950">
        <w:rPr>
          <w:b/>
          <w:bCs/>
          <w:lang w:val="fr-FR"/>
        </w:rPr>
        <w:t>De fixer des objectifs assortis de délais et d</w:t>
      </w:r>
      <w:r>
        <w:rPr>
          <w:b/>
          <w:bCs/>
          <w:lang w:val="fr-FR"/>
        </w:rPr>
        <w:t>’</w:t>
      </w:r>
      <w:r w:rsidRPr="00393950">
        <w:rPr>
          <w:b/>
          <w:bCs/>
          <w:lang w:val="fr-FR"/>
        </w:rPr>
        <w:t>allouer des ressources suffisantes pour la mise en œuvre de mesures temporaires spéciales accompagnées d</w:t>
      </w:r>
      <w:r>
        <w:rPr>
          <w:b/>
          <w:bCs/>
          <w:lang w:val="fr-FR"/>
        </w:rPr>
        <w:t>’</w:t>
      </w:r>
      <w:r w:rsidRPr="00393950">
        <w:rPr>
          <w:b/>
          <w:bCs/>
          <w:lang w:val="fr-FR"/>
        </w:rPr>
        <w:t>incitations spécifiques, en vue de parvenir à une égalité réelle entre les femmes et les hommes dans tous les domaines visés par la Convention où les femmes sont sous-représentées ou défavorisées, tels que la vie politique et publique, l</w:t>
      </w:r>
      <w:r>
        <w:rPr>
          <w:b/>
          <w:bCs/>
          <w:lang w:val="fr-FR"/>
        </w:rPr>
        <w:t>’</w:t>
      </w:r>
      <w:r w:rsidRPr="00393950">
        <w:rPr>
          <w:b/>
          <w:bCs/>
          <w:lang w:val="fr-FR"/>
        </w:rPr>
        <w:t>éducation et l</w:t>
      </w:r>
      <w:r>
        <w:rPr>
          <w:b/>
          <w:bCs/>
          <w:lang w:val="fr-FR"/>
        </w:rPr>
        <w:t>’</w:t>
      </w:r>
      <w:r w:rsidRPr="00393950">
        <w:rPr>
          <w:b/>
          <w:bCs/>
          <w:lang w:val="fr-FR"/>
        </w:rPr>
        <w:t>emploi, étant entendu que le terme « mesures » couvre un large éventail d</w:t>
      </w:r>
      <w:r>
        <w:rPr>
          <w:b/>
          <w:bCs/>
          <w:lang w:val="fr-FR"/>
        </w:rPr>
        <w:t>’</w:t>
      </w:r>
      <w:r w:rsidRPr="00393950">
        <w:rPr>
          <w:b/>
          <w:bCs/>
          <w:lang w:val="fr-FR"/>
        </w:rPr>
        <w:t>instruments, de politiques et de pratiques dans les domaines législatif, exécutif, administratif et réglementaire, comme les programmes de sensibilisation ou d</w:t>
      </w:r>
      <w:r>
        <w:rPr>
          <w:b/>
          <w:bCs/>
          <w:lang w:val="fr-FR"/>
        </w:rPr>
        <w:t>’</w:t>
      </w:r>
      <w:r w:rsidRPr="00393950">
        <w:rPr>
          <w:b/>
          <w:bCs/>
          <w:lang w:val="fr-FR"/>
        </w:rPr>
        <w:t>appui,</w:t>
      </w:r>
      <w:r w:rsidRPr="00393950">
        <w:rPr>
          <w:lang w:val="fr-FR"/>
        </w:rPr>
        <w:t xml:space="preserve"> </w:t>
      </w:r>
      <w:r w:rsidRPr="00393950">
        <w:rPr>
          <w:b/>
          <w:bCs/>
          <w:lang w:val="fr-FR"/>
        </w:rPr>
        <w:t>l</w:t>
      </w:r>
      <w:r>
        <w:rPr>
          <w:b/>
          <w:bCs/>
          <w:lang w:val="fr-FR"/>
        </w:rPr>
        <w:t>’</w:t>
      </w:r>
      <w:r w:rsidRPr="00393950">
        <w:rPr>
          <w:b/>
          <w:bCs/>
          <w:lang w:val="fr-FR"/>
        </w:rPr>
        <w:t>allocation ou la redistribution de ressources,</w:t>
      </w:r>
      <w:r w:rsidRPr="00393950">
        <w:rPr>
          <w:lang w:val="fr-FR"/>
        </w:rPr>
        <w:t xml:space="preserve"> </w:t>
      </w:r>
      <w:r w:rsidRPr="00393950">
        <w:rPr>
          <w:b/>
          <w:bCs/>
          <w:lang w:val="fr-FR"/>
        </w:rPr>
        <w:t>l</w:t>
      </w:r>
      <w:r>
        <w:rPr>
          <w:b/>
          <w:bCs/>
          <w:lang w:val="fr-FR"/>
        </w:rPr>
        <w:t>’</w:t>
      </w:r>
      <w:r w:rsidRPr="00393950">
        <w:rPr>
          <w:b/>
          <w:bCs/>
          <w:lang w:val="fr-FR"/>
        </w:rPr>
        <w:t>offre d</w:t>
      </w:r>
      <w:r>
        <w:rPr>
          <w:b/>
          <w:bCs/>
          <w:lang w:val="fr-FR"/>
        </w:rPr>
        <w:t>’</w:t>
      </w:r>
      <w:r w:rsidRPr="00393950">
        <w:rPr>
          <w:b/>
          <w:bCs/>
          <w:lang w:val="fr-FR"/>
        </w:rPr>
        <w:t>un traitement préférentiel,</w:t>
      </w:r>
      <w:r w:rsidRPr="00393950">
        <w:rPr>
          <w:lang w:val="fr-FR"/>
        </w:rPr>
        <w:t xml:space="preserve"> </w:t>
      </w:r>
      <w:r w:rsidRPr="00393950">
        <w:rPr>
          <w:b/>
          <w:bCs/>
          <w:lang w:val="fr-FR"/>
        </w:rPr>
        <w:t>les pratiques de recrutement, d</w:t>
      </w:r>
      <w:r>
        <w:rPr>
          <w:b/>
          <w:bCs/>
          <w:lang w:val="fr-FR"/>
        </w:rPr>
        <w:t>’</w:t>
      </w:r>
      <w:r w:rsidRPr="00393950">
        <w:rPr>
          <w:b/>
          <w:bCs/>
          <w:lang w:val="fr-FR"/>
        </w:rPr>
        <w:t>embauche et de promotion ciblées,</w:t>
      </w:r>
      <w:r w:rsidRPr="00393950">
        <w:rPr>
          <w:lang w:val="fr-FR"/>
        </w:rPr>
        <w:t xml:space="preserve"> </w:t>
      </w:r>
      <w:r w:rsidRPr="00393950">
        <w:rPr>
          <w:b/>
          <w:bCs/>
          <w:lang w:val="fr-FR"/>
        </w:rPr>
        <w:t>la définition d</w:t>
      </w:r>
      <w:r>
        <w:rPr>
          <w:b/>
          <w:bCs/>
          <w:lang w:val="fr-FR"/>
        </w:rPr>
        <w:t>’</w:t>
      </w:r>
      <w:r w:rsidRPr="00393950">
        <w:rPr>
          <w:b/>
          <w:bCs/>
          <w:lang w:val="fr-FR"/>
        </w:rPr>
        <w:t>objectifs chiffrés assortis de calendriers</w:t>
      </w:r>
      <w:r w:rsidRPr="00393950">
        <w:rPr>
          <w:lang w:val="fr-FR"/>
        </w:rPr>
        <w:t xml:space="preserve"> </w:t>
      </w:r>
      <w:r w:rsidRPr="00393950">
        <w:rPr>
          <w:b/>
          <w:bCs/>
          <w:lang w:val="fr-FR"/>
        </w:rPr>
        <w:t>et les systèmes de quotas</w:t>
      </w:r>
      <w:r>
        <w:rPr>
          <w:b/>
          <w:bCs/>
          <w:lang w:val="fr-FR"/>
        </w:rPr>
        <w:t> ;</w:t>
      </w:r>
    </w:p>
    <w:p w14:paraId="598350AA" w14:textId="77777777" w:rsidR="00A351F4" w:rsidRDefault="00A351F4" w:rsidP="00A351F4">
      <w:pPr>
        <w:pStyle w:val="SingleTxt"/>
        <w:rPr>
          <w:b/>
          <w:bCs/>
          <w:lang w:val="fr-FR"/>
        </w:rPr>
      </w:pPr>
      <w:r>
        <w:rPr>
          <w:b/>
          <w:bCs/>
          <w:lang w:val="fr-FR"/>
        </w:rPr>
        <w:tab/>
      </w:r>
      <w:r w:rsidRPr="00393950">
        <w:rPr>
          <w:b/>
          <w:bCs/>
          <w:lang w:val="fr-FR"/>
        </w:rPr>
        <w:t>b)</w:t>
      </w:r>
      <w:r w:rsidRPr="00393950">
        <w:rPr>
          <w:lang w:val="fr-FR"/>
        </w:rPr>
        <w:tab/>
      </w:r>
      <w:r w:rsidRPr="00393950">
        <w:rPr>
          <w:b/>
          <w:bCs/>
          <w:lang w:val="fr-FR"/>
        </w:rPr>
        <w:t xml:space="preserve">De mener régulièrement des activités visant à sensibiliser les responsables politiques, les médias et le public en général à la nécessité de mettre </w:t>
      </w:r>
      <w:r w:rsidRPr="00393950">
        <w:rPr>
          <w:b/>
          <w:bCs/>
          <w:lang w:val="fr-FR"/>
        </w:rPr>
        <w:lastRenderedPageBreak/>
        <w:t>en œuvre des mesures spéciales, qu</w:t>
      </w:r>
      <w:r>
        <w:rPr>
          <w:b/>
          <w:bCs/>
          <w:lang w:val="fr-FR"/>
        </w:rPr>
        <w:t>’</w:t>
      </w:r>
      <w:r w:rsidRPr="00393950">
        <w:rPr>
          <w:b/>
          <w:bCs/>
          <w:lang w:val="fr-FR"/>
        </w:rPr>
        <w:t>elles soient temporaires ou permanentes, pour atteindre l</w:t>
      </w:r>
      <w:r>
        <w:rPr>
          <w:b/>
          <w:bCs/>
          <w:lang w:val="fr-FR"/>
        </w:rPr>
        <w:t>’</w:t>
      </w:r>
      <w:r w:rsidRPr="00393950">
        <w:rPr>
          <w:b/>
          <w:bCs/>
          <w:lang w:val="fr-FR"/>
        </w:rPr>
        <w:t>égalité réelle entre les femmes et les hommes dans tous les domaines visés par la Convention.</w:t>
      </w:r>
    </w:p>
    <w:p w14:paraId="1DBA8072" w14:textId="77777777" w:rsidR="00A351F4" w:rsidRPr="00DA3FC9" w:rsidRDefault="00A351F4" w:rsidP="00A351F4">
      <w:pPr>
        <w:pStyle w:val="SingleTxt"/>
        <w:spacing w:after="0" w:line="120" w:lineRule="exact"/>
        <w:rPr>
          <w:b/>
          <w:bCs/>
          <w:sz w:val="10"/>
          <w:lang w:val="fr-FR"/>
        </w:rPr>
      </w:pPr>
    </w:p>
    <w:p w14:paraId="16DE6477"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Stéréotypes</w:t>
      </w:r>
    </w:p>
    <w:p w14:paraId="6CC0F4E8" w14:textId="77777777" w:rsidR="00A351F4" w:rsidRPr="00DA3FC9" w:rsidRDefault="00A351F4" w:rsidP="00A351F4">
      <w:pPr>
        <w:pStyle w:val="SingleTxt"/>
        <w:spacing w:after="0" w:line="120" w:lineRule="exact"/>
        <w:rPr>
          <w:sz w:val="10"/>
          <w:lang w:val="fr-FR"/>
        </w:rPr>
      </w:pPr>
    </w:p>
    <w:p w14:paraId="418053A7" w14:textId="77777777" w:rsidR="00A351F4" w:rsidRPr="00393950" w:rsidRDefault="00A351F4" w:rsidP="00A351F4">
      <w:pPr>
        <w:pStyle w:val="SingleTxt"/>
        <w:numPr>
          <w:ilvl w:val="0"/>
          <w:numId w:val="32"/>
        </w:numPr>
        <w:spacing w:line="240" w:lineRule="exact"/>
        <w:ind w:left="1267"/>
        <w:rPr>
          <w:lang w:val="fr-FR"/>
        </w:rPr>
      </w:pPr>
      <w:r w:rsidRPr="00393950">
        <w:rPr>
          <w:lang w:val="fr-FR"/>
        </w:rPr>
        <w:t>Le Comité se félicite des nombreuses actions menées par l</w:t>
      </w:r>
      <w:r>
        <w:rPr>
          <w:lang w:val="fr-FR"/>
        </w:rPr>
        <w:t>’</w:t>
      </w:r>
      <w:r w:rsidRPr="00393950">
        <w:rPr>
          <w:lang w:val="fr-FR"/>
        </w:rPr>
        <w:t>État partie dans le but d</w:t>
      </w:r>
      <w:r>
        <w:rPr>
          <w:lang w:val="fr-FR"/>
        </w:rPr>
        <w:t>’</w:t>
      </w:r>
      <w:r w:rsidRPr="00393950">
        <w:rPr>
          <w:lang w:val="fr-FR"/>
        </w:rPr>
        <w:t>éliminer les stéréotypes discriminatoires, comme la célébration de la Journée nationale «</w:t>
      </w:r>
      <w:r>
        <w:rPr>
          <w:lang w:val="fr-FR"/>
        </w:rPr>
        <w:t> </w:t>
      </w:r>
      <w:r w:rsidRPr="00393950">
        <w:rPr>
          <w:lang w:val="fr-FR"/>
        </w:rPr>
        <w:t>Futur en tous genres</w:t>
      </w:r>
      <w:r>
        <w:rPr>
          <w:lang w:val="fr-FR"/>
        </w:rPr>
        <w:t> </w:t>
      </w:r>
      <w:r w:rsidRPr="00393950">
        <w:rPr>
          <w:lang w:val="fr-FR"/>
        </w:rPr>
        <w:t>» et le projet sur les femmes qui sont des exemples à suivre. Il note également que les questions de genre ont été intégrées dans les programmes scolaires, et que les enseignants et les enseignantes sont sensibilisés à l</w:t>
      </w:r>
      <w:r>
        <w:rPr>
          <w:lang w:val="fr-FR"/>
        </w:rPr>
        <w:t>’</w:t>
      </w:r>
      <w:r w:rsidRPr="00393950">
        <w:rPr>
          <w:lang w:val="fr-FR"/>
        </w:rPr>
        <w:t>utilisation d</w:t>
      </w:r>
      <w:r>
        <w:rPr>
          <w:lang w:val="fr-FR"/>
        </w:rPr>
        <w:t>’</w:t>
      </w:r>
      <w:r w:rsidRPr="00393950">
        <w:rPr>
          <w:lang w:val="fr-FR"/>
        </w:rPr>
        <w:t>une terminologie et de supports pédagogiques non sexistes. Il note toutefois avec préoccupation que des stéréotypes discriminatoires sur les rôles et responsabilités des femmes et des hommes dans la famille et dans la société persistent dans l</w:t>
      </w:r>
      <w:r>
        <w:rPr>
          <w:lang w:val="fr-FR"/>
        </w:rPr>
        <w:t>’</w:t>
      </w:r>
      <w:r w:rsidRPr="00393950">
        <w:rPr>
          <w:lang w:val="fr-FR"/>
        </w:rPr>
        <w:t>État partie et que les femmes et les filles continuent de s</w:t>
      </w:r>
      <w:r>
        <w:rPr>
          <w:lang w:val="fr-FR"/>
        </w:rPr>
        <w:t>’</w:t>
      </w:r>
      <w:r w:rsidRPr="00393950">
        <w:rPr>
          <w:lang w:val="fr-FR"/>
        </w:rPr>
        <w:t>orienter vers des filières et des carrières traditionnelles. Il note aussi avec regret que les préjugés et les propos haineux à l</w:t>
      </w:r>
      <w:r>
        <w:rPr>
          <w:lang w:val="fr-FR"/>
        </w:rPr>
        <w:t>’</w:t>
      </w:r>
      <w:r w:rsidRPr="00393950">
        <w:rPr>
          <w:lang w:val="fr-FR"/>
        </w:rPr>
        <w:t>égard des femmes qui subissent des formes croisées de discrimination persistent en dépit des mesures prises par l</w:t>
      </w:r>
      <w:r>
        <w:rPr>
          <w:lang w:val="fr-FR"/>
        </w:rPr>
        <w:t>’</w:t>
      </w:r>
      <w:r w:rsidRPr="00393950">
        <w:rPr>
          <w:lang w:val="fr-FR"/>
        </w:rPr>
        <w:t xml:space="preserve">État partie. </w:t>
      </w:r>
    </w:p>
    <w:p w14:paraId="731612BE" w14:textId="0FCF33F3" w:rsidR="00A351F4" w:rsidRPr="00393950" w:rsidRDefault="00A351F4" w:rsidP="00A351F4">
      <w:pPr>
        <w:pStyle w:val="SingleTxt"/>
        <w:numPr>
          <w:ilvl w:val="0"/>
          <w:numId w:val="32"/>
        </w:numPr>
        <w:spacing w:line="240" w:lineRule="exact"/>
        <w:ind w:left="1267"/>
        <w:rPr>
          <w:lang w:val="fr-FR"/>
        </w:rPr>
      </w:pPr>
      <w:r w:rsidRPr="00393950">
        <w:rPr>
          <w:b/>
          <w:bCs/>
          <w:lang w:val="fr-FR"/>
        </w:rPr>
        <w:t>L</w:t>
      </w:r>
      <w:r>
        <w:rPr>
          <w:b/>
          <w:bCs/>
          <w:lang w:val="fr-FR"/>
        </w:rPr>
        <w:t>’</w:t>
      </w:r>
      <w:r w:rsidRPr="00393950">
        <w:rPr>
          <w:b/>
          <w:bCs/>
          <w:lang w:val="fr-FR"/>
        </w:rPr>
        <w:t>État partie devrait redoubler d</w:t>
      </w:r>
      <w:r>
        <w:rPr>
          <w:b/>
          <w:bCs/>
          <w:lang w:val="fr-FR"/>
        </w:rPr>
        <w:t>’</w:t>
      </w:r>
      <w:r w:rsidRPr="00393950">
        <w:rPr>
          <w:b/>
          <w:bCs/>
          <w:lang w:val="fr-FR"/>
        </w:rPr>
        <w:t>efforts pour éliminer les stéréotypes sexistes concernant les rôles et responsabilités des femmes et des hommes dans la famille et dans la société.</w:t>
      </w:r>
      <w:r w:rsidRPr="00393950">
        <w:rPr>
          <w:lang w:val="fr-FR"/>
        </w:rPr>
        <w:t xml:space="preserve"> </w:t>
      </w:r>
      <w:r w:rsidRPr="00393950">
        <w:rPr>
          <w:b/>
          <w:bCs/>
          <w:lang w:val="fr-FR"/>
        </w:rPr>
        <w:t>À cet égard, le Comité rappelle sa recommandation précédente [</w:t>
      </w:r>
      <w:hyperlink r:id="rId21" w:history="1">
        <w:r w:rsidRPr="00FC485F">
          <w:rPr>
            <w:rStyle w:val="Hyperlink"/>
            <w:b/>
            <w:bCs/>
            <w:lang w:val="fr-FR"/>
          </w:rPr>
          <w:t>CEDAW/C/LIE/CO/4</w:t>
        </w:r>
      </w:hyperlink>
      <w:r w:rsidRPr="00393950">
        <w:rPr>
          <w:b/>
          <w:bCs/>
          <w:lang w:val="fr-FR"/>
        </w:rPr>
        <w:t xml:space="preserve">, </w:t>
      </w:r>
      <w:r>
        <w:rPr>
          <w:b/>
          <w:bCs/>
          <w:lang w:val="fr-FR"/>
        </w:rPr>
        <w:t>par. </w:t>
      </w:r>
      <w:r w:rsidRPr="00393950">
        <w:rPr>
          <w:b/>
          <w:bCs/>
          <w:lang w:val="fr-FR"/>
        </w:rPr>
        <w:t>19 a) et b)] tendant à ce que l</w:t>
      </w:r>
      <w:r>
        <w:rPr>
          <w:b/>
          <w:bCs/>
          <w:lang w:val="fr-FR"/>
        </w:rPr>
        <w:t>’</w:t>
      </w:r>
      <w:r w:rsidRPr="00393950">
        <w:rPr>
          <w:b/>
          <w:bCs/>
          <w:lang w:val="fr-FR"/>
        </w:rPr>
        <w:t>État partie redouble d</w:t>
      </w:r>
      <w:r>
        <w:rPr>
          <w:b/>
          <w:bCs/>
          <w:lang w:val="fr-FR"/>
        </w:rPr>
        <w:t>’</w:t>
      </w:r>
      <w:r w:rsidRPr="00393950">
        <w:rPr>
          <w:b/>
          <w:bCs/>
          <w:lang w:val="fr-FR"/>
        </w:rPr>
        <w:t>efforts pour mettre en place une politique complète, visant les femmes et les hommes, les filles et les garçons, en vue d</w:t>
      </w:r>
      <w:r>
        <w:rPr>
          <w:b/>
          <w:bCs/>
          <w:lang w:val="fr-FR"/>
        </w:rPr>
        <w:t>’</w:t>
      </w:r>
      <w:r w:rsidRPr="00393950">
        <w:rPr>
          <w:b/>
          <w:bCs/>
          <w:lang w:val="fr-FR"/>
        </w:rPr>
        <w:t>éliminer les comportements stéréotypés quant aux rôles et responsabilités des femmes et des hommes au sein de la famille et de la société, en particulier dans les domaines où les femmes ont la place la moins enviable.</w:t>
      </w:r>
      <w:r w:rsidRPr="00393950">
        <w:rPr>
          <w:lang w:val="fr-FR"/>
        </w:rPr>
        <w:t xml:space="preserve"> </w:t>
      </w:r>
      <w:r w:rsidRPr="00393950">
        <w:rPr>
          <w:b/>
          <w:bCs/>
          <w:lang w:val="fr-FR"/>
        </w:rPr>
        <w:t>Il recommande en outre à l</w:t>
      </w:r>
      <w:r>
        <w:rPr>
          <w:b/>
          <w:bCs/>
          <w:lang w:val="fr-FR"/>
        </w:rPr>
        <w:t>’</w:t>
      </w:r>
      <w:r w:rsidRPr="00393950">
        <w:rPr>
          <w:b/>
          <w:bCs/>
          <w:lang w:val="fr-FR"/>
        </w:rPr>
        <w:t>État partie de prendre des mesures plus efficaces pour lutter contre les propos haineux, en accordant une attention particulière aux femmes qui subissent des formes croisées de discrimination.</w:t>
      </w:r>
      <w:r w:rsidRPr="00393950">
        <w:rPr>
          <w:lang w:val="fr-FR"/>
        </w:rPr>
        <w:t xml:space="preserve"> </w:t>
      </w:r>
    </w:p>
    <w:p w14:paraId="30DA0480" w14:textId="77777777" w:rsidR="00A351F4" w:rsidRPr="00DA3FC9" w:rsidRDefault="00A351F4" w:rsidP="00A351F4">
      <w:pPr>
        <w:pStyle w:val="SingleTxt"/>
        <w:spacing w:after="0" w:line="120" w:lineRule="exact"/>
        <w:rPr>
          <w:b/>
          <w:sz w:val="10"/>
          <w:lang w:val="fr-FR"/>
        </w:rPr>
      </w:pPr>
    </w:p>
    <w:p w14:paraId="36EB778B"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Violence à l</w:t>
      </w:r>
      <w:r>
        <w:rPr>
          <w:lang w:val="fr-FR"/>
        </w:rPr>
        <w:t>’</w:t>
      </w:r>
      <w:r w:rsidRPr="00393950">
        <w:rPr>
          <w:lang w:val="fr-FR"/>
        </w:rPr>
        <w:t>égard des femmes fondée sur le genre</w:t>
      </w:r>
    </w:p>
    <w:p w14:paraId="0255EF8F" w14:textId="77777777" w:rsidR="00A351F4" w:rsidRPr="00DA3FC9" w:rsidRDefault="00A351F4" w:rsidP="00A351F4">
      <w:pPr>
        <w:pStyle w:val="SingleTxt"/>
        <w:spacing w:after="0" w:line="120" w:lineRule="exact"/>
        <w:rPr>
          <w:sz w:val="10"/>
          <w:lang w:val="fr-FR"/>
        </w:rPr>
      </w:pPr>
    </w:p>
    <w:p w14:paraId="35D3EF2E" w14:textId="77777777" w:rsidR="00A351F4" w:rsidRPr="00393950" w:rsidRDefault="00A351F4" w:rsidP="00A351F4">
      <w:pPr>
        <w:pStyle w:val="SingleTxt"/>
        <w:numPr>
          <w:ilvl w:val="0"/>
          <w:numId w:val="32"/>
        </w:numPr>
        <w:spacing w:line="240" w:lineRule="exact"/>
        <w:ind w:left="1267"/>
        <w:rPr>
          <w:lang w:val="fr-FR"/>
        </w:rPr>
      </w:pPr>
      <w:r w:rsidRPr="00393950">
        <w:rPr>
          <w:lang w:val="fr-FR"/>
        </w:rPr>
        <w:t>Le Comité prend note avec satisfaction des modifications apportées en 2011 au Code pénal, en particulier la loi relative aux infractions sexuelles, et de la signature de la Convention du Conseil de l</w:t>
      </w:r>
      <w:r>
        <w:rPr>
          <w:lang w:val="fr-FR"/>
        </w:rPr>
        <w:t>’</w:t>
      </w:r>
      <w:r w:rsidRPr="00393950">
        <w:rPr>
          <w:lang w:val="fr-FR"/>
        </w:rPr>
        <w:t>Europe sur la prévention et la lutte contre la violence à l</w:t>
      </w:r>
      <w:r>
        <w:rPr>
          <w:lang w:val="fr-FR"/>
        </w:rPr>
        <w:t>’</w:t>
      </w:r>
      <w:r w:rsidRPr="00393950">
        <w:rPr>
          <w:lang w:val="fr-FR"/>
        </w:rPr>
        <w:t>égard des femmes et la violence domestique (Convention d</w:t>
      </w:r>
      <w:r>
        <w:rPr>
          <w:lang w:val="fr-FR"/>
        </w:rPr>
        <w:t>’</w:t>
      </w:r>
      <w:r w:rsidRPr="00393950">
        <w:rPr>
          <w:lang w:val="fr-FR"/>
        </w:rPr>
        <w:t>Istanbul) en 2016. Toutefois, il constate avec préoccupation</w:t>
      </w:r>
      <w:r>
        <w:rPr>
          <w:lang w:val="fr-FR"/>
        </w:rPr>
        <w:t> :</w:t>
      </w:r>
      <w:r w:rsidRPr="00393950">
        <w:rPr>
          <w:lang w:val="fr-FR"/>
        </w:rPr>
        <w:t xml:space="preserve"> </w:t>
      </w:r>
    </w:p>
    <w:p w14:paraId="1E8B9454" w14:textId="77777777" w:rsidR="00A351F4" w:rsidRPr="00393950" w:rsidRDefault="00A351F4" w:rsidP="00A351F4">
      <w:pPr>
        <w:pStyle w:val="SingleTxt"/>
        <w:rPr>
          <w:lang w:val="fr-FR"/>
        </w:rPr>
      </w:pPr>
      <w:r>
        <w:rPr>
          <w:lang w:val="fr-FR"/>
        </w:rPr>
        <w:tab/>
      </w:r>
      <w:r w:rsidRPr="00393950">
        <w:rPr>
          <w:lang w:val="fr-FR"/>
        </w:rPr>
        <w:t>a)</w:t>
      </w:r>
      <w:r w:rsidRPr="00393950">
        <w:rPr>
          <w:lang w:val="fr-FR"/>
        </w:rPr>
        <w:tab/>
        <w:t>L</w:t>
      </w:r>
      <w:r>
        <w:rPr>
          <w:lang w:val="fr-FR"/>
        </w:rPr>
        <w:t>’</w:t>
      </w:r>
      <w:r w:rsidRPr="00393950">
        <w:rPr>
          <w:lang w:val="fr-FR"/>
        </w:rPr>
        <w:t>absence de loi sur la violence à l</w:t>
      </w:r>
      <w:r>
        <w:rPr>
          <w:lang w:val="fr-FR"/>
        </w:rPr>
        <w:t>’</w:t>
      </w:r>
      <w:r w:rsidRPr="00393950">
        <w:rPr>
          <w:lang w:val="fr-FR"/>
        </w:rPr>
        <w:t>égard des femmes et des filles fondée sur le genre dans l</w:t>
      </w:r>
      <w:r>
        <w:rPr>
          <w:lang w:val="fr-FR"/>
        </w:rPr>
        <w:t>’</w:t>
      </w:r>
      <w:r w:rsidRPr="00393950">
        <w:rPr>
          <w:lang w:val="fr-FR"/>
        </w:rPr>
        <w:t>État partie</w:t>
      </w:r>
      <w:r>
        <w:rPr>
          <w:lang w:val="fr-FR"/>
        </w:rPr>
        <w:t> ;</w:t>
      </w:r>
      <w:r w:rsidRPr="00393950">
        <w:rPr>
          <w:lang w:val="fr-FR"/>
        </w:rPr>
        <w:t xml:space="preserve"> </w:t>
      </w:r>
    </w:p>
    <w:p w14:paraId="6BC6121C" w14:textId="77777777" w:rsidR="00A351F4" w:rsidRPr="00393950" w:rsidRDefault="00A351F4" w:rsidP="00A351F4">
      <w:pPr>
        <w:pStyle w:val="SingleTxt"/>
        <w:rPr>
          <w:lang w:val="fr-FR"/>
        </w:rPr>
      </w:pPr>
      <w:r>
        <w:rPr>
          <w:lang w:val="fr-FR"/>
        </w:rPr>
        <w:tab/>
      </w:r>
      <w:r w:rsidRPr="00393950">
        <w:rPr>
          <w:lang w:val="fr-FR"/>
        </w:rPr>
        <w:t>b)</w:t>
      </w:r>
      <w:r w:rsidRPr="00393950">
        <w:rPr>
          <w:lang w:val="fr-FR"/>
        </w:rPr>
        <w:tab/>
        <w:t>Les informations indiquant que les modifications du Code pénal n</w:t>
      </w:r>
      <w:r>
        <w:rPr>
          <w:lang w:val="fr-FR"/>
        </w:rPr>
        <w:t>’</w:t>
      </w:r>
      <w:r w:rsidRPr="00393950">
        <w:rPr>
          <w:lang w:val="fr-FR"/>
        </w:rPr>
        <w:t>ont pas été suffisamment appliquées en raison, notamment, du niveau de preuve exigé par le système judiciaire, qui est excessivement élevé</w:t>
      </w:r>
      <w:r>
        <w:rPr>
          <w:lang w:val="fr-FR"/>
        </w:rPr>
        <w:t> ;</w:t>
      </w:r>
    </w:p>
    <w:p w14:paraId="28B1B3D6" w14:textId="77777777" w:rsidR="00A351F4" w:rsidRPr="00393950" w:rsidRDefault="00A351F4" w:rsidP="00A351F4">
      <w:pPr>
        <w:pStyle w:val="SingleTxt"/>
        <w:rPr>
          <w:lang w:val="fr-FR"/>
        </w:rPr>
      </w:pPr>
      <w:r>
        <w:rPr>
          <w:lang w:val="fr-FR"/>
        </w:rPr>
        <w:tab/>
      </w:r>
      <w:r w:rsidRPr="00393950">
        <w:rPr>
          <w:lang w:val="fr-FR"/>
        </w:rPr>
        <w:t>c)</w:t>
      </w:r>
      <w:r w:rsidRPr="00393950">
        <w:rPr>
          <w:lang w:val="fr-FR"/>
        </w:rPr>
        <w:tab/>
        <w:t>L</w:t>
      </w:r>
      <w:r>
        <w:rPr>
          <w:lang w:val="fr-FR"/>
        </w:rPr>
        <w:t>’</w:t>
      </w:r>
      <w:r w:rsidRPr="00393950">
        <w:rPr>
          <w:lang w:val="fr-FR"/>
        </w:rPr>
        <w:t>absence de collecte systématique de données sur la violence à l</w:t>
      </w:r>
      <w:r>
        <w:rPr>
          <w:lang w:val="fr-FR"/>
        </w:rPr>
        <w:t>’</w:t>
      </w:r>
      <w:r w:rsidRPr="00393950">
        <w:rPr>
          <w:lang w:val="fr-FR"/>
        </w:rPr>
        <w:t>égard des femmes fondée sur le genre</w:t>
      </w:r>
      <w:r>
        <w:rPr>
          <w:lang w:val="fr-FR"/>
        </w:rPr>
        <w:t> ;</w:t>
      </w:r>
    </w:p>
    <w:p w14:paraId="444CCF5D" w14:textId="77777777" w:rsidR="00A351F4" w:rsidRPr="00393950" w:rsidRDefault="00A351F4" w:rsidP="00A351F4">
      <w:pPr>
        <w:pStyle w:val="SingleTxt"/>
        <w:rPr>
          <w:lang w:val="fr-FR"/>
        </w:rPr>
      </w:pPr>
      <w:r>
        <w:rPr>
          <w:lang w:val="fr-FR"/>
        </w:rPr>
        <w:tab/>
      </w:r>
      <w:r w:rsidRPr="00393950">
        <w:rPr>
          <w:lang w:val="fr-FR"/>
        </w:rPr>
        <w:t>d)</w:t>
      </w:r>
      <w:r w:rsidRPr="00393950">
        <w:rPr>
          <w:lang w:val="fr-FR"/>
        </w:rPr>
        <w:tab/>
        <w:t>La diminution du nombre d</w:t>
      </w:r>
      <w:r>
        <w:rPr>
          <w:lang w:val="fr-FR"/>
        </w:rPr>
        <w:t>’</w:t>
      </w:r>
      <w:r w:rsidRPr="00393950">
        <w:rPr>
          <w:lang w:val="fr-FR"/>
        </w:rPr>
        <w:t>ordonnances d</w:t>
      </w:r>
      <w:r>
        <w:rPr>
          <w:lang w:val="fr-FR"/>
        </w:rPr>
        <w:t>’</w:t>
      </w:r>
      <w:r w:rsidRPr="00393950">
        <w:rPr>
          <w:lang w:val="fr-FR"/>
        </w:rPr>
        <w:t>expulsion et d</w:t>
      </w:r>
      <w:r>
        <w:rPr>
          <w:lang w:val="fr-FR"/>
        </w:rPr>
        <w:t>’</w:t>
      </w:r>
      <w:r w:rsidRPr="00393950">
        <w:rPr>
          <w:lang w:val="fr-FR"/>
        </w:rPr>
        <w:t>interdiction d</w:t>
      </w:r>
      <w:r>
        <w:rPr>
          <w:lang w:val="fr-FR"/>
        </w:rPr>
        <w:t>’</w:t>
      </w:r>
      <w:r w:rsidRPr="00393950">
        <w:rPr>
          <w:lang w:val="fr-FR"/>
        </w:rPr>
        <w:t>entrée sur le territoire</w:t>
      </w:r>
      <w:r>
        <w:rPr>
          <w:lang w:val="fr-FR"/>
        </w:rPr>
        <w:t xml:space="preserve"> </w:t>
      </w:r>
      <w:r w:rsidRPr="00393950">
        <w:rPr>
          <w:lang w:val="fr-FR"/>
        </w:rPr>
        <w:t>au cours de la période considérée, alors qu</w:t>
      </w:r>
      <w:r>
        <w:rPr>
          <w:lang w:val="fr-FR"/>
        </w:rPr>
        <w:t>’</w:t>
      </w:r>
      <w:r w:rsidRPr="00393950">
        <w:rPr>
          <w:lang w:val="fr-FR"/>
        </w:rPr>
        <w:t>il n</w:t>
      </w:r>
      <w:r>
        <w:rPr>
          <w:lang w:val="fr-FR"/>
        </w:rPr>
        <w:t>’</w:t>
      </w:r>
      <w:r w:rsidRPr="00393950">
        <w:rPr>
          <w:lang w:val="fr-FR"/>
        </w:rPr>
        <w:t>y a pas eu de diminution des cas de violence fondée sur le genre</w:t>
      </w:r>
      <w:r>
        <w:rPr>
          <w:lang w:val="fr-FR"/>
        </w:rPr>
        <w:t> ;</w:t>
      </w:r>
      <w:r w:rsidRPr="00393950">
        <w:rPr>
          <w:lang w:val="fr-FR"/>
        </w:rPr>
        <w:t xml:space="preserve"> </w:t>
      </w:r>
    </w:p>
    <w:p w14:paraId="51BC0C95" w14:textId="77777777" w:rsidR="00A351F4" w:rsidRPr="00393950" w:rsidRDefault="00A351F4" w:rsidP="00A351F4">
      <w:pPr>
        <w:pStyle w:val="SingleTxt"/>
        <w:rPr>
          <w:lang w:val="fr-FR"/>
        </w:rPr>
      </w:pPr>
      <w:r>
        <w:rPr>
          <w:lang w:val="fr-FR"/>
        </w:rPr>
        <w:tab/>
      </w:r>
      <w:r w:rsidRPr="00393950">
        <w:rPr>
          <w:lang w:val="fr-FR"/>
        </w:rPr>
        <w:t>e)</w:t>
      </w:r>
      <w:r w:rsidRPr="00393950">
        <w:rPr>
          <w:lang w:val="fr-FR"/>
        </w:rPr>
        <w:tab/>
        <w:t>La pratique consistant à compter sur la police pour assurer des services de conseil ou de médiation dans les affaires de violence à l</w:t>
      </w:r>
      <w:r>
        <w:rPr>
          <w:lang w:val="fr-FR"/>
        </w:rPr>
        <w:t>’</w:t>
      </w:r>
      <w:r w:rsidRPr="00393950">
        <w:rPr>
          <w:lang w:val="fr-FR"/>
        </w:rPr>
        <w:t>égard des femmes fondée sur le genre</w:t>
      </w:r>
      <w:r>
        <w:rPr>
          <w:lang w:val="fr-FR"/>
        </w:rPr>
        <w:t> ;</w:t>
      </w:r>
    </w:p>
    <w:p w14:paraId="363B9C40" w14:textId="77777777" w:rsidR="00A351F4" w:rsidRPr="00393950" w:rsidRDefault="00A351F4" w:rsidP="00A351F4">
      <w:pPr>
        <w:pStyle w:val="SingleTxt"/>
        <w:rPr>
          <w:lang w:val="fr-FR"/>
        </w:rPr>
      </w:pPr>
      <w:r>
        <w:rPr>
          <w:lang w:val="fr-FR"/>
        </w:rPr>
        <w:lastRenderedPageBreak/>
        <w:tab/>
      </w:r>
      <w:r w:rsidRPr="00393950">
        <w:rPr>
          <w:lang w:val="fr-FR"/>
        </w:rPr>
        <w:t>f)</w:t>
      </w:r>
      <w:r w:rsidRPr="00393950">
        <w:rPr>
          <w:lang w:val="fr-FR"/>
        </w:rPr>
        <w:tab/>
        <w:t>L</w:t>
      </w:r>
      <w:r>
        <w:rPr>
          <w:lang w:val="fr-FR"/>
        </w:rPr>
        <w:t>’</w:t>
      </w:r>
      <w:r w:rsidRPr="00393950">
        <w:rPr>
          <w:lang w:val="fr-FR"/>
        </w:rPr>
        <w:t>absence de formation spécialisée à l</w:t>
      </w:r>
      <w:r>
        <w:rPr>
          <w:lang w:val="fr-FR"/>
        </w:rPr>
        <w:t>’</w:t>
      </w:r>
      <w:r w:rsidRPr="00393950">
        <w:rPr>
          <w:lang w:val="fr-FR"/>
        </w:rPr>
        <w:t>intention du personnel judiciaire et de la police sur la violence à l</w:t>
      </w:r>
      <w:r>
        <w:rPr>
          <w:lang w:val="fr-FR"/>
        </w:rPr>
        <w:t>’</w:t>
      </w:r>
      <w:r w:rsidRPr="00393950">
        <w:rPr>
          <w:lang w:val="fr-FR"/>
        </w:rPr>
        <w:t>égard des femmes fondée sur le genre.</w:t>
      </w:r>
    </w:p>
    <w:p w14:paraId="27E62136" w14:textId="77777777" w:rsidR="00A351F4" w:rsidRPr="00393950" w:rsidRDefault="00A351F4" w:rsidP="00A351F4">
      <w:pPr>
        <w:pStyle w:val="SingleTxt"/>
        <w:numPr>
          <w:ilvl w:val="0"/>
          <w:numId w:val="32"/>
        </w:numPr>
        <w:spacing w:line="240" w:lineRule="exact"/>
        <w:ind w:left="1267"/>
        <w:rPr>
          <w:b/>
          <w:lang w:val="fr-FR"/>
        </w:rPr>
      </w:pPr>
      <w:r w:rsidRPr="00393950">
        <w:rPr>
          <w:b/>
          <w:bCs/>
          <w:lang w:val="fr-FR"/>
        </w:rPr>
        <w:t>Le Comité recommande à l</w:t>
      </w:r>
      <w:r>
        <w:rPr>
          <w:b/>
          <w:bCs/>
          <w:lang w:val="fr-FR"/>
        </w:rPr>
        <w:t>’</w:t>
      </w:r>
      <w:r w:rsidRPr="00393950">
        <w:rPr>
          <w:b/>
          <w:bCs/>
          <w:lang w:val="fr-FR"/>
        </w:rPr>
        <w:t>État partie</w:t>
      </w:r>
      <w:r>
        <w:rPr>
          <w:b/>
          <w:bCs/>
          <w:lang w:val="fr-FR"/>
        </w:rPr>
        <w:t> :</w:t>
      </w:r>
    </w:p>
    <w:p w14:paraId="4294E5EA" w14:textId="77777777" w:rsidR="00A351F4" w:rsidRPr="00393950" w:rsidRDefault="00A351F4" w:rsidP="00A351F4">
      <w:pPr>
        <w:pStyle w:val="SingleTxt"/>
        <w:rPr>
          <w:lang w:val="fr-FR"/>
        </w:rPr>
      </w:pPr>
      <w:r>
        <w:rPr>
          <w:b/>
          <w:bCs/>
          <w:lang w:val="fr-FR"/>
        </w:rPr>
        <w:tab/>
      </w:r>
      <w:r w:rsidRPr="00393950">
        <w:rPr>
          <w:b/>
          <w:bCs/>
          <w:lang w:val="fr-FR"/>
        </w:rPr>
        <w:t>a)</w:t>
      </w:r>
      <w:r w:rsidRPr="00393950">
        <w:rPr>
          <w:lang w:val="fr-FR"/>
        </w:rPr>
        <w:tab/>
      </w:r>
      <w:r w:rsidRPr="00393950">
        <w:rPr>
          <w:b/>
          <w:bCs/>
          <w:lang w:val="fr-FR"/>
        </w:rPr>
        <w:t>D</w:t>
      </w:r>
      <w:r>
        <w:rPr>
          <w:b/>
          <w:bCs/>
          <w:lang w:val="fr-FR"/>
        </w:rPr>
        <w:t>’</w:t>
      </w:r>
      <w:r w:rsidRPr="00393950">
        <w:rPr>
          <w:b/>
          <w:bCs/>
          <w:lang w:val="fr-FR"/>
        </w:rPr>
        <w:t>adopter une loi générale sur la violence à l</w:t>
      </w:r>
      <w:r>
        <w:rPr>
          <w:b/>
          <w:bCs/>
          <w:lang w:val="fr-FR"/>
        </w:rPr>
        <w:t>’</w:t>
      </w:r>
      <w:r w:rsidRPr="00393950">
        <w:rPr>
          <w:b/>
          <w:bCs/>
          <w:lang w:val="fr-FR"/>
        </w:rPr>
        <w:t>égard des femmes fondée sur le genre, conformément à la recommandation générale n</w:t>
      </w:r>
      <w:r w:rsidRPr="00393950">
        <w:rPr>
          <w:b/>
          <w:bCs/>
          <w:vertAlign w:val="superscript"/>
          <w:lang w:val="fr-FR"/>
        </w:rPr>
        <w:t>o</w:t>
      </w:r>
      <w:r>
        <w:rPr>
          <w:b/>
          <w:bCs/>
          <w:lang w:val="fr-FR"/>
        </w:rPr>
        <w:t> </w:t>
      </w:r>
      <w:r w:rsidRPr="00393950">
        <w:rPr>
          <w:b/>
          <w:bCs/>
          <w:lang w:val="fr-FR"/>
        </w:rPr>
        <w:t>35 (2017) du Comité sur la violence à l</w:t>
      </w:r>
      <w:r>
        <w:rPr>
          <w:b/>
          <w:bCs/>
          <w:lang w:val="fr-FR"/>
        </w:rPr>
        <w:t>’</w:t>
      </w:r>
      <w:r w:rsidRPr="00393950">
        <w:rPr>
          <w:b/>
          <w:bCs/>
          <w:lang w:val="fr-FR"/>
        </w:rPr>
        <w:t>égard des femmes fondée sur le genre, portant actualisation de la recommandation générale n</w:t>
      </w:r>
      <w:r w:rsidRPr="00393950">
        <w:rPr>
          <w:b/>
          <w:bCs/>
          <w:vertAlign w:val="superscript"/>
          <w:lang w:val="fr-FR"/>
        </w:rPr>
        <w:t>o</w:t>
      </w:r>
      <w:r>
        <w:rPr>
          <w:b/>
          <w:bCs/>
          <w:lang w:val="fr-FR"/>
        </w:rPr>
        <w:t> </w:t>
      </w:r>
      <w:r w:rsidRPr="00393950">
        <w:rPr>
          <w:b/>
          <w:bCs/>
          <w:lang w:val="fr-FR"/>
        </w:rPr>
        <w:t>19, et de ratifier rapidement la ratification de la Convention d</w:t>
      </w:r>
      <w:r>
        <w:rPr>
          <w:b/>
          <w:bCs/>
          <w:lang w:val="fr-FR"/>
        </w:rPr>
        <w:t>’</w:t>
      </w:r>
      <w:r w:rsidRPr="00393950">
        <w:rPr>
          <w:b/>
          <w:bCs/>
          <w:lang w:val="fr-FR"/>
        </w:rPr>
        <w:t>Istanbul</w:t>
      </w:r>
      <w:r>
        <w:rPr>
          <w:b/>
          <w:bCs/>
          <w:lang w:val="fr-FR"/>
        </w:rPr>
        <w:t> ;</w:t>
      </w:r>
    </w:p>
    <w:p w14:paraId="65451EEB" w14:textId="77777777" w:rsidR="00A351F4" w:rsidRPr="00393950" w:rsidRDefault="00A351F4" w:rsidP="00A351F4">
      <w:pPr>
        <w:pStyle w:val="SingleTxt"/>
        <w:rPr>
          <w:b/>
          <w:lang w:val="fr-FR"/>
        </w:rPr>
      </w:pPr>
      <w:r>
        <w:rPr>
          <w:b/>
          <w:bCs/>
          <w:lang w:val="fr-FR"/>
        </w:rPr>
        <w:tab/>
      </w:r>
      <w:r w:rsidRPr="00393950">
        <w:rPr>
          <w:b/>
          <w:bCs/>
          <w:lang w:val="fr-FR"/>
        </w:rPr>
        <w:t>b)</w:t>
      </w:r>
      <w:r w:rsidRPr="00393950">
        <w:rPr>
          <w:lang w:val="fr-FR"/>
        </w:rPr>
        <w:tab/>
      </w:r>
      <w:r w:rsidRPr="00393950">
        <w:rPr>
          <w:b/>
          <w:bCs/>
          <w:lang w:val="fr-FR"/>
        </w:rPr>
        <w:t>De faire en sorte que la législation contre la violence fondée sur le genre soit effectivement appliquée et d</w:t>
      </w:r>
      <w:r>
        <w:rPr>
          <w:b/>
          <w:bCs/>
          <w:lang w:val="fr-FR"/>
        </w:rPr>
        <w:t>’</w:t>
      </w:r>
      <w:r w:rsidRPr="00393950">
        <w:rPr>
          <w:b/>
          <w:bCs/>
          <w:lang w:val="fr-FR"/>
        </w:rPr>
        <w:t>abaisser le niveau de preuve excessif exigé par les juges en adoptant une approche davantage centrée sur la victime</w:t>
      </w:r>
      <w:r>
        <w:rPr>
          <w:b/>
          <w:bCs/>
          <w:lang w:val="fr-FR"/>
        </w:rPr>
        <w:t> ;</w:t>
      </w:r>
      <w:r w:rsidRPr="00393950">
        <w:rPr>
          <w:lang w:val="fr-FR"/>
        </w:rPr>
        <w:t xml:space="preserve"> </w:t>
      </w:r>
    </w:p>
    <w:p w14:paraId="27C00034" w14:textId="77777777" w:rsidR="00A351F4" w:rsidRPr="00393950" w:rsidRDefault="00A351F4" w:rsidP="00A351F4">
      <w:pPr>
        <w:pStyle w:val="SingleTxt"/>
        <w:rPr>
          <w:b/>
          <w:lang w:val="fr-FR"/>
        </w:rPr>
      </w:pPr>
      <w:r>
        <w:rPr>
          <w:b/>
          <w:bCs/>
          <w:lang w:val="fr-FR"/>
        </w:rPr>
        <w:tab/>
      </w:r>
      <w:r w:rsidRPr="00393950">
        <w:rPr>
          <w:b/>
          <w:bCs/>
          <w:lang w:val="fr-FR"/>
        </w:rPr>
        <w:t>c)</w:t>
      </w:r>
      <w:r w:rsidRPr="00393950">
        <w:rPr>
          <w:lang w:val="fr-FR"/>
        </w:rPr>
        <w:tab/>
      </w:r>
      <w:r w:rsidRPr="00393950">
        <w:rPr>
          <w:b/>
          <w:bCs/>
          <w:lang w:val="fr-FR"/>
        </w:rPr>
        <w:t>De recueillir systématiquement des données sur la violence fondée sur le genre, ventilées par sexe, âge et relation entre la victime et l</w:t>
      </w:r>
      <w:r>
        <w:rPr>
          <w:b/>
          <w:bCs/>
          <w:lang w:val="fr-FR"/>
        </w:rPr>
        <w:t>’</w:t>
      </w:r>
      <w:r w:rsidRPr="00393950">
        <w:rPr>
          <w:b/>
          <w:bCs/>
          <w:lang w:val="fr-FR"/>
        </w:rPr>
        <w:t>auteur, conformément à la recommandation générale n</w:t>
      </w:r>
      <w:r w:rsidRPr="00393950">
        <w:rPr>
          <w:b/>
          <w:bCs/>
          <w:vertAlign w:val="superscript"/>
          <w:lang w:val="fr-FR"/>
        </w:rPr>
        <w:t>o</w:t>
      </w:r>
      <w:r>
        <w:rPr>
          <w:b/>
          <w:bCs/>
          <w:lang w:val="fr-FR"/>
        </w:rPr>
        <w:t> </w:t>
      </w:r>
      <w:r w:rsidRPr="00393950">
        <w:rPr>
          <w:b/>
          <w:bCs/>
          <w:lang w:val="fr-FR"/>
        </w:rPr>
        <w:t>35</w:t>
      </w:r>
      <w:r>
        <w:rPr>
          <w:b/>
          <w:bCs/>
          <w:lang w:val="fr-FR"/>
        </w:rPr>
        <w:t> ;</w:t>
      </w:r>
    </w:p>
    <w:p w14:paraId="0BD494C6" w14:textId="77777777" w:rsidR="00A351F4" w:rsidRPr="00393950" w:rsidRDefault="00A351F4" w:rsidP="00A351F4">
      <w:pPr>
        <w:pStyle w:val="SingleTxt"/>
        <w:rPr>
          <w:b/>
          <w:lang w:val="fr-FR"/>
        </w:rPr>
      </w:pPr>
      <w:r>
        <w:rPr>
          <w:b/>
          <w:bCs/>
          <w:lang w:val="fr-FR"/>
        </w:rPr>
        <w:tab/>
      </w:r>
      <w:r w:rsidRPr="00393950">
        <w:rPr>
          <w:b/>
          <w:bCs/>
          <w:lang w:val="fr-FR"/>
        </w:rPr>
        <w:t>d)</w:t>
      </w:r>
      <w:r w:rsidRPr="00393950">
        <w:rPr>
          <w:lang w:val="fr-FR"/>
        </w:rPr>
        <w:tab/>
      </w:r>
      <w:r w:rsidRPr="00393950">
        <w:rPr>
          <w:b/>
          <w:bCs/>
          <w:lang w:val="fr-FR"/>
        </w:rPr>
        <w:t>De conduire une étude sur les raisons de la baisse du nombre d</w:t>
      </w:r>
      <w:r>
        <w:rPr>
          <w:b/>
          <w:bCs/>
          <w:lang w:val="fr-FR"/>
        </w:rPr>
        <w:t>’</w:t>
      </w:r>
      <w:r w:rsidRPr="00393950">
        <w:rPr>
          <w:b/>
          <w:bCs/>
          <w:lang w:val="fr-FR"/>
        </w:rPr>
        <w:t>ordonnances d</w:t>
      </w:r>
      <w:r>
        <w:rPr>
          <w:b/>
          <w:bCs/>
          <w:lang w:val="fr-FR"/>
        </w:rPr>
        <w:t>’</w:t>
      </w:r>
      <w:r w:rsidRPr="00393950">
        <w:rPr>
          <w:b/>
          <w:bCs/>
          <w:lang w:val="fr-FR"/>
        </w:rPr>
        <w:t>expulsion et d</w:t>
      </w:r>
      <w:r>
        <w:rPr>
          <w:b/>
          <w:bCs/>
          <w:lang w:val="fr-FR"/>
        </w:rPr>
        <w:t>’</w:t>
      </w:r>
      <w:r w:rsidRPr="00393950">
        <w:rPr>
          <w:b/>
          <w:bCs/>
          <w:lang w:val="fr-FR"/>
        </w:rPr>
        <w:t>interdiction d</w:t>
      </w:r>
      <w:r>
        <w:rPr>
          <w:b/>
          <w:bCs/>
          <w:lang w:val="fr-FR"/>
        </w:rPr>
        <w:t>’</w:t>
      </w:r>
      <w:r w:rsidRPr="00393950">
        <w:rPr>
          <w:b/>
          <w:bCs/>
          <w:lang w:val="fr-FR"/>
        </w:rPr>
        <w:t>entrée</w:t>
      </w:r>
      <w:r>
        <w:rPr>
          <w:b/>
          <w:bCs/>
          <w:lang w:val="fr-FR"/>
        </w:rPr>
        <w:t xml:space="preserve"> </w:t>
      </w:r>
      <w:r w:rsidRPr="00393950">
        <w:rPr>
          <w:b/>
          <w:bCs/>
          <w:lang w:val="fr-FR"/>
        </w:rPr>
        <w:t>sur le territoire au cours de la période considérée</w:t>
      </w:r>
      <w:r>
        <w:rPr>
          <w:b/>
          <w:bCs/>
          <w:lang w:val="fr-FR"/>
        </w:rPr>
        <w:t> ;</w:t>
      </w:r>
    </w:p>
    <w:p w14:paraId="755C2726" w14:textId="77777777" w:rsidR="00A351F4" w:rsidRPr="00393950" w:rsidRDefault="00A351F4" w:rsidP="00A351F4">
      <w:pPr>
        <w:pStyle w:val="SingleTxt"/>
        <w:rPr>
          <w:lang w:val="fr-FR"/>
        </w:rPr>
      </w:pPr>
      <w:r>
        <w:rPr>
          <w:b/>
          <w:bCs/>
          <w:lang w:val="fr-FR"/>
        </w:rPr>
        <w:tab/>
      </w:r>
      <w:r w:rsidRPr="00393950">
        <w:rPr>
          <w:b/>
          <w:bCs/>
          <w:lang w:val="fr-FR"/>
        </w:rPr>
        <w:t>e)</w:t>
      </w:r>
      <w:r w:rsidRPr="00393950">
        <w:rPr>
          <w:lang w:val="fr-FR"/>
        </w:rPr>
        <w:tab/>
      </w:r>
      <w:r w:rsidRPr="00393950">
        <w:rPr>
          <w:b/>
          <w:bCs/>
          <w:lang w:val="fr-FR"/>
        </w:rPr>
        <w:t>D</w:t>
      </w:r>
      <w:r>
        <w:rPr>
          <w:b/>
          <w:bCs/>
          <w:lang w:val="fr-FR"/>
        </w:rPr>
        <w:t>’</w:t>
      </w:r>
      <w:r w:rsidRPr="00393950">
        <w:rPr>
          <w:b/>
          <w:bCs/>
          <w:lang w:val="fr-FR"/>
        </w:rPr>
        <w:t>interdire les services de conseil et de médiation par la police dans les cas de violence à l</w:t>
      </w:r>
      <w:r>
        <w:rPr>
          <w:b/>
          <w:bCs/>
          <w:lang w:val="fr-FR"/>
        </w:rPr>
        <w:t>’</w:t>
      </w:r>
      <w:r w:rsidRPr="00393950">
        <w:rPr>
          <w:b/>
          <w:bCs/>
          <w:lang w:val="fr-FR"/>
        </w:rPr>
        <w:t>égard des femmes fondée sur le genre, conformément à la recommandation générale n</w:t>
      </w:r>
      <w:r w:rsidRPr="00393950">
        <w:rPr>
          <w:b/>
          <w:bCs/>
          <w:vertAlign w:val="superscript"/>
          <w:lang w:val="fr-FR"/>
        </w:rPr>
        <w:t>o</w:t>
      </w:r>
      <w:r w:rsidRPr="00393950">
        <w:rPr>
          <w:b/>
          <w:bCs/>
          <w:lang w:val="fr-FR"/>
        </w:rPr>
        <w:t xml:space="preserve"> 35 et à la Convention d</w:t>
      </w:r>
      <w:r>
        <w:rPr>
          <w:b/>
          <w:bCs/>
          <w:lang w:val="fr-FR"/>
        </w:rPr>
        <w:t>’</w:t>
      </w:r>
      <w:r w:rsidRPr="00393950">
        <w:rPr>
          <w:b/>
          <w:bCs/>
          <w:lang w:val="fr-FR"/>
        </w:rPr>
        <w:t>Istanbul</w:t>
      </w:r>
      <w:r>
        <w:rPr>
          <w:b/>
          <w:bCs/>
          <w:lang w:val="fr-FR"/>
        </w:rPr>
        <w:t> ;</w:t>
      </w:r>
      <w:r w:rsidRPr="00393950">
        <w:rPr>
          <w:lang w:val="fr-FR"/>
        </w:rPr>
        <w:t xml:space="preserve"> </w:t>
      </w:r>
    </w:p>
    <w:p w14:paraId="6B56D7FC" w14:textId="77777777" w:rsidR="00A351F4" w:rsidRPr="00393950" w:rsidRDefault="00A351F4" w:rsidP="00A351F4">
      <w:pPr>
        <w:pStyle w:val="SingleTxt"/>
        <w:rPr>
          <w:b/>
          <w:lang w:val="fr-FR"/>
        </w:rPr>
      </w:pPr>
      <w:r>
        <w:rPr>
          <w:b/>
          <w:bCs/>
          <w:lang w:val="fr-FR"/>
        </w:rPr>
        <w:tab/>
      </w:r>
      <w:r w:rsidRPr="00393950">
        <w:rPr>
          <w:b/>
          <w:bCs/>
          <w:lang w:val="fr-FR"/>
        </w:rPr>
        <w:t>f)</w:t>
      </w:r>
      <w:r w:rsidRPr="00393950">
        <w:rPr>
          <w:lang w:val="fr-FR"/>
        </w:rPr>
        <w:tab/>
      </w:r>
      <w:r w:rsidRPr="00393950">
        <w:rPr>
          <w:b/>
          <w:bCs/>
          <w:lang w:val="fr-FR"/>
        </w:rPr>
        <w:t>De dispenser une formation spécialisée aux membres de l</w:t>
      </w:r>
      <w:r>
        <w:rPr>
          <w:b/>
          <w:bCs/>
          <w:lang w:val="fr-FR"/>
        </w:rPr>
        <w:t>’</w:t>
      </w:r>
      <w:r w:rsidRPr="00393950">
        <w:rPr>
          <w:b/>
          <w:bCs/>
          <w:lang w:val="fr-FR"/>
        </w:rPr>
        <w:t>appareil judiciaire et de la police et aux autres agents de la force publique sur la violence à l</w:t>
      </w:r>
      <w:r>
        <w:rPr>
          <w:b/>
          <w:bCs/>
          <w:lang w:val="fr-FR"/>
        </w:rPr>
        <w:t>’</w:t>
      </w:r>
      <w:r w:rsidRPr="00393950">
        <w:rPr>
          <w:b/>
          <w:bCs/>
          <w:lang w:val="fr-FR"/>
        </w:rPr>
        <w:t>égard des femmes fondée sur le genre, à la lumière de la Convention sur l</w:t>
      </w:r>
      <w:r>
        <w:rPr>
          <w:b/>
          <w:bCs/>
          <w:lang w:val="fr-FR"/>
        </w:rPr>
        <w:t>’</w:t>
      </w:r>
      <w:r w:rsidRPr="00393950">
        <w:rPr>
          <w:b/>
          <w:bCs/>
          <w:lang w:val="fr-FR"/>
        </w:rPr>
        <w:t>élimination de toutes les formes de discrimination à l</w:t>
      </w:r>
      <w:r>
        <w:rPr>
          <w:b/>
          <w:bCs/>
          <w:lang w:val="fr-FR"/>
        </w:rPr>
        <w:t>’</w:t>
      </w:r>
      <w:r w:rsidRPr="00393950">
        <w:rPr>
          <w:b/>
          <w:bCs/>
          <w:lang w:val="fr-FR"/>
        </w:rPr>
        <w:t>égard des femmes et conformément à la recommandation générale n</w:t>
      </w:r>
      <w:r w:rsidRPr="00393950">
        <w:rPr>
          <w:b/>
          <w:bCs/>
          <w:vertAlign w:val="superscript"/>
          <w:lang w:val="fr-FR"/>
        </w:rPr>
        <w:t>o</w:t>
      </w:r>
      <w:r w:rsidRPr="00393950">
        <w:rPr>
          <w:b/>
          <w:bCs/>
          <w:lang w:val="fr-FR"/>
        </w:rPr>
        <w:t xml:space="preserve"> 35</w:t>
      </w:r>
      <w:r>
        <w:rPr>
          <w:b/>
          <w:bCs/>
          <w:lang w:val="fr-FR"/>
        </w:rPr>
        <w:t xml:space="preserve"> </w:t>
      </w:r>
      <w:r w:rsidRPr="00393950">
        <w:rPr>
          <w:b/>
          <w:bCs/>
          <w:lang w:val="fr-FR"/>
        </w:rPr>
        <w:t>et à la Convention d</w:t>
      </w:r>
      <w:r>
        <w:rPr>
          <w:b/>
          <w:bCs/>
          <w:lang w:val="fr-FR"/>
        </w:rPr>
        <w:t>’</w:t>
      </w:r>
      <w:r w:rsidRPr="00393950">
        <w:rPr>
          <w:b/>
          <w:bCs/>
          <w:lang w:val="fr-FR"/>
        </w:rPr>
        <w:t>Istanbul.</w:t>
      </w:r>
      <w:r w:rsidRPr="00393950">
        <w:rPr>
          <w:lang w:val="fr-FR"/>
        </w:rPr>
        <w:t xml:space="preserve"> </w:t>
      </w:r>
    </w:p>
    <w:p w14:paraId="7DA8D00F" w14:textId="77777777" w:rsidR="00A351F4" w:rsidRPr="00DA3FC9" w:rsidRDefault="00A351F4" w:rsidP="00A351F4">
      <w:pPr>
        <w:pStyle w:val="SingleTxt"/>
        <w:spacing w:after="0" w:line="120" w:lineRule="exact"/>
        <w:rPr>
          <w:b/>
          <w:sz w:val="10"/>
          <w:lang w:val="fr-FR"/>
        </w:rPr>
      </w:pPr>
    </w:p>
    <w:p w14:paraId="5042D6D8"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 xml:space="preserve">Traite des femmes et des filles et exploitation de la prostitution </w:t>
      </w:r>
    </w:p>
    <w:p w14:paraId="2F38FF00" w14:textId="77777777" w:rsidR="00A351F4" w:rsidRPr="00DA3FC9" w:rsidRDefault="00A351F4" w:rsidP="00A351F4">
      <w:pPr>
        <w:pStyle w:val="SingleTxt"/>
        <w:spacing w:after="0" w:line="120" w:lineRule="exact"/>
        <w:rPr>
          <w:sz w:val="10"/>
          <w:lang w:val="fr-FR"/>
        </w:rPr>
      </w:pPr>
    </w:p>
    <w:p w14:paraId="389B775F" w14:textId="77777777" w:rsidR="00A351F4" w:rsidRPr="00393950" w:rsidRDefault="00A351F4" w:rsidP="00A351F4">
      <w:pPr>
        <w:pStyle w:val="SingleTxt"/>
        <w:numPr>
          <w:ilvl w:val="0"/>
          <w:numId w:val="32"/>
        </w:numPr>
        <w:spacing w:line="240" w:lineRule="exact"/>
        <w:ind w:left="1267"/>
        <w:rPr>
          <w:lang w:val="fr-FR"/>
        </w:rPr>
      </w:pPr>
      <w:r w:rsidRPr="00393950">
        <w:rPr>
          <w:lang w:val="fr-FR"/>
        </w:rPr>
        <w:t>Le Comité accueille avec satisfaction la révision de la loi relative aux étrangers, qui prévoit des circonstances aggravantes dans les affaires de traite des personnes, notamment des femmes et des filles, entraînant des peines plus lourdes. Il se félicite également du renforcement de la coopération régionale aux fins des poursuites contre les trafiquants et de la lutte contre la cybercriminalité. Il salue la création d</w:t>
      </w:r>
      <w:r>
        <w:rPr>
          <w:lang w:val="fr-FR"/>
        </w:rPr>
        <w:t>’</w:t>
      </w:r>
      <w:r w:rsidRPr="00393950">
        <w:rPr>
          <w:lang w:val="fr-FR"/>
        </w:rPr>
        <w:t>une commission de surveillance financière chargée de détecter les flux financiers illicites liés à la traite des êtres humains et aux formes contemporaines d</w:t>
      </w:r>
      <w:r>
        <w:rPr>
          <w:lang w:val="fr-FR"/>
        </w:rPr>
        <w:t>’</w:t>
      </w:r>
      <w:r w:rsidRPr="00393950">
        <w:rPr>
          <w:lang w:val="fr-FR"/>
        </w:rPr>
        <w:t>esclavage. Il demeure néanmoins préoccupé par l</w:t>
      </w:r>
      <w:r>
        <w:rPr>
          <w:lang w:val="fr-FR"/>
        </w:rPr>
        <w:t>’</w:t>
      </w:r>
      <w:r w:rsidRPr="00393950">
        <w:rPr>
          <w:lang w:val="fr-FR"/>
        </w:rPr>
        <w:t>insuffisance des activités de sensibilisation menées dans l</w:t>
      </w:r>
      <w:r>
        <w:rPr>
          <w:lang w:val="fr-FR"/>
        </w:rPr>
        <w:t>’</w:t>
      </w:r>
      <w:r w:rsidRPr="00393950">
        <w:rPr>
          <w:lang w:val="fr-FR"/>
        </w:rPr>
        <w:t>État partie concernant la traite des femmes et des filles et l</w:t>
      </w:r>
      <w:r>
        <w:rPr>
          <w:lang w:val="fr-FR"/>
        </w:rPr>
        <w:t>’</w:t>
      </w:r>
      <w:r w:rsidRPr="00393950">
        <w:rPr>
          <w:lang w:val="fr-FR"/>
        </w:rPr>
        <w:t>exploitation de la prostitution.</w:t>
      </w:r>
      <w:r>
        <w:rPr>
          <w:lang w:val="fr-FR"/>
        </w:rPr>
        <w:t xml:space="preserve"> </w:t>
      </w:r>
    </w:p>
    <w:p w14:paraId="3F3F3F38" w14:textId="77777777" w:rsidR="00A351F4" w:rsidRPr="00393950" w:rsidRDefault="00A351F4" w:rsidP="00A351F4">
      <w:pPr>
        <w:pStyle w:val="SingleTxt"/>
        <w:numPr>
          <w:ilvl w:val="0"/>
          <w:numId w:val="32"/>
        </w:numPr>
        <w:spacing w:line="240" w:lineRule="exact"/>
        <w:ind w:left="1267"/>
        <w:rPr>
          <w:lang w:val="fr-FR"/>
        </w:rPr>
      </w:pPr>
      <w:r w:rsidRPr="00393950">
        <w:rPr>
          <w:b/>
          <w:bCs/>
          <w:lang w:val="fr-FR"/>
        </w:rPr>
        <w:t>Le Comité recommande à l</w:t>
      </w:r>
      <w:r>
        <w:rPr>
          <w:b/>
          <w:bCs/>
          <w:lang w:val="fr-FR"/>
        </w:rPr>
        <w:t>’</w:t>
      </w:r>
      <w:r w:rsidRPr="00393950">
        <w:rPr>
          <w:b/>
          <w:bCs/>
          <w:lang w:val="fr-FR"/>
        </w:rPr>
        <w:t>État partie de poursuivre ses efforts pour lutter contre la traite des femmes et des filles grâce à un renforcement de la coopération régionale, notamment par l</w:t>
      </w:r>
      <w:r>
        <w:rPr>
          <w:b/>
          <w:bCs/>
          <w:lang w:val="fr-FR"/>
        </w:rPr>
        <w:t>’</w:t>
      </w:r>
      <w:r w:rsidRPr="00393950">
        <w:rPr>
          <w:b/>
          <w:bCs/>
          <w:lang w:val="fr-FR"/>
        </w:rPr>
        <w:t>harmonisation des peines d</w:t>
      </w:r>
      <w:r>
        <w:rPr>
          <w:b/>
          <w:bCs/>
          <w:lang w:val="fr-FR"/>
        </w:rPr>
        <w:t>’</w:t>
      </w:r>
      <w:r w:rsidRPr="00393950">
        <w:rPr>
          <w:b/>
          <w:bCs/>
          <w:lang w:val="fr-FR"/>
        </w:rPr>
        <w:t>emprisonnement.</w:t>
      </w:r>
      <w:r w:rsidRPr="00393950">
        <w:rPr>
          <w:lang w:val="fr-FR"/>
        </w:rPr>
        <w:t xml:space="preserve"> </w:t>
      </w:r>
      <w:r w:rsidRPr="00393950">
        <w:rPr>
          <w:b/>
          <w:bCs/>
          <w:lang w:val="fr-FR"/>
        </w:rPr>
        <w:t>Il lui recommande aussi de poursuivre ses efforts de coopération internationale, régionale et bilatérale avec les pays d</w:t>
      </w:r>
      <w:r>
        <w:rPr>
          <w:b/>
          <w:bCs/>
          <w:lang w:val="fr-FR"/>
        </w:rPr>
        <w:t>’</w:t>
      </w:r>
      <w:r w:rsidRPr="00393950">
        <w:rPr>
          <w:b/>
          <w:bCs/>
          <w:lang w:val="fr-FR"/>
        </w:rPr>
        <w:t>origine, de transit et de destination, notamment par l</w:t>
      </w:r>
      <w:r>
        <w:rPr>
          <w:b/>
          <w:bCs/>
          <w:lang w:val="fr-FR"/>
        </w:rPr>
        <w:t>’</w:t>
      </w:r>
      <w:r w:rsidRPr="00393950">
        <w:rPr>
          <w:b/>
          <w:bCs/>
          <w:lang w:val="fr-FR"/>
        </w:rPr>
        <w:t>échange de renseignements et l</w:t>
      </w:r>
      <w:r>
        <w:rPr>
          <w:b/>
          <w:bCs/>
          <w:lang w:val="fr-FR"/>
        </w:rPr>
        <w:t>’</w:t>
      </w:r>
      <w:r w:rsidRPr="00393950">
        <w:rPr>
          <w:b/>
          <w:bCs/>
          <w:lang w:val="fr-FR"/>
        </w:rPr>
        <w:t>harmonisation des procédures, en vue de prévenir la traite et de traduire les responsables en justice.</w:t>
      </w:r>
      <w:r w:rsidRPr="00393950">
        <w:rPr>
          <w:lang w:val="fr-FR"/>
        </w:rPr>
        <w:t xml:space="preserve"> </w:t>
      </w:r>
      <w:r w:rsidRPr="00393950">
        <w:rPr>
          <w:b/>
          <w:bCs/>
          <w:lang w:val="fr-FR"/>
        </w:rPr>
        <w:t>Le Comité recommande en outre à l</w:t>
      </w:r>
      <w:r>
        <w:rPr>
          <w:b/>
          <w:bCs/>
          <w:lang w:val="fr-FR"/>
        </w:rPr>
        <w:t>’</w:t>
      </w:r>
      <w:r w:rsidRPr="00393950">
        <w:rPr>
          <w:b/>
          <w:bCs/>
          <w:lang w:val="fr-FR"/>
        </w:rPr>
        <w:t>État partie d</w:t>
      </w:r>
      <w:r>
        <w:rPr>
          <w:b/>
          <w:bCs/>
          <w:lang w:val="fr-FR"/>
        </w:rPr>
        <w:t>’</w:t>
      </w:r>
      <w:r w:rsidRPr="00393950">
        <w:rPr>
          <w:b/>
          <w:bCs/>
          <w:lang w:val="fr-FR"/>
        </w:rPr>
        <w:t>intensifier les campagnes d</w:t>
      </w:r>
      <w:r>
        <w:rPr>
          <w:b/>
          <w:bCs/>
          <w:lang w:val="fr-FR"/>
        </w:rPr>
        <w:t>’</w:t>
      </w:r>
      <w:r w:rsidRPr="00393950">
        <w:rPr>
          <w:b/>
          <w:bCs/>
          <w:lang w:val="fr-FR"/>
        </w:rPr>
        <w:t>information sur le caractère criminel de la traite et les autres activités de sensibilisation, et de prêter davantage attention aux groupes vulnérables qui constituent des victimes potentielles de la traite des personnes, comme les demandeurs et demandeuses d</w:t>
      </w:r>
      <w:r>
        <w:rPr>
          <w:b/>
          <w:bCs/>
          <w:lang w:val="fr-FR"/>
        </w:rPr>
        <w:t>’</w:t>
      </w:r>
      <w:r w:rsidRPr="00393950">
        <w:rPr>
          <w:b/>
          <w:bCs/>
          <w:lang w:val="fr-FR"/>
        </w:rPr>
        <w:t>asile et les enfants.</w:t>
      </w:r>
    </w:p>
    <w:p w14:paraId="78691AA9" w14:textId="77777777" w:rsidR="00A351F4" w:rsidRPr="00393950" w:rsidRDefault="00A351F4" w:rsidP="00A351F4">
      <w:pPr>
        <w:pStyle w:val="SingleTxt"/>
        <w:numPr>
          <w:ilvl w:val="0"/>
          <w:numId w:val="32"/>
        </w:numPr>
        <w:spacing w:line="240" w:lineRule="exact"/>
        <w:ind w:left="1267"/>
        <w:rPr>
          <w:b/>
          <w:lang w:val="fr-FR"/>
        </w:rPr>
      </w:pPr>
      <w:r w:rsidRPr="00393950">
        <w:rPr>
          <w:lang w:val="fr-FR"/>
        </w:rPr>
        <w:lastRenderedPageBreak/>
        <w:t>Le Comité est préoccupé par les informations faisant état du faible nombre d</w:t>
      </w:r>
      <w:r>
        <w:rPr>
          <w:lang w:val="fr-FR"/>
        </w:rPr>
        <w:t>’</w:t>
      </w:r>
      <w:r w:rsidRPr="00393950">
        <w:rPr>
          <w:lang w:val="fr-FR"/>
        </w:rPr>
        <w:t>enquêtes pénales et de l</w:t>
      </w:r>
      <w:r>
        <w:rPr>
          <w:lang w:val="fr-FR"/>
        </w:rPr>
        <w:t>’</w:t>
      </w:r>
      <w:r w:rsidRPr="00393950">
        <w:rPr>
          <w:lang w:val="fr-FR"/>
        </w:rPr>
        <w:t>absence de poursuites pour exploitation des femmes par la prostitution au cours de la période considérée. Il note en outre avec préoccupation que la loi érige en infraction la prostitution, ce qui peut empêcher les prostituées de signaler les cas d</w:t>
      </w:r>
      <w:r>
        <w:rPr>
          <w:lang w:val="fr-FR"/>
        </w:rPr>
        <w:t>’</w:t>
      </w:r>
      <w:r w:rsidRPr="00393950">
        <w:rPr>
          <w:lang w:val="fr-FR"/>
        </w:rPr>
        <w:t>exploitation et de mauvais traitements dont elles sont victimes de la part des proxénètes et de leurs clients.</w:t>
      </w:r>
    </w:p>
    <w:p w14:paraId="7330C4FF" w14:textId="77777777" w:rsidR="00A351F4" w:rsidRPr="00393950" w:rsidRDefault="00A351F4" w:rsidP="00A351F4">
      <w:pPr>
        <w:pStyle w:val="SingleTxt"/>
        <w:numPr>
          <w:ilvl w:val="0"/>
          <w:numId w:val="33"/>
        </w:numPr>
        <w:spacing w:line="240" w:lineRule="exact"/>
        <w:ind w:left="1267"/>
        <w:rPr>
          <w:lang w:val="fr-FR"/>
        </w:rPr>
      </w:pPr>
      <w:r w:rsidRPr="00393950">
        <w:rPr>
          <w:b/>
          <w:bCs/>
          <w:lang w:val="fr-FR"/>
        </w:rPr>
        <w:t>Le Comité recommande à l</w:t>
      </w:r>
      <w:r>
        <w:rPr>
          <w:b/>
          <w:bCs/>
          <w:lang w:val="fr-FR"/>
        </w:rPr>
        <w:t>’</w:t>
      </w:r>
      <w:r w:rsidRPr="00393950">
        <w:rPr>
          <w:b/>
          <w:bCs/>
          <w:lang w:val="fr-FR"/>
        </w:rPr>
        <w:t>État partie de redoubler d</w:t>
      </w:r>
      <w:r>
        <w:rPr>
          <w:b/>
          <w:bCs/>
          <w:lang w:val="fr-FR"/>
        </w:rPr>
        <w:t>’</w:t>
      </w:r>
      <w:r w:rsidRPr="00393950">
        <w:rPr>
          <w:b/>
          <w:bCs/>
          <w:lang w:val="fr-FR"/>
        </w:rPr>
        <w:t>efforts pour repérer les cas d</w:t>
      </w:r>
      <w:r>
        <w:rPr>
          <w:b/>
          <w:bCs/>
          <w:lang w:val="fr-FR"/>
        </w:rPr>
        <w:t>’</w:t>
      </w:r>
      <w:r w:rsidRPr="00393950">
        <w:rPr>
          <w:b/>
          <w:bCs/>
          <w:lang w:val="fr-FR"/>
        </w:rPr>
        <w:t>exploitation des femmes par la prostitution, enquêter sur ces cas et poursuivre les coupables, de dépénaliser la prostitution des femmes dans tous les contextes et de mettre en œuvre des programmes de soutien aux prostituées et d</w:t>
      </w:r>
      <w:r>
        <w:rPr>
          <w:b/>
          <w:bCs/>
          <w:lang w:val="fr-FR"/>
        </w:rPr>
        <w:t>’</w:t>
      </w:r>
      <w:r w:rsidRPr="00393950">
        <w:rPr>
          <w:b/>
          <w:bCs/>
          <w:lang w:val="fr-FR"/>
        </w:rPr>
        <w:t>aide aux femmes qui souhaitent sortir de la prostitution.</w:t>
      </w:r>
    </w:p>
    <w:p w14:paraId="3102515D" w14:textId="77777777" w:rsidR="00A351F4" w:rsidRPr="00DA3FC9" w:rsidRDefault="00A351F4" w:rsidP="00A351F4">
      <w:pPr>
        <w:pStyle w:val="SingleTxt"/>
        <w:spacing w:after="0" w:line="120" w:lineRule="exact"/>
        <w:rPr>
          <w:b/>
          <w:sz w:val="10"/>
          <w:lang w:val="fr-FR"/>
        </w:rPr>
      </w:pPr>
    </w:p>
    <w:p w14:paraId="40F837D3"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Participation à la vie politique et publique</w:t>
      </w:r>
    </w:p>
    <w:p w14:paraId="0D8267BB" w14:textId="77777777" w:rsidR="00A351F4" w:rsidRPr="00DA3FC9" w:rsidRDefault="00A351F4" w:rsidP="00A351F4">
      <w:pPr>
        <w:pStyle w:val="SingleTxt"/>
        <w:spacing w:after="0" w:line="120" w:lineRule="exact"/>
        <w:rPr>
          <w:sz w:val="10"/>
          <w:lang w:val="fr-FR"/>
        </w:rPr>
      </w:pPr>
    </w:p>
    <w:p w14:paraId="5ED22EBF" w14:textId="77777777" w:rsidR="00A351F4" w:rsidRPr="00393950" w:rsidRDefault="00A351F4" w:rsidP="00A351F4">
      <w:pPr>
        <w:pStyle w:val="SingleTxt"/>
        <w:numPr>
          <w:ilvl w:val="0"/>
          <w:numId w:val="33"/>
        </w:numPr>
        <w:spacing w:line="240" w:lineRule="exact"/>
        <w:ind w:left="1267"/>
        <w:rPr>
          <w:lang w:val="fr-FR"/>
        </w:rPr>
      </w:pPr>
      <w:r w:rsidRPr="00393950">
        <w:rPr>
          <w:lang w:val="fr-FR"/>
        </w:rPr>
        <w:t>Le Comité prend note avec satisfaction des informations fournies par l</w:t>
      </w:r>
      <w:r>
        <w:rPr>
          <w:lang w:val="fr-FR"/>
        </w:rPr>
        <w:t>’</w:t>
      </w:r>
      <w:r w:rsidRPr="00393950">
        <w:rPr>
          <w:lang w:val="fr-FR"/>
        </w:rPr>
        <w:t>État partie indiquant que le nombre de femmes occupant des postes de décision dans l</w:t>
      </w:r>
      <w:r>
        <w:rPr>
          <w:lang w:val="fr-FR"/>
        </w:rPr>
        <w:t>’</w:t>
      </w:r>
      <w:r w:rsidRPr="00393950">
        <w:rPr>
          <w:lang w:val="fr-FR"/>
        </w:rPr>
        <w:t xml:space="preserve">administration publique a doublé au cours de la période considérée et que la parité a été réalisée au sein du </w:t>
      </w:r>
      <w:r>
        <w:rPr>
          <w:lang w:val="fr-FR"/>
        </w:rPr>
        <w:t>G</w:t>
      </w:r>
      <w:r w:rsidRPr="00393950">
        <w:rPr>
          <w:lang w:val="fr-FR"/>
        </w:rPr>
        <w:t>ouvernement et dans le service diplomatique. Il constate cependant avec préoccupation que le nombre de femmes parlementaires a considérablement diminué à la suite des dernières élections législatives et que les femmes sont peu représentées au niveau municipal. Le Comité s</w:t>
      </w:r>
      <w:r>
        <w:rPr>
          <w:lang w:val="fr-FR"/>
        </w:rPr>
        <w:t>’</w:t>
      </w:r>
      <w:r w:rsidRPr="00393950">
        <w:rPr>
          <w:lang w:val="fr-FR"/>
        </w:rPr>
        <w:t>inquiète en outre de voir que les mesures proposées pour accroître la représentation politique des femmes sont de nature volontaire et dépendent du bon vouloir des partis politiques pour ce qui est d</w:t>
      </w:r>
      <w:r>
        <w:rPr>
          <w:lang w:val="fr-FR"/>
        </w:rPr>
        <w:t>’</w:t>
      </w:r>
      <w:r w:rsidRPr="00393950">
        <w:rPr>
          <w:lang w:val="fr-FR"/>
        </w:rPr>
        <w:t>«</w:t>
      </w:r>
      <w:r>
        <w:rPr>
          <w:lang w:val="fr-FR"/>
        </w:rPr>
        <w:t> </w:t>
      </w:r>
      <w:r w:rsidRPr="00393950">
        <w:rPr>
          <w:lang w:val="fr-FR"/>
        </w:rPr>
        <w:t>assumer leurs responsabilités</w:t>
      </w:r>
      <w:r>
        <w:rPr>
          <w:lang w:val="fr-FR"/>
        </w:rPr>
        <w:t> </w:t>
      </w:r>
      <w:r w:rsidRPr="00393950">
        <w:rPr>
          <w:lang w:val="fr-FR"/>
        </w:rPr>
        <w:t>». Le Comité salue l</w:t>
      </w:r>
      <w:r>
        <w:rPr>
          <w:lang w:val="fr-FR"/>
        </w:rPr>
        <w:t>’</w:t>
      </w:r>
      <w:r w:rsidRPr="00393950">
        <w:rPr>
          <w:lang w:val="fr-FR"/>
        </w:rPr>
        <w:t xml:space="preserve">engagement pris par les partis politiques de garantir la parité des sexes dans leurs listes électorales. </w:t>
      </w:r>
    </w:p>
    <w:p w14:paraId="40584FF8" w14:textId="77777777" w:rsidR="00A351F4" w:rsidRPr="00393950" w:rsidRDefault="00A351F4" w:rsidP="00A351F4">
      <w:pPr>
        <w:pStyle w:val="SingleTxt"/>
        <w:numPr>
          <w:ilvl w:val="0"/>
          <w:numId w:val="33"/>
        </w:numPr>
        <w:spacing w:line="240" w:lineRule="exact"/>
        <w:ind w:left="1267"/>
        <w:rPr>
          <w:b/>
          <w:lang w:val="fr-FR"/>
        </w:rPr>
      </w:pPr>
      <w:r w:rsidRPr="00393950">
        <w:rPr>
          <w:b/>
          <w:bCs/>
          <w:lang w:val="fr-FR"/>
        </w:rPr>
        <w:t>Le Comité recommande à l</w:t>
      </w:r>
      <w:r>
        <w:rPr>
          <w:b/>
          <w:bCs/>
          <w:lang w:val="fr-FR"/>
        </w:rPr>
        <w:t>’</w:t>
      </w:r>
      <w:r w:rsidRPr="00393950">
        <w:rPr>
          <w:b/>
          <w:bCs/>
          <w:lang w:val="fr-FR"/>
        </w:rPr>
        <w:t>État partie de revoir ses politiques, d</w:t>
      </w:r>
      <w:r>
        <w:rPr>
          <w:b/>
          <w:bCs/>
          <w:lang w:val="fr-FR"/>
        </w:rPr>
        <w:t>’</w:t>
      </w:r>
      <w:r w:rsidRPr="00393950">
        <w:rPr>
          <w:b/>
          <w:bCs/>
          <w:lang w:val="fr-FR"/>
        </w:rPr>
        <w:t>engager un dialogue avec tous les partis politiques et avec la société civile, et</w:t>
      </w:r>
      <w:r>
        <w:rPr>
          <w:b/>
          <w:bCs/>
          <w:lang w:val="fr-FR"/>
        </w:rPr>
        <w:t> :</w:t>
      </w:r>
      <w:r w:rsidRPr="00393950">
        <w:rPr>
          <w:lang w:val="fr-FR"/>
        </w:rPr>
        <w:t xml:space="preserve"> </w:t>
      </w:r>
    </w:p>
    <w:p w14:paraId="1700BD3B" w14:textId="77777777" w:rsidR="00A351F4" w:rsidRPr="00393950" w:rsidRDefault="00A351F4" w:rsidP="00A351F4">
      <w:pPr>
        <w:pStyle w:val="SingleTxt"/>
        <w:rPr>
          <w:b/>
          <w:lang w:val="fr-FR"/>
        </w:rPr>
      </w:pPr>
      <w:r>
        <w:rPr>
          <w:b/>
          <w:bCs/>
          <w:lang w:val="fr-FR"/>
        </w:rPr>
        <w:tab/>
      </w:r>
      <w:r w:rsidRPr="00393950">
        <w:rPr>
          <w:b/>
          <w:bCs/>
          <w:lang w:val="fr-FR"/>
        </w:rPr>
        <w:t>a)</w:t>
      </w:r>
      <w:r w:rsidRPr="00393950">
        <w:rPr>
          <w:lang w:val="fr-FR"/>
        </w:rPr>
        <w:tab/>
      </w:r>
      <w:r w:rsidRPr="00393950">
        <w:rPr>
          <w:b/>
          <w:bCs/>
          <w:lang w:val="fr-FR"/>
        </w:rPr>
        <w:t>De continuer d</w:t>
      </w:r>
      <w:r>
        <w:rPr>
          <w:b/>
          <w:bCs/>
          <w:lang w:val="fr-FR"/>
        </w:rPr>
        <w:t>’</w:t>
      </w:r>
      <w:r w:rsidRPr="00393950">
        <w:rPr>
          <w:b/>
          <w:bCs/>
          <w:lang w:val="fr-FR"/>
        </w:rPr>
        <w:t>analyser les causes de la sous-représentation des femmes au Parlement, notamment aux postes de décision, et de prendre les dispositions voulues, en particulier en appliquant des mesures spéciales temporaires telles que des mesures financières destinées à inciter les partis politiques à donner la priorité aux femmes qui se présentent aux élections et en étendant ces mesures aux élections locales de 2019, pour garantir l</w:t>
      </w:r>
      <w:r>
        <w:rPr>
          <w:b/>
          <w:bCs/>
          <w:lang w:val="fr-FR"/>
        </w:rPr>
        <w:t>’</w:t>
      </w:r>
      <w:r w:rsidRPr="00393950">
        <w:rPr>
          <w:b/>
          <w:bCs/>
          <w:lang w:val="fr-FR"/>
        </w:rPr>
        <w:t>égalité de représentation des femmes sur les listes électorales aux niveaux tant municipal que parlementaire</w:t>
      </w:r>
      <w:r>
        <w:rPr>
          <w:b/>
          <w:bCs/>
          <w:lang w:val="fr-FR"/>
        </w:rPr>
        <w:t> ;</w:t>
      </w:r>
    </w:p>
    <w:p w14:paraId="126835A3" w14:textId="77777777" w:rsidR="00A351F4" w:rsidRPr="00393950" w:rsidRDefault="00A351F4" w:rsidP="00A351F4">
      <w:pPr>
        <w:pStyle w:val="SingleTxt"/>
        <w:rPr>
          <w:b/>
          <w:lang w:val="fr-FR"/>
        </w:rPr>
      </w:pPr>
      <w:r>
        <w:rPr>
          <w:b/>
          <w:bCs/>
          <w:lang w:val="fr-FR"/>
        </w:rPr>
        <w:tab/>
      </w:r>
      <w:r w:rsidRPr="00393950">
        <w:rPr>
          <w:b/>
          <w:bCs/>
          <w:lang w:val="fr-FR"/>
        </w:rPr>
        <w:t>b)</w:t>
      </w:r>
      <w:r w:rsidRPr="00393950">
        <w:rPr>
          <w:lang w:val="fr-FR"/>
        </w:rPr>
        <w:tab/>
      </w:r>
      <w:r w:rsidRPr="00393950">
        <w:rPr>
          <w:b/>
          <w:bCs/>
          <w:lang w:val="fr-FR"/>
        </w:rPr>
        <w:t>De mettre au point une stratégie globale de ressources humaines pour les fonctionnaires afin de préparer et de former des femmes, d</w:t>
      </w:r>
      <w:r>
        <w:rPr>
          <w:b/>
          <w:bCs/>
          <w:lang w:val="fr-FR"/>
        </w:rPr>
        <w:t>’</w:t>
      </w:r>
      <w:r w:rsidRPr="00393950">
        <w:rPr>
          <w:b/>
          <w:bCs/>
          <w:lang w:val="fr-FR"/>
        </w:rPr>
        <w:t>établir des indicateurs pour promouvoir l</w:t>
      </w:r>
      <w:r>
        <w:rPr>
          <w:b/>
          <w:bCs/>
          <w:lang w:val="fr-FR"/>
        </w:rPr>
        <w:t>’</w:t>
      </w:r>
      <w:r w:rsidRPr="00393950">
        <w:rPr>
          <w:b/>
          <w:bCs/>
          <w:lang w:val="fr-FR"/>
        </w:rPr>
        <w:t>accès des</w:t>
      </w:r>
      <w:r>
        <w:rPr>
          <w:b/>
          <w:bCs/>
          <w:lang w:val="fr-FR"/>
        </w:rPr>
        <w:t xml:space="preserve"> </w:t>
      </w:r>
      <w:r w:rsidRPr="00393950">
        <w:rPr>
          <w:b/>
          <w:bCs/>
          <w:lang w:val="fr-FR"/>
        </w:rPr>
        <w:t>femmes à des postes de direction et d</w:t>
      </w:r>
      <w:r>
        <w:rPr>
          <w:b/>
          <w:bCs/>
          <w:lang w:val="fr-FR"/>
        </w:rPr>
        <w:t>’</w:t>
      </w:r>
      <w:r w:rsidRPr="00393950">
        <w:rPr>
          <w:b/>
          <w:bCs/>
          <w:lang w:val="fr-FR"/>
        </w:rPr>
        <w:t>accroître la représentation des femmes aux postes de décision dans la vie politique</w:t>
      </w:r>
      <w:r>
        <w:rPr>
          <w:b/>
          <w:bCs/>
          <w:lang w:val="fr-FR"/>
        </w:rPr>
        <w:t> ;</w:t>
      </w:r>
    </w:p>
    <w:p w14:paraId="42DE6058" w14:textId="77777777" w:rsidR="00A351F4" w:rsidRPr="00393950" w:rsidRDefault="00A351F4" w:rsidP="00A351F4">
      <w:pPr>
        <w:pStyle w:val="SingleTxt"/>
        <w:rPr>
          <w:b/>
          <w:bCs/>
          <w:lang w:val="fr-FR"/>
        </w:rPr>
      </w:pPr>
      <w:r>
        <w:rPr>
          <w:b/>
          <w:bCs/>
          <w:lang w:val="fr-FR"/>
        </w:rPr>
        <w:tab/>
      </w:r>
      <w:r w:rsidRPr="00393950">
        <w:rPr>
          <w:b/>
          <w:bCs/>
          <w:lang w:val="fr-FR"/>
        </w:rPr>
        <w:t>c)</w:t>
      </w:r>
      <w:r w:rsidRPr="00393950">
        <w:rPr>
          <w:lang w:val="fr-FR"/>
        </w:rPr>
        <w:tab/>
      </w:r>
      <w:r w:rsidRPr="00393950">
        <w:rPr>
          <w:b/>
          <w:bCs/>
          <w:lang w:val="fr-FR"/>
        </w:rPr>
        <w:t>D</w:t>
      </w:r>
      <w:r>
        <w:rPr>
          <w:b/>
          <w:bCs/>
          <w:lang w:val="fr-FR"/>
        </w:rPr>
        <w:t>’</w:t>
      </w:r>
      <w:r w:rsidRPr="00393950">
        <w:rPr>
          <w:b/>
          <w:bCs/>
          <w:lang w:val="fr-FR"/>
        </w:rPr>
        <w:t>assurer une représentation égale des femmes et des hommes pour les nominations dans les conseils d</w:t>
      </w:r>
      <w:r>
        <w:rPr>
          <w:b/>
          <w:bCs/>
          <w:lang w:val="fr-FR"/>
        </w:rPr>
        <w:t>’</w:t>
      </w:r>
      <w:r w:rsidRPr="00393950">
        <w:rPr>
          <w:b/>
          <w:bCs/>
          <w:lang w:val="fr-FR"/>
        </w:rPr>
        <w:t>administration, les conseils des fondations, les commissions (y compris au niveau municipal) et les groupes de travail</w:t>
      </w:r>
      <w:r>
        <w:rPr>
          <w:b/>
          <w:bCs/>
          <w:lang w:val="fr-FR"/>
        </w:rPr>
        <w:t> ;</w:t>
      </w:r>
      <w:r w:rsidRPr="00393950">
        <w:rPr>
          <w:lang w:val="fr-FR"/>
        </w:rPr>
        <w:t xml:space="preserve"> </w:t>
      </w:r>
    </w:p>
    <w:p w14:paraId="6822D74C" w14:textId="77777777" w:rsidR="00A351F4" w:rsidRPr="00393950" w:rsidRDefault="00A351F4" w:rsidP="00A351F4">
      <w:pPr>
        <w:pStyle w:val="SingleTxt"/>
        <w:rPr>
          <w:b/>
          <w:bCs/>
          <w:lang w:val="fr-FR"/>
        </w:rPr>
      </w:pPr>
      <w:r>
        <w:rPr>
          <w:lang w:val="fr-FR"/>
        </w:rPr>
        <w:tab/>
      </w:r>
      <w:r w:rsidRPr="00DA3FC9">
        <w:rPr>
          <w:b/>
          <w:bCs/>
          <w:lang w:val="fr-FR"/>
        </w:rPr>
        <w:t>d)</w:t>
      </w:r>
      <w:r w:rsidRPr="00393950">
        <w:rPr>
          <w:lang w:val="fr-FR"/>
        </w:rPr>
        <w:tab/>
      </w:r>
      <w:r w:rsidRPr="00393950">
        <w:rPr>
          <w:b/>
          <w:bCs/>
          <w:lang w:val="fr-FR"/>
        </w:rPr>
        <w:t>De collecter des données désagrégées sur la représentation des femmes dans tous les domaines de la vie politique et publique.</w:t>
      </w:r>
      <w:r w:rsidRPr="00393950">
        <w:rPr>
          <w:lang w:val="fr-FR"/>
        </w:rPr>
        <w:t xml:space="preserve"> </w:t>
      </w:r>
    </w:p>
    <w:p w14:paraId="1BAA7BD1" w14:textId="77777777" w:rsidR="00A351F4" w:rsidRPr="00DA3FC9" w:rsidRDefault="00A351F4" w:rsidP="00A351F4">
      <w:pPr>
        <w:pStyle w:val="SingleTxt"/>
        <w:spacing w:after="0" w:line="120" w:lineRule="exact"/>
        <w:rPr>
          <w:b/>
          <w:sz w:val="10"/>
          <w:lang w:val="fr-FR"/>
        </w:rPr>
      </w:pPr>
    </w:p>
    <w:p w14:paraId="765CC868"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Éducation</w:t>
      </w:r>
    </w:p>
    <w:p w14:paraId="6081228F" w14:textId="77777777" w:rsidR="00A351F4" w:rsidRPr="00DA3FC9" w:rsidRDefault="00A351F4" w:rsidP="00A351F4">
      <w:pPr>
        <w:pStyle w:val="SingleTxt"/>
        <w:spacing w:after="0" w:line="120" w:lineRule="exact"/>
        <w:rPr>
          <w:sz w:val="10"/>
          <w:lang w:val="fr-FR"/>
        </w:rPr>
      </w:pPr>
    </w:p>
    <w:p w14:paraId="5517ADA0" w14:textId="77777777" w:rsidR="00A351F4" w:rsidRPr="00393950" w:rsidRDefault="00A351F4" w:rsidP="00A351F4">
      <w:pPr>
        <w:pStyle w:val="SingleTxt"/>
        <w:numPr>
          <w:ilvl w:val="0"/>
          <w:numId w:val="33"/>
        </w:numPr>
        <w:spacing w:line="240" w:lineRule="exact"/>
        <w:ind w:left="1267"/>
        <w:rPr>
          <w:lang w:val="fr-FR"/>
        </w:rPr>
      </w:pPr>
      <w:r w:rsidRPr="00393950">
        <w:rPr>
          <w:lang w:val="fr-FR"/>
        </w:rPr>
        <w:t>Le Comité prend note avec satisfaction des résultats obtenus par l</w:t>
      </w:r>
      <w:r>
        <w:rPr>
          <w:lang w:val="fr-FR"/>
        </w:rPr>
        <w:t>’</w:t>
      </w:r>
      <w:r w:rsidRPr="00393950">
        <w:rPr>
          <w:lang w:val="fr-FR"/>
        </w:rPr>
        <w:t>État partie dans le domaine de l</w:t>
      </w:r>
      <w:r>
        <w:rPr>
          <w:lang w:val="fr-FR"/>
        </w:rPr>
        <w:t>’</w:t>
      </w:r>
      <w:r w:rsidRPr="00393950">
        <w:rPr>
          <w:lang w:val="fr-FR"/>
        </w:rPr>
        <w:t>éducation et du lancement</w:t>
      </w:r>
      <w:r>
        <w:rPr>
          <w:lang w:val="fr-FR"/>
        </w:rPr>
        <w:t xml:space="preserve"> </w:t>
      </w:r>
      <w:r w:rsidRPr="00393950">
        <w:rPr>
          <w:lang w:val="fr-FR"/>
        </w:rPr>
        <w:t>de plusieurs projets louables à cet égard, comme les laboratoires d</w:t>
      </w:r>
      <w:r>
        <w:rPr>
          <w:lang w:val="fr-FR"/>
        </w:rPr>
        <w:t>’</w:t>
      </w:r>
      <w:r w:rsidRPr="00393950">
        <w:rPr>
          <w:lang w:val="fr-FR"/>
        </w:rPr>
        <w:t xml:space="preserve">expérimentation « pepperMINT ». Il regrette </w:t>
      </w:r>
      <w:r w:rsidRPr="00393950">
        <w:rPr>
          <w:lang w:val="fr-FR"/>
        </w:rPr>
        <w:lastRenderedPageBreak/>
        <w:t>toutefois que l</w:t>
      </w:r>
      <w:r>
        <w:rPr>
          <w:lang w:val="fr-FR"/>
        </w:rPr>
        <w:t>’</w:t>
      </w:r>
      <w:r w:rsidRPr="00393950">
        <w:rPr>
          <w:lang w:val="fr-FR"/>
        </w:rPr>
        <w:t>État partie n</w:t>
      </w:r>
      <w:r>
        <w:rPr>
          <w:lang w:val="fr-FR"/>
        </w:rPr>
        <w:t>’</w:t>
      </w:r>
      <w:r w:rsidRPr="00393950">
        <w:rPr>
          <w:lang w:val="fr-FR"/>
        </w:rPr>
        <w:t>ait pas intégré la question de l</w:t>
      </w:r>
      <w:r>
        <w:rPr>
          <w:lang w:val="fr-FR"/>
        </w:rPr>
        <w:t>’</w:t>
      </w:r>
      <w:r w:rsidRPr="00393950">
        <w:rPr>
          <w:lang w:val="fr-FR"/>
        </w:rPr>
        <w:t>égalité femmes-hommes dans le domaine de l</w:t>
      </w:r>
      <w:r>
        <w:rPr>
          <w:lang w:val="fr-FR"/>
        </w:rPr>
        <w:t>’</w:t>
      </w:r>
      <w:r w:rsidRPr="00393950">
        <w:rPr>
          <w:lang w:val="fr-FR"/>
        </w:rPr>
        <w:t>éducation en général. Il constate en outre avec préoccupation</w:t>
      </w:r>
      <w:r>
        <w:rPr>
          <w:lang w:val="fr-FR"/>
        </w:rPr>
        <w:t> :</w:t>
      </w:r>
      <w:r w:rsidRPr="00393950">
        <w:rPr>
          <w:lang w:val="fr-FR"/>
        </w:rPr>
        <w:t xml:space="preserve"> </w:t>
      </w:r>
    </w:p>
    <w:p w14:paraId="086CBFA0" w14:textId="77777777" w:rsidR="00A351F4" w:rsidRPr="00393950" w:rsidRDefault="00A351F4" w:rsidP="00A351F4">
      <w:pPr>
        <w:pStyle w:val="SingleTxt"/>
        <w:rPr>
          <w:lang w:val="fr-FR"/>
        </w:rPr>
      </w:pPr>
      <w:r>
        <w:rPr>
          <w:lang w:val="fr-FR"/>
        </w:rPr>
        <w:tab/>
      </w:r>
      <w:r w:rsidRPr="00393950">
        <w:rPr>
          <w:lang w:val="fr-FR"/>
        </w:rPr>
        <w:t>a)</w:t>
      </w:r>
      <w:r w:rsidRPr="00393950">
        <w:rPr>
          <w:lang w:val="fr-FR"/>
        </w:rPr>
        <w:tab/>
        <w:t>Qu</w:t>
      </w:r>
      <w:r>
        <w:rPr>
          <w:lang w:val="fr-FR"/>
        </w:rPr>
        <w:t>’</w:t>
      </w:r>
      <w:r w:rsidRPr="00393950">
        <w:rPr>
          <w:lang w:val="fr-FR"/>
        </w:rPr>
        <w:t>il n</w:t>
      </w:r>
      <w:r>
        <w:rPr>
          <w:lang w:val="fr-FR"/>
        </w:rPr>
        <w:t>’</w:t>
      </w:r>
      <w:r w:rsidRPr="00393950">
        <w:rPr>
          <w:lang w:val="fr-FR"/>
        </w:rPr>
        <w:t>existe pas de dispositions légales contraignantes expressément destinées à assurer une égale représentation des femmes et des hommes parmi les étudiants (un tiers des étudiants sont des femmes) et le personnel de l</w:t>
      </w:r>
      <w:r>
        <w:rPr>
          <w:lang w:val="fr-FR"/>
        </w:rPr>
        <w:t>’</w:t>
      </w:r>
      <w:r w:rsidRPr="00393950">
        <w:rPr>
          <w:lang w:val="fr-FR"/>
        </w:rPr>
        <w:t>Université, ainsi que la représentation des migrants et d</w:t>
      </w:r>
      <w:r>
        <w:rPr>
          <w:lang w:val="fr-FR"/>
        </w:rPr>
        <w:t>’</w:t>
      </w:r>
      <w:r w:rsidRPr="00393950">
        <w:rPr>
          <w:lang w:val="fr-FR"/>
        </w:rPr>
        <w:t>autres catégories vulnérables de la population</w:t>
      </w:r>
      <w:r>
        <w:rPr>
          <w:lang w:val="fr-FR"/>
        </w:rPr>
        <w:t> ;</w:t>
      </w:r>
      <w:r w:rsidRPr="00393950">
        <w:rPr>
          <w:lang w:val="fr-FR"/>
        </w:rPr>
        <w:t xml:space="preserve"> </w:t>
      </w:r>
    </w:p>
    <w:p w14:paraId="4F001133" w14:textId="77777777" w:rsidR="00A351F4" w:rsidRPr="00393950" w:rsidRDefault="00A351F4" w:rsidP="00A351F4">
      <w:pPr>
        <w:pStyle w:val="SingleTxt"/>
        <w:rPr>
          <w:lang w:val="fr-FR"/>
        </w:rPr>
      </w:pPr>
      <w:r>
        <w:rPr>
          <w:lang w:val="fr-FR"/>
        </w:rPr>
        <w:tab/>
        <w:t>b</w:t>
      </w:r>
      <w:r w:rsidRPr="00393950">
        <w:rPr>
          <w:lang w:val="fr-FR"/>
        </w:rPr>
        <w:t>)</w:t>
      </w:r>
      <w:r w:rsidRPr="00393950">
        <w:rPr>
          <w:lang w:val="fr-FR"/>
        </w:rPr>
        <w:tab/>
        <w:t>Que les mesures prises pour faire en sorte que la transition entre le cursus de scolarité obligatoire et la poursuite des études se passe au mieux ne tiennent pas compte des spécificités des femmes et des hommes et que l</w:t>
      </w:r>
      <w:r>
        <w:rPr>
          <w:lang w:val="fr-FR"/>
        </w:rPr>
        <w:t>’</w:t>
      </w:r>
      <w:r w:rsidRPr="00393950">
        <w:rPr>
          <w:lang w:val="fr-FR"/>
        </w:rPr>
        <w:t>on ne dispose pas d</w:t>
      </w:r>
      <w:r>
        <w:rPr>
          <w:lang w:val="fr-FR"/>
        </w:rPr>
        <w:t>’</w:t>
      </w:r>
      <w:r w:rsidRPr="00393950">
        <w:rPr>
          <w:lang w:val="fr-FR"/>
        </w:rPr>
        <w:t>information sur leurs effets</w:t>
      </w:r>
      <w:r>
        <w:rPr>
          <w:lang w:val="fr-FR"/>
        </w:rPr>
        <w:t> ;</w:t>
      </w:r>
      <w:r w:rsidRPr="00393950">
        <w:rPr>
          <w:lang w:val="fr-FR"/>
        </w:rPr>
        <w:t xml:space="preserve"> </w:t>
      </w:r>
    </w:p>
    <w:p w14:paraId="50A0B495" w14:textId="77777777" w:rsidR="00A351F4" w:rsidRPr="00393950" w:rsidRDefault="00A351F4" w:rsidP="00A351F4">
      <w:pPr>
        <w:pStyle w:val="SingleTxt"/>
        <w:rPr>
          <w:lang w:val="fr-FR"/>
        </w:rPr>
      </w:pPr>
      <w:r>
        <w:rPr>
          <w:lang w:val="fr-FR"/>
        </w:rPr>
        <w:tab/>
        <w:t>c</w:t>
      </w:r>
      <w:r w:rsidRPr="00393950">
        <w:rPr>
          <w:lang w:val="fr-FR"/>
        </w:rPr>
        <w:t>)</w:t>
      </w:r>
      <w:r w:rsidRPr="00393950">
        <w:rPr>
          <w:lang w:val="fr-FR"/>
        </w:rPr>
        <w:tab/>
        <w:t>Qu</w:t>
      </w:r>
      <w:r>
        <w:rPr>
          <w:lang w:val="fr-FR"/>
        </w:rPr>
        <w:t>’</w:t>
      </w:r>
      <w:r w:rsidRPr="00393950">
        <w:rPr>
          <w:lang w:val="fr-FR"/>
        </w:rPr>
        <w:t>il n</w:t>
      </w:r>
      <w:r>
        <w:rPr>
          <w:lang w:val="fr-FR"/>
        </w:rPr>
        <w:t>’</w:t>
      </w:r>
      <w:r w:rsidRPr="00393950">
        <w:rPr>
          <w:lang w:val="fr-FR"/>
        </w:rPr>
        <w:t>existe pas de dispositif permettant aux étudiants, notamment aux étudiantes, de signaler les actes d</w:t>
      </w:r>
      <w:r>
        <w:rPr>
          <w:lang w:val="fr-FR"/>
        </w:rPr>
        <w:t>’</w:t>
      </w:r>
      <w:r w:rsidRPr="00393950">
        <w:rPr>
          <w:lang w:val="fr-FR"/>
        </w:rPr>
        <w:t>intimidation ou de harcèlement sexuel.</w:t>
      </w:r>
    </w:p>
    <w:p w14:paraId="403C96EA" w14:textId="77777777" w:rsidR="00A351F4" w:rsidRPr="00393950" w:rsidRDefault="00A351F4" w:rsidP="00A351F4">
      <w:pPr>
        <w:pStyle w:val="SingleTxt"/>
        <w:numPr>
          <w:ilvl w:val="0"/>
          <w:numId w:val="33"/>
        </w:numPr>
        <w:spacing w:line="240" w:lineRule="exact"/>
        <w:ind w:left="1267"/>
        <w:rPr>
          <w:b/>
          <w:lang w:val="fr-FR"/>
        </w:rPr>
      </w:pPr>
      <w:r w:rsidRPr="00393950">
        <w:rPr>
          <w:b/>
          <w:bCs/>
          <w:lang w:val="fr-FR"/>
        </w:rPr>
        <w:t>Le Comité recommande à l</w:t>
      </w:r>
      <w:r>
        <w:rPr>
          <w:b/>
          <w:bCs/>
          <w:lang w:val="fr-FR"/>
        </w:rPr>
        <w:t>’</w:t>
      </w:r>
      <w:r w:rsidRPr="00393950">
        <w:rPr>
          <w:b/>
          <w:bCs/>
          <w:lang w:val="fr-FR"/>
        </w:rPr>
        <w:t>État partie</w:t>
      </w:r>
      <w:r>
        <w:rPr>
          <w:b/>
          <w:bCs/>
          <w:lang w:val="fr-FR"/>
        </w:rPr>
        <w:t> :</w:t>
      </w:r>
      <w:r w:rsidRPr="00393950">
        <w:rPr>
          <w:lang w:val="fr-FR"/>
        </w:rPr>
        <w:t xml:space="preserve"> </w:t>
      </w:r>
    </w:p>
    <w:p w14:paraId="6F76603A" w14:textId="77777777" w:rsidR="00A351F4" w:rsidRPr="00393950" w:rsidRDefault="00A351F4" w:rsidP="00A351F4">
      <w:pPr>
        <w:pStyle w:val="SingleTxt"/>
        <w:rPr>
          <w:b/>
          <w:lang w:val="fr-FR"/>
        </w:rPr>
      </w:pPr>
      <w:r>
        <w:rPr>
          <w:b/>
          <w:bCs/>
          <w:lang w:val="fr-FR"/>
        </w:rPr>
        <w:tab/>
      </w:r>
      <w:r w:rsidRPr="00393950">
        <w:rPr>
          <w:b/>
          <w:bCs/>
          <w:lang w:val="fr-FR"/>
        </w:rPr>
        <w:t>a)</w:t>
      </w:r>
      <w:r w:rsidRPr="00393950">
        <w:rPr>
          <w:lang w:val="fr-FR"/>
        </w:rPr>
        <w:tab/>
      </w:r>
      <w:r w:rsidRPr="00393950">
        <w:rPr>
          <w:b/>
          <w:bCs/>
          <w:lang w:val="fr-FR"/>
        </w:rPr>
        <w:t>D</w:t>
      </w:r>
      <w:r>
        <w:rPr>
          <w:b/>
          <w:bCs/>
          <w:lang w:val="fr-FR"/>
        </w:rPr>
        <w:t>’</w:t>
      </w:r>
      <w:r w:rsidRPr="00393950">
        <w:rPr>
          <w:b/>
          <w:bCs/>
          <w:lang w:val="fr-FR"/>
        </w:rPr>
        <w:t>adopter des dispositions légales contraignantes interdisant expressément la discrimination à l</w:t>
      </w:r>
      <w:r>
        <w:rPr>
          <w:b/>
          <w:bCs/>
          <w:lang w:val="fr-FR"/>
        </w:rPr>
        <w:t>’</w:t>
      </w:r>
      <w:r w:rsidRPr="00393950">
        <w:rPr>
          <w:b/>
          <w:bCs/>
          <w:lang w:val="fr-FR"/>
        </w:rPr>
        <w:t>égard des femmes, des filles et d</w:t>
      </w:r>
      <w:r>
        <w:rPr>
          <w:b/>
          <w:bCs/>
          <w:lang w:val="fr-FR"/>
        </w:rPr>
        <w:t>’</w:t>
      </w:r>
      <w:r w:rsidRPr="00393950">
        <w:rPr>
          <w:b/>
          <w:bCs/>
          <w:lang w:val="fr-FR"/>
        </w:rPr>
        <w:t>autres catégories vulnérables de la population dans l</w:t>
      </w:r>
      <w:r>
        <w:rPr>
          <w:b/>
          <w:bCs/>
          <w:lang w:val="fr-FR"/>
        </w:rPr>
        <w:t>’</w:t>
      </w:r>
      <w:r w:rsidRPr="00393950">
        <w:rPr>
          <w:b/>
          <w:bCs/>
          <w:lang w:val="fr-FR"/>
        </w:rPr>
        <w:t>éducation</w:t>
      </w:r>
      <w:r>
        <w:rPr>
          <w:b/>
          <w:bCs/>
          <w:lang w:val="fr-FR"/>
        </w:rPr>
        <w:t> ;</w:t>
      </w:r>
      <w:r w:rsidRPr="00393950">
        <w:rPr>
          <w:lang w:val="fr-FR"/>
        </w:rPr>
        <w:t xml:space="preserve"> </w:t>
      </w:r>
    </w:p>
    <w:p w14:paraId="2B568D61" w14:textId="77777777" w:rsidR="00A351F4" w:rsidRPr="00393950" w:rsidRDefault="00A351F4" w:rsidP="00A351F4">
      <w:pPr>
        <w:pStyle w:val="SingleTxt"/>
        <w:rPr>
          <w:b/>
          <w:lang w:val="fr-FR"/>
        </w:rPr>
      </w:pPr>
      <w:r>
        <w:rPr>
          <w:b/>
          <w:bCs/>
          <w:lang w:val="fr-FR"/>
        </w:rPr>
        <w:tab/>
      </w:r>
      <w:r w:rsidRPr="00393950">
        <w:rPr>
          <w:b/>
          <w:bCs/>
          <w:lang w:val="fr-FR"/>
        </w:rPr>
        <w:t>b)</w:t>
      </w:r>
      <w:r w:rsidRPr="00393950">
        <w:rPr>
          <w:lang w:val="fr-FR"/>
        </w:rPr>
        <w:tab/>
      </w:r>
      <w:r w:rsidRPr="00393950">
        <w:rPr>
          <w:b/>
          <w:bCs/>
          <w:lang w:val="fr-FR"/>
        </w:rPr>
        <w:t>De prendre des mesures pour accroître le nombre de femmes parmi les étudiants et le personnel enseignant, ainsi que le nombre des migrantes et des migrants et des autres membres de catégories vulnérables, à l</w:t>
      </w:r>
      <w:r>
        <w:rPr>
          <w:b/>
          <w:bCs/>
          <w:lang w:val="fr-FR"/>
        </w:rPr>
        <w:t>’</w:t>
      </w:r>
      <w:r w:rsidRPr="00393950">
        <w:rPr>
          <w:b/>
          <w:bCs/>
          <w:lang w:val="fr-FR"/>
        </w:rPr>
        <w:t>Université du Liechtenstein</w:t>
      </w:r>
      <w:r>
        <w:rPr>
          <w:b/>
          <w:bCs/>
          <w:lang w:val="fr-FR"/>
        </w:rPr>
        <w:t> ;</w:t>
      </w:r>
    </w:p>
    <w:p w14:paraId="327A82E7" w14:textId="77777777" w:rsidR="00A351F4" w:rsidRPr="00393950" w:rsidRDefault="00A351F4" w:rsidP="00A351F4">
      <w:pPr>
        <w:pStyle w:val="SingleTxt"/>
        <w:rPr>
          <w:b/>
          <w:lang w:val="fr-FR"/>
        </w:rPr>
      </w:pPr>
      <w:r>
        <w:rPr>
          <w:b/>
          <w:bCs/>
          <w:lang w:val="fr-FR"/>
        </w:rPr>
        <w:tab/>
      </w:r>
      <w:r w:rsidRPr="00393950">
        <w:rPr>
          <w:b/>
          <w:bCs/>
          <w:lang w:val="fr-FR"/>
        </w:rPr>
        <w:t>c)</w:t>
      </w:r>
      <w:r w:rsidRPr="00393950">
        <w:rPr>
          <w:lang w:val="fr-FR"/>
        </w:rPr>
        <w:tab/>
      </w:r>
      <w:r w:rsidRPr="00393950">
        <w:rPr>
          <w:b/>
          <w:bCs/>
          <w:lang w:val="fr-FR"/>
        </w:rPr>
        <w:t>D</w:t>
      </w:r>
      <w:r>
        <w:rPr>
          <w:b/>
          <w:bCs/>
          <w:lang w:val="fr-FR"/>
        </w:rPr>
        <w:t>’</w:t>
      </w:r>
      <w:r w:rsidRPr="00393950">
        <w:rPr>
          <w:b/>
          <w:bCs/>
          <w:lang w:val="fr-FR"/>
        </w:rPr>
        <w:t>intensifier ses efforts pour collecter, en collaboration avec les pays voisins, des données ventilées par sexe sur les choix éducatifs des étudiantes et étudiants liechtensteinois faisant leurs études à l</w:t>
      </w:r>
      <w:r>
        <w:rPr>
          <w:b/>
          <w:bCs/>
          <w:lang w:val="fr-FR"/>
        </w:rPr>
        <w:t>’</w:t>
      </w:r>
      <w:r w:rsidRPr="00393950">
        <w:rPr>
          <w:b/>
          <w:bCs/>
          <w:lang w:val="fr-FR"/>
        </w:rPr>
        <w:t>étranger</w:t>
      </w:r>
      <w:r>
        <w:rPr>
          <w:b/>
          <w:bCs/>
          <w:lang w:val="fr-FR"/>
        </w:rPr>
        <w:t> ;</w:t>
      </w:r>
      <w:r w:rsidRPr="00393950">
        <w:rPr>
          <w:lang w:val="fr-FR"/>
        </w:rPr>
        <w:t xml:space="preserve"> </w:t>
      </w:r>
    </w:p>
    <w:p w14:paraId="20FCA865" w14:textId="77777777" w:rsidR="00A351F4" w:rsidRPr="00393950" w:rsidRDefault="00A351F4" w:rsidP="00A351F4">
      <w:pPr>
        <w:pStyle w:val="SingleTxt"/>
        <w:rPr>
          <w:b/>
          <w:lang w:val="fr-FR"/>
        </w:rPr>
      </w:pPr>
      <w:r>
        <w:rPr>
          <w:b/>
          <w:bCs/>
          <w:lang w:val="fr-FR"/>
        </w:rPr>
        <w:tab/>
        <w:t>d</w:t>
      </w:r>
      <w:r w:rsidRPr="00393950">
        <w:rPr>
          <w:b/>
          <w:bCs/>
          <w:lang w:val="fr-FR"/>
        </w:rPr>
        <w:t>)</w:t>
      </w:r>
      <w:r w:rsidRPr="00393950">
        <w:rPr>
          <w:lang w:val="fr-FR"/>
        </w:rPr>
        <w:tab/>
      </w:r>
      <w:r w:rsidRPr="00393950">
        <w:rPr>
          <w:b/>
          <w:bCs/>
          <w:lang w:val="fr-FR"/>
        </w:rPr>
        <w:t>De mettre en œuvre des mesures tenant compte des disparités entre les filles et les garçons pour les orienter vers des choix de carrière non traditionnels, de renforcer la formation professionnelle et la formation à l</w:t>
      </w:r>
      <w:r>
        <w:rPr>
          <w:b/>
          <w:bCs/>
          <w:lang w:val="fr-FR"/>
        </w:rPr>
        <w:t>’</w:t>
      </w:r>
      <w:r w:rsidRPr="00393950">
        <w:rPr>
          <w:b/>
          <w:bCs/>
          <w:lang w:val="fr-FR"/>
        </w:rPr>
        <w:t>entrepreneuriat des femmes et des filles et de prévoir une formation pédagogique tenant compte des questions d</w:t>
      </w:r>
      <w:r>
        <w:rPr>
          <w:b/>
          <w:bCs/>
          <w:lang w:val="fr-FR"/>
        </w:rPr>
        <w:t>’</w:t>
      </w:r>
      <w:r w:rsidRPr="00393950">
        <w:rPr>
          <w:b/>
          <w:bCs/>
          <w:lang w:val="fr-FR"/>
        </w:rPr>
        <w:t>égalité des sexes, des cours de soutien, des bourses et d</w:t>
      </w:r>
      <w:r>
        <w:rPr>
          <w:b/>
          <w:bCs/>
          <w:lang w:val="fr-FR"/>
        </w:rPr>
        <w:t>’</w:t>
      </w:r>
      <w:r w:rsidRPr="00393950">
        <w:rPr>
          <w:b/>
          <w:bCs/>
          <w:lang w:val="fr-FR"/>
        </w:rPr>
        <w:t>autres incitations afin de remédier aux inégalités entre les filles et les garçons en matière d</w:t>
      </w:r>
      <w:r>
        <w:rPr>
          <w:b/>
          <w:bCs/>
          <w:lang w:val="fr-FR"/>
        </w:rPr>
        <w:t>’</w:t>
      </w:r>
      <w:r w:rsidRPr="00393950">
        <w:rPr>
          <w:b/>
          <w:bCs/>
          <w:lang w:val="fr-FR"/>
        </w:rPr>
        <w:t>éducation</w:t>
      </w:r>
      <w:r>
        <w:rPr>
          <w:b/>
          <w:bCs/>
          <w:lang w:val="fr-FR"/>
        </w:rPr>
        <w:t> ;</w:t>
      </w:r>
    </w:p>
    <w:p w14:paraId="17D4E151" w14:textId="77777777" w:rsidR="00A351F4" w:rsidRPr="00393950" w:rsidRDefault="00A351F4" w:rsidP="00A351F4">
      <w:pPr>
        <w:pStyle w:val="SingleTxt"/>
        <w:rPr>
          <w:b/>
          <w:lang w:val="fr-FR"/>
        </w:rPr>
      </w:pPr>
      <w:r>
        <w:rPr>
          <w:b/>
          <w:bCs/>
          <w:lang w:val="fr-FR"/>
        </w:rPr>
        <w:tab/>
        <w:t>e</w:t>
      </w:r>
      <w:r w:rsidRPr="00393950">
        <w:rPr>
          <w:b/>
          <w:bCs/>
          <w:lang w:val="fr-FR"/>
        </w:rPr>
        <w:t>)</w:t>
      </w:r>
      <w:r w:rsidRPr="00393950">
        <w:rPr>
          <w:lang w:val="fr-FR"/>
        </w:rPr>
        <w:tab/>
      </w:r>
      <w:r w:rsidRPr="00393950">
        <w:rPr>
          <w:b/>
          <w:bCs/>
          <w:lang w:val="fr-FR"/>
        </w:rPr>
        <w:t>D</w:t>
      </w:r>
      <w:r>
        <w:rPr>
          <w:b/>
          <w:bCs/>
          <w:lang w:val="fr-FR"/>
        </w:rPr>
        <w:t>’</w:t>
      </w:r>
      <w:r w:rsidRPr="00393950">
        <w:rPr>
          <w:b/>
          <w:bCs/>
          <w:lang w:val="fr-FR"/>
        </w:rPr>
        <w:t>instituer un dispositif permettant aux étudiants et aux élèves, et notamment aux femmes et aux filles, de signaler les actes d</w:t>
      </w:r>
      <w:r>
        <w:rPr>
          <w:b/>
          <w:bCs/>
          <w:lang w:val="fr-FR"/>
        </w:rPr>
        <w:t>’</w:t>
      </w:r>
      <w:r w:rsidRPr="00393950">
        <w:rPr>
          <w:b/>
          <w:bCs/>
          <w:lang w:val="fr-FR"/>
        </w:rPr>
        <w:t>intimidation et de harcèlement sexuel.</w:t>
      </w:r>
    </w:p>
    <w:p w14:paraId="5CD4A3DC" w14:textId="77777777" w:rsidR="00A351F4" w:rsidRPr="00DA3FC9" w:rsidRDefault="00A351F4" w:rsidP="00A351F4">
      <w:pPr>
        <w:pStyle w:val="SingleTxt"/>
        <w:spacing w:after="0" w:line="120" w:lineRule="exact"/>
        <w:rPr>
          <w:b/>
          <w:sz w:val="10"/>
          <w:lang w:val="fr-FR"/>
        </w:rPr>
      </w:pPr>
    </w:p>
    <w:p w14:paraId="649F1B0B"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Emploi</w:t>
      </w:r>
    </w:p>
    <w:p w14:paraId="46DD52F5" w14:textId="77777777" w:rsidR="00A351F4" w:rsidRPr="00DA3FC9" w:rsidRDefault="00A351F4" w:rsidP="00A351F4">
      <w:pPr>
        <w:pStyle w:val="SingleTxt"/>
        <w:spacing w:after="0" w:line="120" w:lineRule="exact"/>
        <w:rPr>
          <w:sz w:val="10"/>
          <w:lang w:val="fr-FR"/>
        </w:rPr>
      </w:pPr>
    </w:p>
    <w:p w14:paraId="33C4524D" w14:textId="77777777" w:rsidR="00A351F4" w:rsidRPr="00393950" w:rsidRDefault="00A351F4" w:rsidP="00A351F4">
      <w:pPr>
        <w:pStyle w:val="SingleTxt"/>
        <w:numPr>
          <w:ilvl w:val="0"/>
          <w:numId w:val="33"/>
        </w:numPr>
        <w:spacing w:line="240" w:lineRule="exact"/>
        <w:ind w:left="1267"/>
        <w:rPr>
          <w:lang w:val="fr-FR"/>
        </w:rPr>
      </w:pPr>
      <w:r w:rsidRPr="00393950">
        <w:rPr>
          <w:lang w:val="fr-FR"/>
        </w:rPr>
        <w:t>Le Comité juge positives les mesures prises par l</w:t>
      </w:r>
      <w:r>
        <w:rPr>
          <w:lang w:val="fr-FR"/>
        </w:rPr>
        <w:t>’</w:t>
      </w:r>
      <w:r w:rsidRPr="00393950">
        <w:rPr>
          <w:lang w:val="fr-FR"/>
        </w:rPr>
        <w:t>État partie pour combler l</w:t>
      </w:r>
      <w:r>
        <w:rPr>
          <w:lang w:val="fr-FR"/>
        </w:rPr>
        <w:t>’</w:t>
      </w:r>
      <w:r w:rsidRPr="00393950">
        <w:rPr>
          <w:lang w:val="fr-FR"/>
        </w:rPr>
        <w:t>écart salarial entre les femmes et les hommes. Il note toutefois avec préoccupation</w:t>
      </w:r>
      <w:r>
        <w:rPr>
          <w:lang w:val="fr-FR"/>
        </w:rPr>
        <w:t> :</w:t>
      </w:r>
      <w:r w:rsidRPr="00393950">
        <w:rPr>
          <w:lang w:val="fr-FR"/>
        </w:rPr>
        <w:t xml:space="preserve"> </w:t>
      </w:r>
    </w:p>
    <w:p w14:paraId="0D9630E3" w14:textId="77777777" w:rsidR="00A351F4" w:rsidRPr="00393950" w:rsidRDefault="00A351F4" w:rsidP="00A351F4">
      <w:pPr>
        <w:pStyle w:val="SingleTxt"/>
        <w:rPr>
          <w:lang w:val="fr-FR"/>
        </w:rPr>
      </w:pPr>
      <w:r>
        <w:rPr>
          <w:lang w:val="fr-FR"/>
        </w:rPr>
        <w:tab/>
      </w:r>
      <w:r w:rsidRPr="00393950">
        <w:rPr>
          <w:lang w:val="fr-FR"/>
        </w:rPr>
        <w:t>a)</w:t>
      </w:r>
      <w:r w:rsidRPr="00393950">
        <w:rPr>
          <w:lang w:val="fr-FR"/>
        </w:rPr>
        <w:tab/>
        <w:t>Que la décision de l</w:t>
      </w:r>
      <w:r>
        <w:rPr>
          <w:lang w:val="fr-FR"/>
        </w:rPr>
        <w:t>’</w:t>
      </w:r>
      <w:r w:rsidRPr="00393950">
        <w:rPr>
          <w:lang w:val="fr-FR"/>
        </w:rPr>
        <w:t>État partie de ne pas adhérer à l</w:t>
      </w:r>
      <w:r>
        <w:rPr>
          <w:lang w:val="fr-FR"/>
        </w:rPr>
        <w:t>’</w:t>
      </w:r>
      <w:r w:rsidRPr="00393950">
        <w:rPr>
          <w:lang w:val="fr-FR"/>
        </w:rPr>
        <w:t>OIT et de ne pas ratifier la Convention de 1951 sur l</w:t>
      </w:r>
      <w:r>
        <w:rPr>
          <w:lang w:val="fr-FR"/>
        </w:rPr>
        <w:t>’</w:t>
      </w:r>
      <w:r w:rsidRPr="00393950">
        <w:rPr>
          <w:lang w:val="fr-FR"/>
        </w:rPr>
        <w:t>égalité de rémunération (n</w:t>
      </w:r>
      <w:r w:rsidRPr="00393950">
        <w:rPr>
          <w:vertAlign w:val="superscript"/>
          <w:lang w:val="fr-FR"/>
        </w:rPr>
        <w:t>o</w:t>
      </w:r>
      <w:r w:rsidRPr="00393950">
        <w:rPr>
          <w:lang w:val="fr-FR"/>
        </w:rPr>
        <w:t xml:space="preserve"> 100), la Convention de 1958 concernant la discrimination (emploi et profession) </w:t>
      </w:r>
      <w:r>
        <w:rPr>
          <w:lang w:val="fr-FR"/>
        </w:rPr>
        <w:t>(</w:t>
      </w:r>
      <w:r w:rsidRPr="00393950">
        <w:rPr>
          <w:lang w:val="fr-FR"/>
        </w:rPr>
        <w:t>n</w:t>
      </w:r>
      <w:r w:rsidRPr="00393950">
        <w:rPr>
          <w:vertAlign w:val="superscript"/>
          <w:lang w:val="fr-FR"/>
        </w:rPr>
        <w:t>o</w:t>
      </w:r>
      <w:r w:rsidRPr="00393950">
        <w:rPr>
          <w:lang w:val="fr-FR"/>
        </w:rPr>
        <w:t> 111</w:t>
      </w:r>
      <w:r>
        <w:rPr>
          <w:lang w:val="fr-FR"/>
        </w:rPr>
        <w:t>)</w:t>
      </w:r>
      <w:r w:rsidRPr="00393950">
        <w:rPr>
          <w:lang w:val="fr-FR"/>
        </w:rPr>
        <w:t xml:space="preserve"> et la Convention de 1981 sur les travailleurs ayant des responsabilités familiales (n</w:t>
      </w:r>
      <w:r w:rsidRPr="00393950">
        <w:rPr>
          <w:vertAlign w:val="superscript"/>
          <w:lang w:val="fr-FR"/>
        </w:rPr>
        <w:t>o</w:t>
      </w:r>
      <w:r>
        <w:rPr>
          <w:lang w:val="fr-FR"/>
        </w:rPr>
        <w:t> </w:t>
      </w:r>
      <w:r w:rsidRPr="00393950">
        <w:rPr>
          <w:lang w:val="fr-FR"/>
        </w:rPr>
        <w:t>156) risque de compromettre la pleine réalisation du droit des femmes à l</w:t>
      </w:r>
      <w:r>
        <w:rPr>
          <w:lang w:val="fr-FR"/>
        </w:rPr>
        <w:t>’</w:t>
      </w:r>
      <w:r w:rsidRPr="00393950">
        <w:rPr>
          <w:lang w:val="fr-FR"/>
        </w:rPr>
        <w:t>égalité des conditions de travail</w:t>
      </w:r>
      <w:r>
        <w:rPr>
          <w:lang w:val="fr-FR"/>
        </w:rPr>
        <w:t> ;</w:t>
      </w:r>
      <w:r w:rsidRPr="00393950">
        <w:rPr>
          <w:lang w:val="fr-FR"/>
        </w:rPr>
        <w:t xml:space="preserve"> </w:t>
      </w:r>
    </w:p>
    <w:p w14:paraId="55DE30EE" w14:textId="77777777" w:rsidR="00A351F4" w:rsidRPr="00393950" w:rsidRDefault="00A351F4" w:rsidP="00A351F4">
      <w:pPr>
        <w:pStyle w:val="SingleTxt"/>
        <w:rPr>
          <w:lang w:val="fr-FR"/>
        </w:rPr>
      </w:pPr>
      <w:r>
        <w:rPr>
          <w:lang w:val="fr-FR"/>
        </w:rPr>
        <w:tab/>
      </w:r>
      <w:r w:rsidRPr="00393950">
        <w:rPr>
          <w:lang w:val="fr-FR"/>
        </w:rPr>
        <w:t>b)</w:t>
      </w:r>
      <w:r w:rsidRPr="00393950">
        <w:rPr>
          <w:lang w:val="fr-FR"/>
        </w:rPr>
        <w:tab/>
        <w:t>Que l</w:t>
      </w:r>
      <w:r>
        <w:rPr>
          <w:lang w:val="fr-FR"/>
        </w:rPr>
        <w:t>’</w:t>
      </w:r>
      <w:r w:rsidRPr="00393950">
        <w:rPr>
          <w:lang w:val="fr-FR"/>
        </w:rPr>
        <w:t>écart de rémunération entre femmes et hommes n</w:t>
      </w:r>
      <w:r>
        <w:rPr>
          <w:lang w:val="fr-FR"/>
        </w:rPr>
        <w:t>’</w:t>
      </w:r>
      <w:r w:rsidRPr="00393950">
        <w:rPr>
          <w:lang w:val="fr-FR"/>
        </w:rPr>
        <w:t>a diminué que très lentement au cours de la période considérée et que les mesures prises pour combler cet écart ont été inefficaces</w:t>
      </w:r>
      <w:r>
        <w:rPr>
          <w:lang w:val="fr-FR"/>
        </w:rPr>
        <w:t> ;</w:t>
      </w:r>
      <w:r w:rsidRPr="00393950">
        <w:rPr>
          <w:lang w:val="fr-FR"/>
        </w:rPr>
        <w:t xml:space="preserve"> </w:t>
      </w:r>
    </w:p>
    <w:p w14:paraId="48080AB4" w14:textId="77777777" w:rsidR="00A351F4" w:rsidRPr="00393950" w:rsidRDefault="00A351F4" w:rsidP="00A351F4">
      <w:pPr>
        <w:pStyle w:val="SingleTxt"/>
        <w:rPr>
          <w:lang w:val="fr-FR"/>
        </w:rPr>
      </w:pPr>
      <w:r>
        <w:rPr>
          <w:lang w:val="fr-FR"/>
        </w:rPr>
        <w:tab/>
      </w:r>
      <w:r w:rsidRPr="00393950">
        <w:rPr>
          <w:lang w:val="fr-FR"/>
        </w:rPr>
        <w:t>c)</w:t>
      </w:r>
      <w:r w:rsidRPr="00393950">
        <w:rPr>
          <w:lang w:val="fr-FR"/>
        </w:rPr>
        <w:tab/>
        <w:t>Qu</w:t>
      </w:r>
      <w:r>
        <w:rPr>
          <w:lang w:val="fr-FR"/>
        </w:rPr>
        <w:t>’</w:t>
      </w:r>
      <w:r w:rsidRPr="00393950">
        <w:rPr>
          <w:lang w:val="fr-FR"/>
        </w:rPr>
        <w:t>il existe une ségrégation verticale et horizontale sur le marché du travail et que les femmes occupent principalement des emplois mal rémunérés</w:t>
      </w:r>
      <w:r>
        <w:rPr>
          <w:lang w:val="fr-FR"/>
        </w:rPr>
        <w:t> ;</w:t>
      </w:r>
    </w:p>
    <w:p w14:paraId="778F78F9" w14:textId="77777777" w:rsidR="00A351F4" w:rsidRPr="00393950" w:rsidRDefault="00A351F4" w:rsidP="00A351F4">
      <w:pPr>
        <w:pStyle w:val="SingleTxt"/>
        <w:rPr>
          <w:lang w:val="fr-FR"/>
        </w:rPr>
      </w:pPr>
      <w:r>
        <w:rPr>
          <w:lang w:val="fr-FR"/>
        </w:rPr>
        <w:lastRenderedPageBreak/>
        <w:tab/>
      </w:r>
      <w:r w:rsidRPr="00393950">
        <w:rPr>
          <w:lang w:val="fr-FR"/>
        </w:rPr>
        <w:t>d)</w:t>
      </w:r>
      <w:r w:rsidRPr="00393950">
        <w:rPr>
          <w:lang w:val="fr-FR"/>
        </w:rPr>
        <w:tab/>
        <w:t>Que les femmes sont surreprésentées dans les emplois à temps partiel parce qu</w:t>
      </w:r>
      <w:r>
        <w:rPr>
          <w:lang w:val="fr-FR"/>
        </w:rPr>
        <w:t>’</w:t>
      </w:r>
      <w:r w:rsidRPr="00393950">
        <w:rPr>
          <w:lang w:val="fr-FR"/>
        </w:rPr>
        <w:t>elles assument une part disproportionnée de l</w:t>
      </w:r>
      <w:r>
        <w:rPr>
          <w:lang w:val="fr-FR"/>
        </w:rPr>
        <w:t>’</w:t>
      </w:r>
      <w:r w:rsidRPr="00393950">
        <w:rPr>
          <w:lang w:val="fr-FR"/>
        </w:rPr>
        <w:t xml:space="preserve">éducation des enfants et des tâches domestiques. </w:t>
      </w:r>
    </w:p>
    <w:p w14:paraId="5620E3A3" w14:textId="77777777" w:rsidR="00A351F4" w:rsidRPr="00393950" w:rsidRDefault="00A351F4" w:rsidP="00A351F4">
      <w:pPr>
        <w:pStyle w:val="SingleTxt"/>
        <w:numPr>
          <w:ilvl w:val="0"/>
          <w:numId w:val="33"/>
        </w:numPr>
        <w:spacing w:line="240" w:lineRule="exact"/>
        <w:ind w:left="1267"/>
        <w:rPr>
          <w:b/>
          <w:lang w:val="fr-FR"/>
        </w:rPr>
      </w:pPr>
      <w:r w:rsidRPr="00393950">
        <w:rPr>
          <w:b/>
          <w:bCs/>
          <w:lang w:val="fr-FR"/>
        </w:rPr>
        <w:t>Le Comité recommande à l</w:t>
      </w:r>
      <w:r>
        <w:rPr>
          <w:b/>
          <w:bCs/>
          <w:lang w:val="fr-FR"/>
        </w:rPr>
        <w:t>’</w:t>
      </w:r>
      <w:r w:rsidRPr="00393950">
        <w:rPr>
          <w:b/>
          <w:bCs/>
          <w:lang w:val="fr-FR"/>
        </w:rPr>
        <w:t>État partie</w:t>
      </w:r>
      <w:r>
        <w:rPr>
          <w:b/>
          <w:bCs/>
          <w:lang w:val="fr-FR"/>
        </w:rPr>
        <w:t> :</w:t>
      </w:r>
      <w:r w:rsidRPr="00393950">
        <w:rPr>
          <w:lang w:val="fr-FR"/>
        </w:rPr>
        <w:t xml:space="preserve"> </w:t>
      </w:r>
    </w:p>
    <w:p w14:paraId="46C9D5BB" w14:textId="77777777" w:rsidR="00A351F4" w:rsidRPr="00393950" w:rsidRDefault="00A351F4" w:rsidP="00A351F4">
      <w:pPr>
        <w:pStyle w:val="SingleTxt"/>
        <w:rPr>
          <w:b/>
          <w:lang w:val="fr-FR"/>
        </w:rPr>
      </w:pPr>
      <w:r>
        <w:rPr>
          <w:b/>
          <w:bCs/>
          <w:lang w:val="fr-FR"/>
        </w:rPr>
        <w:tab/>
      </w:r>
      <w:r w:rsidRPr="00393950">
        <w:rPr>
          <w:b/>
          <w:bCs/>
          <w:lang w:val="fr-FR"/>
        </w:rPr>
        <w:t>a)</w:t>
      </w:r>
      <w:r w:rsidRPr="00393950">
        <w:rPr>
          <w:lang w:val="fr-FR"/>
        </w:rPr>
        <w:tab/>
      </w:r>
      <w:r w:rsidRPr="00393950">
        <w:rPr>
          <w:b/>
          <w:bCs/>
          <w:lang w:val="fr-FR"/>
        </w:rPr>
        <w:t>D</w:t>
      </w:r>
      <w:r>
        <w:rPr>
          <w:b/>
          <w:bCs/>
          <w:lang w:val="fr-FR"/>
        </w:rPr>
        <w:t>’</w:t>
      </w:r>
      <w:r w:rsidRPr="00393950">
        <w:rPr>
          <w:b/>
          <w:bCs/>
          <w:lang w:val="fr-FR"/>
        </w:rPr>
        <w:t>adhérer à l</w:t>
      </w:r>
      <w:r>
        <w:rPr>
          <w:b/>
          <w:bCs/>
          <w:lang w:val="fr-FR"/>
        </w:rPr>
        <w:t>’</w:t>
      </w:r>
      <w:r w:rsidRPr="00393950">
        <w:rPr>
          <w:b/>
          <w:bCs/>
          <w:lang w:val="fr-FR"/>
        </w:rPr>
        <w:t>Organisation internationale du Travail, de ratifier les Conventions n</w:t>
      </w:r>
      <w:r w:rsidRPr="00393950">
        <w:rPr>
          <w:b/>
          <w:bCs/>
          <w:vertAlign w:val="superscript"/>
          <w:lang w:val="fr-FR"/>
        </w:rPr>
        <w:t>os</w:t>
      </w:r>
      <w:r>
        <w:rPr>
          <w:b/>
          <w:bCs/>
          <w:lang w:val="fr-FR"/>
        </w:rPr>
        <w:t> </w:t>
      </w:r>
      <w:r w:rsidRPr="00393950">
        <w:rPr>
          <w:b/>
          <w:bCs/>
          <w:lang w:val="fr-FR"/>
        </w:rPr>
        <w:t>100, 111 et 156 de l</w:t>
      </w:r>
      <w:r>
        <w:rPr>
          <w:b/>
          <w:bCs/>
          <w:lang w:val="fr-FR"/>
        </w:rPr>
        <w:t>’</w:t>
      </w:r>
      <w:r w:rsidRPr="00393950">
        <w:rPr>
          <w:b/>
          <w:bCs/>
          <w:lang w:val="fr-FR"/>
        </w:rPr>
        <w:t>OIT et d</w:t>
      </w:r>
      <w:r>
        <w:rPr>
          <w:b/>
          <w:bCs/>
          <w:lang w:val="fr-FR"/>
        </w:rPr>
        <w:t>’</w:t>
      </w:r>
      <w:r w:rsidRPr="00393950">
        <w:rPr>
          <w:b/>
          <w:bCs/>
          <w:lang w:val="fr-FR"/>
        </w:rPr>
        <w:t>aligner sa législation du travail sur ces conventions</w:t>
      </w:r>
      <w:r>
        <w:rPr>
          <w:b/>
          <w:bCs/>
          <w:lang w:val="fr-FR"/>
        </w:rPr>
        <w:t> ;</w:t>
      </w:r>
      <w:r w:rsidRPr="00393950">
        <w:rPr>
          <w:lang w:val="fr-FR"/>
        </w:rPr>
        <w:t xml:space="preserve"> </w:t>
      </w:r>
    </w:p>
    <w:p w14:paraId="481947E4" w14:textId="77777777" w:rsidR="00A351F4" w:rsidRPr="00393950" w:rsidRDefault="00A351F4" w:rsidP="00A351F4">
      <w:pPr>
        <w:pStyle w:val="SingleTxt"/>
        <w:rPr>
          <w:b/>
          <w:lang w:val="fr-FR"/>
        </w:rPr>
      </w:pPr>
      <w:r>
        <w:rPr>
          <w:b/>
          <w:bCs/>
          <w:lang w:val="fr-FR"/>
        </w:rPr>
        <w:tab/>
      </w:r>
      <w:r w:rsidRPr="00393950">
        <w:rPr>
          <w:b/>
          <w:bCs/>
          <w:lang w:val="fr-FR"/>
        </w:rPr>
        <w:t>b)</w:t>
      </w:r>
      <w:r w:rsidRPr="00393950">
        <w:rPr>
          <w:lang w:val="fr-FR"/>
        </w:rPr>
        <w:tab/>
      </w:r>
      <w:r w:rsidRPr="00393950">
        <w:rPr>
          <w:b/>
          <w:bCs/>
          <w:lang w:val="fr-FR"/>
        </w:rPr>
        <w:t>De réduire l</w:t>
      </w:r>
      <w:r>
        <w:rPr>
          <w:b/>
          <w:bCs/>
          <w:lang w:val="fr-FR"/>
        </w:rPr>
        <w:t>’</w:t>
      </w:r>
      <w:r w:rsidRPr="00393950">
        <w:rPr>
          <w:b/>
          <w:bCs/>
          <w:lang w:val="fr-FR"/>
        </w:rPr>
        <w:t>écart salarial entre les femmes et les hommes, notamment en recourant à des méthodes analytiques de classement et d</w:t>
      </w:r>
      <w:r>
        <w:rPr>
          <w:b/>
          <w:bCs/>
          <w:lang w:val="fr-FR"/>
        </w:rPr>
        <w:t>’</w:t>
      </w:r>
      <w:r w:rsidRPr="00393950">
        <w:rPr>
          <w:b/>
          <w:bCs/>
          <w:lang w:val="fr-FR"/>
        </w:rPr>
        <w:t>évaluation des emplois qui ne fassent pas de distinction entre les sexes et en effectuant régulièrement des enquêtes sur les salaires</w:t>
      </w:r>
      <w:r>
        <w:rPr>
          <w:b/>
          <w:bCs/>
          <w:lang w:val="fr-FR"/>
        </w:rPr>
        <w:t> ;</w:t>
      </w:r>
      <w:r w:rsidRPr="00393950">
        <w:rPr>
          <w:lang w:val="fr-FR"/>
        </w:rPr>
        <w:t xml:space="preserve"> </w:t>
      </w:r>
    </w:p>
    <w:p w14:paraId="0CE7D152" w14:textId="77777777" w:rsidR="00A351F4" w:rsidRPr="00393950" w:rsidRDefault="00A351F4" w:rsidP="00A351F4">
      <w:pPr>
        <w:pStyle w:val="SingleTxt"/>
        <w:rPr>
          <w:b/>
          <w:lang w:val="fr-FR"/>
        </w:rPr>
      </w:pPr>
      <w:r>
        <w:rPr>
          <w:b/>
          <w:bCs/>
          <w:lang w:val="fr-FR"/>
        </w:rPr>
        <w:tab/>
      </w:r>
      <w:r w:rsidRPr="00393950">
        <w:rPr>
          <w:b/>
          <w:bCs/>
          <w:lang w:val="fr-FR"/>
        </w:rPr>
        <w:t>c)</w:t>
      </w:r>
      <w:r w:rsidRPr="00393950">
        <w:rPr>
          <w:lang w:val="fr-FR"/>
        </w:rPr>
        <w:tab/>
      </w:r>
      <w:r w:rsidRPr="00393950">
        <w:rPr>
          <w:b/>
          <w:bCs/>
          <w:lang w:val="fr-FR"/>
        </w:rPr>
        <w:t>De lutter contre la ségrégation dans l</w:t>
      </w:r>
      <w:r>
        <w:rPr>
          <w:b/>
          <w:bCs/>
          <w:lang w:val="fr-FR"/>
        </w:rPr>
        <w:t>’</w:t>
      </w:r>
      <w:r w:rsidRPr="00393950">
        <w:rPr>
          <w:b/>
          <w:bCs/>
          <w:lang w:val="fr-FR"/>
        </w:rPr>
        <w:t>emploi, notamment en adoptant des mesures propres à éliminer la discrimination à l</w:t>
      </w:r>
      <w:r>
        <w:rPr>
          <w:b/>
          <w:bCs/>
          <w:lang w:val="fr-FR"/>
        </w:rPr>
        <w:t>’</w:t>
      </w:r>
      <w:r w:rsidRPr="00393950">
        <w:rPr>
          <w:b/>
          <w:bCs/>
          <w:lang w:val="fr-FR"/>
        </w:rPr>
        <w:t>égard des femmes au niveau du recrutement et des promotions</w:t>
      </w:r>
      <w:r>
        <w:rPr>
          <w:b/>
          <w:bCs/>
          <w:lang w:val="fr-FR"/>
        </w:rPr>
        <w:t> ;</w:t>
      </w:r>
    </w:p>
    <w:p w14:paraId="3455E1F3" w14:textId="77777777" w:rsidR="00A351F4" w:rsidRPr="00393950" w:rsidRDefault="00A351F4" w:rsidP="00A351F4">
      <w:pPr>
        <w:pStyle w:val="SingleTxt"/>
        <w:rPr>
          <w:b/>
          <w:lang w:val="fr-FR"/>
        </w:rPr>
      </w:pPr>
      <w:r>
        <w:rPr>
          <w:b/>
          <w:bCs/>
          <w:lang w:val="fr-FR"/>
        </w:rPr>
        <w:tab/>
      </w:r>
      <w:r w:rsidRPr="00393950">
        <w:rPr>
          <w:b/>
          <w:bCs/>
          <w:lang w:val="fr-FR"/>
        </w:rPr>
        <w:t>d)</w:t>
      </w:r>
      <w:r w:rsidRPr="00393950">
        <w:rPr>
          <w:lang w:val="fr-FR"/>
        </w:rPr>
        <w:tab/>
      </w:r>
      <w:r w:rsidRPr="00393950">
        <w:rPr>
          <w:b/>
          <w:bCs/>
          <w:lang w:val="fr-FR"/>
        </w:rPr>
        <w:t>De promouvoir un partage égal des tâches familiales et domestiques entre les femmes et les hommes, en aménageant les modalités de travail, en augmentant le nombre des structures de garde d</w:t>
      </w:r>
      <w:r>
        <w:rPr>
          <w:b/>
          <w:bCs/>
          <w:lang w:val="fr-FR"/>
        </w:rPr>
        <w:t>’</w:t>
      </w:r>
      <w:r w:rsidRPr="00393950">
        <w:rPr>
          <w:b/>
          <w:bCs/>
          <w:lang w:val="fr-FR"/>
        </w:rPr>
        <w:t>enfants et en mettant en place des mesures innovantes permettant, notamment, de mieux faire accepter par la société le fait que les hommes s</w:t>
      </w:r>
      <w:r>
        <w:rPr>
          <w:b/>
          <w:bCs/>
          <w:lang w:val="fr-FR"/>
        </w:rPr>
        <w:t>’</w:t>
      </w:r>
      <w:r w:rsidRPr="00393950">
        <w:rPr>
          <w:b/>
          <w:bCs/>
          <w:lang w:val="fr-FR"/>
        </w:rPr>
        <w:t>occupent des enfants et que les femmes choisissent de reprendre leur travail après l</w:t>
      </w:r>
      <w:r>
        <w:rPr>
          <w:b/>
          <w:bCs/>
          <w:lang w:val="fr-FR"/>
        </w:rPr>
        <w:t>’</w:t>
      </w:r>
      <w:r w:rsidRPr="00393950">
        <w:rPr>
          <w:b/>
          <w:bCs/>
          <w:lang w:val="fr-FR"/>
        </w:rPr>
        <w:t>accouchement</w:t>
      </w:r>
      <w:r>
        <w:rPr>
          <w:b/>
          <w:bCs/>
          <w:lang w:val="fr-FR"/>
        </w:rPr>
        <w:t> ;</w:t>
      </w:r>
    </w:p>
    <w:p w14:paraId="5DC9F2BB" w14:textId="77777777" w:rsidR="00A351F4" w:rsidRPr="00393950" w:rsidRDefault="00A351F4" w:rsidP="00A351F4">
      <w:pPr>
        <w:pStyle w:val="SingleTxt"/>
        <w:rPr>
          <w:b/>
          <w:lang w:val="fr-FR"/>
        </w:rPr>
      </w:pPr>
      <w:r>
        <w:rPr>
          <w:b/>
          <w:bCs/>
          <w:lang w:val="fr-FR"/>
        </w:rPr>
        <w:tab/>
      </w:r>
      <w:r w:rsidRPr="00393950">
        <w:rPr>
          <w:b/>
          <w:bCs/>
          <w:lang w:val="fr-FR"/>
        </w:rPr>
        <w:t>e)</w:t>
      </w:r>
      <w:r w:rsidRPr="00393950">
        <w:rPr>
          <w:lang w:val="fr-FR"/>
        </w:rPr>
        <w:tab/>
      </w:r>
      <w:r w:rsidRPr="00393950">
        <w:rPr>
          <w:b/>
          <w:bCs/>
          <w:lang w:val="fr-FR"/>
        </w:rPr>
        <w:t>De garantir un minimum de 26 semaines de congé maternité payé, plus quatre semaines au moins de congé parental payé</w:t>
      </w:r>
      <w:r>
        <w:rPr>
          <w:b/>
          <w:bCs/>
          <w:lang w:val="fr-FR"/>
        </w:rPr>
        <w:t> ;</w:t>
      </w:r>
    </w:p>
    <w:p w14:paraId="2771C667" w14:textId="77777777" w:rsidR="00A351F4" w:rsidRPr="00393950" w:rsidRDefault="00A351F4" w:rsidP="00A351F4">
      <w:pPr>
        <w:pStyle w:val="SingleTxt"/>
        <w:rPr>
          <w:b/>
          <w:lang w:val="fr-FR"/>
        </w:rPr>
      </w:pPr>
      <w:r>
        <w:rPr>
          <w:b/>
          <w:bCs/>
          <w:lang w:val="fr-FR"/>
        </w:rPr>
        <w:tab/>
      </w:r>
      <w:r w:rsidRPr="00393950">
        <w:rPr>
          <w:b/>
          <w:bCs/>
          <w:lang w:val="fr-FR"/>
        </w:rPr>
        <w:t>f)</w:t>
      </w:r>
      <w:r w:rsidRPr="00393950">
        <w:rPr>
          <w:lang w:val="fr-FR"/>
        </w:rPr>
        <w:tab/>
      </w:r>
      <w:r w:rsidRPr="00393950">
        <w:rPr>
          <w:b/>
          <w:bCs/>
          <w:lang w:val="fr-FR"/>
        </w:rPr>
        <w:t>D</w:t>
      </w:r>
      <w:r>
        <w:rPr>
          <w:b/>
          <w:bCs/>
          <w:lang w:val="fr-FR"/>
        </w:rPr>
        <w:t>’</w:t>
      </w:r>
      <w:r w:rsidRPr="00393950">
        <w:rPr>
          <w:b/>
          <w:bCs/>
          <w:lang w:val="fr-FR"/>
        </w:rPr>
        <w:t>adopter des principes directeurs professionnels pour surveiller les résultats obtenus en matière d</w:t>
      </w:r>
      <w:r>
        <w:rPr>
          <w:b/>
          <w:bCs/>
          <w:lang w:val="fr-FR"/>
        </w:rPr>
        <w:t>’</w:t>
      </w:r>
      <w:r w:rsidRPr="00393950">
        <w:rPr>
          <w:b/>
          <w:bCs/>
          <w:lang w:val="fr-FR"/>
        </w:rPr>
        <w:t>égalité entre les sexes dans des secteurs cl</w:t>
      </w:r>
      <w:r>
        <w:rPr>
          <w:b/>
          <w:bCs/>
          <w:lang w:val="fr-FR"/>
        </w:rPr>
        <w:t>efs</w:t>
      </w:r>
      <w:r w:rsidRPr="00393950">
        <w:rPr>
          <w:b/>
          <w:bCs/>
          <w:lang w:val="fr-FR"/>
        </w:rPr>
        <w:t>, assortis d</w:t>
      </w:r>
      <w:r>
        <w:rPr>
          <w:b/>
          <w:bCs/>
          <w:lang w:val="fr-FR"/>
        </w:rPr>
        <w:t>’</w:t>
      </w:r>
      <w:r w:rsidRPr="00393950">
        <w:rPr>
          <w:b/>
          <w:bCs/>
          <w:lang w:val="fr-FR"/>
        </w:rPr>
        <w:t>indicateurs de suivi de leur application.</w:t>
      </w:r>
    </w:p>
    <w:p w14:paraId="52D5286C" w14:textId="77777777" w:rsidR="00A351F4" w:rsidRPr="00DA3FC9" w:rsidRDefault="00A351F4" w:rsidP="00A351F4">
      <w:pPr>
        <w:pStyle w:val="SingleTxt"/>
        <w:spacing w:after="0" w:line="120" w:lineRule="exact"/>
        <w:rPr>
          <w:b/>
          <w:sz w:val="10"/>
          <w:lang w:val="fr-FR"/>
        </w:rPr>
      </w:pPr>
    </w:p>
    <w:p w14:paraId="567C8A41"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Santé</w:t>
      </w:r>
    </w:p>
    <w:p w14:paraId="02D0C359" w14:textId="77777777" w:rsidR="00A351F4" w:rsidRPr="00DA3FC9" w:rsidRDefault="00A351F4" w:rsidP="00A351F4">
      <w:pPr>
        <w:pStyle w:val="SingleTxt"/>
        <w:spacing w:after="0" w:line="120" w:lineRule="exact"/>
        <w:rPr>
          <w:sz w:val="10"/>
          <w:lang w:val="fr-FR"/>
        </w:rPr>
      </w:pPr>
    </w:p>
    <w:p w14:paraId="1DE2D7BE" w14:textId="77777777" w:rsidR="00A351F4" w:rsidRPr="00393950" w:rsidRDefault="00A351F4" w:rsidP="00A351F4">
      <w:pPr>
        <w:pStyle w:val="SingleTxt"/>
        <w:numPr>
          <w:ilvl w:val="0"/>
          <w:numId w:val="33"/>
        </w:numPr>
        <w:spacing w:line="240" w:lineRule="exact"/>
        <w:ind w:left="1267"/>
        <w:rPr>
          <w:iCs/>
          <w:lang w:val="fr-FR"/>
        </w:rPr>
      </w:pPr>
      <w:r w:rsidRPr="00393950">
        <w:rPr>
          <w:lang w:val="fr-FR"/>
        </w:rPr>
        <w:t>Le Comité note avec satisfaction que l</w:t>
      </w:r>
      <w:r>
        <w:rPr>
          <w:lang w:val="fr-FR"/>
        </w:rPr>
        <w:t>’</w:t>
      </w:r>
      <w:r w:rsidRPr="00393950">
        <w:rPr>
          <w:lang w:val="fr-FR"/>
        </w:rPr>
        <w:t>État partie a révisé le Code pénal en vue de dépénaliser l</w:t>
      </w:r>
      <w:r>
        <w:rPr>
          <w:lang w:val="fr-FR"/>
        </w:rPr>
        <w:t>’</w:t>
      </w:r>
      <w:r w:rsidRPr="00393950">
        <w:rPr>
          <w:lang w:val="fr-FR"/>
        </w:rPr>
        <w:t>avortement. Il demeure préoccupé, cependant, par les conditions restrictives de la légalité de l</w:t>
      </w:r>
      <w:r>
        <w:rPr>
          <w:lang w:val="fr-FR"/>
        </w:rPr>
        <w:t>’</w:t>
      </w:r>
      <w:r w:rsidRPr="00393950">
        <w:rPr>
          <w:lang w:val="fr-FR"/>
        </w:rPr>
        <w:t>avortement dans l</w:t>
      </w:r>
      <w:r>
        <w:rPr>
          <w:lang w:val="fr-FR"/>
        </w:rPr>
        <w:t>’</w:t>
      </w:r>
      <w:r w:rsidRPr="00393950">
        <w:rPr>
          <w:lang w:val="fr-FR"/>
        </w:rPr>
        <w:t>État partie, en particulier par la criminalisation de l</w:t>
      </w:r>
      <w:r>
        <w:rPr>
          <w:lang w:val="fr-FR"/>
        </w:rPr>
        <w:t>’</w:t>
      </w:r>
      <w:r w:rsidRPr="00393950">
        <w:rPr>
          <w:lang w:val="fr-FR"/>
        </w:rPr>
        <w:t>avortement en cas de malformation fœtale. Le Comité est également préoccupé par la persistance de grossesses précoces et par l</w:t>
      </w:r>
      <w:r>
        <w:rPr>
          <w:lang w:val="fr-FR"/>
        </w:rPr>
        <w:t>’</w:t>
      </w:r>
      <w:r w:rsidRPr="00393950">
        <w:rPr>
          <w:lang w:val="fr-FR"/>
        </w:rPr>
        <w:t>accès limité à l</w:t>
      </w:r>
      <w:r>
        <w:rPr>
          <w:lang w:val="fr-FR"/>
        </w:rPr>
        <w:t>’</w:t>
      </w:r>
      <w:r w:rsidRPr="00393950">
        <w:rPr>
          <w:lang w:val="fr-FR"/>
        </w:rPr>
        <w:t>information sur les moyens contraceptifs disponibles. Il s</w:t>
      </w:r>
      <w:r>
        <w:rPr>
          <w:lang w:val="fr-FR"/>
        </w:rPr>
        <w:t>’</w:t>
      </w:r>
      <w:r w:rsidRPr="00393950">
        <w:rPr>
          <w:lang w:val="fr-FR"/>
        </w:rPr>
        <w:t>inquiète également qu</w:t>
      </w:r>
      <w:r>
        <w:rPr>
          <w:lang w:val="fr-FR"/>
        </w:rPr>
        <w:t>’</w:t>
      </w:r>
      <w:r w:rsidRPr="00393950">
        <w:rPr>
          <w:lang w:val="fr-FR"/>
        </w:rPr>
        <w:t>à la demande de l</w:t>
      </w:r>
      <w:r>
        <w:rPr>
          <w:lang w:val="fr-FR"/>
        </w:rPr>
        <w:t>’</w:t>
      </w:r>
      <w:r w:rsidRPr="00393950">
        <w:rPr>
          <w:lang w:val="fr-FR"/>
        </w:rPr>
        <w:t>État partie, des intersexes liechtensteinois subissent des opérations chirurgicales de réassignation sexuelle médicalement irréversibles dans des pays voisins. Le Comité constate aussi avec préoccupation que le nombre des jeunes femmes ayant une dépendance à l</w:t>
      </w:r>
      <w:r>
        <w:rPr>
          <w:lang w:val="fr-FR"/>
        </w:rPr>
        <w:t>’</w:t>
      </w:r>
      <w:r w:rsidRPr="00393950">
        <w:rPr>
          <w:lang w:val="fr-FR"/>
        </w:rPr>
        <w:t>alcool, au tabac et au cannabis a tendance à augmenter.</w:t>
      </w:r>
    </w:p>
    <w:p w14:paraId="227B6686" w14:textId="77777777" w:rsidR="00A351F4" w:rsidRPr="00393950" w:rsidRDefault="00A351F4" w:rsidP="00A351F4">
      <w:pPr>
        <w:pStyle w:val="SingleTxt"/>
        <w:numPr>
          <w:ilvl w:val="0"/>
          <w:numId w:val="33"/>
        </w:numPr>
        <w:spacing w:line="240" w:lineRule="exact"/>
        <w:ind w:left="1267"/>
        <w:rPr>
          <w:b/>
          <w:lang w:val="fr-FR"/>
        </w:rPr>
      </w:pPr>
      <w:r w:rsidRPr="00393950">
        <w:rPr>
          <w:b/>
          <w:bCs/>
          <w:lang w:val="fr-FR"/>
        </w:rPr>
        <w:t>L</w:t>
      </w:r>
      <w:r>
        <w:rPr>
          <w:b/>
          <w:bCs/>
          <w:lang w:val="fr-FR"/>
        </w:rPr>
        <w:t>’</w:t>
      </w:r>
      <w:r w:rsidRPr="00393950">
        <w:rPr>
          <w:b/>
          <w:bCs/>
          <w:lang w:val="fr-FR"/>
        </w:rPr>
        <w:t>État partie devrait</w:t>
      </w:r>
      <w:r>
        <w:rPr>
          <w:b/>
          <w:bCs/>
          <w:lang w:val="fr-FR"/>
        </w:rPr>
        <w:t> :</w:t>
      </w:r>
      <w:r w:rsidRPr="00393950">
        <w:rPr>
          <w:lang w:val="fr-FR"/>
        </w:rPr>
        <w:t xml:space="preserve"> </w:t>
      </w:r>
    </w:p>
    <w:p w14:paraId="7318ECA2" w14:textId="77777777" w:rsidR="00A351F4" w:rsidRPr="00393950" w:rsidRDefault="00A351F4" w:rsidP="00A351F4">
      <w:pPr>
        <w:pStyle w:val="SingleTxt"/>
        <w:rPr>
          <w:lang w:val="fr-FR"/>
        </w:rPr>
      </w:pPr>
      <w:r>
        <w:rPr>
          <w:b/>
          <w:bCs/>
          <w:lang w:val="fr-FR"/>
        </w:rPr>
        <w:tab/>
      </w:r>
      <w:r w:rsidRPr="00393950">
        <w:rPr>
          <w:b/>
          <w:bCs/>
          <w:lang w:val="fr-FR"/>
        </w:rPr>
        <w:t>a)</w:t>
      </w:r>
      <w:r w:rsidRPr="00393950">
        <w:rPr>
          <w:lang w:val="fr-FR"/>
        </w:rPr>
        <w:tab/>
      </w:r>
      <w:r w:rsidRPr="00393950">
        <w:rPr>
          <w:b/>
          <w:bCs/>
          <w:lang w:val="fr-FR"/>
        </w:rPr>
        <w:t>Harmoniser les articles 96 à 98 a) du Code pénal en vue de légaliser l</w:t>
      </w:r>
      <w:r>
        <w:rPr>
          <w:b/>
          <w:bCs/>
          <w:lang w:val="fr-FR"/>
        </w:rPr>
        <w:t>’</w:t>
      </w:r>
      <w:r w:rsidRPr="00393950">
        <w:rPr>
          <w:b/>
          <w:bCs/>
          <w:lang w:val="fr-FR"/>
        </w:rPr>
        <w:t>avortement, tant pour la femme enceinte que pour le personnel de santé qui se charge de l</w:t>
      </w:r>
      <w:r>
        <w:rPr>
          <w:b/>
          <w:bCs/>
          <w:lang w:val="fr-FR"/>
        </w:rPr>
        <w:t>’</w:t>
      </w:r>
      <w:r w:rsidRPr="00393950">
        <w:rPr>
          <w:b/>
          <w:bCs/>
          <w:lang w:val="fr-FR"/>
        </w:rPr>
        <w:t>intervention, du moins en cas de viol, d</w:t>
      </w:r>
      <w:r>
        <w:rPr>
          <w:b/>
          <w:bCs/>
          <w:lang w:val="fr-FR"/>
        </w:rPr>
        <w:t>’</w:t>
      </w:r>
      <w:r w:rsidRPr="00393950">
        <w:rPr>
          <w:b/>
          <w:bCs/>
          <w:lang w:val="fr-FR"/>
        </w:rPr>
        <w:t>inceste, de danger pour la vie ou la santé de la femme enceinte ou de malformation fœtale grave, et de le décriminaliser dans tous les autres cas</w:t>
      </w:r>
      <w:r>
        <w:rPr>
          <w:b/>
          <w:bCs/>
          <w:lang w:val="fr-FR"/>
        </w:rPr>
        <w:t> ;</w:t>
      </w:r>
    </w:p>
    <w:p w14:paraId="1E3AE768" w14:textId="77777777" w:rsidR="00A351F4" w:rsidRPr="00393950" w:rsidRDefault="00A351F4" w:rsidP="00A351F4">
      <w:pPr>
        <w:pStyle w:val="SingleTxt"/>
        <w:rPr>
          <w:b/>
          <w:bCs/>
          <w:lang w:val="fr-FR"/>
        </w:rPr>
      </w:pPr>
      <w:r>
        <w:rPr>
          <w:b/>
          <w:bCs/>
          <w:lang w:val="fr-FR"/>
        </w:rPr>
        <w:tab/>
      </w:r>
      <w:r w:rsidRPr="00393950">
        <w:rPr>
          <w:b/>
          <w:bCs/>
          <w:lang w:val="fr-FR"/>
        </w:rPr>
        <w:t>b)</w:t>
      </w:r>
      <w:r w:rsidRPr="00393950">
        <w:rPr>
          <w:lang w:val="fr-FR"/>
        </w:rPr>
        <w:tab/>
      </w:r>
      <w:r w:rsidRPr="00393950">
        <w:rPr>
          <w:b/>
          <w:bCs/>
          <w:lang w:val="fr-FR"/>
        </w:rPr>
        <w:t>Intensifier ses efforts pour prévenir les grossesses précoces et veiller à ce que les jeunes femmes et filles aient facilement accès à des informations sur les moyens de contraception</w:t>
      </w:r>
      <w:r>
        <w:rPr>
          <w:b/>
          <w:bCs/>
          <w:lang w:val="fr-FR"/>
        </w:rPr>
        <w:t> ;</w:t>
      </w:r>
    </w:p>
    <w:p w14:paraId="54CC51A1" w14:textId="77777777" w:rsidR="00A351F4" w:rsidRPr="00393950" w:rsidRDefault="00A351F4" w:rsidP="00A351F4">
      <w:pPr>
        <w:pStyle w:val="SingleTxt"/>
        <w:rPr>
          <w:b/>
          <w:lang w:val="fr-FR"/>
        </w:rPr>
      </w:pPr>
      <w:r>
        <w:rPr>
          <w:b/>
          <w:bCs/>
          <w:lang w:val="fr-FR"/>
        </w:rPr>
        <w:lastRenderedPageBreak/>
        <w:tab/>
      </w:r>
      <w:r w:rsidRPr="00393950">
        <w:rPr>
          <w:b/>
          <w:bCs/>
          <w:lang w:val="fr-FR"/>
        </w:rPr>
        <w:t>c)</w:t>
      </w:r>
      <w:r w:rsidRPr="00393950">
        <w:rPr>
          <w:lang w:val="fr-FR"/>
        </w:rPr>
        <w:tab/>
      </w:r>
      <w:r w:rsidRPr="00393950">
        <w:rPr>
          <w:b/>
          <w:bCs/>
          <w:lang w:val="fr-FR"/>
        </w:rPr>
        <w:t>Interdire expressément les opérations chirurgicales de réassignation sexuelle non consenties sur les intersexes, et établir et appliquer pour les enfants intersexes un protocole médical fondé sur les droits requérant leur consentement éclairé pour toute opération chirurgicale de réassignation sexuelle médicalement irréversible</w:t>
      </w:r>
      <w:r>
        <w:rPr>
          <w:b/>
          <w:bCs/>
          <w:lang w:val="fr-FR"/>
        </w:rPr>
        <w:t> ;</w:t>
      </w:r>
    </w:p>
    <w:p w14:paraId="3D6466F4" w14:textId="77777777" w:rsidR="00A351F4" w:rsidRPr="00393950" w:rsidRDefault="00A351F4" w:rsidP="00A351F4">
      <w:pPr>
        <w:pStyle w:val="SingleTxt"/>
        <w:rPr>
          <w:b/>
          <w:bCs/>
          <w:lang w:val="fr-FR"/>
        </w:rPr>
      </w:pPr>
      <w:r>
        <w:rPr>
          <w:b/>
          <w:bCs/>
          <w:lang w:val="fr-FR"/>
        </w:rPr>
        <w:tab/>
      </w:r>
      <w:r w:rsidRPr="00393950">
        <w:rPr>
          <w:b/>
          <w:bCs/>
          <w:lang w:val="fr-FR"/>
        </w:rPr>
        <w:t>d)</w:t>
      </w:r>
      <w:r w:rsidRPr="00393950">
        <w:rPr>
          <w:lang w:val="fr-FR"/>
        </w:rPr>
        <w:tab/>
      </w:r>
      <w:r w:rsidRPr="00393950">
        <w:rPr>
          <w:b/>
          <w:bCs/>
          <w:lang w:val="fr-FR"/>
        </w:rPr>
        <w:t>Collecter des données et faire figurer dans son prochain rapport périodique des informations sur la consommation d</w:t>
      </w:r>
      <w:r>
        <w:rPr>
          <w:b/>
          <w:bCs/>
          <w:lang w:val="fr-FR"/>
        </w:rPr>
        <w:t>’</w:t>
      </w:r>
      <w:r w:rsidRPr="00393950">
        <w:rPr>
          <w:b/>
          <w:bCs/>
          <w:lang w:val="fr-FR"/>
        </w:rPr>
        <w:t>alcool, de tabac et de cannabis par les femmes et filles dans l</w:t>
      </w:r>
      <w:r>
        <w:rPr>
          <w:b/>
          <w:bCs/>
          <w:lang w:val="fr-FR"/>
        </w:rPr>
        <w:t>’</w:t>
      </w:r>
      <w:r w:rsidRPr="00393950">
        <w:rPr>
          <w:b/>
          <w:bCs/>
          <w:lang w:val="fr-FR"/>
        </w:rPr>
        <w:t>État partie.</w:t>
      </w:r>
      <w:r w:rsidRPr="00393950">
        <w:rPr>
          <w:lang w:val="fr-FR"/>
        </w:rPr>
        <w:t xml:space="preserve"> </w:t>
      </w:r>
    </w:p>
    <w:p w14:paraId="4FCE73D5" w14:textId="77777777" w:rsidR="00A351F4" w:rsidRPr="00DA3FC9" w:rsidRDefault="00A351F4" w:rsidP="00A351F4">
      <w:pPr>
        <w:pStyle w:val="SingleTxt"/>
        <w:spacing w:after="0" w:line="120" w:lineRule="exact"/>
        <w:rPr>
          <w:b/>
          <w:sz w:val="10"/>
          <w:lang w:val="fr-FR"/>
        </w:rPr>
      </w:pPr>
    </w:p>
    <w:p w14:paraId="3E3EA060"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393950">
        <w:rPr>
          <w:lang w:val="fr-FR"/>
        </w:rPr>
        <w:tab/>
        <w:t xml:space="preserve">Avancement économique des femmes et prestations sociales </w:t>
      </w:r>
    </w:p>
    <w:p w14:paraId="039B4F3B" w14:textId="77777777" w:rsidR="00A351F4" w:rsidRPr="00DA3FC9" w:rsidRDefault="00A351F4" w:rsidP="00A351F4">
      <w:pPr>
        <w:pStyle w:val="SingleTxt"/>
        <w:spacing w:after="0" w:line="120" w:lineRule="exact"/>
        <w:rPr>
          <w:sz w:val="10"/>
          <w:lang w:val="fr-FR"/>
        </w:rPr>
      </w:pPr>
    </w:p>
    <w:p w14:paraId="783B416E" w14:textId="77777777" w:rsidR="00A351F4" w:rsidRPr="00393950" w:rsidRDefault="00A351F4" w:rsidP="00A351F4">
      <w:pPr>
        <w:pStyle w:val="SingleTxt"/>
        <w:numPr>
          <w:ilvl w:val="0"/>
          <w:numId w:val="33"/>
        </w:numPr>
        <w:spacing w:line="240" w:lineRule="exact"/>
        <w:ind w:left="1267"/>
        <w:rPr>
          <w:lang w:val="fr-FR"/>
        </w:rPr>
      </w:pPr>
      <w:r w:rsidRPr="00393950">
        <w:rPr>
          <w:lang w:val="fr-FR"/>
        </w:rPr>
        <w:t>Le Comité salue l</w:t>
      </w:r>
      <w:r>
        <w:rPr>
          <w:lang w:val="fr-FR"/>
        </w:rPr>
        <w:t>’</w:t>
      </w:r>
      <w:r w:rsidRPr="00393950">
        <w:rPr>
          <w:lang w:val="fr-FR"/>
        </w:rPr>
        <w:t>introduction de modalités de travail aménagées et la création de structures de garde d</w:t>
      </w:r>
      <w:r>
        <w:rPr>
          <w:lang w:val="fr-FR"/>
        </w:rPr>
        <w:t>’</w:t>
      </w:r>
      <w:r w:rsidRPr="00393950">
        <w:rPr>
          <w:lang w:val="fr-FR"/>
        </w:rPr>
        <w:t>enfants spéciales pour les employés du secteur privé. Il regrette cependant que le secteur public n</w:t>
      </w:r>
      <w:r>
        <w:rPr>
          <w:lang w:val="fr-FR"/>
        </w:rPr>
        <w:t>’</w:t>
      </w:r>
      <w:r w:rsidRPr="00393950">
        <w:rPr>
          <w:lang w:val="fr-FR"/>
        </w:rPr>
        <w:t>ait adopté que peu de mesures de ce type. Le Comité note par ailleurs que plus de 90</w:t>
      </w:r>
      <w:r>
        <w:rPr>
          <w:lang w:val="fr-FR"/>
        </w:rPr>
        <w:t> %</w:t>
      </w:r>
      <w:r w:rsidRPr="00393950">
        <w:rPr>
          <w:lang w:val="fr-FR"/>
        </w:rPr>
        <w:t xml:space="preserve"> des bénéficiaires du programme «</w:t>
      </w:r>
      <w:r>
        <w:rPr>
          <w:lang w:val="fr-FR"/>
        </w:rPr>
        <w:t> </w:t>
      </w:r>
      <w:r w:rsidRPr="00393950">
        <w:rPr>
          <w:lang w:val="fr-FR"/>
        </w:rPr>
        <w:t>Coming back</w:t>
      </w:r>
      <w:r>
        <w:rPr>
          <w:lang w:val="fr-FR"/>
        </w:rPr>
        <w:t> </w:t>
      </w:r>
      <w:r w:rsidRPr="00393950">
        <w:rPr>
          <w:lang w:val="fr-FR"/>
        </w:rPr>
        <w:t>» de réinsertion sur le marché du travail sont des femmes relativement âgées. Le Comité est préoccupé par l</w:t>
      </w:r>
      <w:r>
        <w:rPr>
          <w:lang w:val="fr-FR"/>
        </w:rPr>
        <w:t>’</w:t>
      </w:r>
      <w:r w:rsidRPr="00393950">
        <w:rPr>
          <w:lang w:val="fr-FR"/>
        </w:rPr>
        <w:t>absence d</w:t>
      </w:r>
      <w:r>
        <w:rPr>
          <w:lang w:val="fr-FR"/>
        </w:rPr>
        <w:t>’</w:t>
      </w:r>
      <w:r w:rsidRPr="00393950">
        <w:rPr>
          <w:lang w:val="fr-FR"/>
        </w:rPr>
        <w:t>approche stratégique visant à améliorer les conditions de l</w:t>
      </w:r>
      <w:r>
        <w:rPr>
          <w:lang w:val="fr-FR"/>
        </w:rPr>
        <w:t>’</w:t>
      </w:r>
      <w:r w:rsidRPr="00393950">
        <w:rPr>
          <w:lang w:val="fr-FR"/>
        </w:rPr>
        <w:t>entrepreneuriat féminin dans l</w:t>
      </w:r>
      <w:r>
        <w:rPr>
          <w:lang w:val="fr-FR"/>
        </w:rPr>
        <w:t>’</w:t>
      </w:r>
      <w:r w:rsidRPr="00393950">
        <w:rPr>
          <w:lang w:val="fr-FR"/>
        </w:rPr>
        <w:t xml:space="preserve">État partie, ainsi que par le manque de possibilités de financement pour les entreprises dirigées par des femmes. </w:t>
      </w:r>
    </w:p>
    <w:p w14:paraId="1449FF3E" w14:textId="77777777" w:rsidR="00A351F4" w:rsidRPr="00393950" w:rsidRDefault="00A351F4" w:rsidP="00A351F4">
      <w:pPr>
        <w:pStyle w:val="SingleTxt"/>
        <w:numPr>
          <w:ilvl w:val="0"/>
          <w:numId w:val="33"/>
        </w:numPr>
        <w:spacing w:line="240" w:lineRule="exact"/>
        <w:ind w:left="1267"/>
        <w:rPr>
          <w:b/>
          <w:lang w:val="fr-FR"/>
        </w:rPr>
      </w:pPr>
      <w:r w:rsidRPr="00393950">
        <w:rPr>
          <w:b/>
          <w:bCs/>
          <w:lang w:val="fr-FR"/>
        </w:rPr>
        <w:t>Le Comité recommande à l</w:t>
      </w:r>
      <w:r>
        <w:rPr>
          <w:b/>
          <w:bCs/>
          <w:lang w:val="fr-FR"/>
        </w:rPr>
        <w:t>’</w:t>
      </w:r>
      <w:r w:rsidRPr="00393950">
        <w:rPr>
          <w:b/>
          <w:bCs/>
          <w:lang w:val="fr-FR"/>
        </w:rPr>
        <w:t>État partie</w:t>
      </w:r>
      <w:r>
        <w:rPr>
          <w:b/>
          <w:bCs/>
          <w:lang w:val="fr-FR"/>
        </w:rPr>
        <w:t> :</w:t>
      </w:r>
    </w:p>
    <w:p w14:paraId="75D19EC0" w14:textId="77777777" w:rsidR="00A351F4" w:rsidRPr="00393950" w:rsidRDefault="00A351F4" w:rsidP="00A351F4">
      <w:pPr>
        <w:pStyle w:val="SingleTxt"/>
        <w:rPr>
          <w:b/>
          <w:lang w:val="fr-FR"/>
        </w:rPr>
      </w:pPr>
      <w:r>
        <w:rPr>
          <w:b/>
          <w:bCs/>
          <w:lang w:val="fr-FR"/>
        </w:rPr>
        <w:tab/>
      </w:r>
      <w:r w:rsidRPr="00393950">
        <w:rPr>
          <w:b/>
          <w:bCs/>
          <w:lang w:val="fr-FR"/>
        </w:rPr>
        <w:t>a)</w:t>
      </w:r>
      <w:r w:rsidRPr="00393950">
        <w:rPr>
          <w:lang w:val="fr-FR"/>
        </w:rPr>
        <w:tab/>
      </w:r>
      <w:r w:rsidRPr="00393950">
        <w:rPr>
          <w:b/>
          <w:bCs/>
          <w:lang w:val="fr-FR"/>
        </w:rPr>
        <w:t>De veiller à la mise en place de modalités de travail aménagées, de travail partiel, de télétravail et d</w:t>
      </w:r>
      <w:r>
        <w:rPr>
          <w:b/>
          <w:bCs/>
          <w:lang w:val="fr-FR"/>
        </w:rPr>
        <w:t>’</w:t>
      </w:r>
      <w:r w:rsidRPr="00393950">
        <w:rPr>
          <w:b/>
          <w:bCs/>
          <w:lang w:val="fr-FR"/>
        </w:rPr>
        <w:t>autres mesures pour les femmes et les hommes qui travaillent, dans tous les secteurs, afin de réduire la ségrégation en matière d</w:t>
      </w:r>
      <w:r>
        <w:rPr>
          <w:b/>
          <w:bCs/>
          <w:lang w:val="fr-FR"/>
        </w:rPr>
        <w:t>’</w:t>
      </w:r>
      <w:r w:rsidRPr="00393950">
        <w:rPr>
          <w:b/>
          <w:bCs/>
          <w:lang w:val="fr-FR"/>
        </w:rPr>
        <w:t>emploi et de prestations</w:t>
      </w:r>
      <w:r>
        <w:rPr>
          <w:b/>
          <w:bCs/>
          <w:lang w:val="fr-FR"/>
        </w:rPr>
        <w:t> ;</w:t>
      </w:r>
      <w:r w:rsidRPr="00393950">
        <w:rPr>
          <w:lang w:val="fr-FR"/>
        </w:rPr>
        <w:t xml:space="preserve"> </w:t>
      </w:r>
    </w:p>
    <w:p w14:paraId="05C4128E" w14:textId="77777777" w:rsidR="00A351F4" w:rsidRPr="00393950" w:rsidRDefault="00A351F4" w:rsidP="00A351F4">
      <w:pPr>
        <w:pStyle w:val="SingleTxt"/>
        <w:rPr>
          <w:b/>
          <w:lang w:val="fr-FR"/>
        </w:rPr>
      </w:pPr>
      <w:r>
        <w:rPr>
          <w:b/>
          <w:bCs/>
          <w:lang w:val="fr-FR"/>
        </w:rPr>
        <w:tab/>
      </w:r>
      <w:r w:rsidRPr="00393950">
        <w:rPr>
          <w:b/>
          <w:bCs/>
          <w:lang w:val="fr-FR"/>
        </w:rPr>
        <w:t>b)</w:t>
      </w:r>
      <w:r w:rsidRPr="00393950">
        <w:rPr>
          <w:lang w:val="fr-FR"/>
        </w:rPr>
        <w:tab/>
      </w:r>
      <w:r w:rsidRPr="00393950">
        <w:rPr>
          <w:b/>
          <w:bCs/>
          <w:lang w:val="fr-FR"/>
        </w:rPr>
        <w:t>De réaliser une étude afin d</w:t>
      </w:r>
      <w:r>
        <w:rPr>
          <w:b/>
          <w:bCs/>
          <w:lang w:val="fr-FR"/>
        </w:rPr>
        <w:t>’</w:t>
      </w:r>
      <w:r w:rsidRPr="00393950">
        <w:rPr>
          <w:b/>
          <w:bCs/>
          <w:lang w:val="fr-FR"/>
        </w:rPr>
        <w:t>évaluer l</w:t>
      </w:r>
      <w:r>
        <w:rPr>
          <w:b/>
          <w:bCs/>
          <w:lang w:val="fr-FR"/>
        </w:rPr>
        <w:t>’</w:t>
      </w:r>
      <w:r w:rsidRPr="00393950">
        <w:rPr>
          <w:b/>
          <w:bCs/>
          <w:lang w:val="fr-FR"/>
        </w:rPr>
        <w:t>impact du travail partiel des femmes sur leur accès aux prestations sociales, en particulier aux pensions de retraite</w:t>
      </w:r>
      <w:r>
        <w:rPr>
          <w:b/>
          <w:bCs/>
          <w:lang w:val="fr-FR"/>
        </w:rPr>
        <w:t> ;</w:t>
      </w:r>
    </w:p>
    <w:p w14:paraId="4E088D27" w14:textId="77777777" w:rsidR="00A351F4" w:rsidRPr="00393950" w:rsidRDefault="00A351F4" w:rsidP="00A351F4">
      <w:pPr>
        <w:pStyle w:val="SingleTxt"/>
        <w:rPr>
          <w:b/>
          <w:lang w:val="fr-FR"/>
        </w:rPr>
      </w:pPr>
      <w:r>
        <w:rPr>
          <w:b/>
          <w:bCs/>
          <w:lang w:val="fr-FR"/>
        </w:rPr>
        <w:tab/>
      </w:r>
      <w:r w:rsidRPr="00393950">
        <w:rPr>
          <w:b/>
          <w:bCs/>
          <w:lang w:val="fr-FR"/>
        </w:rPr>
        <w:t>c)</w:t>
      </w:r>
      <w:r w:rsidRPr="00393950">
        <w:rPr>
          <w:lang w:val="fr-FR"/>
        </w:rPr>
        <w:tab/>
      </w:r>
      <w:r w:rsidRPr="00393950">
        <w:rPr>
          <w:b/>
          <w:bCs/>
          <w:lang w:val="fr-FR"/>
        </w:rPr>
        <w:t>De prévoir des ensembles de mesures et des incitations économiques afin d</w:t>
      </w:r>
      <w:r>
        <w:rPr>
          <w:b/>
          <w:bCs/>
          <w:lang w:val="fr-FR"/>
        </w:rPr>
        <w:t>’</w:t>
      </w:r>
      <w:r w:rsidRPr="00393950">
        <w:rPr>
          <w:b/>
          <w:bCs/>
          <w:lang w:val="fr-FR"/>
        </w:rPr>
        <w:t>offrir aux femmes davantage de possibilités économiques et de promouvoir les entreprises dirigées par des femmes, notamment par une réglementation plus étroite du secteur privé et par la mise en place de subventions d</w:t>
      </w:r>
      <w:r>
        <w:rPr>
          <w:b/>
          <w:bCs/>
          <w:lang w:val="fr-FR"/>
        </w:rPr>
        <w:t>’</w:t>
      </w:r>
      <w:r w:rsidRPr="00393950">
        <w:rPr>
          <w:b/>
          <w:bCs/>
          <w:lang w:val="fr-FR"/>
        </w:rPr>
        <w:t>appui aux entreprises, de dispositifs de pépinière d</w:t>
      </w:r>
      <w:r>
        <w:rPr>
          <w:b/>
          <w:bCs/>
          <w:lang w:val="fr-FR"/>
        </w:rPr>
        <w:t>’</w:t>
      </w:r>
      <w:r w:rsidRPr="00393950">
        <w:rPr>
          <w:b/>
          <w:bCs/>
          <w:lang w:val="fr-FR"/>
        </w:rPr>
        <w:t>entreprises, de services d</w:t>
      </w:r>
      <w:r>
        <w:rPr>
          <w:b/>
          <w:bCs/>
          <w:lang w:val="fr-FR"/>
        </w:rPr>
        <w:t>’</w:t>
      </w:r>
      <w:r w:rsidRPr="00393950">
        <w:rPr>
          <w:b/>
          <w:bCs/>
          <w:lang w:val="fr-FR"/>
        </w:rPr>
        <w:t>inclusion financière, de mesures de stimulation et d</w:t>
      </w:r>
      <w:r>
        <w:rPr>
          <w:b/>
          <w:bCs/>
          <w:lang w:val="fr-FR"/>
        </w:rPr>
        <w:t>’</w:t>
      </w:r>
      <w:r w:rsidRPr="00393950">
        <w:rPr>
          <w:b/>
          <w:bCs/>
          <w:lang w:val="fr-FR"/>
        </w:rPr>
        <w:t>autres initiatives en faveur de l</w:t>
      </w:r>
      <w:r>
        <w:rPr>
          <w:b/>
          <w:bCs/>
          <w:lang w:val="fr-FR"/>
        </w:rPr>
        <w:t>’</w:t>
      </w:r>
      <w:r w:rsidRPr="00393950">
        <w:rPr>
          <w:b/>
          <w:bCs/>
          <w:lang w:val="fr-FR"/>
        </w:rPr>
        <w:t>entrepreneuriat afin d</w:t>
      </w:r>
      <w:r>
        <w:rPr>
          <w:b/>
          <w:bCs/>
          <w:lang w:val="fr-FR"/>
        </w:rPr>
        <w:t>’</w:t>
      </w:r>
      <w:r w:rsidRPr="00393950">
        <w:rPr>
          <w:b/>
          <w:bCs/>
          <w:lang w:val="fr-FR"/>
        </w:rPr>
        <w:t>accroître les possibilités économiques des femmes et des filles.</w:t>
      </w:r>
      <w:r w:rsidRPr="00393950">
        <w:rPr>
          <w:lang w:val="fr-FR"/>
        </w:rPr>
        <w:t xml:space="preserve"> </w:t>
      </w:r>
    </w:p>
    <w:p w14:paraId="391BFA85" w14:textId="77777777" w:rsidR="00A351F4" w:rsidRPr="00DA3FC9" w:rsidRDefault="00A351F4" w:rsidP="00A351F4">
      <w:pPr>
        <w:pStyle w:val="SingleTxt"/>
        <w:spacing w:after="0" w:line="120" w:lineRule="exact"/>
        <w:rPr>
          <w:b/>
          <w:sz w:val="10"/>
          <w:lang w:val="fr-FR"/>
        </w:rPr>
      </w:pPr>
    </w:p>
    <w:p w14:paraId="016682A2"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 xml:space="preserve">Catégories de femmes défavorisées </w:t>
      </w:r>
    </w:p>
    <w:p w14:paraId="54AE2ACF" w14:textId="77777777" w:rsidR="00A351F4" w:rsidRPr="00DA3FC9" w:rsidRDefault="00A351F4" w:rsidP="00A351F4">
      <w:pPr>
        <w:pStyle w:val="SingleTxt"/>
        <w:spacing w:after="0" w:line="120" w:lineRule="exact"/>
        <w:rPr>
          <w:sz w:val="10"/>
          <w:lang w:val="fr-FR"/>
        </w:rPr>
      </w:pPr>
    </w:p>
    <w:p w14:paraId="38AD3C9D" w14:textId="77777777" w:rsidR="00A351F4" w:rsidRPr="00393950" w:rsidRDefault="00A351F4" w:rsidP="00A351F4">
      <w:pPr>
        <w:pStyle w:val="SingleTxt"/>
        <w:numPr>
          <w:ilvl w:val="0"/>
          <w:numId w:val="33"/>
        </w:numPr>
        <w:spacing w:line="240" w:lineRule="exact"/>
        <w:ind w:left="1267"/>
        <w:rPr>
          <w:lang w:val="fr-FR"/>
        </w:rPr>
      </w:pPr>
      <w:r w:rsidRPr="00393950">
        <w:rPr>
          <w:lang w:val="fr-FR"/>
        </w:rPr>
        <w:t>Le Comité est préoccupé par les informations indiquant que certaines catégories de femmes défavorisées ou marginalisées, telles que les femmes migrantes et les femmes handicapées, font l</w:t>
      </w:r>
      <w:r>
        <w:rPr>
          <w:lang w:val="fr-FR"/>
        </w:rPr>
        <w:t>’</w:t>
      </w:r>
      <w:r w:rsidRPr="00393950">
        <w:rPr>
          <w:lang w:val="fr-FR"/>
        </w:rPr>
        <w:t>objet de formes de discrimination croisées. Il note avec préoccupation qu</w:t>
      </w:r>
      <w:r>
        <w:rPr>
          <w:lang w:val="fr-FR"/>
        </w:rPr>
        <w:t>’</w:t>
      </w:r>
      <w:r w:rsidRPr="00393950">
        <w:rPr>
          <w:lang w:val="fr-FR"/>
        </w:rPr>
        <w:t>il n</w:t>
      </w:r>
      <w:r>
        <w:rPr>
          <w:lang w:val="fr-FR"/>
        </w:rPr>
        <w:t>’</w:t>
      </w:r>
      <w:r w:rsidRPr="00393950">
        <w:rPr>
          <w:lang w:val="fr-FR"/>
        </w:rPr>
        <w:t xml:space="preserve">existe pas de données désagrégées sur la situation de ces catégories de femmes dans tous les domaines de la vie. </w:t>
      </w:r>
    </w:p>
    <w:p w14:paraId="68FB2A2D" w14:textId="77777777" w:rsidR="00A351F4" w:rsidRPr="00393950" w:rsidRDefault="00A351F4" w:rsidP="00A351F4">
      <w:pPr>
        <w:pStyle w:val="SingleTxt"/>
        <w:numPr>
          <w:ilvl w:val="0"/>
          <w:numId w:val="33"/>
        </w:numPr>
        <w:spacing w:line="240" w:lineRule="exact"/>
        <w:ind w:left="1267"/>
        <w:rPr>
          <w:b/>
          <w:lang w:val="fr-FR"/>
        </w:rPr>
      </w:pPr>
      <w:r w:rsidRPr="00393950">
        <w:rPr>
          <w:b/>
          <w:bCs/>
          <w:lang w:val="fr-FR"/>
        </w:rPr>
        <w:t>Le Comité recommande à l</w:t>
      </w:r>
      <w:r>
        <w:rPr>
          <w:b/>
          <w:bCs/>
          <w:lang w:val="fr-FR"/>
        </w:rPr>
        <w:t>’</w:t>
      </w:r>
      <w:r w:rsidRPr="00393950">
        <w:rPr>
          <w:b/>
          <w:bCs/>
          <w:lang w:val="fr-FR"/>
        </w:rPr>
        <w:t>État partie de collecter des données sur les femmes qui font l</w:t>
      </w:r>
      <w:r>
        <w:rPr>
          <w:b/>
          <w:bCs/>
          <w:lang w:val="fr-FR"/>
        </w:rPr>
        <w:t>’</w:t>
      </w:r>
      <w:r w:rsidRPr="00393950">
        <w:rPr>
          <w:b/>
          <w:bCs/>
          <w:lang w:val="fr-FR"/>
        </w:rPr>
        <w:t>objet de formes de discrimination croisées et de faire figurer dans son prochain rapport périodique des informations sur la situation des femmes migrantes et des femmes handicapées dans tous les domaines de la vie politique, publique et économique.</w:t>
      </w:r>
      <w:r w:rsidRPr="00393950">
        <w:rPr>
          <w:lang w:val="fr-FR"/>
        </w:rPr>
        <w:t xml:space="preserve"> </w:t>
      </w:r>
      <w:r w:rsidRPr="00393950">
        <w:rPr>
          <w:b/>
          <w:bCs/>
          <w:lang w:val="fr-FR"/>
        </w:rPr>
        <w:t>Par ailleurs, il réitère sa recommandation formulée au paragraphe</w:t>
      </w:r>
      <w:r>
        <w:rPr>
          <w:b/>
          <w:bCs/>
          <w:lang w:val="fr-FR"/>
        </w:rPr>
        <w:t xml:space="preserve"> </w:t>
      </w:r>
      <w:r w:rsidRPr="00393950">
        <w:rPr>
          <w:b/>
          <w:bCs/>
          <w:lang w:val="fr-FR"/>
        </w:rPr>
        <w:t>34 a) ci-dessus, à savoir que l</w:t>
      </w:r>
      <w:r>
        <w:rPr>
          <w:b/>
          <w:bCs/>
          <w:lang w:val="fr-FR"/>
        </w:rPr>
        <w:t>’</w:t>
      </w:r>
      <w:r w:rsidRPr="00393950">
        <w:rPr>
          <w:b/>
          <w:bCs/>
          <w:lang w:val="fr-FR"/>
        </w:rPr>
        <w:t>État partie réexamine sa décision de ne pas adhérer à l</w:t>
      </w:r>
      <w:r>
        <w:rPr>
          <w:b/>
          <w:bCs/>
          <w:lang w:val="fr-FR"/>
        </w:rPr>
        <w:t>’</w:t>
      </w:r>
      <w:r w:rsidRPr="00393950">
        <w:rPr>
          <w:b/>
          <w:bCs/>
          <w:lang w:val="fr-FR"/>
        </w:rPr>
        <w:t>Organisation internationale du Travail et qu</w:t>
      </w:r>
      <w:r>
        <w:rPr>
          <w:b/>
          <w:bCs/>
          <w:lang w:val="fr-FR"/>
        </w:rPr>
        <w:t>’</w:t>
      </w:r>
      <w:r w:rsidRPr="00393950">
        <w:rPr>
          <w:b/>
          <w:bCs/>
          <w:lang w:val="fr-FR"/>
        </w:rPr>
        <w:t xml:space="preserve">il ratifie la Convention de 2011 sur les travailleuses et travailleurs domestiques </w:t>
      </w:r>
      <w:r w:rsidRPr="00393950">
        <w:rPr>
          <w:b/>
          <w:bCs/>
          <w:lang w:val="fr-FR"/>
        </w:rPr>
        <w:lastRenderedPageBreak/>
        <w:t>(n</w:t>
      </w:r>
      <w:r w:rsidRPr="00393950">
        <w:rPr>
          <w:b/>
          <w:bCs/>
          <w:vertAlign w:val="superscript"/>
          <w:lang w:val="fr-FR"/>
        </w:rPr>
        <w:t>o</w:t>
      </w:r>
      <w:r>
        <w:rPr>
          <w:b/>
          <w:bCs/>
          <w:lang w:val="fr-FR"/>
        </w:rPr>
        <w:t> </w:t>
      </w:r>
      <w:r w:rsidRPr="00393950">
        <w:rPr>
          <w:b/>
          <w:bCs/>
          <w:lang w:val="fr-FR"/>
        </w:rPr>
        <w:t>189), ou au moins qu</w:t>
      </w:r>
      <w:r>
        <w:rPr>
          <w:b/>
          <w:bCs/>
          <w:lang w:val="fr-FR"/>
        </w:rPr>
        <w:t>’</w:t>
      </w:r>
      <w:r w:rsidRPr="00393950">
        <w:rPr>
          <w:b/>
          <w:bCs/>
          <w:lang w:val="fr-FR"/>
        </w:rPr>
        <w:t>il aligne ses normes de travail sur les normes minimales énoncées dans cet instrument.</w:t>
      </w:r>
      <w:r w:rsidRPr="00393950">
        <w:rPr>
          <w:lang w:val="fr-FR"/>
        </w:rPr>
        <w:t xml:space="preserve"> </w:t>
      </w:r>
    </w:p>
    <w:p w14:paraId="068DE3B5" w14:textId="77777777" w:rsidR="00A351F4" w:rsidRPr="00DA3FC9" w:rsidRDefault="00A351F4" w:rsidP="00A351F4">
      <w:pPr>
        <w:pStyle w:val="SingleTxt"/>
        <w:spacing w:after="0" w:line="120" w:lineRule="exact"/>
        <w:rPr>
          <w:b/>
          <w:sz w:val="10"/>
          <w:lang w:val="fr-FR"/>
        </w:rPr>
      </w:pPr>
    </w:p>
    <w:p w14:paraId="0C6544B0"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Mariage et liens familiaux</w:t>
      </w:r>
    </w:p>
    <w:p w14:paraId="2408D4AD" w14:textId="77777777" w:rsidR="00A351F4" w:rsidRPr="00DA3FC9" w:rsidRDefault="00A351F4" w:rsidP="00A351F4">
      <w:pPr>
        <w:pStyle w:val="SingleTxt"/>
        <w:spacing w:after="0" w:line="120" w:lineRule="exact"/>
        <w:rPr>
          <w:sz w:val="10"/>
          <w:lang w:val="fr-FR"/>
        </w:rPr>
      </w:pPr>
    </w:p>
    <w:p w14:paraId="01D3C84B" w14:textId="1B08BCCF" w:rsidR="00A351F4" w:rsidRPr="00393950" w:rsidRDefault="00A351F4" w:rsidP="00A351F4">
      <w:pPr>
        <w:pStyle w:val="SingleTxt"/>
        <w:numPr>
          <w:ilvl w:val="0"/>
          <w:numId w:val="33"/>
        </w:numPr>
        <w:spacing w:line="240" w:lineRule="exact"/>
        <w:ind w:left="1267"/>
        <w:rPr>
          <w:lang w:val="fr-FR"/>
        </w:rPr>
      </w:pPr>
      <w:r w:rsidRPr="00393950">
        <w:rPr>
          <w:lang w:val="fr-FR"/>
        </w:rPr>
        <w:t>Le Comité salue la nouvelle loi relative aux successions adoptée en 2012. Il constate toutefois avec préoccupation que, malgré sa recommandation précédente [</w:t>
      </w:r>
      <w:hyperlink r:id="rId22" w:history="1">
        <w:r w:rsidRPr="00FC485F">
          <w:rPr>
            <w:rStyle w:val="Hyperlink"/>
            <w:lang w:val="fr-FR"/>
          </w:rPr>
          <w:t>CEDAW/C/LIE/CO/4</w:t>
        </w:r>
      </w:hyperlink>
      <w:r w:rsidRPr="00393950">
        <w:rPr>
          <w:lang w:val="fr-FR"/>
        </w:rPr>
        <w:t xml:space="preserve">, </w:t>
      </w:r>
      <w:r>
        <w:rPr>
          <w:lang w:val="fr-FR"/>
        </w:rPr>
        <w:t>par. </w:t>
      </w:r>
      <w:r w:rsidRPr="00393950">
        <w:rPr>
          <w:lang w:val="fr-FR"/>
        </w:rPr>
        <w:t>43 a)], aucune étude n</w:t>
      </w:r>
      <w:r>
        <w:rPr>
          <w:lang w:val="fr-FR"/>
        </w:rPr>
        <w:t>’</w:t>
      </w:r>
      <w:r w:rsidRPr="00393950">
        <w:rPr>
          <w:lang w:val="fr-FR"/>
        </w:rPr>
        <w:t>a été réalisée sur les conséquences économiques d</w:t>
      </w:r>
      <w:r>
        <w:rPr>
          <w:lang w:val="fr-FR"/>
        </w:rPr>
        <w:t>’</w:t>
      </w:r>
      <w:r w:rsidRPr="00393950">
        <w:rPr>
          <w:lang w:val="fr-FR"/>
        </w:rPr>
        <w:t>un divorce pour les deux conjoints. Tout en se félicitant des modifications apportées à la loi relative à la garde des enfants en 2015, qui placent l</w:t>
      </w:r>
      <w:r>
        <w:rPr>
          <w:lang w:val="fr-FR"/>
        </w:rPr>
        <w:t>’</w:t>
      </w:r>
      <w:r w:rsidRPr="00393950">
        <w:rPr>
          <w:lang w:val="fr-FR"/>
        </w:rPr>
        <w:t>intérêt supérieur de l</w:t>
      </w:r>
      <w:r>
        <w:rPr>
          <w:lang w:val="fr-FR"/>
        </w:rPr>
        <w:t>’</w:t>
      </w:r>
      <w:r w:rsidRPr="00393950">
        <w:rPr>
          <w:lang w:val="fr-FR"/>
        </w:rPr>
        <w:t>enfant avant toute autre considération, le Comité demeure préoccupé par les informations indiquant que la recherche d</w:t>
      </w:r>
      <w:r>
        <w:rPr>
          <w:lang w:val="fr-FR"/>
        </w:rPr>
        <w:t>’</w:t>
      </w:r>
      <w:r w:rsidRPr="00393950">
        <w:rPr>
          <w:lang w:val="fr-FR"/>
        </w:rPr>
        <w:t>un arrangement équilibré pour la garde des enfants prime parfois sur l</w:t>
      </w:r>
      <w:r>
        <w:rPr>
          <w:lang w:val="fr-FR"/>
        </w:rPr>
        <w:t>’</w:t>
      </w:r>
      <w:r w:rsidRPr="00393950">
        <w:rPr>
          <w:lang w:val="fr-FR"/>
        </w:rPr>
        <w:t>intérêt supérieur de l</w:t>
      </w:r>
      <w:r>
        <w:rPr>
          <w:lang w:val="fr-FR"/>
        </w:rPr>
        <w:t>’</w:t>
      </w:r>
      <w:r w:rsidRPr="00393950">
        <w:rPr>
          <w:lang w:val="fr-FR"/>
        </w:rPr>
        <w:t>enfant, faisant potentiellement abstraction du problème de la violence domestique. Le Comité salue la réforme de la législation régissant le nom des concubins déclarés</w:t>
      </w:r>
      <w:r>
        <w:rPr>
          <w:lang w:val="fr-FR"/>
        </w:rPr>
        <w:t>,</w:t>
      </w:r>
      <w:r w:rsidRPr="00393950">
        <w:rPr>
          <w:lang w:val="fr-FR"/>
        </w:rPr>
        <w:t xml:space="preserve"> mais regrette qu</w:t>
      </w:r>
      <w:r>
        <w:rPr>
          <w:lang w:val="fr-FR"/>
        </w:rPr>
        <w:t>’</w:t>
      </w:r>
      <w:r w:rsidRPr="00393950">
        <w:rPr>
          <w:lang w:val="fr-FR"/>
        </w:rPr>
        <w:t>aucune étude n</w:t>
      </w:r>
      <w:r>
        <w:rPr>
          <w:lang w:val="fr-FR"/>
        </w:rPr>
        <w:t>’</w:t>
      </w:r>
      <w:r w:rsidRPr="00393950">
        <w:rPr>
          <w:lang w:val="fr-FR"/>
        </w:rPr>
        <w:t>ait été réalisée pour évaluer l</w:t>
      </w:r>
      <w:r>
        <w:rPr>
          <w:lang w:val="fr-FR"/>
        </w:rPr>
        <w:t>’</w:t>
      </w:r>
      <w:r w:rsidRPr="00393950">
        <w:rPr>
          <w:lang w:val="fr-FR"/>
        </w:rPr>
        <w:t>efficacité de la loi de 2011 reconnaissant les unions entre personnes de même sexe sur l</w:t>
      </w:r>
      <w:r>
        <w:rPr>
          <w:lang w:val="fr-FR"/>
        </w:rPr>
        <w:t>’</w:t>
      </w:r>
      <w:r w:rsidRPr="00393950">
        <w:rPr>
          <w:lang w:val="fr-FR"/>
        </w:rPr>
        <w:t xml:space="preserve">égalité de traitement, dans la pratique, des concubinages déclarés et des mariages traditionnels. </w:t>
      </w:r>
    </w:p>
    <w:p w14:paraId="34B797C0" w14:textId="77777777" w:rsidR="00A351F4" w:rsidRPr="00393950" w:rsidRDefault="00A351F4" w:rsidP="00A351F4">
      <w:pPr>
        <w:pStyle w:val="SingleTxt"/>
        <w:numPr>
          <w:ilvl w:val="0"/>
          <w:numId w:val="33"/>
        </w:numPr>
        <w:spacing w:line="240" w:lineRule="exact"/>
        <w:ind w:left="1267"/>
        <w:rPr>
          <w:b/>
          <w:lang w:val="fr-FR"/>
        </w:rPr>
      </w:pPr>
      <w:r w:rsidRPr="00393950">
        <w:rPr>
          <w:b/>
          <w:bCs/>
          <w:lang w:val="fr-FR"/>
        </w:rPr>
        <w:t>Le Comité recommande à l</w:t>
      </w:r>
      <w:r>
        <w:rPr>
          <w:b/>
          <w:bCs/>
          <w:lang w:val="fr-FR"/>
        </w:rPr>
        <w:t>’</w:t>
      </w:r>
      <w:r w:rsidRPr="00393950">
        <w:rPr>
          <w:b/>
          <w:bCs/>
          <w:lang w:val="fr-FR"/>
        </w:rPr>
        <w:t>État partie</w:t>
      </w:r>
      <w:r>
        <w:rPr>
          <w:b/>
          <w:bCs/>
          <w:lang w:val="fr-FR"/>
        </w:rPr>
        <w:t> :</w:t>
      </w:r>
    </w:p>
    <w:p w14:paraId="02456491" w14:textId="77777777" w:rsidR="00A351F4" w:rsidRPr="00393950" w:rsidRDefault="00A351F4" w:rsidP="00A351F4">
      <w:pPr>
        <w:pStyle w:val="SingleTxt"/>
        <w:rPr>
          <w:b/>
          <w:lang w:val="fr-FR"/>
        </w:rPr>
      </w:pPr>
      <w:r>
        <w:rPr>
          <w:b/>
          <w:bCs/>
          <w:lang w:val="fr-FR"/>
        </w:rPr>
        <w:tab/>
      </w:r>
      <w:r w:rsidRPr="00393950">
        <w:rPr>
          <w:b/>
          <w:bCs/>
          <w:lang w:val="fr-FR"/>
        </w:rPr>
        <w:t>a)</w:t>
      </w:r>
      <w:r w:rsidRPr="00393950">
        <w:rPr>
          <w:lang w:val="fr-FR"/>
        </w:rPr>
        <w:tab/>
      </w:r>
      <w:r w:rsidRPr="00393950">
        <w:rPr>
          <w:b/>
          <w:bCs/>
          <w:lang w:val="fr-FR"/>
        </w:rPr>
        <w:t>De réaliser une étude sur les conséquences économiques du divorce pour les deux conjoints, conformément à la recommandation générale n</w:t>
      </w:r>
      <w:r w:rsidRPr="00393950">
        <w:rPr>
          <w:b/>
          <w:bCs/>
          <w:vertAlign w:val="superscript"/>
          <w:lang w:val="fr-FR"/>
        </w:rPr>
        <w:t>o</w:t>
      </w:r>
      <w:r>
        <w:rPr>
          <w:b/>
          <w:bCs/>
          <w:lang w:val="fr-FR"/>
        </w:rPr>
        <w:t> </w:t>
      </w:r>
      <w:r w:rsidRPr="00393950">
        <w:rPr>
          <w:b/>
          <w:bCs/>
          <w:lang w:val="fr-FR"/>
        </w:rPr>
        <w:t>29</w:t>
      </w:r>
      <w:r>
        <w:rPr>
          <w:b/>
          <w:bCs/>
          <w:lang w:val="fr-FR"/>
        </w:rPr>
        <w:t> </w:t>
      </w:r>
      <w:r w:rsidRPr="00393950">
        <w:rPr>
          <w:b/>
          <w:bCs/>
          <w:lang w:val="fr-FR"/>
        </w:rPr>
        <w:t>(2013) sur les conséquences économiques du mariage, et des liens familiaux et de leur dissolution</w:t>
      </w:r>
      <w:r>
        <w:rPr>
          <w:b/>
          <w:bCs/>
          <w:lang w:val="fr-FR"/>
        </w:rPr>
        <w:t> ;</w:t>
      </w:r>
    </w:p>
    <w:p w14:paraId="3B2FC18D" w14:textId="77777777" w:rsidR="00A351F4" w:rsidRPr="00393950" w:rsidRDefault="00A351F4" w:rsidP="00A351F4">
      <w:pPr>
        <w:pStyle w:val="SingleTxt"/>
        <w:rPr>
          <w:b/>
          <w:lang w:val="fr-FR"/>
        </w:rPr>
      </w:pPr>
      <w:r>
        <w:rPr>
          <w:b/>
          <w:bCs/>
          <w:lang w:val="fr-FR"/>
        </w:rPr>
        <w:tab/>
      </w:r>
      <w:r w:rsidRPr="00393950">
        <w:rPr>
          <w:b/>
          <w:bCs/>
          <w:lang w:val="fr-FR"/>
        </w:rPr>
        <w:t>b)</w:t>
      </w:r>
      <w:r w:rsidRPr="00393950">
        <w:rPr>
          <w:lang w:val="fr-FR"/>
        </w:rPr>
        <w:tab/>
      </w:r>
      <w:r w:rsidRPr="00393950">
        <w:rPr>
          <w:b/>
          <w:bCs/>
          <w:lang w:val="fr-FR"/>
        </w:rPr>
        <w:t>D</w:t>
      </w:r>
      <w:r>
        <w:rPr>
          <w:b/>
          <w:bCs/>
          <w:lang w:val="fr-FR"/>
        </w:rPr>
        <w:t>’</w:t>
      </w:r>
      <w:r w:rsidRPr="00393950">
        <w:rPr>
          <w:b/>
          <w:bCs/>
          <w:lang w:val="fr-FR"/>
        </w:rPr>
        <w:t>analyser les effets de la loi reconnaissant les unions entre personnes de même sexe afin de déterminer s</w:t>
      </w:r>
      <w:r>
        <w:rPr>
          <w:b/>
          <w:bCs/>
          <w:lang w:val="fr-FR"/>
        </w:rPr>
        <w:t>’</w:t>
      </w:r>
      <w:r w:rsidRPr="00393950">
        <w:rPr>
          <w:b/>
          <w:bCs/>
          <w:lang w:val="fr-FR"/>
        </w:rPr>
        <w:t>il y a bien, dans la pratique, égalité de traitement entre le concubinage déclaré et le mariage</w:t>
      </w:r>
      <w:r>
        <w:rPr>
          <w:b/>
          <w:bCs/>
          <w:lang w:val="fr-FR"/>
        </w:rPr>
        <w:t> ;</w:t>
      </w:r>
    </w:p>
    <w:p w14:paraId="322124E1" w14:textId="77777777" w:rsidR="00A351F4" w:rsidRPr="00393950" w:rsidRDefault="00A351F4" w:rsidP="00A351F4">
      <w:pPr>
        <w:pStyle w:val="SingleTxt"/>
        <w:rPr>
          <w:b/>
          <w:lang w:val="fr-FR"/>
        </w:rPr>
      </w:pPr>
      <w:r>
        <w:rPr>
          <w:b/>
          <w:bCs/>
          <w:lang w:val="fr-FR"/>
        </w:rPr>
        <w:tab/>
      </w:r>
      <w:r w:rsidRPr="00393950">
        <w:rPr>
          <w:b/>
          <w:bCs/>
          <w:lang w:val="fr-FR"/>
        </w:rPr>
        <w:t>c)</w:t>
      </w:r>
      <w:r w:rsidRPr="00393950">
        <w:rPr>
          <w:lang w:val="fr-FR"/>
        </w:rPr>
        <w:tab/>
      </w:r>
      <w:r w:rsidRPr="00393950">
        <w:rPr>
          <w:b/>
          <w:bCs/>
          <w:lang w:val="fr-FR"/>
        </w:rPr>
        <w:t>De faire en sorte que la violence domestique soit prise en considération par les tribunaux et les autorités de l</w:t>
      </w:r>
      <w:r>
        <w:rPr>
          <w:b/>
          <w:bCs/>
          <w:lang w:val="fr-FR"/>
        </w:rPr>
        <w:t>’</w:t>
      </w:r>
      <w:r w:rsidRPr="00393950">
        <w:rPr>
          <w:b/>
          <w:bCs/>
          <w:lang w:val="fr-FR"/>
        </w:rPr>
        <w:t>État partie lorsque des décisions sont prises sur la garde des enfants.</w:t>
      </w:r>
    </w:p>
    <w:p w14:paraId="3C909060" w14:textId="77777777" w:rsidR="00A351F4" w:rsidRPr="00DA3FC9" w:rsidRDefault="00A351F4" w:rsidP="00A351F4">
      <w:pPr>
        <w:pStyle w:val="SingleTxt"/>
        <w:spacing w:after="0" w:line="120" w:lineRule="exact"/>
        <w:rPr>
          <w:b/>
          <w:sz w:val="10"/>
          <w:lang w:val="fr-FR"/>
        </w:rPr>
      </w:pPr>
    </w:p>
    <w:p w14:paraId="10FF750A"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Déclaration et Programme d</w:t>
      </w:r>
      <w:r>
        <w:rPr>
          <w:lang w:val="fr-FR"/>
        </w:rPr>
        <w:t>’</w:t>
      </w:r>
      <w:r w:rsidRPr="00393950">
        <w:rPr>
          <w:lang w:val="fr-FR"/>
        </w:rPr>
        <w:t xml:space="preserve">action de Beijing </w:t>
      </w:r>
    </w:p>
    <w:p w14:paraId="3339C305" w14:textId="77777777" w:rsidR="00A351F4" w:rsidRPr="00DA3FC9" w:rsidRDefault="00A351F4" w:rsidP="00A351F4">
      <w:pPr>
        <w:pStyle w:val="SingleTxt"/>
        <w:spacing w:after="0" w:line="120" w:lineRule="exact"/>
        <w:rPr>
          <w:sz w:val="10"/>
          <w:lang w:val="fr-FR"/>
        </w:rPr>
      </w:pPr>
    </w:p>
    <w:p w14:paraId="49FB6E1C" w14:textId="77777777" w:rsidR="00A351F4" w:rsidRPr="00393950" w:rsidRDefault="00A351F4" w:rsidP="00A351F4">
      <w:pPr>
        <w:pStyle w:val="SingleTxt"/>
        <w:numPr>
          <w:ilvl w:val="0"/>
          <w:numId w:val="33"/>
        </w:numPr>
        <w:spacing w:line="240" w:lineRule="exact"/>
        <w:ind w:left="1267"/>
        <w:rPr>
          <w:b/>
          <w:bCs/>
          <w:lang w:val="fr-FR"/>
        </w:rPr>
      </w:pPr>
      <w:r w:rsidRPr="00393950">
        <w:rPr>
          <w:b/>
          <w:bCs/>
          <w:lang w:val="fr-FR"/>
        </w:rPr>
        <w:t>Le Comité invite l</w:t>
      </w:r>
      <w:r>
        <w:rPr>
          <w:b/>
          <w:bCs/>
          <w:lang w:val="fr-FR"/>
        </w:rPr>
        <w:t>’</w:t>
      </w:r>
      <w:r w:rsidRPr="00393950">
        <w:rPr>
          <w:b/>
          <w:bCs/>
          <w:lang w:val="fr-FR"/>
        </w:rPr>
        <w:t>État partie à s</w:t>
      </w:r>
      <w:r>
        <w:rPr>
          <w:b/>
          <w:bCs/>
          <w:lang w:val="fr-FR"/>
        </w:rPr>
        <w:t>’</w:t>
      </w:r>
      <w:r w:rsidRPr="00393950">
        <w:rPr>
          <w:b/>
          <w:bCs/>
          <w:lang w:val="fr-FR"/>
        </w:rPr>
        <w:t>appuyer sur la Déclaration et le Programme d</w:t>
      </w:r>
      <w:r>
        <w:rPr>
          <w:b/>
          <w:bCs/>
          <w:lang w:val="fr-FR"/>
        </w:rPr>
        <w:t>’</w:t>
      </w:r>
      <w:r w:rsidRPr="00393950">
        <w:rPr>
          <w:b/>
          <w:bCs/>
          <w:lang w:val="fr-FR"/>
        </w:rPr>
        <w:t>action de Beijing dans l</w:t>
      </w:r>
      <w:r>
        <w:rPr>
          <w:b/>
          <w:bCs/>
          <w:lang w:val="fr-FR"/>
        </w:rPr>
        <w:t>’</w:t>
      </w:r>
      <w:r w:rsidRPr="00393950">
        <w:rPr>
          <w:b/>
          <w:bCs/>
          <w:lang w:val="fr-FR"/>
        </w:rPr>
        <w:t>action qu</w:t>
      </w:r>
      <w:r>
        <w:rPr>
          <w:b/>
          <w:bCs/>
          <w:lang w:val="fr-FR"/>
        </w:rPr>
        <w:t>’</w:t>
      </w:r>
      <w:r w:rsidRPr="00393950">
        <w:rPr>
          <w:b/>
          <w:bCs/>
          <w:lang w:val="fr-FR"/>
        </w:rPr>
        <w:t>il mène pour mettre en œuvre les dispositions de la Convention.</w:t>
      </w:r>
    </w:p>
    <w:p w14:paraId="4DBBF31A" w14:textId="77777777" w:rsidR="00A351F4" w:rsidRPr="00DA3FC9" w:rsidRDefault="00A351F4" w:rsidP="00A351F4">
      <w:pPr>
        <w:pStyle w:val="SingleTxt"/>
        <w:spacing w:after="0" w:line="120" w:lineRule="exact"/>
        <w:rPr>
          <w:b/>
          <w:sz w:val="10"/>
          <w:lang w:val="fr-FR"/>
        </w:rPr>
      </w:pPr>
    </w:p>
    <w:p w14:paraId="3E69F87F" w14:textId="664A1023"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r>
      <w:r>
        <w:rPr>
          <w:lang w:val="fr-FR"/>
        </w:rPr>
        <w:t>Diffusion</w:t>
      </w:r>
    </w:p>
    <w:p w14:paraId="026F07FE" w14:textId="77777777" w:rsidR="00A351F4" w:rsidRPr="00DA3FC9" w:rsidRDefault="00A351F4" w:rsidP="00A351F4">
      <w:pPr>
        <w:pStyle w:val="SingleTxt"/>
        <w:spacing w:after="0" w:line="120" w:lineRule="exact"/>
        <w:rPr>
          <w:sz w:val="10"/>
          <w:lang w:val="fr-FR"/>
        </w:rPr>
      </w:pPr>
    </w:p>
    <w:p w14:paraId="7892454E" w14:textId="77777777" w:rsidR="00A351F4" w:rsidRPr="00393950" w:rsidRDefault="00A351F4" w:rsidP="00A351F4">
      <w:pPr>
        <w:pStyle w:val="SingleTxt"/>
        <w:numPr>
          <w:ilvl w:val="0"/>
          <w:numId w:val="33"/>
        </w:numPr>
        <w:spacing w:line="240" w:lineRule="exact"/>
        <w:ind w:left="1267"/>
        <w:rPr>
          <w:b/>
          <w:lang w:val="fr-FR"/>
        </w:rPr>
      </w:pPr>
      <w:r w:rsidRPr="00393950">
        <w:rPr>
          <w:b/>
          <w:bCs/>
          <w:lang w:val="fr-FR"/>
        </w:rPr>
        <w:t>Le Comité prie l</w:t>
      </w:r>
      <w:r>
        <w:rPr>
          <w:b/>
          <w:bCs/>
          <w:lang w:val="fr-FR"/>
        </w:rPr>
        <w:t>’</w:t>
      </w:r>
      <w:r w:rsidRPr="00393950">
        <w:rPr>
          <w:b/>
          <w:bCs/>
          <w:lang w:val="fr-FR"/>
        </w:rPr>
        <w:t>État partie de veiller à diffuser rapidement les présentes observations finales, dans la langue officielle de l</w:t>
      </w:r>
      <w:r>
        <w:rPr>
          <w:b/>
          <w:bCs/>
          <w:lang w:val="fr-FR"/>
        </w:rPr>
        <w:t>’</w:t>
      </w:r>
      <w:r w:rsidRPr="00393950">
        <w:rPr>
          <w:b/>
          <w:bCs/>
          <w:lang w:val="fr-FR"/>
        </w:rPr>
        <w:t>État partie, aux institutions publiques concernées à tous les niveaux (national, régional et local), en particulier au Gouvernement, aux ministères, au Parlement et au corps judiciaire, afin d</w:t>
      </w:r>
      <w:r>
        <w:rPr>
          <w:b/>
          <w:bCs/>
          <w:lang w:val="fr-FR"/>
        </w:rPr>
        <w:t>’</w:t>
      </w:r>
      <w:r w:rsidRPr="00393950">
        <w:rPr>
          <w:b/>
          <w:bCs/>
          <w:lang w:val="fr-FR"/>
        </w:rPr>
        <w:t>en permettre la pleine application.</w:t>
      </w:r>
    </w:p>
    <w:p w14:paraId="1E79BDB9" w14:textId="77777777" w:rsidR="00A351F4" w:rsidRPr="00DA3FC9" w:rsidRDefault="00A351F4" w:rsidP="00A351F4">
      <w:pPr>
        <w:pStyle w:val="SingleTxt"/>
        <w:spacing w:after="0" w:line="120" w:lineRule="exact"/>
        <w:rPr>
          <w:b/>
          <w:sz w:val="10"/>
          <w:lang w:val="fr-FR"/>
        </w:rPr>
      </w:pPr>
    </w:p>
    <w:p w14:paraId="3F701A7B"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Ratification d</w:t>
      </w:r>
      <w:r>
        <w:rPr>
          <w:lang w:val="fr-FR"/>
        </w:rPr>
        <w:t>’</w:t>
      </w:r>
      <w:r w:rsidRPr="00393950">
        <w:rPr>
          <w:lang w:val="fr-FR"/>
        </w:rPr>
        <w:t>autres instruments</w:t>
      </w:r>
    </w:p>
    <w:p w14:paraId="4AB4A3F8" w14:textId="77777777" w:rsidR="00A351F4" w:rsidRPr="00DA3FC9" w:rsidRDefault="00A351F4" w:rsidP="00A351F4">
      <w:pPr>
        <w:pStyle w:val="SingleTxt"/>
        <w:keepNext/>
        <w:spacing w:after="0" w:line="120" w:lineRule="exact"/>
        <w:rPr>
          <w:sz w:val="10"/>
          <w:lang w:val="fr-FR"/>
        </w:rPr>
      </w:pPr>
    </w:p>
    <w:p w14:paraId="0F033F48" w14:textId="77777777" w:rsidR="00A351F4" w:rsidRPr="00393950" w:rsidRDefault="00A351F4" w:rsidP="00A351F4">
      <w:pPr>
        <w:pStyle w:val="SingleTxt"/>
        <w:numPr>
          <w:ilvl w:val="0"/>
          <w:numId w:val="33"/>
        </w:numPr>
        <w:spacing w:line="240" w:lineRule="exact"/>
        <w:ind w:left="1267"/>
        <w:rPr>
          <w:b/>
          <w:lang w:val="fr-FR"/>
        </w:rPr>
      </w:pPr>
      <w:r w:rsidRPr="00393950">
        <w:rPr>
          <w:b/>
          <w:bCs/>
          <w:lang w:val="fr-FR"/>
        </w:rPr>
        <w:t>Le Comité souligne que l</w:t>
      </w:r>
      <w:r>
        <w:rPr>
          <w:b/>
          <w:bCs/>
          <w:lang w:val="fr-FR"/>
        </w:rPr>
        <w:t>’</w:t>
      </w:r>
      <w:r w:rsidRPr="00393950">
        <w:rPr>
          <w:b/>
          <w:bCs/>
          <w:lang w:val="fr-FR"/>
        </w:rPr>
        <w:t>adhésion de l</w:t>
      </w:r>
      <w:r>
        <w:rPr>
          <w:b/>
          <w:bCs/>
          <w:lang w:val="fr-FR"/>
        </w:rPr>
        <w:t>’</w:t>
      </w:r>
      <w:r w:rsidRPr="00393950">
        <w:rPr>
          <w:b/>
          <w:bCs/>
          <w:lang w:val="fr-FR"/>
        </w:rPr>
        <w:t>État partie aux neuf principaux instruments internationaux relatifs aux droits de l</w:t>
      </w:r>
      <w:r>
        <w:rPr>
          <w:b/>
          <w:bCs/>
          <w:lang w:val="fr-FR"/>
        </w:rPr>
        <w:t>’</w:t>
      </w:r>
      <w:r w:rsidRPr="00393950">
        <w:rPr>
          <w:b/>
          <w:bCs/>
          <w:lang w:val="fr-FR"/>
        </w:rPr>
        <w:t>homme</w:t>
      </w:r>
      <w:r w:rsidRPr="00A351F4">
        <w:rPr>
          <w:bCs/>
          <w:vertAlign w:val="superscript"/>
          <w:lang w:val="fr-FR"/>
        </w:rPr>
        <w:footnoteReference w:id="2"/>
      </w:r>
      <w:r w:rsidRPr="00393950">
        <w:rPr>
          <w:b/>
          <w:bCs/>
          <w:lang w:val="fr-FR"/>
        </w:rPr>
        <w:t xml:space="preserve"> contribuerait à </w:t>
      </w:r>
      <w:r w:rsidRPr="00393950">
        <w:rPr>
          <w:b/>
          <w:bCs/>
          <w:lang w:val="fr-FR"/>
        </w:rPr>
        <w:lastRenderedPageBreak/>
        <w:t>promouvoir l</w:t>
      </w:r>
      <w:r>
        <w:rPr>
          <w:b/>
          <w:bCs/>
          <w:lang w:val="fr-FR"/>
        </w:rPr>
        <w:t>’</w:t>
      </w:r>
      <w:r w:rsidRPr="00393950">
        <w:rPr>
          <w:b/>
          <w:bCs/>
          <w:lang w:val="fr-FR"/>
        </w:rPr>
        <w:t>exercice effectif des droits individuels et libertés fondamentales par les femmes dans tous les aspects de la vie.</w:t>
      </w:r>
      <w:r w:rsidRPr="00393950">
        <w:rPr>
          <w:lang w:val="fr-FR"/>
        </w:rPr>
        <w:t xml:space="preserve"> </w:t>
      </w:r>
      <w:r w:rsidRPr="00393950">
        <w:rPr>
          <w:b/>
          <w:bCs/>
          <w:lang w:val="fr-FR"/>
        </w:rPr>
        <w:t>Il l</w:t>
      </w:r>
      <w:r>
        <w:rPr>
          <w:b/>
          <w:bCs/>
          <w:lang w:val="fr-FR"/>
        </w:rPr>
        <w:t>’</w:t>
      </w:r>
      <w:r w:rsidRPr="00393950">
        <w:rPr>
          <w:b/>
          <w:bCs/>
          <w:lang w:val="fr-FR"/>
        </w:rPr>
        <w:t>invite donc à ratifier la Convention internationale sur la protection des droits de tous les travailleurs migrants et des membres de leur famille,</w:t>
      </w:r>
      <w:r w:rsidRPr="00393950">
        <w:rPr>
          <w:lang w:val="fr-FR"/>
        </w:rPr>
        <w:t xml:space="preserve"> </w:t>
      </w:r>
      <w:r w:rsidRPr="00393950">
        <w:rPr>
          <w:b/>
          <w:bCs/>
          <w:lang w:val="fr-FR"/>
        </w:rPr>
        <w:t>la Convention internationale pour la protection de toutes les personnes contre les disparitions forcées, ainsi que la Convention relative aux droits des personnes handicapées, auxquelles il n</w:t>
      </w:r>
      <w:r>
        <w:rPr>
          <w:b/>
          <w:bCs/>
          <w:lang w:val="fr-FR"/>
        </w:rPr>
        <w:t>’</w:t>
      </w:r>
      <w:r w:rsidRPr="00393950">
        <w:rPr>
          <w:b/>
          <w:bCs/>
          <w:lang w:val="fr-FR"/>
        </w:rPr>
        <w:t>est pas encore partie.</w:t>
      </w:r>
    </w:p>
    <w:p w14:paraId="0A9F6D00" w14:textId="77777777" w:rsidR="00A351F4" w:rsidRPr="00DA3FC9" w:rsidRDefault="00A351F4" w:rsidP="00A351F4">
      <w:pPr>
        <w:pStyle w:val="SingleTxt"/>
        <w:spacing w:after="0" w:line="120" w:lineRule="exact"/>
        <w:rPr>
          <w:b/>
          <w:sz w:val="10"/>
          <w:lang w:val="fr-FR"/>
        </w:rPr>
      </w:pPr>
    </w:p>
    <w:p w14:paraId="21254330"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Suite donnée aux observations finales</w:t>
      </w:r>
    </w:p>
    <w:p w14:paraId="2D8F4608" w14:textId="77777777" w:rsidR="00A351F4" w:rsidRPr="00DA3FC9" w:rsidRDefault="00A351F4" w:rsidP="00A351F4">
      <w:pPr>
        <w:pStyle w:val="SingleTxt"/>
        <w:spacing w:after="0" w:line="120" w:lineRule="exact"/>
        <w:rPr>
          <w:sz w:val="10"/>
          <w:lang w:val="fr-FR"/>
        </w:rPr>
      </w:pPr>
    </w:p>
    <w:p w14:paraId="6C7E6038" w14:textId="77777777" w:rsidR="00A351F4" w:rsidRPr="00393950" w:rsidRDefault="00A351F4" w:rsidP="00A351F4">
      <w:pPr>
        <w:pStyle w:val="SingleTxt"/>
        <w:numPr>
          <w:ilvl w:val="0"/>
          <w:numId w:val="33"/>
        </w:numPr>
        <w:spacing w:line="240" w:lineRule="exact"/>
        <w:ind w:left="1267"/>
        <w:rPr>
          <w:b/>
          <w:lang w:val="fr-FR"/>
        </w:rPr>
      </w:pPr>
      <w:r w:rsidRPr="00393950">
        <w:rPr>
          <w:b/>
          <w:bCs/>
          <w:lang w:val="fr-FR"/>
        </w:rPr>
        <w:t>Le Comité prie l</w:t>
      </w:r>
      <w:r>
        <w:rPr>
          <w:b/>
          <w:bCs/>
          <w:lang w:val="fr-FR"/>
        </w:rPr>
        <w:t>’</w:t>
      </w:r>
      <w:r w:rsidRPr="00393950">
        <w:rPr>
          <w:b/>
          <w:bCs/>
          <w:lang w:val="fr-FR"/>
        </w:rPr>
        <w:t>État partie de lui communiquer par écrit, dans un délai de deux ans, des informations sur les mesures qu</w:t>
      </w:r>
      <w:r>
        <w:rPr>
          <w:b/>
          <w:bCs/>
          <w:lang w:val="fr-FR"/>
        </w:rPr>
        <w:t>’</w:t>
      </w:r>
      <w:r w:rsidRPr="00393950">
        <w:rPr>
          <w:b/>
          <w:bCs/>
          <w:lang w:val="fr-FR"/>
        </w:rPr>
        <w:t>il aura prises pour appliquer les recommandations énoncées aux paragraphes 16 a), 24 a) et 36 a) ci-dessus.</w:t>
      </w:r>
    </w:p>
    <w:p w14:paraId="473E30D7" w14:textId="77777777" w:rsidR="00A351F4" w:rsidRPr="00DA3FC9" w:rsidRDefault="00A351F4" w:rsidP="00A351F4">
      <w:pPr>
        <w:pStyle w:val="SingleTxt"/>
        <w:spacing w:after="0" w:line="120" w:lineRule="exact"/>
        <w:rPr>
          <w:b/>
          <w:sz w:val="10"/>
          <w:lang w:val="fr-FR"/>
        </w:rPr>
      </w:pPr>
    </w:p>
    <w:p w14:paraId="37E4828B" w14:textId="77777777" w:rsidR="00A351F4" w:rsidRPr="00393950" w:rsidRDefault="00A351F4" w:rsidP="00A3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93950">
        <w:rPr>
          <w:lang w:val="fr-FR"/>
        </w:rPr>
        <w:tab/>
      </w:r>
      <w:r w:rsidRPr="00393950">
        <w:rPr>
          <w:lang w:val="fr-FR"/>
        </w:rPr>
        <w:tab/>
        <w:t xml:space="preserve">Établissement du prochain rapport </w:t>
      </w:r>
    </w:p>
    <w:p w14:paraId="5470F18D" w14:textId="77777777" w:rsidR="00A351F4" w:rsidRPr="00DA3FC9" w:rsidRDefault="00A351F4" w:rsidP="00A351F4">
      <w:pPr>
        <w:pStyle w:val="SingleTxt"/>
        <w:spacing w:after="0" w:line="120" w:lineRule="exact"/>
        <w:rPr>
          <w:sz w:val="10"/>
          <w:lang w:val="fr-FR"/>
        </w:rPr>
      </w:pPr>
    </w:p>
    <w:p w14:paraId="0BEF8D03" w14:textId="77777777" w:rsidR="00A351F4" w:rsidRPr="00393950" w:rsidRDefault="00A351F4" w:rsidP="00A351F4">
      <w:pPr>
        <w:pStyle w:val="SingleTxt"/>
        <w:numPr>
          <w:ilvl w:val="0"/>
          <w:numId w:val="33"/>
        </w:numPr>
        <w:spacing w:line="240" w:lineRule="exact"/>
        <w:ind w:left="1267"/>
        <w:rPr>
          <w:lang w:val="fr-FR"/>
        </w:rPr>
      </w:pPr>
      <w:r w:rsidRPr="00393950">
        <w:rPr>
          <w:b/>
          <w:bCs/>
          <w:lang w:val="fr-FR"/>
        </w:rPr>
        <w:t>Le Comité invite l</w:t>
      </w:r>
      <w:r>
        <w:rPr>
          <w:b/>
          <w:bCs/>
          <w:lang w:val="fr-FR"/>
        </w:rPr>
        <w:t>’</w:t>
      </w:r>
      <w:r w:rsidRPr="00393950">
        <w:rPr>
          <w:b/>
          <w:bCs/>
          <w:lang w:val="fr-FR"/>
        </w:rPr>
        <w:t>État partie à soumettre son sixième rapport périodique en juillet 2022.</w:t>
      </w:r>
      <w:r w:rsidRPr="00393950">
        <w:rPr>
          <w:lang w:val="fr-FR"/>
        </w:rPr>
        <w:t xml:space="preserve"> </w:t>
      </w:r>
      <w:r w:rsidRPr="00393950">
        <w:rPr>
          <w:b/>
          <w:bCs/>
          <w:lang w:val="fr-FR"/>
        </w:rPr>
        <w:t>Le rapport devra être soumis dans les délais et couvrir toute la période écoulée, jusqu</w:t>
      </w:r>
      <w:r>
        <w:rPr>
          <w:b/>
          <w:bCs/>
          <w:lang w:val="fr-FR"/>
        </w:rPr>
        <w:t>’</w:t>
      </w:r>
      <w:r w:rsidRPr="00393950">
        <w:rPr>
          <w:b/>
          <w:bCs/>
          <w:lang w:val="fr-FR"/>
        </w:rPr>
        <w:t>à la date à laquelle il sera soumis.</w:t>
      </w:r>
    </w:p>
    <w:p w14:paraId="4A86B1C9" w14:textId="39400846" w:rsidR="00A351F4" w:rsidRDefault="00A351F4" w:rsidP="0018501D">
      <w:pPr>
        <w:pStyle w:val="SingleTxt"/>
        <w:numPr>
          <w:ilvl w:val="0"/>
          <w:numId w:val="40"/>
        </w:numPr>
        <w:tabs>
          <w:tab w:val="num" w:pos="2804"/>
        </w:tabs>
        <w:spacing w:line="240" w:lineRule="exact"/>
        <w:rPr>
          <w:lang w:val="fr-FR"/>
        </w:rPr>
      </w:pPr>
      <w:r w:rsidRPr="00393950">
        <w:rPr>
          <w:b/>
          <w:bCs/>
          <w:lang w:val="fr-FR"/>
        </w:rPr>
        <w:t>Le Comité invite l</w:t>
      </w:r>
      <w:r>
        <w:rPr>
          <w:b/>
          <w:bCs/>
          <w:lang w:val="fr-FR"/>
        </w:rPr>
        <w:t>’</w:t>
      </w:r>
      <w:r w:rsidRPr="00393950">
        <w:rPr>
          <w:b/>
          <w:bCs/>
          <w:lang w:val="fr-FR"/>
        </w:rPr>
        <w:t>État partie à se conformer aux directives harmonisées pour l</w:t>
      </w:r>
      <w:r>
        <w:rPr>
          <w:b/>
          <w:bCs/>
          <w:lang w:val="fr-FR"/>
        </w:rPr>
        <w:t>’</w:t>
      </w:r>
      <w:r w:rsidRPr="00393950">
        <w:rPr>
          <w:b/>
          <w:bCs/>
          <w:lang w:val="fr-FR"/>
        </w:rPr>
        <w:t>établissement de rapports au titre des instruments internationaux relatifs aux droits de l</w:t>
      </w:r>
      <w:r>
        <w:rPr>
          <w:b/>
          <w:bCs/>
          <w:lang w:val="fr-FR"/>
        </w:rPr>
        <w:t>’</w:t>
      </w:r>
      <w:r w:rsidRPr="00393950">
        <w:rPr>
          <w:b/>
          <w:bCs/>
          <w:lang w:val="fr-FR"/>
        </w:rPr>
        <w:t xml:space="preserve">homme, dont le document de base commun et les rapports correspondant à chaque instrument (voir </w:t>
      </w:r>
      <w:hyperlink r:id="rId23" w:history="1">
        <w:r w:rsidRPr="00FC485F">
          <w:rPr>
            <w:rStyle w:val="Hyperlink"/>
            <w:b/>
            <w:bCs/>
            <w:lang w:val="fr-FR"/>
          </w:rPr>
          <w:t>HRI/GEN/2/Rev.6</w:t>
        </w:r>
      </w:hyperlink>
      <w:r w:rsidRPr="00393950">
        <w:rPr>
          <w:b/>
          <w:bCs/>
          <w:lang w:val="fr-FR"/>
        </w:rPr>
        <w:t>, chap. I).</w:t>
      </w:r>
    </w:p>
    <w:p w14:paraId="5BE62D99" w14:textId="0EAD46FB" w:rsidR="00A351F4" w:rsidRPr="00A351F4" w:rsidRDefault="00A351F4" w:rsidP="00A351F4">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2888C87A" wp14:editId="0433DC4E">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497C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351F4" w:rsidRPr="00A351F4" w:rsidSect="00A351F4">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04T13:52:00Z" w:initials="Start">
    <w:p w14:paraId="2BDCE87C" w14:textId="77777777" w:rsidR="00787A58" w:rsidRPr="00A351F4" w:rsidRDefault="00787A58">
      <w:pPr>
        <w:pStyle w:val="CommentText"/>
        <w:rPr>
          <w:lang w:val="en-US"/>
        </w:rPr>
      </w:pPr>
      <w:r>
        <w:fldChar w:fldCharType="begin"/>
      </w:r>
      <w:r w:rsidRPr="00A351F4">
        <w:rPr>
          <w:rStyle w:val="CommentReference"/>
          <w:lang w:val="en-US"/>
        </w:rPr>
        <w:instrText xml:space="preserve"> </w:instrText>
      </w:r>
      <w:r w:rsidRPr="00A351F4">
        <w:rPr>
          <w:lang w:val="en-US"/>
        </w:rPr>
        <w:instrText>PAGE \# "'Page: '#'</w:instrText>
      </w:r>
      <w:r w:rsidRPr="00A351F4">
        <w:rPr>
          <w:lang w:val="en-US"/>
        </w:rPr>
        <w:br/>
        <w:instrText>'"</w:instrText>
      </w:r>
      <w:r w:rsidRPr="00A351F4">
        <w:rPr>
          <w:rStyle w:val="CommentReference"/>
          <w:lang w:val="en-US"/>
        </w:rPr>
        <w:instrText xml:space="preserve"> </w:instrText>
      </w:r>
      <w:r>
        <w:fldChar w:fldCharType="end"/>
      </w:r>
      <w:r>
        <w:rPr>
          <w:rStyle w:val="CommentReference"/>
        </w:rPr>
        <w:annotationRef/>
      </w:r>
      <w:r w:rsidRPr="00A351F4">
        <w:rPr>
          <w:lang w:val="en-US"/>
        </w:rPr>
        <w:t>&lt;&lt;ODS JOB NO&gt;&gt;N1841112F&lt;&lt;ODS JOB NO&gt;&gt;</w:t>
      </w:r>
    </w:p>
    <w:p w14:paraId="54CFAABF" w14:textId="77777777" w:rsidR="00787A58" w:rsidRPr="00A351F4" w:rsidRDefault="00787A58">
      <w:pPr>
        <w:pStyle w:val="CommentText"/>
        <w:rPr>
          <w:lang w:val="en-US"/>
        </w:rPr>
      </w:pPr>
      <w:r w:rsidRPr="00A351F4">
        <w:rPr>
          <w:lang w:val="en-US"/>
        </w:rPr>
        <w:t>&lt;&lt;ODS DOC SYMBOL1&gt;&gt;CEDAW/C/LIE/CO/5/Rev.1&lt;&lt;ODS DOC SYMBOL1&gt;&gt;</w:t>
      </w:r>
    </w:p>
    <w:p w14:paraId="3DD64917" w14:textId="77777777" w:rsidR="00787A58" w:rsidRDefault="00787A5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D6491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CD7C" w14:textId="77777777" w:rsidR="00EA317E" w:rsidRDefault="00EA317E" w:rsidP="00101B18">
      <w:pPr>
        <w:spacing w:line="240" w:lineRule="auto"/>
      </w:pPr>
      <w:r>
        <w:separator/>
      </w:r>
    </w:p>
  </w:endnote>
  <w:endnote w:type="continuationSeparator" w:id="0">
    <w:p w14:paraId="4C0B0480" w14:textId="77777777" w:rsidR="00EA317E" w:rsidRDefault="00EA317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87A58" w14:paraId="2FE562AC" w14:textId="77777777" w:rsidTr="00787A58">
      <w:tblPrEx>
        <w:tblCellMar>
          <w:top w:w="0" w:type="dxa"/>
          <w:bottom w:w="0" w:type="dxa"/>
        </w:tblCellMar>
      </w:tblPrEx>
      <w:tc>
        <w:tcPr>
          <w:tcW w:w="4920" w:type="dxa"/>
          <w:shd w:val="clear" w:color="auto" w:fill="auto"/>
        </w:tcPr>
        <w:p w14:paraId="32283D64" w14:textId="24DCCF89" w:rsidR="00787A58" w:rsidRPr="00787A58" w:rsidRDefault="00787A58" w:rsidP="00787A5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92FF5">
            <w:rPr>
              <w:b w:val="0"/>
              <w:w w:val="103"/>
              <w:sz w:val="14"/>
            </w:rPr>
            <w:t>18-20762</w:t>
          </w:r>
          <w:r>
            <w:rPr>
              <w:b w:val="0"/>
              <w:w w:val="103"/>
              <w:sz w:val="14"/>
            </w:rPr>
            <w:fldChar w:fldCharType="end"/>
          </w:r>
        </w:p>
      </w:tc>
      <w:tc>
        <w:tcPr>
          <w:tcW w:w="4920" w:type="dxa"/>
          <w:shd w:val="clear" w:color="auto" w:fill="auto"/>
        </w:tcPr>
        <w:p w14:paraId="4CC80144" w14:textId="77777777" w:rsidR="00787A58" w:rsidRPr="00787A58" w:rsidRDefault="00787A58" w:rsidP="00787A5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E073994" w14:textId="77777777" w:rsidR="00787A58" w:rsidRPr="00787A58" w:rsidRDefault="00787A58" w:rsidP="00787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87A58" w14:paraId="7649E7C4" w14:textId="77777777" w:rsidTr="00787A58">
      <w:tblPrEx>
        <w:tblCellMar>
          <w:top w:w="0" w:type="dxa"/>
          <w:bottom w:w="0" w:type="dxa"/>
        </w:tblCellMar>
      </w:tblPrEx>
      <w:tc>
        <w:tcPr>
          <w:tcW w:w="4920" w:type="dxa"/>
          <w:shd w:val="clear" w:color="auto" w:fill="auto"/>
        </w:tcPr>
        <w:p w14:paraId="03BD7C24" w14:textId="77777777" w:rsidR="00787A58" w:rsidRPr="00787A58" w:rsidRDefault="00787A58" w:rsidP="00787A58">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17501532" w14:textId="5071C6A3" w:rsidR="00787A58" w:rsidRPr="00787A58" w:rsidRDefault="00787A58" w:rsidP="00787A5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92FF5">
            <w:rPr>
              <w:b w:val="0"/>
              <w:w w:val="103"/>
              <w:sz w:val="14"/>
            </w:rPr>
            <w:t>18-20762</w:t>
          </w:r>
          <w:r>
            <w:rPr>
              <w:b w:val="0"/>
              <w:w w:val="103"/>
              <w:sz w:val="14"/>
            </w:rPr>
            <w:fldChar w:fldCharType="end"/>
          </w:r>
        </w:p>
      </w:tc>
    </w:tr>
  </w:tbl>
  <w:p w14:paraId="0C4D4AC9" w14:textId="77777777" w:rsidR="00787A58" w:rsidRPr="00787A58" w:rsidRDefault="00787A58" w:rsidP="00787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48AB" w14:textId="77777777" w:rsidR="00787A58" w:rsidRDefault="00787A58">
    <w:pPr>
      <w:pStyle w:val="Footer"/>
    </w:pPr>
    <w:r>
      <w:rPr>
        <w:noProof/>
      </w:rPr>
      <w:drawing>
        <wp:anchor distT="0" distB="0" distL="114300" distR="114300" simplePos="0" relativeHeight="251658240" behindDoc="0" locked="0" layoutInCell="1" allowOverlap="1" wp14:anchorId="1F668B41" wp14:editId="3BF909C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LIE/CO/5/Rev.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IE/CO/5/Rev.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87A58" w14:paraId="1AE41141" w14:textId="77777777" w:rsidTr="00787A58">
      <w:tblPrEx>
        <w:tblCellMar>
          <w:top w:w="0" w:type="dxa"/>
          <w:bottom w:w="0" w:type="dxa"/>
        </w:tblCellMar>
      </w:tblPrEx>
      <w:tc>
        <w:tcPr>
          <w:tcW w:w="3758" w:type="dxa"/>
        </w:tcPr>
        <w:p w14:paraId="2C1FCC12" w14:textId="65A88919" w:rsidR="00787A58" w:rsidRDefault="00787A58" w:rsidP="00787A5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92FF5">
            <w:rPr>
              <w:b w:val="0"/>
              <w:sz w:val="20"/>
            </w:rPr>
            <w:t>18-20762 (F)</w:t>
          </w:r>
          <w:r>
            <w:rPr>
              <w:b w:val="0"/>
              <w:sz w:val="20"/>
            </w:rPr>
            <w:fldChar w:fldCharType="end"/>
          </w:r>
          <w:r w:rsidR="00A351F4">
            <w:rPr>
              <w:b w:val="0"/>
              <w:sz w:val="20"/>
            </w:rPr>
            <w:t xml:space="preserve">    041218    05</w:t>
          </w:r>
          <w:r>
            <w:rPr>
              <w:b w:val="0"/>
              <w:sz w:val="20"/>
            </w:rPr>
            <w:t>1218</w:t>
          </w:r>
        </w:p>
        <w:p w14:paraId="5AE4A36E" w14:textId="5D652B37" w:rsidR="00787A58" w:rsidRPr="00787A58" w:rsidRDefault="00787A58" w:rsidP="00787A5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92FF5">
            <w:rPr>
              <w:rFonts w:ascii="Barcode 3 of 9 by request" w:hAnsi="Barcode 3 of 9 by request"/>
              <w:spacing w:val="0"/>
              <w:w w:val="100"/>
              <w:sz w:val="24"/>
            </w:rPr>
            <w:t>*1820762*</w:t>
          </w:r>
          <w:r>
            <w:rPr>
              <w:rFonts w:ascii="Barcode 3 of 9 by request" w:hAnsi="Barcode 3 of 9 by request"/>
              <w:spacing w:val="0"/>
              <w:w w:val="100"/>
              <w:sz w:val="24"/>
            </w:rPr>
            <w:fldChar w:fldCharType="end"/>
          </w:r>
        </w:p>
      </w:tc>
      <w:tc>
        <w:tcPr>
          <w:tcW w:w="4920" w:type="dxa"/>
        </w:tcPr>
        <w:p w14:paraId="105EAB73" w14:textId="77777777" w:rsidR="00787A58" w:rsidRDefault="00787A58" w:rsidP="00787A58">
          <w:pPr>
            <w:pStyle w:val="Footer"/>
            <w:spacing w:line="240" w:lineRule="atLeast"/>
            <w:jc w:val="right"/>
            <w:rPr>
              <w:b w:val="0"/>
              <w:sz w:val="20"/>
            </w:rPr>
          </w:pPr>
          <w:r>
            <w:rPr>
              <w:b w:val="0"/>
              <w:noProof/>
              <w:sz w:val="20"/>
            </w:rPr>
            <w:drawing>
              <wp:inline distT="0" distB="0" distL="0" distR="0" wp14:anchorId="5BF967AB" wp14:editId="0A0AEA6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A76A01D" w14:textId="77777777" w:rsidR="00787A58" w:rsidRPr="00787A58" w:rsidRDefault="00787A58" w:rsidP="00787A5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B6530" w14:textId="4A98DED9" w:rsidR="00EA317E" w:rsidRPr="00A351F4" w:rsidRDefault="00A351F4" w:rsidP="00A351F4">
      <w:pPr>
        <w:pStyle w:val="Footer"/>
        <w:spacing w:after="80"/>
        <w:ind w:left="792"/>
        <w:rPr>
          <w:sz w:val="16"/>
        </w:rPr>
      </w:pPr>
      <w:r w:rsidRPr="00A351F4">
        <w:rPr>
          <w:sz w:val="16"/>
        </w:rPr>
        <w:t>__________________</w:t>
      </w:r>
    </w:p>
  </w:footnote>
  <w:footnote w:type="continuationSeparator" w:id="0">
    <w:p w14:paraId="0C8AA251" w14:textId="473CE3C0" w:rsidR="00EA317E" w:rsidRPr="00A351F4" w:rsidRDefault="00A351F4" w:rsidP="00A351F4">
      <w:pPr>
        <w:pStyle w:val="Footer"/>
        <w:spacing w:after="80"/>
        <w:ind w:left="792"/>
        <w:rPr>
          <w:sz w:val="16"/>
        </w:rPr>
      </w:pPr>
      <w:r w:rsidRPr="00A351F4">
        <w:rPr>
          <w:sz w:val="16"/>
        </w:rPr>
        <w:t>__________________</w:t>
      </w:r>
    </w:p>
  </w:footnote>
  <w:footnote w:id="1">
    <w:p w14:paraId="4E717E38" w14:textId="77777777" w:rsidR="00A351F4" w:rsidRPr="00F601C7" w:rsidRDefault="00A351F4" w:rsidP="00A351F4">
      <w:pPr>
        <w:pStyle w:val="FootnoteText"/>
        <w:tabs>
          <w:tab w:val="right" w:pos="1195"/>
          <w:tab w:val="left" w:pos="1267"/>
          <w:tab w:val="left" w:pos="1742"/>
          <w:tab w:val="left" w:pos="2218"/>
          <w:tab w:val="left" w:pos="2693"/>
        </w:tabs>
        <w:ind w:left="1267" w:right="1260" w:hanging="432"/>
        <w:rPr>
          <w:lang w:val="fr-FR"/>
        </w:rPr>
      </w:pPr>
      <w:r>
        <w:rPr>
          <w:lang w:val="fr-FR"/>
        </w:rPr>
        <w:tab/>
        <w:t>*</w:t>
      </w:r>
      <w:r>
        <w:rPr>
          <w:lang w:val="fr-FR"/>
        </w:rPr>
        <w:tab/>
        <w:t>Adopté par le Comité à sa soixante-dixième session (2 au 20 juillet 2018).</w:t>
      </w:r>
    </w:p>
  </w:footnote>
  <w:footnote w:id="2">
    <w:p w14:paraId="7304114B" w14:textId="77777777" w:rsidR="00A351F4" w:rsidRPr="0017722F" w:rsidRDefault="00A351F4" w:rsidP="00A351F4">
      <w:pPr>
        <w:pStyle w:val="FootnoteText"/>
        <w:tabs>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r>
      <w:r w:rsidRPr="00DA3FC9">
        <w:rPr>
          <w:lang w:val="fr-FR"/>
        </w:rPr>
        <w:t>Le Pacte international relatif aux droits économiques, sociaux et culturels</w:t>
      </w:r>
      <w:r>
        <w:rPr>
          <w:lang w:val="fr-FR"/>
        </w:rPr>
        <w:t> ;</w:t>
      </w:r>
      <w:r w:rsidRPr="00DA3FC9">
        <w:rPr>
          <w:lang w:val="fr-FR"/>
        </w:rPr>
        <w:t xml:space="preserve"> le Pacte international relatif aux droits civils et politiques</w:t>
      </w:r>
      <w:r>
        <w:rPr>
          <w:lang w:val="fr-FR"/>
        </w:rPr>
        <w:t> ;</w:t>
      </w:r>
      <w:r w:rsidRPr="00DA3FC9">
        <w:rPr>
          <w:lang w:val="fr-FR"/>
        </w:rPr>
        <w:t xml:space="preserve"> la Convention internationale sur l</w:t>
      </w:r>
      <w:r>
        <w:rPr>
          <w:lang w:val="fr-FR"/>
        </w:rPr>
        <w:t>’</w:t>
      </w:r>
      <w:r w:rsidRPr="00DA3FC9">
        <w:rPr>
          <w:lang w:val="fr-FR"/>
        </w:rPr>
        <w:t>élimination de toutes les formes de discrimination raciale</w:t>
      </w:r>
      <w:r>
        <w:rPr>
          <w:lang w:val="fr-FR"/>
        </w:rPr>
        <w:t> ;</w:t>
      </w:r>
      <w:r w:rsidRPr="00DA3FC9">
        <w:rPr>
          <w:lang w:val="fr-FR"/>
        </w:rPr>
        <w:t xml:space="preserve"> la Convention sur l</w:t>
      </w:r>
      <w:r>
        <w:rPr>
          <w:lang w:val="fr-FR"/>
        </w:rPr>
        <w:t>’</w:t>
      </w:r>
      <w:r w:rsidRPr="00DA3FC9">
        <w:rPr>
          <w:lang w:val="fr-FR"/>
        </w:rPr>
        <w:t>élimination de toutes les formes de discrimination à l</w:t>
      </w:r>
      <w:r>
        <w:rPr>
          <w:lang w:val="fr-FR"/>
        </w:rPr>
        <w:t>’</w:t>
      </w:r>
      <w:r w:rsidRPr="00DA3FC9">
        <w:rPr>
          <w:lang w:val="fr-FR"/>
        </w:rPr>
        <w:t>égard des femmes</w:t>
      </w:r>
      <w:r>
        <w:rPr>
          <w:lang w:val="fr-FR"/>
        </w:rPr>
        <w:t> ;</w:t>
      </w:r>
      <w:r w:rsidRPr="00DA3FC9">
        <w:rPr>
          <w:lang w:val="fr-FR"/>
        </w:rPr>
        <w:t xml:space="preserve"> la Convention contre la torture et autres peines ou traitements cruels, inhumains ou dégradants</w:t>
      </w:r>
      <w:r>
        <w:rPr>
          <w:lang w:val="fr-FR"/>
        </w:rPr>
        <w:t> ;</w:t>
      </w:r>
      <w:r w:rsidRPr="00DA3FC9">
        <w:rPr>
          <w:lang w:val="fr-FR"/>
        </w:rPr>
        <w:t xml:space="preserve"> la Convention relative aux droits de l</w:t>
      </w:r>
      <w:r>
        <w:rPr>
          <w:lang w:val="fr-FR"/>
        </w:rPr>
        <w:t>’</w:t>
      </w:r>
      <w:r w:rsidRPr="00DA3FC9">
        <w:rPr>
          <w:lang w:val="fr-FR"/>
        </w:rPr>
        <w:t>enfant</w:t>
      </w:r>
      <w:r>
        <w:rPr>
          <w:lang w:val="fr-FR"/>
        </w:rPr>
        <w:t> ;</w:t>
      </w:r>
      <w:r w:rsidRPr="00DA3FC9">
        <w:rPr>
          <w:lang w:val="fr-FR"/>
        </w:rPr>
        <w:t xml:space="preserve"> la Convention internationale sur la protection des droits de tous les travailleurs migrants et des membres de leur famille</w:t>
      </w:r>
      <w:r>
        <w:rPr>
          <w:lang w:val="fr-FR"/>
        </w:rPr>
        <w:t> ;</w:t>
      </w:r>
      <w:r w:rsidRPr="00DA3FC9">
        <w:rPr>
          <w:lang w:val="fr-FR"/>
        </w:rPr>
        <w:t xml:space="preserve"> la Convention internationale pour la protection de toutes les personnes contre les disparitions forcées</w:t>
      </w:r>
      <w:r>
        <w:rPr>
          <w:lang w:val="fr-FR"/>
        </w:rPr>
        <w:t> ;</w:t>
      </w:r>
      <w:r w:rsidRPr="00DA3FC9">
        <w:rPr>
          <w:lang w:val="fr-FR"/>
        </w:rPr>
        <w:t xml:space="preserve">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87A58" w14:paraId="6A3D8A96" w14:textId="77777777" w:rsidTr="00787A58">
      <w:tblPrEx>
        <w:tblCellMar>
          <w:top w:w="0" w:type="dxa"/>
          <w:bottom w:w="0" w:type="dxa"/>
        </w:tblCellMar>
      </w:tblPrEx>
      <w:trPr>
        <w:trHeight w:hRule="exact" w:val="864"/>
      </w:trPr>
      <w:tc>
        <w:tcPr>
          <w:tcW w:w="4920" w:type="dxa"/>
          <w:shd w:val="clear" w:color="auto" w:fill="auto"/>
          <w:vAlign w:val="bottom"/>
        </w:tcPr>
        <w:p w14:paraId="0844F5C4" w14:textId="690440D0" w:rsidR="00787A58" w:rsidRPr="00787A58" w:rsidRDefault="00787A58" w:rsidP="00787A5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92FF5">
            <w:rPr>
              <w:b/>
              <w:color w:val="000000"/>
            </w:rPr>
            <w:t>CEDAW/C/LIE/CO/5/Rev.1</w:t>
          </w:r>
          <w:r>
            <w:rPr>
              <w:b/>
              <w:color w:val="000000"/>
            </w:rPr>
            <w:fldChar w:fldCharType="end"/>
          </w:r>
        </w:p>
      </w:tc>
      <w:tc>
        <w:tcPr>
          <w:tcW w:w="4920" w:type="dxa"/>
          <w:shd w:val="clear" w:color="auto" w:fill="auto"/>
          <w:vAlign w:val="bottom"/>
        </w:tcPr>
        <w:p w14:paraId="5895146D" w14:textId="77777777" w:rsidR="00787A58" w:rsidRDefault="00787A58" w:rsidP="00787A58">
          <w:pPr>
            <w:pStyle w:val="Header"/>
          </w:pPr>
        </w:p>
      </w:tc>
    </w:tr>
  </w:tbl>
  <w:p w14:paraId="55FA9966" w14:textId="77777777" w:rsidR="00787A58" w:rsidRPr="00787A58" w:rsidRDefault="00787A58" w:rsidP="00787A5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87A58" w14:paraId="2294D5C9" w14:textId="77777777" w:rsidTr="00787A58">
      <w:tblPrEx>
        <w:tblCellMar>
          <w:top w:w="0" w:type="dxa"/>
          <w:bottom w:w="0" w:type="dxa"/>
        </w:tblCellMar>
      </w:tblPrEx>
      <w:trPr>
        <w:trHeight w:hRule="exact" w:val="864"/>
      </w:trPr>
      <w:tc>
        <w:tcPr>
          <w:tcW w:w="4920" w:type="dxa"/>
          <w:shd w:val="clear" w:color="auto" w:fill="auto"/>
          <w:vAlign w:val="bottom"/>
        </w:tcPr>
        <w:p w14:paraId="4BFCCB71" w14:textId="77777777" w:rsidR="00787A58" w:rsidRDefault="00787A58" w:rsidP="00787A58">
          <w:pPr>
            <w:pStyle w:val="Header"/>
          </w:pPr>
        </w:p>
      </w:tc>
      <w:tc>
        <w:tcPr>
          <w:tcW w:w="4920" w:type="dxa"/>
          <w:shd w:val="clear" w:color="auto" w:fill="auto"/>
          <w:vAlign w:val="bottom"/>
        </w:tcPr>
        <w:p w14:paraId="3C159228" w14:textId="5FCC5445" w:rsidR="00787A58" w:rsidRPr="00787A58" w:rsidRDefault="00787A58" w:rsidP="00787A5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92FF5">
            <w:rPr>
              <w:b/>
              <w:color w:val="000000"/>
            </w:rPr>
            <w:t>CEDAW/C/LIE/CO/5/Rev.1</w:t>
          </w:r>
          <w:r>
            <w:rPr>
              <w:b/>
              <w:color w:val="000000"/>
            </w:rPr>
            <w:fldChar w:fldCharType="end"/>
          </w:r>
        </w:p>
      </w:tc>
    </w:tr>
  </w:tbl>
  <w:p w14:paraId="42DA3DE9" w14:textId="77777777" w:rsidR="00787A58" w:rsidRPr="00787A58" w:rsidRDefault="00787A58" w:rsidP="00787A5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87A58" w:rsidRPr="00A351F4" w14:paraId="1B438D2D" w14:textId="77777777" w:rsidTr="00787A58">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416AD1FC" w14:textId="77777777" w:rsidR="00787A58" w:rsidRDefault="00787A58" w:rsidP="00787A58">
          <w:pPr>
            <w:pStyle w:val="Header"/>
            <w:spacing w:after="120"/>
          </w:pPr>
        </w:p>
      </w:tc>
      <w:tc>
        <w:tcPr>
          <w:tcW w:w="2059" w:type="dxa"/>
          <w:tcBorders>
            <w:bottom w:val="single" w:sz="4" w:space="0" w:color="auto"/>
          </w:tcBorders>
          <w:shd w:val="clear" w:color="auto" w:fill="auto"/>
          <w:vAlign w:val="bottom"/>
        </w:tcPr>
        <w:p w14:paraId="3A0680A5" w14:textId="77777777" w:rsidR="00787A58" w:rsidRPr="00787A58" w:rsidRDefault="00787A58" w:rsidP="00787A5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6821A73" w14:textId="77777777" w:rsidR="00787A58" w:rsidRDefault="00787A58" w:rsidP="00787A58">
          <w:pPr>
            <w:pStyle w:val="Header"/>
            <w:spacing w:after="120"/>
          </w:pPr>
        </w:p>
      </w:tc>
      <w:tc>
        <w:tcPr>
          <w:tcW w:w="6466" w:type="dxa"/>
          <w:gridSpan w:val="3"/>
          <w:tcBorders>
            <w:bottom w:val="single" w:sz="4" w:space="0" w:color="auto"/>
          </w:tcBorders>
          <w:shd w:val="clear" w:color="auto" w:fill="auto"/>
          <w:vAlign w:val="bottom"/>
        </w:tcPr>
        <w:p w14:paraId="683D85D1" w14:textId="77777777" w:rsidR="00787A58" w:rsidRPr="00A351F4" w:rsidRDefault="00787A58" w:rsidP="00787A58">
          <w:pPr>
            <w:spacing w:after="80" w:line="240" w:lineRule="auto"/>
            <w:jc w:val="right"/>
            <w:rPr>
              <w:position w:val="-4"/>
              <w:lang w:val="en-US"/>
            </w:rPr>
          </w:pPr>
          <w:r w:rsidRPr="00A351F4">
            <w:rPr>
              <w:position w:val="-4"/>
              <w:sz w:val="40"/>
              <w:lang w:val="en-US"/>
            </w:rPr>
            <w:t>CEDAW</w:t>
          </w:r>
          <w:r w:rsidRPr="00A351F4">
            <w:rPr>
              <w:position w:val="-4"/>
              <w:lang w:val="en-US"/>
            </w:rPr>
            <w:t>/C/LIE/CO/5/Rev.1</w:t>
          </w:r>
        </w:p>
      </w:tc>
    </w:tr>
    <w:tr w:rsidR="00787A58" w:rsidRPr="00787A58" w14:paraId="7EF6D1E4" w14:textId="77777777" w:rsidTr="00787A5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098BC08E" w14:textId="77777777" w:rsidR="00787A58" w:rsidRPr="00787A58" w:rsidRDefault="00787A58" w:rsidP="00787A58">
          <w:pPr>
            <w:pStyle w:val="Header"/>
            <w:spacing w:before="120" w:line="240" w:lineRule="auto"/>
            <w:ind w:left="-72"/>
            <w:jc w:val="center"/>
          </w:pPr>
          <w:r>
            <w:t xml:space="preserve">  </w:t>
          </w:r>
          <w:r>
            <w:rPr>
              <w:noProof/>
            </w:rPr>
            <w:drawing>
              <wp:inline distT="0" distB="0" distL="0" distR="0" wp14:anchorId="43EAEB62" wp14:editId="2654D47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166CCD2" w14:textId="77777777" w:rsidR="00787A58" w:rsidRPr="00787A58" w:rsidRDefault="00787A58" w:rsidP="00787A58">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FCC67D5" w14:textId="77777777" w:rsidR="00787A58" w:rsidRPr="00A351F4" w:rsidRDefault="00787A58" w:rsidP="00787A58">
          <w:pPr>
            <w:pStyle w:val="Header"/>
            <w:spacing w:before="109"/>
            <w:rPr>
              <w:lang w:val="fr-CA"/>
            </w:rPr>
          </w:pPr>
        </w:p>
      </w:tc>
      <w:tc>
        <w:tcPr>
          <w:tcW w:w="3110" w:type="dxa"/>
          <w:tcBorders>
            <w:top w:val="single" w:sz="4" w:space="0" w:color="auto"/>
            <w:bottom w:val="single" w:sz="12" w:space="0" w:color="auto"/>
          </w:tcBorders>
          <w:shd w:val="clear" w:color="auto" w:fill="auto"/>
        </w:tcPr>
        <w:p w14:paraId="0FB84487" w14:textId="77777777" w:rsidR="00787A58" w:rsidRPr="00A351F4" w:rsidRDefault="00787A58" w:rsidP="00787A58">
          <w:pPr>
            <w:pStyle w:val="Distribution"/>
            <w:rPr>
              <w:color w:val="000000"/>
              <w:lang w:val="fr-CA"/>
            </w:rPr>
          </w:pPr>
          <w:r w:rsidRPr="00A351F4">
            <w:rPr>
              <w:color w:val="000000"/>
              <w:lang w:val="fr-CA"/>
            </w:rPr>
            <w:t>Distr. générale</w:t>
          </w:r>
        </w:p>
        <w:p w14:paraId="2B29A31F" w14:textId="77777777" w:rsidR="00787A58" w:rsidRPr="00A351F4" w:rsidRDefault="00787A58" w:rsidP="00787A58">
          <w:pPr>
            <w:pStyle w:val="Publication"/>
            <w:rPr>
              <w:color w:val="000000"/>
              <w:lang w:val="fr-CA"/>
            </w:rPr>
          </w:pPr>
          <w:r w:rsidRPr="00A351F4">
            <w:rPr>
              <w:color w:val="000000"/>
              <w:lang w:val="fr-CA"/>
            </w:rPr>
            <w:t>3 décembre 2018</w:t>
          </w:r>
        </w:p>
        <w:p w14:paraId="776398F3" w14:textId="77777777" w:rsidR="00787A58" w:rsidRPr="00A351F4" w:rsidRDefault="00787A58" w:rsidP="00787A58">
          <w:r w:rsidRPr="00A351F4">
            <w:t>Français</w:t>
          </w:r>
        </w:p>
        <w:p w14:paraId="42EFA76D" w14:textId="77777777" w:rsidR="00787A58" w:rsidRPr="00A351F4" w:rsidRDefault="00787A58" w:rsidP="00787A58">
          <w:pPr>
            <w:pStyle w:val="Original"/>
            <w:rPr>
              <w:color w:val="000000"/>
              <w:lang w:val="fr-CA"/>
            </w:rPr>
          </w:pPr>
          <w:r w:rsidRPr="00A351F4">
            <w:rPr>
              <w:color w:val="000000"/>
              <w:lang w:val="fr-CA"/>
            </w:rPr>
            <w:t>Original : anglais</w:t>
          </w:r>
        </w:p>
      </w:tc>
    </w:tr>
  </w:tbl>
  <w:p w14:paraId="5DDF1B1A" w14:textId="77777777" w:rsidR="00787A58" w:rsidRPr="00A351F4" w:rsidRDefault="00787A58" w:rsidP="00787A58">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ECF61A5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D924EE14"/>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DCEC060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A7006"/>
    <w:multiLevelType w:val="singleLevel"/>
    <w:tmpl w:val="AEE2AA30"/>
    <w:lvl w:ilvl="0">
      <w:start w:val="1"/>
      <w:numFmt w:val="decimal"/>
      <w:lvlRestart w:val="0"/>
      <w:lvlText w:val="%1."/>
      <w:lvlJc w:val="left"/>
      <w:pPr>
        <w:tabs>
          <w:tab w:val="num" w:pos="475"/>
        </w:tabs>
        <w:ind w:left="0" w:firstLine="0"/>
      </w:pPr>
      <w:rPr>
        <w:w w:val="100"/>
      </w:rPr>
    </w:lvl>
  </w:abstractNum>
  <w:abstractNum w:abstractNumId="4" w15:restartNumberingAfterBreak="0">
    <w:nsid w:val="341D7AD8"/>
    <w:multiLevelType w:val="singleLevel"/>
    <w:tmpl w:val="F0DCBD7E"/>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DEA2B00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948CF"/>
    <w:multiLevelType w:val="singleLevel"/>
    <w:tmpl w:val="5E0ECEDE"/>
    <w:lvl w:ilvl="0">
      <w:start w:val="48"/>
      <w:numFmt w:val="decimal"/>
      <w:lvlRestart w:val="0"/>
      <w:lvlText w:val="%1."/>
      <w:lvlJc w:val="left"/>
      <w:pPr>
        <w:tabs>
          <w:tab w:val="num" w:pos="1742"/>
        </w:tabs>
        <w:ind w:left="1267" w:firstLine="0"/>
      </w:pPr>
      <w:rPr>
        <w:w w:val="100"/>
      </w:rPr>
    </w:lvl>
  </w:abstractNum>
  <w:abstractNum w:abstractNumId="7" w15:restartNumberingAfterBreak="0">
    <w:nsid w:val="693E3F85"/>
    <w:multiLevelType w:val="hybridMultilevel"/>
    <w:tmpl w:val="3CAE5696"/>
    <w:lvl w:ilvl="0" w:tplc="C8981E3C">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7"/>
  </w:num>
  <w:num w:numId="31">
    <w:abstractNumId w:val="3"/>
    <w:lvlOverride w:ilvl="0">
      <w:lvl w:ilvl="0">
        <w:start w:val="1"/>
        <w:numFmt w:val="decimal"/>
        <w:lvlRestart w:val="0"/>
        <w:lvlText w:val="%1."/>
        <w:lvlJc w:val="left"/>
        <w:pPr>
          <w:tabs>
            <w:tab w:val="num" w:pos="475"/>
          </w:tabs>
          <w:ind w:left="0" w:firstLine="0"/>
        </w:pPr>
        <w:rPr>
          <w:w w:val="100"/>
        </w:rPr>
      </w:lvl>
    </w:lvlOverride>
  </w:num>
  <w:num w:numId="32">
    <w:abstractNumId w:val="3"/>
    <w:lvlOverride w:ilvl="0">
      <w:lvl w:ilvl="0">
        <w:start w:val="1"/>
        <w:numFmt w:val="decimal"/>
        <w:lvlRestart w:val="0"/>
        <w:lvlText w:val="%1."/>
        <w:lvlJc w:val="left"/>
        <w:pPr>
          <w:tabs>
            <w:tab w:val="num" w:pos="475"/>
          </w:tabs>
          <w:ind w:left="0" w:firstLine="0"/>
        </w:pPr>
        <w:rPr>
          <w:b w:val="0"/>
          <w:bCs/>
          <w:w w:val="100"/>
        </w:rPr>
      </w:lvl>
    </w:lvlOverride>
  </w:num>
  <w:num w:numId="33">
    <w:abstractNumId w:val="3"/>
    <w:lvlOverride w:ilvl="0">
      <w:lvl w:ilvl="0">
        <w:start w:val="1"/>
        <w:numFmt w:val="decimal"/>
        <w:lvlRestart w:val="0"/>
        <w:lvlText w:val="%1."/>
        <w:lvlJc w:val="left"/>
        <w:pPr>
          <w:tabs>
            <w:tab w:val="num" w:pos="475"/>
          </w:tabs>
          <w:ind w:left="0" w:firstLine="0"/>
        </w:pPr>
        <w:rPr>
          <w:b w:val="0"/>
          <w:bCs w:val="0"/>
          <w:w w:val="100"/>
        </w:rPr>
      </w:lvl>
    </w:lvlOverride>
  </w:num>
  <w:num w:numId="34">
    <w:abstractNumId w:val="3"/>
    <w:lvlOverride w:ilvl="0">
      <w:lvl w:ilvl="0">
        <w:start w:val="1"/>
        <w:numFmt w:val="decimal"/>
        <w:lvlRestart w:val="0"/>
        <w:lvlText w:val="%1."/>
        <w:lvlJc w:val="left"/>
        <w:pPr>
          <w:tabs>
            <w:tab w:val="num" w:pos="475"/>
          </w:tabs>
          <w:ind w:left="0" w:firstLine="0"/>
        </w:pPr>
        <w:rPr>
          <w:w w:val="100"/>
        </w:rPr>
      </w:lvl>
    </w:lvlOverride>
  </w:num>
  <w:num w:numId="35">
    <w:abstractNumId w:val="3"/>
    <w:lvlOverride w:ilvl="0">
      <w:lvl w:ilvl="0">
        <w:start w:val="1"/>
        <w:numFmt w:val="decimal"/>
        <w:lvlRestart w:val="0"/>
        <w:lvlText w:val="%1."/>
        <w:lvlJc w:val="left"/>
        <w:pPr>
          <w:tabs>
            <w:tab w:val="num" w:pos="475"/>
          </w:tabs>
          <w:ind w:left="0" w:firstLine="0"/>
        </w:pPr>
        <w:rPr>
          <w:w w:val="100"/>
        </w:rPr>
      </w:lvl>
    </w:lvlOverride>
  </w:num>
  <w:num w:numId="36">
    <w:abstractNumId w:val="3"/>
    <w:lvlOverride w:ilvl="0">
      <w:lvl w:ilvl="0">
        <w:start w:val="1"/>
        <w:numFmt w:val="decimal"/>
        <w:lvlRestart w:val="0"/>
        <w:lvlText w:val="%1."/>
        <w:lvlJc w:val="left"/>
        <w:pPr>
          <w:tabs>
            <w:tab w:val="num" w:pos="475"/>
          </w:tabs>
          <w:ind w:left="0" w:firstLine="0"/>
        </w:pPr>
        <w:rPr>
          <w:w w:val="100"/>
        </w:rPr>
      </w:lvl>
    </w:lvlOverride>
  </w:num>
  <w:num w:numId="37">
    <w:abstractNumId w:val="3"/>
    <w:lvlOverride w:ilvl="0">
      <w:lvl w:ilvl="0">
        <w:start w:val="1"/>
        <w:numFmt w:val="decimal"/>
        <w:lvlRestart w:val="0"/>
        <w:lvlText w:val="%1."/>
        <w:lvlJc w:val="left"/>
        <w:pPr>
          <w:tabs>
            <w:tab w:val="num" w:pos="475"/>
          </w:tabs>
          <w:ind w:left="0" w:firstLine="0"/>
        </w:pPr>
        <w:rPr>
          <w:w w:val="100"/>
        </w:rPr>
      </w:lvl>
    </w:lvlOverride>
  </w:num>
  <w:num w:numId="38">
    <w:abstractNumId w:val="3"/>
    <w:lvlOverride w:ilvl="0">
      <w:lvl w:ilvl="0">
        <w:start w:val="1"/>
        <w:numFmt w:val="decimal"/>
        <w:lvlRestart w:val="0"/>
        <w:lvlText w:val="%1."/>
        <w:lvlJc w:val="left"/>
        <w:pPr>
          <w:tabs>
            <w:tab w:val="num" w:pos="475"/>
          </w:tabs>
          <w:ind w:left="0" w:firstLine="0"/>
        </w:pPr>
        <w:rPr>
          <w:w w:val="100"/>
        </w:rPr>
      </w:lvl>
    </w:lvlOverride>
  </w:num>
  <w:num w:numId="39">
    <w:abstractNumId w:val="4"/>
  </w:num>
  <w:num w:numId="4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0762*"/>
    <w:docVar w:name="CreationDt" w:val="04/12/2018 1:52: PM"/>
    <w:docVar w:name="DocCategory" w:val="Doc"/>
    <w:docVar w:name="DocType" w:val="Final"/>
    <w:docVar w:name="DutyStation" w:val="New York"/>
    <w:docVar w:name="FooterJN" w:val="18-20762"/>
    <w:docVar w:name="jobn" w:val="18-20762 (F)"/>
    <w:docVar w:name="jobnDT" w:val="18-20762 (F)   041218"/>
    <w:docVar w:name="jobnDTDT" w:val="18-20762 (F)   041218   041218"/>
    <w:docVar w:name="JobNo" w:val="1820762F"/>
    <w:docVar w:name="JobNo2" w:val="1841112F"/>
    <w:docVar w:name="LocalDrive" w:val="0"/>
    <w:docVar w:name="OandT" w:val="CMA"/>
    <w:docVar w:name="sss1" w:val="CEDAW/C/LIE/CO/5/Rev.1"/>
    <w:docVar w:name="sss2" w:val="-"/>
    <w:docVar w:name="Symbol1" w:val="CEDAW/C/LIE/CO/5/Rev.1"/>
    <w:docVar w:name="Symbol2" w:val="-"/>
  </w:docVars>
  <w:rsids>
    <w:rsidRoot w:val="00EA317E"/>
    <w:rsid w:val="00002584"/>
    <w:rsid w:val="00071D43"/>
    <w:rsid w:val="00082144"/>
    <w:rsid w:val="00101B18"/>
    <w:rsid w:val="00122A56"/>
    <w:rsid w:val="00134FEE"/>
    <w:rsid w:val="00146C6A"/>
    <w:rsid w:val="00166A0D"/>
    <w:rsid w:val="0018501D"/>
    <w:rsid w:val="001A1437"/>
    <w:rsid w:val="001E4B50"/>
    <w:rsid w:val="002478A0"/>
    <w:rsid w:val="002A5E20"/>
    <w:rsid w:val="002F2155"/>
    <w:rsid w:val="00366D21"/>
    <w:rsid w:val="00392FF5"/>
    <w:rsid w:val="003A675A"/>
    <w:rsid w:val="003F61E1"/>
    <w:rsid w:val="00440C93"/>
    <w:rsid w:val="00480B84"/>
    <w:rsid w:val="004B64F9"/>
    <w:rsid w:val="004C1A25"/>
    <w:rsid w:val="004D78C4"/>
    <w:rsid w:val="00515991"/>
    <w:rsid w:val="005225EC"/>
    <w:rsid w:val="00525097"/>
    <w:rsid w:val="005509B6"/>
    <w:rsid w:val="005C73B7"/>
    <w:rsid w:val="005F1F5F"/>
    <w:rsid w:val="00641A98"/>
    <w:rsid w:val="00690698"/>
    <w:rsid w:val="00694F68"/>
    <w:rsid w:val="006E4A4B"/>
    <w:rsid w:val="007459AE"/>
    <w:rsid w:val="007531A5"/>
    <w:rsid w:val="00771C9E"/>
    <w:rsid w:val="00787A58"/>
    <w:rsid w:val="0082045E"/>
    <w:rsid w:val="008222A3"/>
    <w:rsid w:val="00835050"/>
    <w:rsid w:val="008F3462"/>
    <w:rsid w:val="00935932"/>
    <w:rsid w:val="00993CB7"/>
    <w:rsid w:val="009D0EE3"/>
    <w:rsid w:val="00A2494D"/>
    <w:rsid w:val="00A351F4"/>
    <w:rsid w:val="00A536A1"/>
    <w:rsid w:val="00AB0B7D"/>
    <w:rsid w:val="00AC0A8B"/>
    <w:rsid w:val="00AD5F2F"/>
    <w:rsid w:val="00B606AE"/>
    <w:rsid w:val="00B858D5"/>
    <w:rsid w:val="00C2488D"/>
    <w:rsid w:val="00C6257D"/>
    <w:rsid w:val="00CB06FB"/>
    <w:rsid w:val="00CB63C5"/>
    <w:rsid w:val="00D30EED"/>
    <w:rsid w:val="00E01B91"/>
    <w:rsid w:val="00E343A6"/>
    <w:rsid w:val="00E7105F"/>
    <w:rsid w:val="00EA317E"/>
    <w:rsid w:val="00EE37EC"/>
    <w:rsid w:val="00EF2DFA"/>
    <w:rsid w:val="00F5012D"/>
    <w:rsid w:val="00F563F2"/>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05999"/>
  <w15:chartTrackingRefBased/>
  <w15:docId w15:val="{E71AC11D-530E-48B3-ABF8-21A8E148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57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6257D"/>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6257D"/>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6257D"/>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6257D"/>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6257D"/>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6257D"/>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6257D"/>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6257D"/>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6257D"/>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6257D"/>
    <w:pPr>
      <w:keepNext/>
      <w:keepLines/>
      <w:suppressAutoHyphens/>
      <w:spacing w:line="270" w:lineRule="exact"/>
      <w:outlineLvl w:val="0"/>
    </w:pPr>
    <w:rPr>
      <w:b/>
      <w:sz w:val="24"/>
    </w:rPr>
  </w:style>
  <w:style w:type="paragraph" w:customStyle="1" w:styleId="HCH">
    <w:name w:val="_ H _CH"/>
    <w:basedOn w:val="H1"/>
    <w:next w:val="Normal"/>
    <w:qFormat/>
    <w:rsid w:val="00C6257D"/>
    <w:pPr>
      <w:spacing w:line="300" w:lineRule="exact"/>
    </w:pPr>
    <w:rPr>
      <w:spacing w:val="-2"/>
      <w:sz w:val="28"/>
    </w:rPr>
  </w:style>
  <w:style w:type="paragraph" w:customStyle="1" w:styleId="HM">
    <w:name w:val="_ H __M"/>
    <w:basedOn w:val="HCH"/>
    <w:next w:val="Normal"/>
    <w:qFormat/>
    <w:rsid w:val="00C6257D"/>
    <w:pPr>
      <w:spacing w:line="360" w:lineRule="exact"/>
    </w:pPr>
    <w:rPr>
      <w:spacing w:val="-3"/>
      <w:w w:val="99"/>
      <w:sz w:val="34"/>
    </w:rPr>
  </w:style>
  <w:style w:type="paragraph" w:customStyle="1" w:styleId="H23">
    <w:name w:val="_ H_2/3"/>
    <w:basedOn w:val="H1"/>
    <w:next w:val="Normal"/>
    <w:qFormat/>
    <w:rsid w:val="00C6257D"/>
    <w:pPr>
      <w:spacing w:line="240" w:lineRule="exact"/>
      <w:outlineLvl w:val="1"/>
    </w:pPr>
    <w:rPr>
      <w:spacing w:val="2"/>
      <w:sz w:val="20"/>
    </w:rPr>
  </w:style>
  <w:style w:type="paragraph" w:customStyle="1" w:styleId="H4">
    <w:name w:val="_ H_4"/>
    <w:basedOn w:val="Normal"/>
    <w:next w:val="Normal"/>
    <w:qFormat/>
    <w:rsid w:val="00C6257D"/>
    <w:pPr>
      <w:keepNext/>
      <w:keepLines/>
      <w:tabs>
        <w:tab w:val="right" w:pos="360"/>
      </w:tabs>
      <w:suppressAutoHyphens/>
      <w:outlineLvl w:val="3"/>
    </w:pPr>
    <w:rPr>
      <w:i/>
      <w:spacing w:val="3"/>
    </w:rPr>
  </w:style>
  <w:style w:type="paragraph" w:customStyle="1" w:styleId="H56">
    <w:name w:val="_ H_5/6"/>
    <w:basedOn w:val="Normal"/>
    <w:next w:val="Normal"/>
    <w:qFormat/>
    <w:rsid w:val="00C6257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6257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6257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6257D"/>
    <w:pPr>
      <w:spacing w:line="540" w:lineRule="exact"/>
    </w:pPr>
    <w:rPr>
      <w:spacing w:val="-8"/>
      <w:w w:val="96"/>
      <w:sz w:val="57"/>
    </w:rPr>
  </w:style>
  <w:style w:type="paragraph" w:customStyle="1" w:styleId="SS">
    <w:name w:val="__S_S"/>
    <w:basedOn w:val="HCH"/>
    <w:next w:val="Normal"/>
    <w:qFormat/>
    <w:rsid w:val="00C6257D"/>
    <w:pPr>
      <w:ind w:left="1267" w:right="1267"/>
    </w:pPr>
  </w:style>
  <w:style w:type="paragraph" w:customStyle="1" w:styleId="SingleTxt">
    <w:name w:val="__Single Txt"/>
    <w:basedOn w:val="Normal"/>
    <w:qFormat/>
    <w:rsid w:val="00C625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6257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625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6257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625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257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6257D"/>
    <w:pPr>
      <w:numPr>
        <w:numId w:val="17"/>
      </w:numPr>
      <w:spacing w:after="120"/>
      <w:ind w:right="1267"/>
      <w:jc w:val="both"/>
    </w:pPr>
  </w:style>
  <w:style w:type="paragraph" w:customStyle="1" w:styleId="Bullet2">
    <w:name w:val="Bullet 2"/>
    <w:basedOn w:val="Normal"/>
    <w:qFormat/>
    <w:rsid w:val="00C6257D"/>
    <w:pPr>
      <w:numPr>
        <w:numId w:val="18"/>
      </w:numPr>
      <w:spacing w:after="120"/>
      <w:ind w:right="1264"/>
      <w:jc w:val="both"/>
    </w:pPr>
  </w:style>
  <w:style w:type="paragraph" w:customStyle="1" w:styleId="Bullet3">
    <w:name w:val="Bullet 3"/>
    <w:basedOn w:val="SingleTxt"/>
    <w:qFormat/>
    <w:rsid w:val="00C6257D"/>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6257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6257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6257D"/>
    <w:pPr>
      <w:spacing w:line="210" w:lineRule="exact"/>
    </w:pPr>
    <w:rPr>
      <w:sz w:val="17"/>
      <w:szCs w:val="20"/>
    </w:rPr>
  </w:style>
  <w:style w:type="character" w:customStyle="1" w:styleId="EndnoteTextChar">
    <w:name w:val="Endnote Text Char"/>
    <w:link w:val="EndnoteText"/>
    <w:uiPriority w:val="99"/>
    <w:semiHidden/>
    <w:rsid w:val="00C6257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6257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6257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C6257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6257D"/>
    <w:pPr>
      <w:spacing w:line="210" w:lineRule="exact"/>
    </w:pPr>
    <w:rPr>
      <w:sz w:val="17"/>
      <w:szCs w:val="20"/>
    </w:rPr>
  </w:style>
  <w:style w:type="character" w:customStyle="1" w:styleId="FootnoteTextChar">
    <w:name w:val="Footnote Text Char"/>
    <w:link w:val="FootnoteText"/>
    <w:uiPriority w:val="99"/>
    <w:rsid w:val="00C6257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6257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6257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6257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6257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6257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6257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6257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6257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6257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6257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6257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6257D"/>
    <w:rPr>
      <w:sz w:val="14"/>
    </w:rPr>
  </w:style>
  <w:style w:type="paragraph" w:styleId="ListParagraph">
    <w:name w:val="List Paragraph"/>
    <w:basedOn w:val="Normal"/>
    <w:uiPriority w:val="34"/>
    <w:rsid w:val="00C6257D"/>
    <w:pPr>
      <w:ind w:left="720"/>
      <w:contextualSpacing/>
    </w:pPr>
  </w:style>
  <w:style w:type="paragraph" w:styleId="NoSpacing">
    <w:name w:val="No Spacing"/>
    <w:uiPriority w:val="1"/>
    <w:rsid w:val="00C6257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6257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6257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6257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6257D"/>
    <w:pPr>
      <w:tabs>
        <w:tab w:val="right" w:pos="9965"/>
      </w:tabs>
      <w:spacing w:line="210" w:lineRule="exact"/>
    </w:pPr>
    <w:rPr>
      <w:spacing w:val="5"/>
      <w:w w:val="104"/>
      <w:sz w:val="17"/>
    </w:rPr>
  </w:style>
  <w:style w:type="paragraph" w:customStyle="1" w:styleId="SmallX">
    <w:name w:val="SmallX"/>
    <w:basedOn w:val="Small"/>
    <w:next w:val="Normal"/>
    <w:qFormat/>
    <w:rsid w:val="00C6257D"/>
    <w:pPr>
      <w:spacing w:line="180" w:lineRule="exact"/>
      <w:jc w:val="right"/>
    </w:pPr>
    <w:rPr>
      <w:spacing w:val="6"/>
      <w:w w:val="106"/>
      <w:sz w:val="14"/>
    </w:rPr>
  </w:style>
  <w:style w:type="character" w:styleId="Strong">
    <w:name w:val="Strong"/>
    <w:uiPriority w:val="22"/>
    <w:rsid w:val="00C6257D"/>
    <w:rPr>
      <w:b/>
      <w:bCs/>
    </w:rPr>
  </w:style>
  <w:style w:type="paragraph" w:customStyle="1" w:styleId="Style1">
    <w:name w:val="Style1"/>
    <w:basedOn w:val="Normal"/>
    <w:qFormat/>
    <w:rsid w:val="00C6257D"/>
  </w:style>
  <w:style w:type="paragraph" w:customStyle="1" w:styleId="Style2">
    <w:name w:val="Style2"/>
    <w:basedOn w:val="Normal"/>
    <w:autoRedefine/>
    <w:qFormat/>
    <w:rsid w:val="00C6257D"/>
  </w:style>
  <w:style w:type="paragraph" w:customStyle="1" w:styleId="TitleHCH">
    <w:name w:val="Title_H_CH"/>
    <w:basedOn w:val="H1"/>
    <w:next w:val="Normal"/>
    <w:qFormat/>
    <w:rsid w:val="00C625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625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6257D"/>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787A58"/>
    <w:rPr>
      <w:sz w:val="16"/>
      <w:szCs w:val="16"/>
    </w:rPr>
  </w:style>
  <w:style w:type="paragraph" w:styleId="CommentText">
    <w:name w:val="annotation text"/>
    <w:basedOn w:val="Normal"/>
    <w:link w:val="CommentTextChar"/>
    <w:uiPriority w:val="99"/>
    <w:semiHidden/>
    <w:unhideWhenUsed/>
    <w:rsid w:val="00787A58"/>
    <w:pPr>
      <w:spacing w:line="240" w:lineRule="auto"/>
    </w:pPr>
    <w:rPr>
      <w:szCs w:val="20"/>
    </w:rPr>
  </w:style>
  <w:style w:type="character" w:customStyle="1" w:styleId="CommentTextChar">
    <w:name w:val="Comment Text Char"/>
    <w:basedOn w:val="DefaultParagraphFont"/>
    <w:link w:val="CommentText"/>
    <w:uiPriority w:val="99"/>
    <w:semiHidden/>
    <w:rsid w:val="00787A5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87A58"/>
    <w:rPr>
      <w:b/>
      <w:bCs/>
    </w:rPr>
  </w:style>
  <w:style w:type="character" w:customStyle="1" w:styleId="CommentSubjectChar">
    <w:name w:val="Comment Subject Char"/>
    <w:basedOn w:val="CommentTextChar"/>
    <w:link w:val="CommentSubject"/>
    <w:uiPriority w:val="99"/>
    <w:semiHidden/>
    <w:rsid w:val="00787A58"/>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351F4"/>
    <w:rPr>
      <w:color w:val="0000FF" w:themeColor="hyperlink"/>
      <w:u w:val="none"/>
    </w:rPr>
  </w:style>
  <w:style w:type="character" w:styleId="FollowedHyperlink">
    <w:name w:val="FollowedHyperlink"/>
    <w:basedOn w:val="DefaultParagraphFont"/>
    <w:uiPriority w:val="99"/>
    <w:semiHidden/>
    <w:unhideWhenUsed/>
    <w:rsid w:val="00A351F4"/>
    <w:rPr>
      <w:color w:val="0000FF"/>
      <w:u w:val="none"/>
    </w:rPr>
  </w:style>
  <w:style w:type="character" w:styleId="UnresolvedMention">
    <w:name w:val="Unresolved Mention"/>
    <w:basedOn w:val="DefaultParagraphFont"/>
    <w:uiPriority w:val="99"/>
    <w:semiHidden/>
    <w:unhideWhenUsed/>
    <w:rsid w:val="00A351F4"/>
    <w:rPr>
      <w:color w:val="808080"/>
      <w:shd w:val="clear" w:color="auto" w:fill="E6E6E6"/>
    </w:rPr>
  </w:style>
  <w:style w:type="paragraph" w:styleId="Revision">
    <w:name w:val="Revision"/>
    <w:hidden/>
    <w:uiPriority w:val="99"/>
    <w:semiHidden/>
    <w:rsid w:val="00A351F4"/>
    <w:pPr>
      <w:spacing w:after="0" w:line="240" w:lineRule="auto"/>
    </w:pPr>
    <w:rPr>
      <w:rFonts w:ascii="Times New Roman" w:eastAsiaTheme="minorHAnsi" w:hAnsi="Times New Roman" w:cs="Times New Roman"/>
      <w:spacing w:val="4"/>
      <w:w w:val="103"/>
      <w:kern w:val="14"/>
      <w:sz w:val="20"/>
      <w:lang w:val="fr-CA"/>
    </w:rPr>
  </w:style>
  <w:style w:type="table" w:styleId="TableGrid">
    <w:name w:val="Table Grid"/>
    <w:basedOn w:val="TableNormal"/>
    <w:uiPriority w:val="59"/>
    <w:rsid w:val="00A351F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LIE/CO/4/Add.1" TargetMode="External"/><Relationship Id="rId3" Type="http://schemas.openxmlformats.org/officeDocument/2006/relationships/settings" Target="settings.xml"/><Relationship Id="rId21" Type="http://schemas.openxmlformats.org/officeDocument/2006/relationships/hyperlink" Target="https://undocs.org/fr/CEDAW/C/LIE/CO/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LIE/QPR/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fr/CEDAW/C/SR.1607" TargetMode="External"/><Relationship Id="rId20" Type="http://schemas.openxmlformats.org/officeDocument/2006/relationships/hyperlink" Target="https://undocs.org/fr/CEDAW/C/LIE/CO/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fr/CEDAW/C/LIE/5" TargetMode="External"/><Relationship Id="rId23" Type="http://schemas.openxmlformats.org/officeDocument/2006/relationships/hyperlink" Target="https://undocs.org/fr/HRI/GEN/2/Rev.6" TargetMode="External"/><Relationship Id="rId10" Type="http://schemas.openxmlformats.org/officeDocument/2006/relationships/footer" Target="footer2.xml"/><Relationship Id="rId19" Type="http://schemas.openxmlformats.org/officeDocument/2006/relationships/hyperlink" Target="https://undocs.org/fr/CEDAW/C/LIE/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LIE/CO/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6173</Words>
  <Characters>33587</Characters>
  <Application>Microsoft Office Word</Application>
  <DocSecurity>0</DocSecurity>
  <Lines>645</Lines>
  <Paragraphs>167</Paragraphs>
  <ScaleCrop>false</ScaleCrop>
  <Company/>
  <LinksUpToDate>false</LinksUpToDate>
  <CharactersWithSpaces>39593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Caroline Martineau</cp:lastModifiedBy>
  <cp:revision>3</cp:revision>
  <cp:lastPrinted>2018-12-04T19:03:00Z</cp:lastPrinted>
  <dcterms:created xsi:type="dcterms:W3CDTF">2018-12-04T19:03:00Z</dcterms:created>
  <dcterms:modified xsi:type="dcterms:W3CDTF">2018-12-04T19:03:00Z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1820762F</vt:lpwstr>
  </property>
  <property fmtid="{D5CDD505-2E9C-101B-9397-08002B2CF9AE}" pid="3" name="ODSRefJobNo">
    <vt:lpwstr>1841112F</vt:lpwstr>
  </property>
  <property fmtid="{D5CDD505-2E9C-101B-9397-08002B2CF9AE}" pid="4" name="Symbol1">
    <vt:lpwstr>CEDAW/C/LIE/CO/5/Rev.1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3 décembre 2018</vt:lpwstr>
  </property>
  <property fmtid="{D5CDD505-2E9C-101B-9397-08002B2CF9AE}" pid="11" name="Release Date">
    <vt:lpwstr>041218</vt:lpwstr>
  </property>
  <property fmtid="{D5CDD505-2E9C-101B-9397-08002B2CF9AE}" pid="12" name="Title1">
    <vt:lpwstr>		Observations finales concernant le cinquième rapport périodique du Liechtenstein*_x000d_</vt:lpwstr>
  </property>
  <property fmtid="{D5CDD505-2E9C-101B-9397-08002B2CF9AE}" pid="13" name="Comment">
    <vt:lpwstr/>
  </property>
  <property fmtid="{D5CDD505-2E9C-101B-9397-08002B2CF9AE}" pid="14" name="DraftPages">
    <vt:lpwstr> 13</vt:lpwstr>
  </property>
  <property fmtid="{D5CDD505-2E9C-101B-9397-08002B2CF9AE}" pid="15" name="Operator">
    <vt:lpwstr>CMA</vt:lpwstr>
  </property>
</Properties>
</file>