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42F7" w14:textId="77777777" w:rsidR="0018172E" w:rsidRDefault="0018172E" w:rsidP="0018172E">
      <w:pPr>
        <w:spacing w:line="60" w:lineRule="exact"/>
        <w:rPr>
          <w:color w:val="010000"/>
          <w:sz w:val="2"/>
        </w:rPr>
        <w:sectPr w:rsidR="0018172E" w:rsidSect="008166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>
        <w:rPr>
          <w:rStyle w:val="CommentReference"/>
        </w:rPr>
        <w:commentReference w:id="0"/>
      </w:r>
    </w:p>
    <w:p w14:paraId="16725E94" w14:textId="799CAB0F" w:rsidR="00E12491" w:rsidRDefault="00E12491" w:rsidP="00550F8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12491">
        <w:t>Комитет по ликвидации дискриминации</w:t>
      </w:r>
      <w:r w:rsidR="00550F8B">
        <w:br/>
      </w:r>
      <w:r w:rsidRPr="00E12491">
        <w:t>в отношении женщин</w:t>
      </w:r>
    </w:p>
    <w:p w14:paraId="0A5B4F12" w14:textId="6BF51950" w:rsidR="00550F8B" w:rsidRPr="00550F8B" w:rsidRDefault="00550F8B" w:rsidP="00550F8B">
      <w:pPr>
        <w:pStyle w:val="SingleTxt"/>
        <w:spacing w:after="0" w:line="120" w:lineRule="exact"/>
        <w:rPr>
          <w:sz w:val="10"/>
        </w:rPr>
      </w:pPr>
    </w:p>
    <w:p w14:paraId="34D8FF9C" w14:textId="03D2CCBB" w:rsidR="00550F8B" w:rsidRPr="00550F8B" w:rsidRDefault="00550F8B" w:rsidP="00550F8B">
      <w:pPr>
        <w:pStyle w:val="SingleTxt"/>
        <w:spacing w:after="0" w:line="120" w:lineRule="exact"/>
        <w:rPr>
          <w:sz w:val="10"/>
        </w:rPr>
      </w:pPr>
    </w:p>
    <w:p w14:paraId="4904D93B" w14:textId="5A0E8838" w:rsidR="00550F8B" w:rsidRPr="00550F8B" w:rsidRDefault="00550F8B" w:rsidP="00550F8B">
      <w:pPr>
        <w:pStyle w:val="SingleTxt"/>
        <w:spacing w:after="0" w:line="120" w:lineRule="exact"/>
        <w:rPr>
          <w:sz w:val="10"/>
        </w:rPr>
      </w:pPr>
    </w:p>
    <w:p w14:paraId="3CA319AD" w14:textId="1AE605FB" w:rsidR="00E12491" w:rsidRDefault="00A6521C" w:rsidP="00A6521C">
      <w:pPr>
        <w:pStyle w:val="TitleHCH"/>
        <w:rPr>
          <w:vertAlign w:val="superscript"/>
        </w:rPr>
      </w:pPr>
      <w:r>
        <w:tab/>
      </w:r>
      <w:r>
        <w:tab/>
      </w:r>
      <w:r w:rsidR="00E12491" w:rsidRPr="00E12491">
        <w:t>Заключительные замечания по объединенным четвертому</w:t>
      </w:r>
      <w:r w:rsidR="004A662E" w:rsidRPr="004A662E">
        <w:t>–</w:t>
      </w:r>
      <w:r w:rsidR="00E12491" w:rsidRPr="00E12491">
        <w:t>седьмому периодическим докладам Латвии</w:t>
      </w:r>
      <w:r w:rsidR="00E12491" w:rsidRPr="00360A87">
        <w:rPr>
          <w:b w:val="0"/>
          <w:sz w:val="20"/>
          <w:vertAlign w:val="superscript"/>
        </w:rPr>
        <w:footnoteReference w:customMarkFollows="1" w:id="1"/>
        <w:t>*</w:t>
      </w:r>
    </w:p>
    <w:p w14:paraId="49873E6D" w14:textId="6472C266" w:rsidR="00A6521C" w:rsidRPr="00A6521C" w:rsidRDefault="00A6521C" w:rsidP="00A6521C">
      <w:pPr>
        <w:pStyle w:val="SingleTxt"/>
        <w:spacing w:after="0" w:line="120" w:lineRule="exact"/>
        <w:rPr>
          <w:sz w:val="10"/>
        </w:rPr>
      </w:pPr>
    </w:p>
    <w:p w14:paraId="2198A4FD" w14:textId="77FE40E5" w:rsidR="00A6521C" w:rsidRPr="00A6521C" w:rsidRDefault="00A6521C" w:rsidP="00A6521C">
      <w:pPr>
        <w:pStyle w:val="SingleTxt"/>
        <w:spacing w:after="0" w:line="120" w:lineRule="exact"/>
        <w:rPr>
          <w:sz w:val="10"/>
        </w:rPr>
      </w:pPr>
    </w:p>
    <w:p w14:paraId="581CC761" w14:textId="21058FB5" w:rsidR="00E12491" w:rsidRDefault="00E12491" w:rsidP="00E12491">
      <w:pPr>
        <w:pStyle w:val="SingleTxt"/>
      </w:pPr>
      <w:r w:rsidRPr="00E12491">
        <w:t>1.</w:t>
      </w:r>
      <w:r w:rsidRPr="00E12491">
        <w:tab/>
        <w:t>Комитет рассмотрел объединенные четвертый</w:t>
      </w:r>
      <w:r w:rsidR="004A662E" w:rsidRPr="004A662E">
        <w:t>–</w:t>
      </w:r>
      <w:r w:rsidRPr="00E12491">
        <w:t>седьмой периодические доклады Латвии (</w:t>
      </w:r>
      <w:hyperlink r:id="rId16" w:history="1">
        <w:r w:rsidRPr="004A662E">
          <w:rPr>
            <w:rStyle w:val="Hyperlink"/>
          </w:rPr>
          <w:t>CEDAW/C/</w:t>
        </w:r>
        <w:r w:rsidRPr="004A662E">
          <w:rPr>
            <w:rStyle w:val="Hyperlink"/>
            <w:lang w:val="en-US"/>
          </w:rPr>
          <w:t>LVA</w:t>
        </w:r>
        <w:r w:rsidRPr="004A662E">
          <w:rPr>
            <w:rStyle w:val="Hyperlink"/>
          </w:rPr>
          <w:t>/4-7</w:t>
        </w:r>
      </w:hyperlink>
      <w:r w:rsidRPr="00E12491">
        <w:t>) на свои</w:t>
      </w:r>
      <w:bookmarkStart w:id="1" w:name="_GoBack"/>
      <w:bookmarkEnd w:id="1"/>
      <w:r w:rsidRPr="00E12491">
        <w:t>х 1749-м и 1750-м заседаниях (см.</w:t>
      </w:r>
      <w:r w:rsidR="004A662E">
        <w:rPr>
          <w:lang w:val="en-US"/>
        </w:rPr>
        <w:t> </w:t>
      </w:r>
      <w:hyperlink r:id="rId17" w:history="1">
        <w:r w:rsidRPr="004A662E">
          <w:rPr>
            <w:rStyle w:val="Hyperlink"/>
          </w:rPr>
          <w:t>CEDAW/C/SR.1749</w:t>
        </w:r>
      </w:hyperlink>
      <w:r w:rsidRPr="00E12491">
        <w:t xml:space="preserve"> и </w:t>
      </w:r>
      <w:hyperlink r:id="rId18" w:history="1">
        <w:r w:rsidRPr="004A662E">
          <w:rPr>
            <w:rStyle w:val="Hyperlink"/>
          </w:rPr>
          <w:t>CEDAW/C/1750</w:t>
        </w:r>
      </w:hyperlink>
      <w:r w:rsidRPr="00E12491">
        <w:t xml:space="preserve">), состоявшихся 11 февраля 2020 года. Перечень тем и вопросов, поднятых предсессионной рабочей группой, содержится в документе </w:t>
      </w:r>
      <w:hyperlink r:id="rId19" w:history="1">
        <w:r w:rsidRPr="004A662E">
          <w:rPr>
            <w:rStyle w:val="Hyperlink"/>
          </w:rPr>
          <w:t>CEDAW/C/</w:t>
        </w:r>
        <w:r w:rsidRPr="004A662E">
          <w:rPr>
            <w:rStyle w:val="Hyperlink"/>
            <w:lang w:val="en-US"/>
          </w:rPr>
          <w:t>LVA</w:t>
        </w:r>
        <w:r w:rsidRPr="004A662E">
          <w:rPr>
            <w:rStyle w:val="Hyperlink"/>
          </w:rPr>
          <w:t>/Q/4-7</w:t>
        </w:r>
      </w:hyperlink>
      <w:r w:rsidRPr="00E12491">
        <w:t>, а ответы Латвии</w:t>
      </w:r>
      <w:r w:rsidR="00360A87">
        <w:rPr>
          <w:lang w:val="en-US"/>
        </w:rPr>
        <w:t> </w:t>
      </w:r>
      <w:r w:rsidRPr="00E12491">
        <w:t>— в документе</w:t>
      </w:r>
      <w:r w:rsidR="004A662E">
        <w:rPr>
          <w:lang w:val="en-US"/>
        </w:rPr>
        <w:t> </w:t>
      </w:r>
      <w:hyperlink r:id="rId20" w:history="1">
        <w:r w:rsidRPr="004A662E">
          <w:rPr>
            <w:rStyle w:val="Hyperlink"/>
          </w:rPr>
          <w:t>CEDAW/C/</w:t>
        </w:r>
        <w:r w:rsidRPr="004A662E">
          <w:rPr>
            <w:rStyle w:val="Hyperlink"/>
            <w:lang w:val="en-US"/>
          </w:rPr>
          <w:t>LVA</w:t>
        </w:r>
        <w:r w:rsidRPr="004A662E">
          <w:rPr>
            <w:rStyle w:val="Hyperlink"/>
          </w:rPr>
          <w:t>/Q/4-7/Add.1</w:t>
        </w:r>
      </w:hyperlink>
      <w:r w:rsidRPr="00E12491">
        <w:t>.</w:t>
      </w:r>
    </w:p>
    <w:p w14:paraId="27664A3B" w14:textId="1A3A72C2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4F512E3A" w14:textId="78675849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6319C3A8" w14:textId="4BFA0728" w:rsidR="00E12491" w:rsidRDefault="00360A87" w:rsidP="00360A8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12491" w:rsidRPr="00E12491">
        <w:t>A.</w:t>
      </w:r>
      <w:r w:rsidR="00E12491" w:rsidRPr="00E12491">
        <w:tab/>
        <w:t>Введение</w:t>
      </w:r>
    </w:p>
    <w:p w14:paraId="51F15AFA" w14:textId="333C13AB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22CB61B6" w14:textId="6F704DBE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6E73E1B0" w14:textId="11332E8D" w:rsidR="00E12491" w:rsidRPr="00E12491" w:rsidRDefault="00E12491" w:rsidP="00E12491">
      <w:pPr>
        <w:pStyle w:val="SingleTxt"/>
      </w:pPr>
      <w:r w:rsidRPr="00E12491">
        <w:t>2.</w:t>
      </w:r>
      <w:r w:rsidRPr="00E12491">
        <w:tab/>
        <w:t>Комитет признателен государству — участнику за представление им своих объединенных четвертого</w:t>
      </w:r>
      <w:r w:rsidR="004A662E" w:rsidRPr="004A662E">
        <w:t>–</w:t>
      </w:r>
      <w:r w:rsidRPr="00E12491">
        <w:t>седьмого периодических докладов, однако при этом он выражает сожаление в связи с тем, что данный документ был представлен с задержкой более чем в 10 лет. Кроме того, Комитет благодарит государство-участник за письменные ответы на перечень проблем и вопросов, поднятых предсессионной рабочей группой. Он приветствует устное выступление делегации и последовавшие уточнения, представленные в ответ на вопросы, заданные Комитетом в устной форме в ходе диалога и в письменной форме после его окончания.</w:t>
      </w:r>
    </w:p>
    <w:p w14:paraId="6EA61F16" w14:textId="7BA37281" w:rsidR="00E12491" w:rsidRDefault="00E12491" w:rsidP="00E12491">
      <w:pPr>
        <w:pStyle w:val="SingleTxt"/>
      </w:pPr>
      <w:r w:rsidRPr="00E12491">
        <w:t>3.</w:t>
      </w:r>
      <w:r w:rsidRPr="00E12491">
        <w:tab/>
        <w:t>Комитет выражает признательность многопрофильной делегации государства-участника во главе с заместителем спикера парламента Инесе Либиня-Эгнере, в состав которой были включены представители Министерства внутренних дел, Министерства юстиции, Министерства социального обеспечения, Министерства культуры, Министерства здравоохранения, Министерства образования и науки, государственной полиции и Постоянного представительства Латвии при Отделении Организации Объединенных Наций и других международных организациях в Женеве.</w:t>
      </w:r>
    </w:p>
    <w:p w14:paraId="486CBB18" w14:textId="0E5267DB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0A66F1C3" w14:textId="2A5577F8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42720CC1" w14:textId="77777777" w:rsidR="00360A87" w:rsidRDefault="00360A87">
      <w:pPr>
        <w:spacing w:after="200" w:line="276" w:lineRule="auto"/>
        <w:rPr>
          <w:b/>
          <w:sz w:val="24"/>
        </w:rPr>
      </w:pPr>
      <w:r>
        <w:br w:type="page"/>
      </w:r>
    </w:p>
    <w:p w14:paraId="76037C76" w14:textId="2C600E3F" w:rsidR="00E12491" w:rsidRDefault="00360A87" w:rsidP="00360A8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E12491" w:rsidRPr="00E12491">
        <w:t>B.</w:t>
      </w:r>
      <w:r w:rsidR="00E12491" w:rsidRPr="00E12491">
        <w:tab/>
        <w:t>Позитивные аспекты</w:t>
      </w:r>
    </w:p>
    <w:p w14:paraId="7C0F6152" w14:textId="75159034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574A2030" w14:textId="51C1B0AC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7ECAA33D" w14:textId="77777777" w:rsidR="00E12491" w:rsidRPr="00E12491" w:rsidRDefault="00E12491" w:rsidP="00E12491">
      <w:pPr>
        <w:pStyle w:val="SingleTxt"/>
      </w:pPr>
      <w:r w:rsidRPr="00E12491">
        <w:t>4.</w:t>
      </w:r>
      <w:r w:rsidRPr="00E12491">
        <w:tab/>
        <w:t xml:space="preserve">Комитет приветствует прогресс в проведении законодательных реформ, достигнутый с момента рассмотрения в 2004 году объединенных первоначального, второго и третьего периодических докладов государства-участника, и в частности следующие достижения: </w:t>
      </w:r>
    </w:p>
    <w:p w14:paraId="3EE55C69" w14:textId="331E3AC0" w:rsidR="00E12491" w:rsidRPr="00E12491" w:rsidRDefault="00360A87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  <w:t xml:space="preserve">принятие Закона о прекращении действия статуса негражданина в отношении детей в 2019 году; </w:t>
      </w:r>
    </w:p>
    <w:p w14:paraId="00170EBA" w14:textId="29C09A96" w:rsidR="00E12491" w:rsidRPr="00E12491" w:rsidRDefault="00360A87" w:rsidP="00E12491">
      <w:pPr>
        <w:pStyle w:val="SingleTxt"/>
      </w:pPr>
      <w:r>
        <w:tab/>
      </w:r>
      <w:r w:rsidR="00E12491" w:rsidRPr="00E12491">
        <w:t>b)</w:t>
      </w:r>
      <w:r w:rsidR="00E12491" w:rsidRPr="00E12491">
        <w:tab/>
        <w:t>принятие Закона об омбудсмене, учреждающего Управление омбудсмена, в 2006 году;</w:t>
      </w:r>
    </w:p>
    <w:p w14:paraId="0F9C9C3D" w14:textId="5CF7473B" w:rsidR="00E12491" w:rsidRPr="00E12491" w:rsidRDefault="00360A87" w:rsidP="00E12491">
      <w:pPr>
        <w:pStyle w:val="SingleTxt"/>
      </w:pPr>
      <w:r>
        <w:tab/>
      </w:r>
      <w:r w:rsidR="00E12491" w:rsidRPr="00E12491">
        <w:t>c)</w:t>
      </w:r>
      <w:r w:rsidR="00E12491" w:rsidRPr="00E12491">
        <w:tab/>
        <w:t>принятие поправок к Уголовному закону и Закону о порядке вступления в силу и применения Уголовного закона по следующим вопросам:</w:t>
      </w:r>
    </w:p>
    <w:p w14:paraId="06227927" w14:textId="15747B00" w:rsidR="00E12491" w:rsidRPr="00E12491" w:rsidRDefault="00360A87" w:rsidP="00360A87">
      <w:pPr>
        <w:pStyle w:val="SingleTxt"/>
        <w:ind w:left="1742" w:hanging="475"/>
      </w:pPr>
      <w:r>
        <w:tab/>
      </w:r>
      <w:r w:rsidR="00E12491" w:rsidRPr="00E12491">
        <w:t>i)</w:t>
      </w:r>
      <w:r w:rsidR="00E12491" w:rsidRPr="00E12491">
        <w:tab/>
        <w:t xml:space="preserve">укрепление защиты от гендерного насилия в отношении женщин и девочек, включая сексуальное насилие и насилие в семье, и установление уголовной ответственности за калечащие операции на женских половых органах, преследование (запугивание) и психологическое насилие — поправки приняты в 2017 и 2018 годах, соответственно; </w:t>
      </w:r>
    </w:p>
    <w:p w14:paraId="738E75A5" w14:textId="309F7D4D" w:rsidR="00E12491" w:rsidRPr="00E12491" w:rsidRDefault="00360A87" w:rsidP="00360A87">
      <w:pPr>
        <w:pStyle w:val="SingleTxt"/>
        <w:ind w:left="1742" w:hanging="475"/>
      </w:pPr>
      <w:r>
        <w:tab/>
      </w:r>
      <w:r w:rsidR="00E12491" w:rsidRPr="00E12491">
        <w:t>ii)</w:t>
      </w:r>
      <w:r w:rsidR="00E12491" w:rsidRPr="00E12491">
        <w:tab/>
        <w:t>криминализация принудительных браков и браков по расчету в целях борьбы с торговлей людьми — поправка принята в 2013 году;</w:t>
      </w:r>
    </w:p>
    <w:p w14:paraId="3B443698" w14:textId="6F19CDA8" w:rsidR="00E12491" w:rsidRPr="00E12491" w:rsidRDefault="00360A87" w:rsidP="00360A87">
      <w:pPr>
        <w:pStyle w:val="SingleTxt"/>
        <w:ind w:left="1742" w:hanging="475"/>
      </w:pPr>
      <w:r>
        <w:tab/>
      </w:r>
      <w:r w:rsidR="00E12491" w:rsidRPr="00E12491">
        <w:t>iii)</w:t>
      </w:r>
      <w:r w:rsidR="00E12491" w:rsidRPr="00E12491">
        <w:tab/>
        <w:t>борьба с принудительной проституцией</w:t>
      </w:r>
      <w:r w:rsidRPr="00360A87">
        <w:t xml:space="preserve"> </w:t>
      </w:r>
      <w:r w:rsidR="00E12491" w:rsidRPr="00E12491">
        <w:t>— поправки приняты в период с 2007 по 2014 годы;</w:t>
      </w:r>
    </w:p>
    <w:p w14:paraId="42EF2C07" w14:textId="44B9A390" w:rsidR="00E12491" w:rsidRPr="00E12491" w:rsidRDefault="00360A87" w:rsidP="00E12491">
      <w:pPr>
        <w:pStyle w:val="SingleTxt"/>
      </w:pPr>
      <w:r>
        <w:tab/>
      </w:r>
      <w:r w:rsidR="00E12491" w:rsidRPr="00E12491">
        <w:t>d)</w:t>
      </w:r>
      <w:r w:rsidR="00E12491" w:rsidRPr="00E12491">
        <w:tab/>
        <w:t xml:space="preserve">принятие в 2016 году поправок к Уголовно-процессуальному кодексу, направленных на облегчение участия жертв, включая жертв гендерного насилия в отношении женщин, в уголовном судопроизводстве, и введение ex officio уголовного преследования за изнасилование, сексуальное насилие и умышленное причинение легких телесных повреждений, а также установление новой категории </w:t>
      </w:r>
      <w:r>
        <w:t>«</w:t>
      </w:r>
      <w:r w:rsidR="00E12491" w:rsidRPr="00E12491">
        <w:t>жертв, пользующихся особой защитой</w:t>
      </w:r>
      <w:r>
        <w:t>»</w:t>
      </w:r>
      <w:r w:rsidR="00E12491" w:rsidRPr="00E12491">
        <w:t>, включая детей, жертв сексуального насилия, насилия в семье или насилия со стороны интимного партнера, а также жертв торговли людьми;</w:t>
      </w:r>
    </w:p>
    <w:p w14:paraId="6C78D4F8" w14:textId="24169835" w:rsidR="00E12491" w:rsidRPr="00E12491" w:rsidRDefault="00360A87" w:rsidP="00E12491">
      <w:pPr>
        <w:pStyle w:val="SingleTxt"/>
      </w:pPr>
      <w:r>
        <w:tab/>
      </w:r>
      <w:r w:rsidR="00E12491" w:rsidRPr="00E12491">
        <w:t>e)</w:t>
      </w:r>
      <w:r w:rsidR="00E12491" w:rsidRPr="00E12491">
        <w:tab/>
        <w:t xml:space="preserve">принятие в 2015 году поправок к Закону о социальных услугах и социальной помощи, предусматривающих предоставление взрослым и детям, включая беженцев и </w:t>
      </w:r>
      <w:r w:rsidR="00B62DFA">
        <w:t>«</w:t>
      </w:r>
      <w:r w:rsidR="00E12491" w:rsidRPr="00E12491">
        <w:t>лиц с альтернативным статусом</w:t>
      </w:r>
      <w:r w:rsidR="00B62DFA">
        <w:t>»</w:t>
      </w:r>
      <w:r w:rsidR="00E12491" w:rsidRPr="00E12491">
        <w:t>, пострадавшим от насилия, в том числе насилия в семье, а также лицам, совершившим такое насилие, финансируемых государством услуг по социальной реабилитации;</w:t>
      </w:r>
    </w:p>
    <w:p w14:paraId="728F126C" w14:textId="2CAA1697" w:rsidR="00E12491" w:rsidRPr="00E12491" w:rsidRDefault="00B62DFA" w:rsidP="00E12491">
      <w:pPr>
        <w:pStyle w:val="SingleTxt"/>
      </w:pPr>
      <w:r>
        <w:tab/>
      </w:r>
      <w:r w:rsidR="00E12491" w:rsidRPr="00E12491">
        <w:t>f)</w:t>
      </w:r>
      <w:r w:rsidR="00E12491" w:rsidRPr="00E12491">
        <w:tab/>
        <w:t>принятие в 2014 году поправок к Гражданскому кодексу, Гражданскому процессуальному кодексу, Уголовному кодексу, Закону о защите прав детей, Закону о сиротских судах и судах по делам об опеке, Закону о полиции и Кодексу об административных правонарушениях, обязывающих суды и полицию принимать временные меры для защиты жертв насилия, включая насилие в семье, и обязывающих полицию возбуждать уголовное преследование в отношении виновного в случае нарушения судебного защитного предписания;</w:t>
      </w:r>
    </w:p>
    <w:p w14:paraId="75C29B76" w14:textId="3248AE95" w:rsidR="00E12491" w:rsidRPr="00E12491" w:rsidRDefault="00360A87" w:rsidP="00E12491">
      <w:pPr>
        <w:pStyle w:val="SingleTxt"/>
      </w:pPr>
      <w:r>
        <w:tab/>
      </w:r>
      <w:r w:rsidR="00E12491" w:rsidRPr="00E12491">
        <w:t>g)</w:t>
      </w:r>
      <w:r w:rsidR="00E12491" w:rsidRPr="00E12491">
        <w:tab/>
        <w:t>принятие в 2013 году поправок к положениям Закона о защите прав детей, уточняющих, что жестокое обращение с родственником ребенка в его присутствии представляет собой эмоциональное насилие в отношении ребенка;</w:t>
      </w:r>
    </w:p>
    <w:p w14:paraId="45D3032A" w14:textId="295E56B5" w:rsidR="00E12491" w:rsidRPr="00E12491" w:rsidRDefault="00360A87" w:rsidP="00E12491">
      <w:pPr>
        <w:pStyle w:val="SingleTxt"/>
      </w:pPr>
      <w:r>
        <w:tab/>
      </w:r>
      <w:r w:rsidR="00E12491" w:rsidRPr="00E12491">
        <w:t>h)</w:t>
      </w:r>
      <w:r w:rsidR="00E12491" w:rsidRPr="00E12491">
        <w:tab/>
        <w:t>принятие в 2013 году поправок к Закону об ограничении порнографии, расширяющих определение детской порнографии, с тем чтобы оно включало порнографические представления с участием девочек или мальчиков;</w:t>
      </w:r>
    </w:p>
    <w:p w14:paraId="4B2D417E" w14:textId="233129A9" w:rsidR="00E12491" w:rsidRPr="00E12491" w:rsidRDefault="00360A87" w:rsidP="00E12491">
      <w:pPr>
        <w:pStyle w:val="SingleTxt"/>
      </w:pPr>
      <w:r>
        <w:tab/>
      </w:r>
      <w:r w:rsidR="00E12491" w:rsidRPr="00E12491">
        <w:t>i)</w:t>
      </w:r>
      <w:r w:rsidR="00E12491" w:rsidRPr="00E12491">
        <w:tab/>
        <w:t>принятие в 2012 году поправок к положениям Гражданского кодекса, разрешающих судам расторгать брак, если причиной его распада является физическое, сексуальное, психологическое или экономическое насилие со стороны одного из супругов по отношению к другому супругу, который потребовал расторжения брака, или по отношению к их ребенку;</w:t>
      </w:r>
    </w:p>
    <w:p w14:paraId="22365372" w14:textId="3017EBF2" w:rsidR="00E12491" w:rsidRPr="00E12491" w:rsidRDefault="00360A87" w:rsidP="00E12491">
      <w:pPr>
        <w:pStyle w:val="SingleTxt"/>
      </w:pPr>
      <w:r>
        <w:tab/>
      </w:r>
      <w:r w:rsidR="00E12491" w:rsidRPr="00E12491">
        <w:t>j)</w:t>
      </w:r>
      <w:r w:rsidR="00E12491" w:rsidRPr="00E12491">
        <w:tab/>
        <w:t>принятие в период с 2006 по 2018 годы поправок к Закону о труде, закрепляющих равное обращение с женщинами и мужчинами в сфере занятости.</w:t>
      </w:r>
    </w:p>
    <w:p w14:paraId="192BF9A2" w14:textId="77777777" w:rsidR="00E12491" w:rsidRPr="00E12491" w:rsidRDefault="00E12491" w:rsidP="00E12491">
      <w:pPr>
        <w:pStyle w:val="SingleTxt"/>
      </w:pPr>
      <w:r w:rsidRPr="00E12491">
        <w:t>5.</w:t>
      </w:r>
      <w:r w:rsidRPr="00E12491">
        <w:tab/>
        <w:t>Комитет приветствует усилия государства-участника по совершенствованию своей институциональной и нормативно-правовой базы, направленные на ускорение процесса ликвидации дискриминации в отношении женщин и содействие обеспечению гендерного равенства, и в частности принятие следующих документов:</w:t>
      </w:r>
    </w:p>
    <w:p w14:paraId="47147EB0" w14:textId="75FE2977" w:rsidR="00E12491" w:rsidRPr="00E12491" w:rsidRDefault="00360A87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  <w:t>принятие в 2017 году плана поощрения равных прав и возможностей для женщин и мужчин на период 2018</w:t>
      </w:r>
      <w:r>
        <w:t>–</w:t>
      </w:r>
      <w:r w:rsidR="00E12491" w:rsidRPr="00E12491">
        <w:t>2020 годов;</w:t>
      </w:r>
      <w:bookmarkStart w:id="2" w:name="_Hlk32580265"/>
      <w:bookmarkEnd w:id="2"/>
    </w:p>
    <w:p w14:paraId="784D00AC" w14:textId="07BE012E" w:rsidR="00E12491" w:rsidRPr="00E12491" w:rsidRDefault="00360A87" w:rsidP="00E12491">
      <w:pPr>
        <w:pStyle w:val="SingleTxt"/>
      </w:pPr>
      <w:r>
        <w:tab/>
      </w:r>
      <w:r w:rsidR="00E12491" w:rsidRPr="00E12491">
        <w:t>b)</w:t>
      </w:r>
      <w:r w:rsidR="00E12491" w:rsidRPr="00E12491">
        <w:tab/>
        <w:t>принятие в 2017 году плана укрепления здоровья матери и ребенка на период 2018</w:t>
      </w:r>
      <w:r>
        <w:t>–</w:t>
      </w:r>
      <w:r w:rsidR="00E12491" w:rsidRPr="00E12491">
        <w:t>2020 годов и принятие в 2011 году предыдущего плана на период 2012</w:t>
      </w:r>
      <w:r>
        <w:t>–</w:t>
      </w:r>
      <w:r w:rsidR="00E12491" w:rsidRPr="00E12491">
        <w:t>2014 годов;</w:t>
      </w:r>
    </w:p>
    <w:p w14:paraId="3D1FC56A" w14:textId="204AD9F6" w:rsidR="00E12491" w:rsidRPr="00E12491" w:rsidRDefault="00360A87" w:rsidP="00E12491">
      <w:pPr>
        <w:pStyle w:val="SingleTxt"/>
      </w:pPr>
      <w:r>
        <w:tab/>
      </w:r>
      <w:r w:rsidR="00E12491" w:rsidRPr="00E12491">
        <w:t>c)</w:t>
      </w:r>
      <w:r w:rsidR="00E12491" w:rsidRPr="00E12491">
        <w:tab/>
        <w:t>принятие в 2017 году плана совершенствования медицинского обслуживания в сфере онкологии на период 2017</w:t>
      </w:r>
      <w:r>
        <w:t>–</w:t>
      </w:r>
      <w:r w:rsidR="00E12491" w:rsidRPr="00E12491">
        <w:t>2020 годов;</w:t>
      </w:r>
    </w:p>
    <w:p w14:paraId="06E541F6" w14:textId="43E9F860" w:rsidR="00E12491" w:rsidRPr="00E12491" w:rsidRDefault="00360A87" w:rsidP="00E12491">
      <w:pPr>
        <w:pStyle w:val="SingleTxt"/>
      </w:pPr>
      <w:r>
        <w:tab/>
      </w:r>
      <w:r w:rsidR="00E12491" w:rsidRPr="00E12491">
        <w:t>d)</w:t>
      </w:r>
      <w:r w:rsidR="00E12491" w:rsidRPr="00E12491">
        <w:tab/>
        <w:t>принятие в 2017 году плана действий по искоренению ВИЧ-инфекции, инфекционных заболеваний, передающихся половым путем, и вирусов гепатита В и С на период 2018</w:t>
      </w:r>
      <w:r>
        <w:t>–</w:t>
      </w:r>
      <w:r w:rsidR="00E12491" w:rsidRPr="00E12491">
        <w:t>2020 годов, а также соответствующих программ и руководящих принципов;</w:t>
      </w:r>
    </w:p>
    <w:p w14:paraId="242034AA" w14:textId="5FF18E50" w:rsidR="00E12491" w:rsidRPr="00E12491" w:rsidRDefault="00360A87" w:rsidP="00E12491">
      <w:pPr>
        <w:pStyle w:val="SingleTxt"/>
      </w:pPr>
      <w:r>
        <w:tab/>
      </w:r>
      <w:r w:rsidR="00E12491" w:rsidRPr="00E12491">
        <w:t>e)</w:t>
      </w:r>
      <w:r w:rsidR="00E12491" w:rsidRPr="00E12491">
        <w:tab/>
        <w:t>принятие в 2013 году национальной стратегии по предотвращению торговли людьми на период 2014</w:t>
      </w:r>
      <w:r>
        <w:t>–</w:t>
      </w:r>
      <w:r w:rsidR="00E12491" w:rsidRPr="00E12491">
        <w:t>2020 годов.</w:t>
      </w:r>
    </w:p>
    <w:p w14:paraId="02911D60" w14:textId="77777777" w:rsidR="00E12491" w:rsidRPr="00E12491" w:rsidRDefault="00E12491" w:rsidP="00E12491">
      <w:pPr>
        <w:pStyle w:val="SingleTxt"/>
      </w:pPr>
      <w:r w:rsidRPr="00E12491">
        <w:t>6.</w:t>
      </w:r>
      <w:r w:rsidRPr="00E12491">
        <w:tab/>
        <w:t>Комитет с удовлетворением отмечает, что со времени рассмотрения предыдущих докладов государство-участник ратифицировало следующие международные и региональные соглашения или присоединилось к ним:</w:t>
      </w:r>
    </w:p>
    <w:p w14:paraId="1420A785" w14:textId="4AD1730F" w:rsidR="00E12491" w:rsidRPr="00E12491" w:rsidRDefault="00360A87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  <w:t>Конвенция Совета Европы о защите детей от сексуальной эксплуатации и сексуальных надругательств (в 2014 году);</w:t>
      </w:r>
    </w:p>
    <w:p w14:paraId="43C76346" w14:textId="6037EA07" w:rsidR="00E12491" w:rsidRPr="00E12491" w:rsidRDefault="00360A87" w:rsidP="00E12491">
      <w:pPr>
        <w:pStyle w:val="SingleTxt"/>
      </w:pPr>
      <w:r>
        <w:tab/>
      </w:r>
      <w:r w:rsidR="00E12491" w:rsidRPr="00E12491">
        <w:t>b)</w:t>
      </w:r>
      <w:r w:rsidR="00E12491" w:rsidRPr="00E12491">
        <w:tab/>
        <w:t>второй Факультативный протокол к Международному пакту о гражданских и политических правах, направленный на отмену смертной казни (в 2013 году);</w:t>
      </w:r>
    </w:p>
    <w:p w14:paraId="5338499F" w14:textId="5C19F7BE" w:rsidR="00E12491" w:rsidRPr="00E12491" w:rsidRDefault="00360A87" w:rsidP="00E12491">
      <w:pPr>
        <w:pStyle w:val="SingleTxt"/>
      </w:pPr>
      <w:r>
        <w:tab/>
      </w:r>
      <w:r w:rsidR="00E12491" w:rsidRPr="00E12491">
        <w:t>c)</w:t>
      </w:r>
      <w:r w:rsidR="00E12491" w:rsidRPr="00E12491">
        <w:tab/>
        <w:t>Конвенция о правах инвалидов и Факультативный протокол к ней (в 2010 году);</w:t>
      </w:r>
    </w:p>
    <w:p w14:paraId="316D46C2" w14:textId="6B420EC2" w:rsidR="00E12491" w:rsidRPr="00E12491" w:rsidRDefault="00360A87" w:rsidP="00E12491">
      <w:pPr>
        <w:pStyle w:val="SingleTxt"/>
      </w:pPr>
      <w:r>
        <w:tab/>
      </w:r>
      <w:r w:rsidR="00E12491" w:rsidRPr="00E12491">
        <w:t>d)</w:t>
      </w:r>
      <w:r w:rsidR="00E12491" w:rsidRPr="00E12491">
        <w:tab/>
        <w:t>Конвенция Совета Европы о противодействии торговле людьми (в 2008 году);</w:t>
      </w:r>
    </w:p>
    <w:p w14:paraId="48404CD4" w14:textId="1855E469" w:rsidR="00E12491" w:rsidRPr="00E12491" w:rsidRDefault="00360A87" w:rsidP="00E12491">
      <w:pPr>
        <w:pStyle w:val="SingleTxt"/>
      </w:pPr>
      <w:r>
        <w:tab/>
      </w:r>
      <w:r w:rsidR="00E12491" w:rsidRPr="00E12491">
        <w:t>e)</w:t>
      </w:r>
      <w:r w:rsidR="00E12491" w:rsidRPr="00E12491">
        <w:tab/>
        <w:t>Факультативный протокол к Конвенции о правах ребенка, касающийся торговли детьми, детской проституции и детской порнографии (в 2006</w:t>
      </w:r>
      <w:r>
        <w:t> </w:t>
      </w:r>
      <w:r w:rsidR="00E12491" w:rsidRPr="00E12491">
        <w:t>году);</w:t>
      </w:r>
    </w:p>
    <w:p w14:paraId="65D03E60" w14:textId="32284E6A" w:rsidR="00E12491" w:rsidRDefault="00360A87" w:rsidP="00E12491">
      <w:pPr>
        <w:pStyle w:val="SingleTxt"/>
      </w:pPr>
      <w:r>
        <w:tab/>
      </w:r>
      <w:r w:rsidR="00E12491" w:rsidRPr="00E12491">
        <w:t>f)</w:t>
      </w:r>
      <w:r w:rsidR="00E12491" w:rsidRPr="00E12491">
        <w:tab/>
        <w:t>Факультативный протокол к Конвенции о правах ребенка, касающийся участия детей в вооруженных конфликтах (в 2005 году).</w:t>
      </w:r>
    </w:p>
    <w:p w14:paraId="4F5500D0" w14:textId="0B0D1045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0F35DF57" w14:textId="20C5CFE5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4F3CFD4B" w14:textId="41271BC3" w:rsidR="004340E9" w:rsidRDefault="00360A87" w:rsidP="00DC5B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>
        <w:tab/>
      </w:r>
      <w:r w:rsidR="004340E9">
        <w:br w:type="page"/>
      </w:r>
    </w:p>
    <w:p w14:paraId="00F5CF28" w14:textId="3DB0C29F" w:rsidR="00E12491" w:rsidRDefault="00DC5B92" w:rsidP="00360A8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12491" w:rsidRPr="00E12491">
        <w:t>C.</w:t>
      </w:r>
      <w:r w:rsidR="00E12491" w:rsidRPr="00E12491">
        <w:tab/>
        <w:t>Цели в области устойчивого развития</w:t>
      </w:r>
    </w:p>
    <w:p w14:paraId="7D0D59DA" w14:textId="043CFAB5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326AA4A2" w14:textId="403A9B24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7118E2AE" w14:textId="7C970C21" w:rsidR="00E12491" w:rsidRDefault="00E12491" w:rsidP="00E12491">
      <w:pPr>
        <w:pStyle w:val="SingleTxt"/>
        <w:rPr>
          <w:b/>
          <w:bCs/>
        </w:rPr>
      </w:pPr>
      <w:r w:rsidRPr="00E12491">
        <w:t>7.</w:t>
      </w:r>
      <w:r w:rsidRPr="00E12491">
        <w:tab/>
      </w:r>
      <w:r w:rsidRPr="00E12491">
        <w:rPr>
          <w:b/>
          <w:bCs/>
        </w:rPr>
        <w:t>Комитет с удовлетворением отмечает поддержку международным сообществом целей в области устойчивого развития и призывает к обеспечению гендерного равенства де-юре (на законодательном уровне) и де-факто (на практике) в соответствии с положениями Конвенции на протяжении всего процесса осуществления Повестки дня в области устойчивого развития на период до 2030 года.</w:t>
      </w:r>
      <w:r w:rsidRPr="00E12491">
        <w:t xml:space="preserve"> </w:t>
      </w:r>
      <w:r w:rsidRPr="00E12491">
        <w:rPr>
          <w:b/>
          <w:bCs/>
        </w:rPr>
        <w:t>Комитет напоминает о важности цели 5 в области устойчивого развития и необходимости учитывать принципы равенства и недискриминации в процессе достижения всех 17 целей.</w:t>
      </w:r>
      <w:r w:rsidRPr="00E12491">
        <w:t xml:space="preserve"> </w:t>
      </w:r>
      <w:r w:rsidRPr="00DC5B92">
        <w:rPr>
          <w:b/>
          <w:bCs/>
        </w:rPr>
        <w:t>О</w:t>
      </w:r>
      <w:r w:rsidRPr="00E12491">
        <w:rPr>
          <w:b/>
          <w:bCs/>
        </w:rPr>
        <w:t>н настоятельно призывает государства-участники признать, что женщины являются движущей силой их устойчивого развития, и принять в этой связи соответствующие программы и стратегии.</w:t>
      </w:r>
    </w:p>
    <w:p w14:paraId="49B935EA" w14:textId="61562973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4180F9A4" w14:textId="0BF5F2C1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62BD3368" w14:textId="02057B5E" w:rsidR="00E12491" w:rsidRDefault="00360A87" w:rsidP="00360A8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12491" w:rsidRPr="00E12491">
        <w:t>D.</w:t>
      </w:r>
      <w:r w:rsidR="00E12491" w:rsidRPr="00E12491">
        <w:tab/>
        <w:t>Парламент</w:t>
      </w:r>
    </w:p>
    <w:p w14:paraId="275A898F" w14:textId="575C0692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0074F4CC" w14:textId="21DFDCD9" w:rsidR="00360A87" w:rsidRPr="00360A87" w:rsidRDefault="00360A87" w:rsidP="00360A87">
      <w:pPr>
        <w:pStyle w:val="SingleTxt"/>
        <w:spacing w:after="0" w:line="120" w:lineRule="exact"/>
        <w:rPr>
          <w:sz w:val="10"/>
        </w:rPr>
      </w:pPr>
    </w:p>
    <w:p w14:paraId="0FD0D7CA" w14:textId="6D66D596" w:rsidR="00E12491" w:rsidRDefault="00E12491" w:rsidP="00E12491">
      <w:pPr>
        <w:pStyle w:val="SingleTxt"/>
      </w:pPr>
      <w:r w:rsidRPr="00E12491">
        <w:t>8.</w:t>
      </w:r>
      <w:r w:rsidRPr="00E12491">
        <w:tab/>
      </w:r>
      <w:r w:rsidRPr="00E12491">
        <w:rPr>
          <w:b/>
          <w:bCs/>
        </w:rPr>
        <w:t xml:space="preserve">Комитет подчеркивает чрезвычайно важную роль законодательной власти в обеспечении полного осуществления Конвенции (см. </w:t>
      </w:r>
      <w:hyperlink r:id="rId21" w:history="1">
        <w:r w:rsidR="00B62DFA" w:rsidRPr="004A662E">
          <w:rPr>
            <w:rStyle w:val="Hyperlink"/>
            <w:b/>
            <w:bCs/>
            <w:lang w:val="en-US"/>
          </w:rPr>
          <w:t>A</w:t>
        </w:r>
        <w:r w:rsidRPr="004A662E">
          <w:rPr>
            <w:rStyle w:val="Hyperlink"/>
            <w:b/>
            <w:bCs/>
          </w:rPr>
          <w:t>/65/38</w:t>
        </w:r>
      </w:hyperlink>
      <w:r w:rsidRPr="00E12491">
        <w:rPr>
          <w:b/>
          <w:bCs/>
        </w:rPr>
        <w:t xml:space="preserve">, часть вторая, приложение </w:t>
      </w:r>
      <w:r w:rsidRPr="00E12491">
        <w:rPr>
          <w:b/>
          <w:bCs/>
          <w:lang w:val="en-US"/>
        </w:rPr>
        <w:t>VI</w:t>
      </w:r>
      <w:r w:rsidRPr="00E12491">
        <w:rPr>
          <w:b/>
          <w:bCs/>
        </w:rPr>
        <w:t>). Он предлагает парламенту в соответствии с его мандатом предпринять необходимые шаги по претворению в жизнь настоящих заключительных замечаний в период до представления следующего периодического доклада в соответствии с Конвенцией.</w:t>
      </w:r>
      <w:r w:rsidRPr="00E12491">
        <w:t xml:space="preserve"> </w:t>
      </w:r>
    </w:p>
    <w:p w14:paraId="79FB1215" w14:textId="2FF1A6B1" w:rsidR="00B62DFA" w:rsidRPr="00B62DFA" w:rsidRDefault="00B62DFA" w:rsidP="00B62DFA">
      <w:pPr>
        <w:pStyle w:val="SingleTxt"/>
        <w:spacing w:after="0" w:line="120" w:lineRule="exact"/>
        <w:rPr>
          <w:b/>
          <w:sz w:val="10"/>
        </w:rPr>
      </w:pPr>
    </w:p>
    <w:p w14:paraId="64949FE7" w14:textId="34C74553" w:rsidR="00B62DFA" w:rsidRPr="00B62DFA" w:rsidRDefault="00B62DFA" w:rsidP="00B62DFA">
      <w:pPr>
        <w:pStyle w:val="SingleTxt"/>
        <w:spacing w:after="0" w:line="120" w:lineRule="exact"/>
        <w:rPr>
          <w:b/>
          <w:sz w:val="10"/>
        </w:rPr>
      </w:pPr>
    </w:p>
    <w:p w14:paraId="59F32038" w14:textId="11D9E7F9" w:rsidR="00E12491" w:rsidRDefault="00B62DFA" w:rsidP="00B62DF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12491" w:rsidRPr="00E12491">
        <w:t>E.</w:t>
      </w:r>
      <w:r w:rsidR="00E12491" w:rsidRPr="00E12491">
        <w:tab/>
        <w:t>Основные вопросы, вызывающие обеспокоенность,</w:t>
      </w:r>
      <w:r>
        <w:br/>
      </w:r>
      <w:r w:rsidR="00E12491" w:rsidRPr="00E12491">
        <w:t>и рекомендации</w:t>
      </w:r>
    </w:p>
    <w:p w14:paraId="1C3D3B0C" w14:textId="740EFB58" w:rsidR="00B62DFA" w:rsidRPr="00B62DFA" w:rsidRDefault="00B62DFA" w:rsidP="00B62DFA">
      <w:pPr>
        <w:pStyle w:val="SingleTxt"/>
        <w:spacing w:after="0" w:line="120" w:lineRule="exact"/>
        <w:rPr>
          <w:sz w:val="10"/>
        </w:rPr>
      </w:pPr>
    </w:p>
    <w:p w14:paraId="7DCD63D0" w14:textId="4B7B24B6" w:rsidR="00B62DFA" w:rsidRPr="00B62DFA" w:rsidRDefault="00B62DFA" w:rsidP="00B62DFA">
      <w:pPr>
        <w:pStyle w:val="SingleTxt"/>
        <w:spacing w:after="0" w:line="120" w:lineRule="exact"/>
        <w:rPr>
          <w:sz w:val="10"/>
        </w:rPr>
      </w:pPr>
    </w:p>
    <w:p w14:paraId="5F27FB41" w14:textId="79932DCA" w:rsidR="00E12491" w:rsidRDefault="00E12491" w:rsidP="00B62D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2491">
        <w:tab/>
      </w:r>
      <w:r w:rsidRPr="00E12491">
        <w:tab/>
        <w:t>Популяризация Конвенции, Факультативного протокола и общих рекомендаций Комитета</w:t>
      </w:r>
    </w:p>
    <w:p w14:paraId="1E509898" w14:textId="14FABC97" w:rsidR="00B62DFA" w:rsidRPr="00B62DFA" w:rsidRDefault="00B62DFA" w:rsidP="00B62DFA">
      <w:pPr>
        <w:pStyle w:val="SingleTxt"/>
        <w:spacing w:after="0" w:line="120" w:lineRule="exact"/>
        <w:rPr>
          <w:sz w:val="10"/>
        </w:rPr>
      </w:pPr>
    </w:p>
    <w:p w14:paraId="1BDED092" w14:textId="77777777" w:rsidR="00E12491" w:rsidRPr="00E12491" w:rsidRDefault="00E12491" w:rsidP="00E12491">
      <w:pPr>
        <w:pStyle w:val="SingleTxt"/>
      </w:pPr>
      <w:r w:rsidRPr="00E12491">
        <w:t>9.</w:t>
      </w:r>
      <w:r w:rsidRPr="00E12491">
        <w:tab/>
        <w:t xml:space="preserve">Комитет отмечает, что на Конвенцию ссылались в ходе судебных разбирательств, связанных с семейными отношениями, а именно при разводе, при рассмотрении ходатайств о выплате алиментов, при возвращении ребенка и при рассмотрении вопроса об опеке, а также в решениях Конституционного суда. В то же время он с обеспокоенностью отмечает следующие проблемы: </w:t>
      </w:r>
    </w:p>
    <w:p w14:paraId="4DF4305A" w14:textId="0DB4DE34" w:rsidR="00E12491" w:rsidRPr="00E12491" w:rsidRDefault="00B62DFA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  <w:t xml:space="preserve">широкая общественность не осведомлена о Конвенции и общих рекомендациях и юридической практике Комитета; </w:t>
      </w:r>
    </w:p>
    <w:p w14:paraId="2BEFD931" w14:textId="6EBD23EA" w:rsidR="00E12491" w:rsidRPr="00E12491" w:rsidRDefault="00B62DFA" w:rsidP="00E12491">
      <w:pPr>
        <w:pStyle w:val="SingleTxt"/>
      </w:pPr>
      <w:r>
        <w:tab/>
      </w:r>
      <w:r w:rsidR="00E12491" w:rsidRPr="00E12491">
        <w:t>b)</w:t>
      </w:r>
      <w:r w:rsidR="00E12491" w:rsidRPr="00E12491">
        <w:tab/>
        <w:t>отмечается недостаточное участие гражданского общества, в частности организаций по правам женщин, в систематическом повышении осведомленности и подготовке судей, прокуроров, сотрудников полиции и других правоохранительных органов, адвокатов, а также сотрудников государственных учреждений по вопросам осуществления Конвенции;</w:t>
      </w:r>
    </w:p>
    <w:p w14:paraId="2B6C073E" w14:textId="6917BC98" w:rsidR="00E12491" w:rsidRPr="00E12491" w:rsidRDefault="00B62DFA" w:rsidP="00E12491">
      <w:pPr>
        <w:pStyle w:val="SingleTxt"/>
      </w:pPr>
      <w:r>
        <w:tab/>
      </w:r>
      <w:r w:rsidR="00E12491" w:rsidRPr="00E12491">
        <w:t>c)</w:t>
      </w:r>
      <w:r w:rsidR="00E12491" w:rsidRPr="00E12491">
        <w:tab/>
        <w:t>государство-участник до сих пор не ратифицировало Факультативный протокол к Конвенции.</w:t>
      </w:r>
    </w:p>
    <w:p w14:paraId="6A5E9237" w14:textId="77777777" w:rsidR="00E12491" w:rsidRPr="00E12491" w:rsidRDefault="00E12491" w:rsidP="00E12491">
      <w:pPr>
        <w:pStyle w:val="SingleTxt"/>
      </w:pPr>
      <w:r w:rsidRPr="00E12491">
        <w:t>10.</w:t>
      </w:r>
      <w:r w:rsidRPr="00E12491">
        <w:tab/>
      </w:r>
      <w:r w:rsidRPr="00E12491">
        <w:rPr>
          <w:b/>
          <w:bCs/>
        </w:rPr>
        <w:t>Комитет рекомендует государству-участнику:</w:t>
      </w:r>
    </w:p>
    <w:p w14:paraId="491C26C4" w14:textId="4EAB0555" w:rsidR="00E12491" w:rsidRPr="00E12491" w:rsidRDefault="00B62DFA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</w:r>
      <w:r w:rsidR="00E12491" w:rsidRPr="00E12491">
        <w:rPr>
          <w:b/>
          <w:bCs/>
        </w:rPr>
        <w:t>распространять и шире пропагандировать Конвенцию и общие рекомендации и юридическую практику Комитета, а также повышать осведомленность женщин об их правах, закрепленных в Конвенции, и о средствах правовой защиты, имеющихся в их распоряжении для отстаивания этих прав;</w:t>
      </w:r>
    </w:p>
    <w:p w14:paraId="5807FE6D" w14:textId="11F88039" w:rsidR="00E12491" w:rsidRPr="00E12491" w:rsidRDefault="00B62DFA" w:rsidP="00E12491">
      <w:pPr>
        <w:pStyle w:val="SingleTxt"/>
        <w:rPr>
          <w:b/>
        </w:rPr>
      </w:pPr>
      <w:r>
        <w:tab/>
      </w:r>
      <w:r w:rsidR="00E12491" w:rsidRPr="00E12491">
        <w:t>b)</w:t>
      </w:r>
      <w:r w:rsidR="00E12491" w:rsidRPr="00E12491">
        <w:tab/>
      </w:r>
      <w:r w:rsidR="00E12491" w:rsidRPr="00E12491">
        <w:rPr>
          <w:b/>
          <w:bCs/>
        </w:rPr>
        <w:t>укреплять программы по наращиванию потенциала судей, прокуроров, сотрудников полиции и других правоохранительных органов, адвокатов и сотрудников государственных учреждений и обеспечивать участие гражданского общества, в частности организаций по защите прав женщин, в организации и проведении такой подготовки;</w:t>
      </w:r>
    </w:p>
    <w:p w14:paraId="45B8718A" w14:textId="259FF64D" w:rsidR="00E12491" w:rsidRDefault="00B62DFA" w:rsidP="00E12491">
      <w:pPr>
        <w:pStyle w:val="SingleTxt"/>
        <w:rPr>
          <w:b/>
          <w:bCs/>
        </w:rPr>
      </w:pPr>
      <w:r>
        <w:tab/>
      </w:r>
      <w:r w:rsidR="00E12491" w:rsidRPr="00E12491">
        <w:t>c)</w:t>
      </w:r>
      <w:r w:rsidR="00E12491" w:rsidRPr="00E12491">
        <w:tab/>
      </w:r>
      <w:r w:rsidR="00E12491" w:rsidRPr="00E12491">
        <w:rPr>
          <w:b/>
          <w:bCs/>
        </w:rPr>
        <w:t>ускорить ратификацию Факультативного протокола к Конвенции в первоочередном порядке, с тем чтобы содействовать полному осуществлению женщинами в государстве-участнике прав, закрепленных в Конвенции.</w:t>
      </w:r>
    </w:p>
    <w:p w14:paraId="04B8A1BF" w14:textId="3A21D196" w:rsidR="00B62DFA" w:rsidRPr="00B62DFA" w:rsidRDefault="00B62DFA" w:rsidP="00B62DFA">
      <w:pPr>
        <w:pStyle w:val="SingleTxt"/>
        <w:spacing w:after="0" w:line="120" w:lineRule="exact"/>
        <w:rPr>
          <w:b/>
          <w:sz w:val="10"/>
        </w:rPr>
      </w:pPr>
    </w:p>
    <w:p w14:paraId="4FE8A215" w14:textId="5E3D2794" w:rsidR="00E12491" w:rsidRDefault="00B62DFA" w:rsidP="00B62D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12491" w:rsidRPr="00E12491">
        <w:tab/>
        <w:t>Определение дискриминации в отношении женщин</w:t>
      </w:r>
    </w:p>
    <w:p w14:paraId="6B24469C" w14:textId="69B5B373" w:rsidR="00B62DFA" w:rsidRPr="00B62DFA" w:rsidRDefault="00B62DFA" w:rsidP="00B62DFA">
      <w:pPr>
        <w:pStyle w:val="SingleTxt"/>
        <w:spacing w:after="0" w:line="120" w:lineRule="exact"/>
        <w:rPr>
          <w:sz w:val="10"/>
        </w:rPr>
      </w:pPr>
    </w:p>
    <w:p w14:paraId="2A9EEF80" w14:textId="77777777" w:rsidR="00E12491" w:rsidRPr="00E12491" w:rsidRDefault="00E12491" w:rsidP="00E12491">
      <w:pPr>
        <w:pStyle w:val="SingleTxt"/>
      </w:pPr>
      <w:r w:rsidRPr="00E12491">
        <w:t>11.</w:t>
      </w:r>
      <w:r w:rsidRPr="00E12491">
        <w:tab/>
        <w:t>Комитет отмечает внесение в законодательную базу государства-участника поправок, направленных на обеспечение равенства между женщинами и мужчинами и запрещение гендерной дискриминации, включая прямую и косвенную дискриминацию по различным признакам. Вместе с тем он с озабоченностью отмечает отсутствие в законодательной базе отдельного всеобъемлющего юридического определения дискриминации в отношении женщин и принципа равенства женщин и мужчин, а также отсутствие всеобъемлющего закона о гендерном равенстве.</w:t>
      </w:r>
    </w:p>
    <w:p w14:paraId="2E56BC3F" w14:textId="1D1CDC99" w:rsidR="00E12491" w:rsidRDefault="00E12491" w:rsidP="00E12491">
      <w:pPr>
        <w:pStyle w:val="SingleTxt"/>
        <w:rPr>
          <w:b/>
          <w:bCs/>
        </w:rPr>
      </w:pPr>
      <w:r w:rsidRPr="00E12491">
        <w:t>12.</w:t>
      </w:r>
      <w:r w:rsidRPr="00E12491">
        <w:tab/>
      </w:r>
      <w:r w:rsidRPr="00E12491">
        <w:rPr>
          <w:b/>
          <w:bCs/>
        </w:rPr>
        <w:t>Ссылаясь на свои предыдущие заключительные замечания (</w:t>
      </w:r>
      <w:hyperlink r:id="rId22" w:history="1">
        <w:r w:rsidRPr="004A662E">
          <w:rPr>
            <w:rStyle w:val="Hyperlink"/>
            <w:b/>
            <w:bCs/>
          </w:rPr>
          <w:t>A/59/38</w:t>
        </w:r>
      </w:hyperlink>
      <w:r w:rsidRPr="00E12491">
        <w:rPr>
          <w:b/>
          <w:bCs/>
        </w:rPr>
        <w:t>, часть вторая, пункты 46 и 52), Комитет рекомендует государству-участнику включить в свою Конституцию или другое соответствующее законодательство определение дискриминации в отношении женщин, включая определение перекрестных форм дискриминации как в государственной, так и в частной сфере, и принцип равенства женщин и мужчин, а также принять всеобъемлющий закон о гендерном равенстве.</w:t>
      </w:r>
    </w:p>
    <w:p w14:paraId="2A2505A8" w14:textId="6956BAB9" w:rsidR="00B62DFA" w:rsidRPr="00B62DFA" w:rsidRDefault="00B62DFA" w:rsidP="00B62DFA">
      <w:pPr>
        <w:pStyle w:val="SingleTxt"/>
        <w:spacing w:after="0" w:line="120" w:lineRule="exact"/>
        <w:rPr>
          <w:b/>
          <w:sz w:val="10"/>
        </w:rPr>
      </w:pPr>
    </w:p>
    <w:p w14:paraId="50807FF2" w14:textId="01C5C680" w:rsidR="00E12491" w:rsidRDefault="00E12491" w:rsidP="00B62D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2491">
        <w:tab/>
      </w:r>
      <w:r w:rsidRPr="00E12491">
        <w:tab/>
        <w:t>Доступ женщин к правосудию</w:t>
      </w:r>
    </w:p>
    <w:p w14:paraId="1B5CCC15" w14:textId="520E0238" w:rsidR="00B62DFA" w:rsidRPr="00B62DFA" w:rsidRDefault="00B62DFA" w:rsidP="00B62DFA">
      <w:pPr>
        <w:pStyle w:val="SingleTxt"/>
        <w:spacing w:after="0" w:line="120" w:lineRule="exact"/>
        <w:rPr>
          <w:sz w:val="10"/>
        </w:rPr>
      </w:pPr>
    </w:p>
    <w:p w14:paraId="6CB9568E" w14:textId="77777777" w:rsidR="00E12491" w:rsidRPr="00E12491" w:rsidRDefault="00E12491" w:rsidP="00E12491">
      <w:pPr>
        <w:pStyle w:val="SingleTxt"/>
      </w:pPr>
      <w:r w:rsidRPr="00E12491">
        <w:t>13.</w:t>
      </w:r>
      <w:r w:rsidRPr="00E12491">
        <w:tab/>
        <w:t>Комитет приветствует тот факт, что государство-участник предоставляет финансируемую государством правовую помощь всем заявителям, доходы или активы которых находятся ниже минимально установленного уровня. В частности, он приветствует то, что с 2018 года женщины, находящиеся в особых обстоятельствах, в том числе жертвы гендерного насилия, обращающиеся за временным защитным предписанием, освобождаются от требования в отношении минимально установленного уровня дохода независимо от их статуса проживания. Тем не менее Комитет обеспокоен тем, что женщины, ставшие жертвами множественных или перекрестных форм дискриминации, не могут получить доступа к правосудию из-за препятствий, связанных с недостаточной доступностью, отсутствием процессуальных и соответствующих возрасту коррективов, существованием режимов временной опеки и частичной правоспособности, а также недостаточной осведомленностью о средствах правовой защиты и механизмах компенсации, имеющихся в их распоряжении.</w:t>
      </w:r>
    </w:p>
    <w:p w14:paraId="1D3A7827" w14:textId="3EB14EBC" w:rsidR="00E12491" w:rsidRPr="00E12491" w:rsidRDefault="00E12491" w:rsidP="00E12491">
      <w:pPr>
        <w:pStyle w:val="SingleTxt"/>
      </w:pPr>
      <w:r w:rsidRPr="00E12491">
        <w:t>14.</w:t>
      </w:r>
      <w:r w:rsidRPr="00E12491">
        <w:tab/>
      </w:r>
      <w:r w:rsidRPr="00E12491">
        <w:rPr>
          <w:b/>
          <w:bCs/>
        </w:rPr>
        <w:t>В свете своей общей рекомендации №</w:t>
      </w:r>
      <w:r w:rsidR="007934BE" w:rsidRPr="007934BE">
        <w:rPr>
          <w:b/>
          <w:bCs/>
        </w:rPr>
        <w:t xml:space="preserve"> 33 (2015)</w:t>
      </w:r>
      <w:r w:rsidRPr="00E12491">
        <w:rPr>
          <w:b/>
          <w:bCs/>
        </w:rPr>
        <w:t xml:space="preserve"> о доступе женщин к правосудию Комитет рекомендует государству-участнику:</w:t>
      </w:r>
    </w:p>
    <w:p w14:paraId="67203FAA" w14:textId="111B6A63" w:rsidR="00E12491" w:rsidRPr="00E12491" w:rsidRDefault="00B62DFA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</w:r>
      <w:r w:rsidR="00E12491" w:rsidRPr="00E12491">
        <w:rPr>
          <w:b/>
          <w:bCs/>
        </w:rPr>
        <w:t>продолжать усилия по обеспечению эффективного доступа к правосудию, полного охвата и доступности для находящихся в неблагоприятном положении или маргинализированных женщин, таких как женщины, принадлежащие к группам этнических меньшинств, в частности женщины из числа рома, женщины, не являющиеся гражданами, женщины-беженцы, женщины, ищущие убежище, женщины-мигранты, сельские и пожилые женщины, женщины-инвалиды, лесбиянки, бисексуалы и трансгендеры, а также интерсексуалы;</w:t>
      </w:r>
      <w:bookmarkStart w:id="3" w:name="_Hlk32847681"/>
      <w:bookmarkEnd w:id="3"/>
    </w:p>
    <w:p w14:paraId="5B37523E" w14:textId="46FDC92C" w:rsidR="00E12491" w:rsidRPr="00E12491" w:rsidRDefault="00B62DFA" w:rsidP="00E12491">
      <w:pPr>
        <w:pStyle w:val="SingleTxt"/>
        <w:rPr>
          <w:b/>
        </w:rPr>
      </w:pPr>
      <w:r>
        <w:tab/>
      </w:r>
      <w:r w:rsidR="00E12491" w:rsidRPr="00E12491">
        <w:t>b)</w:t>
      </w:r>
      <w:r w:rsidR="00E12491" w:rsidRPr="00E12491">
        <w:tab/>
      </w:r>
      <w:r w:rsidR="00E12491" w:rsidRPr="00E12491">
        <w:rPr>
          <w:b/>
          <w:bCs/>
        </w:rPr>
        <w:t>отменить законодательные положения, касающиеся принятия замещающих решений, с тем чтобы восстановить полную правоспособность всех женщин на основе поддерживаемого режима принятия решений, и обеспечить предусмотрение процессуальных и соответствующих возрасту коррективов в ходе судебных разбирательств;</w:t>
      </w:r>
    </w:p>
    <w:p w14:paraId="745B0D88" w14:textId="4FE2F5B1" w:rsidR="00E12491" w:rsidRDefault="00B62DFA" w:rsidP="00E12491">
      <w:pPr>
        <w:pStyle w:val="SingleTxt"/>
        <w:rPr>
          <w:b/>
          <w:bCs/>
        </w:rPr>
      </w:pPr>
      <w:r>
        <w:tab/>
      </w:r>
      <w:r w:rsidR="00E12491" w:rsidRPr="00E12491">
        <w:t>c)</w:t>
      </w:r>
      <w:r w:rsidR="00E12491" w:rsidRPr="00E12491">
        <w:tab/>
      </w:r>
      <w:r w:rsidR="00E12491" w:rsidRPr="00E12491">
        <w:rPr>
          <w:b/>
          <w:bCs/>
        </w:rPr>
        <w:t>повышать осведомленность женщин об имеющихся в их распоряжении средствах правовой защиты для подачи жалоб на нарушения их прав, в том числе по линии Управления омбудсмена.</w:t>
      </w:r>
    </w:p>
    <w:p w14:paraId="50F86410" w14:textId="64238EB4" w:rsidR="00B62DFA" w:rsidRPr="00B62DFA" w:rsidRDefault="00B62DFA" w:rsidP="00B62DFA">
      <w:pPr>
        <w:pStyle w:val="SingleTxt"/>
        <w:spacing w:after="0" w:line="120" w:lineRule="exact"/>
        <w:rPr>
          <w:sz w:val="10"/>
        </w:rPr>
      </w:pPr>
    </w:p>
    <w:p w14:paraId="642301A8" w14:textId="4ADF0AC9" w:rsidR="00E12491" w:rsidRDefault="00B62DFA" w:rsidP="00B62D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12491" w:rsidRPr="00E12491">
        <w:tab/>
        <w:t>Национальный механизм по улучшению положения женщин</w:t>
      </w:r>
      <w:r>
        <w:br/>
      </w:r>
      <w:r w:rsidR="00E12491" w:rsidRPr="00E12491">
        <w:t>и актуализации гендерной проблематики</w:t>
      </w:r>
    </w:p>
    <w:p w14:paraId="69AD995C" w14:textId="43E13E2E" w:rsidR="00B62DFA" w:rsidRPr="00B62DFA" w:rsidRDefault="00B62DFA" w:rsidP="00B62DFA">
      <w:pPr>
        <w:pStyle w:val="SingleTxt"/>
        <w:spacing w:after="0" w:line="120" w:lineRule="exact"/>
        <w:rPr>
          <w:sz w:val="10"/>
        </w:rPr>
      </w:pPr>
    </w:p>
    <w:p w14:paraId="2E036F8F" w14:textId="77777777" w:rsidR="00E12491" w:rsidRPr="00E12491" w:rsidRDefault="00E12491" w:rsidP="00E12491">
      <w:pPr>
        <w:pStyle w:val="SingleTxt"/>
      </w:pPr>
      <w:r w:rsidRPr="00E12491">
        <w:t>15.</w:t>
      </w:r>
      <w:r w:rsidRPr="00E12491">
        <w:tab/>
        <w:t>Комитет приветствует учреждение в 2010 году Министерством социального обеспечения Комитета по гендерному равенству для координации осуществления политики в области гендерного равенства различными министерствами и Государственной канцелярией в консультации с гражданским обществом. В то же время Комитет с обеспокоенностью отмечает следующие проблемы:</w:t>
      </w:r>
    </w:p>
    <w:p w14:paraId="54DB9F82" w14:textId="38EADDD8" w:rsidR="00E12491" w:rsidRPr="00E12491" w:rsidRDefault="00B62DFA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  <w:t>в государстве-участнике отсутствует всеобъемлющая стратегия обеспечения гендерного равенства;</w:t>
      </w:r>
    </w:p>
    <w:p w14:paraId="088320E9" w14:textId="254D6CEE" w:rsidR="00E12491" w:rsidRPr="00E12491" w:rsidRDefault="00B62DFA" w:rsidP="00E12491">
      <w:pPr>
        <w:pStyle w:val="SingleTxt"/>
      </w:pPr>
      <w:r>
        <w:tab/>
      </w:r>
      <w:r w:rsidR="00E12491" w:rsidRPr="00E12491">
        <w:t>b)</w:t>
      </w:r>
      <w:r w:rsidR="00E12491" w:rsidRPr="00E12491">
        <w:tab/>
        <w:t>координация деятельности по осуществлению политики в области гендерного равенства относится к компетенции Министерства социального обеспечения и его Департамента планирования и разработки социальной политики, а не к компетенции отдельного директивно-исполнительного органа;</w:t>
      </w:r>
    </w:p>
    <w:p w14:paraId="29924697" w14:textId="571D9897" w:rsidR="00E12491" w:rsidRPr="00E12491" w:rsidRDefault="00B62DFA" w:rsidP="00E12491">
      <w:pPr>
        <w:pStyle w:val="SingleTxt"/>
      </w:pPr>
      <w:r>
        <w:tab/>
      </w:r>
      <w:r w:rsidR="00E12491" w:rsidRPr="00E12491">
        <w:t>c)</w:t>
      </w:r>
      <w:r w:rsidR="00E12491" w:rsidRPr="00E12491">
        <w:tab/>
        <w:t>государство-участник в значительной мере полагается на комплексный подход к обеспечению гендерного равенства в контексте общей социальной политики, в том числе в рамках плана поощрения равных прав и возможностей для женщин и мужчин на период 2018</w:t>
      </w:r>
      <w:r w:rsidRPr="00B62DFA">
        <w:t>–</w:t>
      </w:r>
      <w:r w:rsidR="00E12491" w:rsidRPr="00E12491">
        <w:t>2020 годов и национального плана развития на период 2014</w:t>
      </w:r>
      <w:r w:rsidRPr="00B62DFA">
        <w:t>–</w:t>
      </w:r>
      <w:r w:rsidR="00E12491" w:rsidRPr="00E12491">
        <w:t>2020 годов, и при этом сообщается о проблемах, связанных с проведением оценки влияния законов на достижение гендерного равенства;</w:t>
      </w:r>
    </w:p>
    <w:p w14:paraId="6BAACE51" w14:textId="2573AF1A" w:rsidR="00E12491" w:rsidRPr="00E12491" w:rsidRDefault="00B62DFA" w:rsidP="00E12491">
      <w:pPr>
        <w:pStyle w:val="SingleTxt"/>
      </w:pPr>
      <w:r>
        <w:tab/>
      </w:r>
      <w:r w:rsidR="00E12491" w:rsidRPr="00E12491">
        <w:t>d)</w:t>
      </w:r>
      <w:r w:rsidR="00E12491" w:rsidRPr="00E12491">
        <w:tab/>
        <w:t>отсутствуют всеобъемлющие стратегии составления бюджета и выделения бюджетных ассигнований с учетом гендерных аспектов;</w:t>
      </w:r>
    </w:p>
    <w:p w14:paraId="12B9F3DD" w14:textId="62112E8B" w:rsidR="00E12491" w:rsidRPr="00E12491" w:rsidRDefault="00B62DFA" w:rsidP="00E12491">
      <w:pPr>
        <w:pStyle w:val="SingleTxt"/>
      </w:pPr>
      <w:r>
        <w:tab/>
      </w:r>
      <w:r w:rsidR="00E12491" w:rsidRPr="00E12491">
        <w:t>e)</w:t>
      </w:r>
      <w:r w:rsidR="00E12491" w:rsidRPr="00E12491">
        <w:tab/>
        <w:t>неправительственные организации, отстаивающие права женщин и гендерное равенство, получают от государства-участника недостаточную поддержку для выполнения своих функций.</w:t>
      </w:r>
    </w:p>
    <w:p w14:paraId="02CD1146" w14:textId="77478BDB" w:rsidR="00E12491" w:rsidRPr="00E12491" w:rsidRDefault="00E12491" w:rsidP="00E12491">
      <w:pPr>
        <w:pStyle w:val="SingleTxt"/>
        <w:rPr>
          <w:b/>
        </w:rPr>
      </w:pPr>
      <w:bookmarkStart w:id="4" w:name="_Ref33442612"/>
      <w:r w:rsidRPr="00E12491">
        <w:t>16.</w:t>
      </w:r>
      <w:r w:rsidRPr="00E12491">
        <w:tab/>
      </w:r>
      <w:r w:rsidRPr="00E12491">
        <w:rPr>
          <w:b/>
          <w:bCs/>
        </w:rPr>
        <w:t>Вновь повторяя свои предыдущие заключительные замечания (</w:t>
      </w:r>
      <w:hyperlink r:id="rId23" w:history="1">
        <w:r w:rsidRPr="004A662E">
          <w:rPr>
            <w:rStyle w:val="Hyperlink"/>
            <w:b/>
            <w:bCs/>
          </w:rPr>
          <w:t>A/59/38</w:t>
        </w:r>
      </w:hyperlink>
      <w:r w:rsidRPr="00E12491">
        <w:rPr>
          <w:b/>
          <w:bCs/>
        </w:rPr>
        <w:t>, часть вторая, пункты 50 и 52) и ссылаясь на свою общую рекомендацию №</w:t>
      </w:r>
      <w:r w:rsidR="007934BE" w:rsidRPr="007934BE">
        <w:rPr>
          <w:b/>
          <w:bCs/>
        </w:rPr>
        <w:t xml:space="preserve">6 (1988) </w:t>
      </w:r>
      <w:r w:rsidRPr="00E12491">
        <w:rPr>
          <w:b/>
          <w:bCs/>
        </w:rPr>
        <w:t>об эффективных национальных механизмах и пропаганде и руководящие указания, содержащиеся в Пекинской платформе действий, Комитет рекомендует государству-участнику:</w:t>
      </w:r>
      <w:bookmarkEnd w:id="4"/>
    </w:p>
    <w:p w14:paraId="101C4F73" w14:textId="1329E97F" w:rsidR="00E12491" w:rsidRPr="00E12491" w:rsidRDefault="00B62DFA" w:rsidP="00E12491">
      <w:pPr>
        <w:pStyle w:val="SingleTxt"/>
        <w:rPr>
          <w:b/>
        </w:rPr>
      </w:pPr>
      <w:r>
        <w:tab/>
      </w:r>
      <w:r w:rsidR="00E12491" w:rsidRPr="00E12491">
        <w:t>а)</w:t>
      </w:r>
      <w:r w:rsidR="00E12491" w:rsidRPr="00E12491">
        <w:tab/>
      </w:r>
      <w:r w:rsidR="00E12491" w:rsidRPr="00E12491">
        <w:rPr>
          <w:b/>
          <w:bCs/>
        </w:rPr>
        <w:t>принять всеобъемлющую стратегию обеспечения гендерного равенства при участии женских организаций на этапах ее разработки, реализации и оценки осуществления;</w:t>
      </w:r>
    </w:p>
    <w:p w14:paraId="292097EB" w14:textId="49EF5A8B" w:rsidR="00E12491" w:rsidRPr="00E12491" w:rsidRDefault="00B62DFA" w:rsidP="00E12491">
      <w:pPr>
        <w:pStyle w:val="SingleTxt"/>
        <w:rPr>
          <w:b/>
        </w:rPr>
      </w:pPr>
      <w:r>
        <w:tab/>
      </w:r>
      <w:r w:rsidR="00E12491" w:rsidRPr="00E12491">
        <w:t>b)</w:t>
      </w:r>
      <w:r w:rsidR="00E12491" w:rsidRPr="00E12491">
        <w:tab/>
      </w:r>
      <w:r w:rsidR="00E12491" w:rsidRPr="00E12491">
        <w:rPr>
          <w:b/>
          <w:bCs/>
        </w:rPr>
        <w:t>укрепить свой национальный механизм по улучшению положения женщин на национальном и муниципальном уровнях, в том числе путем его наделения надлежащими людскими, техническими и финансовыми ресурсами для обеспечения его эффективного функционирования, и рассмотреть вопрос о создании министерства по вопросам улучшения положения женщин и обеспечения гендерного равенства;</w:t>
      </w:r>
    </w:p>
    <w:p w14:paraId="6270D222" w14:textId="7E71632E" w:rsidR="00E12491" w:rsidRPr="00E12491" w:rsidRDefault="00B62DFA" w:rsidP="00E12491">
      <w:pPr>
        <w:pStyle w:val="SingleTxt"/>
        <w:rPr>
          <w:b/>
        </w:rPr>
      </w:pPr>
      <w:r>
        <w:tab/>
      </w:r>
      <w:r w:rsidR="00E12491" w:rsidRPr="00E12491">
        <w:t>c)</w:t>
      </w:r>
      <w:r w:rsidR="00E12491" w:rsidRPr="00E12491">
        <w:tab/>
      </w:r>
      <w:r w:rsidR="00E12491" w:rsidRPr="00E12491">
        <w:rPr>
          <w:b/>
          <w:bCs/>
        </w:rPr>
        <w:t>применять всеобъемлющий подход к разработке, реализации и оценке осуществления конкретной политики в области гендерного равенства, обеспечивать, чтобы проведение оценок влияния законов на достижение гендерного равенства систематически составляло неотъемлемую часть законодательного процесса, и проводить оценку действующего законодательства с точки зрения его воздействия на гендерные аспекты;</w:t>
      </w:r>
      <w:r w:rsidR="00E12491" w:rsidRPr="00E12491">
        <w:t xml:space="preserve"> </w:t>
      </w:r>
    </w:p>
    <w:p w14:paraId="1D3A524C" w14:textId="14376BE9" w:rsidR="00E12491" w:rsidRPr="00E12491" w:rsidRDefault="00B62DFA" w:rsidP="00E12491">
      <w:pPr>
        <w:pStyle w:val="SingleTxt"/>
        <w:rPr>
          <w:b/>
          <w:bCs/>
        </w:rPr>
      </w:pPr>
      <w:r>
        <w:tab/>
      </w:r>
      <w:r w:rsidR="00E12491" w:rsidRPr="00E12491">
        <w:t>d)</w:t>
      </w:r>
      <w:r w:rsidR="00E12491" w:rsidRPr="00E12491">
        <w:tab/>
      </w:r>
      <w:r w:rsidR="00E12491" w:rsidRPr="00E12491">
        <w:rPr>
          <w:b/>
          <w:bCs/>
        </w:rPr>
        <w:t>принимать на национальном и местном уровнях всеобъемлющие стратегии составления бюджета с учетом гендерной проблематики, предусматривающие выделение конкретных бюджетных ассигнований на осуществление политики, стратегий и программ в областях обеспечения гендерного равенства и улучшения положения женщин, и обеспечивать эффективное выполнение пересмотренных инструкций кабинета министров относительно проведения анализа бюджета государства-участника в том, что касается показателей эффективности работы по гендерным вопросам;</w:t>
      </w:r>
    </w:p>
    <w:p w14:paraId="6173EF52" w14:textId="4DDD34FC" w:rsidR="00E12491" w:rsidRDefault="00B62DFA" w:rsidP="00E12491">
      <w:pPr>
        <w:pStyle w:val="SingleTxt"/>
        <w:rPr>
          <w:b/>
          <w:bCs/>
        </w:rPr>
      </w:pPr>
      <w:r>
        <w:tab/>
      </w:r>
      <w:r w:rsidR="00E12491" w:rsidRPr="00E12491">
        <w:t>e)</w:t>
      </w:r>
      <w:r w:rsidR="00E12491" w:rsidRPr="00E12491">
        <w:tab/>
      </w:r>
      <w:r w:rsidR="00E12491" w:rsidRPr="00E12491">
        <w:rPr>
          <w:b/>
          <w:bCs/>
        </w:rPr>
        <w:t>институционализировать диалог с женскими организациями и рассмотреть возможность заключения с ними постоянных соглашений о сотрудничестве, в том числе о выделении государственных средств для финансирования их деятельности.</w:t>
      </w:r>
    </w:p>
    <w:p w14:paraId="3A4686EE" w14:textId="3EB33B11" w:rsidR="00B62DFA" w:rsidRPr="00B62DFA" w:rsidRDefault="00B62DFA" w:rsidP="00B62DFA">
      <w:pPr>
        <w:pStyle w:val="SingleTxt"/>
        <w:spacing w:after="0" w:line="120" w:lineRule="exact"/>
        <w:rPr>
          <w:sz w:val="10"/>
        </w:rPr>
      </w:pPr>
    </w:p>
    <w:p w14:paraId="37B10218" w14:textId="4B4B498A" w:rsidR="00E12491" w:rsidRDefault="00E12491" w:rsidP="00B62D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2491">
        <w:tab/>
      </w:r>
      <w:r w:rsidRPr="00E12491">
        <w:tab/>
        <w:t>Национальный орган по правам человека</w:t>
      </w:r>
    </w:p>
    <w:p w14:paraId="225106FB" w14:textId="1985887A" w:rsidR="00B62DFA" w:rsidRPr="00B62DFA" w:rsidRDefault="00B62DFA" w:rsidP="00B62DFA">
      <w:pPr>
        <w:pStyle w:val="SingleTxt"/>
        <w:spacing w:after="0" w:line="120" w:lineRule="exact"/>
        <w:rPr>
          <w:sz w:val="10"/>
        </w:rPr>
      </w:pPr>
    </w:p>
    <w:p w14:paraId="1CAA1C60" w14:textId="0C31DD73" w:rsidR="00E12491" w:rsidRPr="00E12491" w:rsidRDefault="00E12491" w:rsidP="00E12491">
      <w:pPr>
        <w:pStyle w:val="SingleTxt"/>
      </w:pPr>
      <w:r w:rsidRPr="00E12491">
        <w:t>17.</w:t>
      </w:r>
      <w:r w:rsidRPr="00E12491">
        <w:tab/>
        <w:t>Комитет приветствует принятие в 2006 году Закона об омбудсмене, за которым в 2007 году последовало создание Управления омбудсмена, а в 2015 году</w:t>
      </w:r>
      <w:r w:rsidR="00D67F91">
        <w:rPr>
          <w:lang w:val="en-US"/>
        </w:rPr>
        <w:t> </w:t>
      </w:r>
      <w:r w:rsidR="00D67F91" w:rsidRPr="00D67F91">
        <w:t>––</w:t>
      </w:r>
      <w:r w:rsidRPr="00E12491">
        <w:t xml:space="preserve"> его аккредитация со статусом А, предоставленная Глобальным альянсом национальных учреждений по правам человека, в соответствии с Принципами, касающимися статуса национальных учреждений, занимающихся поощрением и защитой прав человека (Парижские принципы). В то же время Комитет обеспокоен следующим:</w:t>
      </w:r>
    </w:p>
    <w:p w14:paraId="450F578E" w14:textId="2946F43E" w:rsidR="00E12491" w:rsidRPr="00E12491" w:rsidRDefault="00B62DFA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  <w:t xml:space="preserve">отсутствием конкретного мандата на поощрение и защиту прав женщин и гендерного равенства; </w:t>
      </w:r>
    </w:p>
    <w:p w14:paraId="789EC3C4" w14:textId="2214C777" w:rsidR="00E12491" w:rsidRPr="00E12491" w:rsidRDefault="00B62DFA" w:rsidP="00E12491">
      <w:pPr>
        <w:pStyle w:val="SingleTxt"/>
      </w:pPr>
      <w:r>
        <w:tab/>
      </w:r>
      <w:r w:rsidR="00E12491" w:rsidRPr="00E12491">
        <w:t>b)</w:t>
      </w:r>
      <w:r w:rsidR="00E12491" w:rsidRPr="00E12491">
        <w:tab/>
        <w:t>недостаточным уровнем финансирования Управления омбудсмена.</w:t>
      </w:r>
    </w:p>
    <w:p w14:paraId="7DC92698" w14:textId="77777777" w:rsidR="00E12491" w:rsidRPr="00E12491" w:rsidRDefault="00E12491" w:rsidP="00E12491">
      <w:pPr>
        <w:pStyle w:val="SingleTxt"/>
      </w:pPr>
      <w:r w:rsidRPr="00E12491">
        <w:t>18.</w:t>
      </w:r>
      <w:r w:rsidRPr="00E12491">
        <w:tab/>
      </w:r>
      <w:r w:rsidRPr="00E12491">
        <w:rPr>
          <w:b/>
          <w:bCs/>
        </w:rPr>
        <w:t>Комитет рекомендует государству-участнику:</w:t>
      </w:r>
    </w:p>
    <w:p w14:paraId="28DA80BE" w14:textId="1234EB03" w:rsidR="00E12491" w:rsidRPr="00E12491" w:rsidRDefault="00B62DFA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</w:r>
      <w:r w:rsidR="00E12491" w:rsidRPr="00E12491">
        <w:rPr>
          <w:b/>
          <w:bCs/>
        </w:rPr>
        <w:t>распространить сферу охвата мандата Управления омбудсмена на поощрение и защиту прав женщин и обеспечение гендерного равенства;</w:t>
      </w:r>
    </w:p>
    <w:p w14:paraId="6189C5AC" w14:textId="16310AFC" w:rsidR="00E12491" w:rsidRDefault="00B62DFA" w:rsidP="00E12491">
      <w:pPr>
        <w:pStyle w:val="SingleTxt"/>
        <w:rPr>
          <w:b/>
          <w:bCs/>
        </w:rPr>
      </w:pPr>
      <w:r>
        <w:tab/>
      </w:r>
      <w:r w:rsidR="00E12491" w:rsidRPr="00E12491">
        <w:t>b)</w:t>
      </w:r>
      <w:r w:rsidR="00E12491" w:rsidRPr="00E12491">
        <w:tab/>
      </w:r>
      <w:r w:rsidR="00E12491" w:rsidRPr="00E12491">
        <w:rPr>
          <w:b/>
          <w:bCs/>
        </w:rPr>
        <w:t>увеличить объем людских, технических и финансовых ресурсов Управления омбудсмена, с тем чтобы оно могло эффективно выполнять свой мандат.</w:t>
      </w:r>
    </w:p>
    <w:p w14:paraId="727F3531" w14:textId="15289C3A" w:rsidR="00B62DFA" w:rsidRPr="00B62DFA" w:rsidRDefault="00B62DFA" w:rsidP="00B62DFA">
      <w:pPr>
        <w:pStyle w:val="SingleTxt"/>
        <w:spacing w:after="0" w:line="120" w:lineRule="exact"/>
        <w:rPr>
          <w:sz w:val="10"/>
        </w:rPr>
      </w:pPr>
    </w:p>
    <w:p w14:paraId="7D7150B7" w14:textId="1E42F4B4" w:rsidR="00E12491" w:rsidRDefault="00E12491" w:rsidP="00B62D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2491">
        <w:tab/>
      </w:r>
      <w:r w:rsidRPr="00E12491">
        <w:tab/>
        <w:t>Временные специальные меры</w:t>
      </w:r>
    </w:p>
    <w:p w14:paraId="09B24D20" w14:textId="18456CCA" w:rsidR="00B62DFA" w:rsidRPr="00B62DFA" w:rsidRDefault="00B62DFA" w:rsidP="00B62DFA">
      <w:pPr>
        <w:pStyle w:val="SingleTxt"/>
        <w:spacing w:after="0" w:line="120" w:lineRule="exact"/>
        <w:rPr>
          <w:sz w:val="10"/>
        </w:rPr>
      </w:pPr>
    </w:p>
    <w:p w14:paraId="7F3278A2" w14:textId="77777777" w:rsidR="00E12491" w:rsidRPr="00E12491" w:rsidRDefault="00E12491" w:rsidP="00E12491">
      <w:pPr>
        <w:pStyle w:val="SingleTxt"/>
      </w:pPr>
      <w:r w:rsidRPr="00E12491">
        <w:t>19.</w:t>
      </w:r>
      <w:r w:rsidRPr="00E12491">
        <w:tab/>
        <w:t>Комитет по-прежнему обеспокоен тем, что государство-участник не приняло временных специальных мер для ускорения достижения реального равенства женщин и мужчин. Комитет также отмечает отсутствие понимания недискриминационного характера временных специальных мер в государстве-участнике.</w:t>
      </w:r>
    </w:p>
    <w:p w14:paraId="4E4ADE4E" w14:textId="059CC18A" w:rsidR="00E12491" w:rsidRPr="00E12491" w:rsidRDefault="00E12491" w:rsidP="00E12491">
      <w:pPr>
        <w:pStyle w:val="SingleTxt"/>
      </w:pPr>
      <w:r w:rsidRPr="00E12491">
        <w:t>20.</w:t>
      </w:r>
      <w:r w:rsidRPr="00E12491">
        <w:tab/>
      </w:r>
      <w:r w:rsidRPr="00E12491">
        <w:rPr>
          <w:b/>
          <w:bCs/>
        </w:rPr>
        <w:t>В свете статьи 4 (пункт 1) Конвенции и своей общей рекомендации</w:t>
      </w:r>
      <w:r w:rsidR="00B62DFA">
        <w:rPr>
          <w:b/>
          <w:bCs/>
          <w:lang w:val="en-US"/>
        </w:rPr>
        <w:t> </w:t>
      </w:r>
      <w:r w:rsidRPr="00E12491">
        <w:rPr>
          <w:b/>
          <w:bCs/>
        </w:rPr>
        <w:t>№</w:t>
      </w:r>
      <w:r w:rsidR="00D67F91">
        <w:rPr>
          <w:b/>
          <w:bCs/>
          <w:lang w:val="en-US"/>
        </w:rPr>
        <w:t> </w:t>
      </w:r>
      <w:r w:rsidR="00D67F91" w:rsidRPr="00D67F91">
        <w:rPr>
          <w:b/>
          <w:bCs/>
        </w:rPr>
        <w:t xml:space="preserve">25 (2004) </w:t>
      </w:r>
      <w:r w:rsidRPr="00E12491">
        <w:rPr>
          <w:b/>
          <w:bCs/>
        </w:rPr>
        <w:t>о временных специальных мерах и напоминая о своих предыдущих рекомендациях (</w:t>
      </w:r>
      <w:hyperlink r:id="rId24" w:history="1">
        <w:r w:rsidR="00B62DFA" w:rsidRPr="004A662E">
          <w:rPr>
            <w:rStyle w:val="Hyperlink"/>
            <w:b/>
            <w:bCs/>
          </w:rPr>
          <w:t>A/59/38</w:t>
        </w:r>
      </w:hyperlink>
      <w:r w:rsidR="00B62DFA" w:rsidRPr="00B62DFA">
        <w:rPr>
          <w:b/>
          <w:bCs/>
        </w:rPr>
        <w:t>,</w:t>
      </w:r>
      <w:r w:rsidRPr="00E12491">
        <w:rPr>
          <w:b/>
          <w:bCs/>
        </w:rPr>
        <w:t xml:space="preserve"> часть вторая, пункты 52 и 62), Комитет рекомендует государству-участнику:</w:t>
      </w:r>
    </w:p>
    <w:p w14:paraId="293F2F21" w14:textId="1AA9CB27" w:rsidR="00E12491" w:rsidRPr="00E12491" w:rsidRDefault="00B62DFA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</w:r>
      <w:r w:rsidR="00E12491" w:rsidRPr="00E12491">
        <w:rPr>
          <w:b/>
          <w:bCs/>
        </w:rPr>
        <w:t>принимать и применять временные специальные меры для поощрения фактического равенства женщин и мужчин во всех областях, в которых женщины недопредставлены или находятся в неблагоприятном положении, таких как участие в политической и общественной жизни, образование и занятость, и преодолевать исторически сложившиеся неблагоприятные условия, с которыми сталкиваются конкретные группы женщин, страдающих от множественных форм дискриминации, а также создать механизм для контроля за их осуществлением;</w:t>
      </w:r>
    </w:p>
    <w:p w14:paraId="77FFC1D4" w14:textId="7079F032" w:rsidR="00E12491" w:rsidRDefault="00B62DFA" w:rsidP="00E12491">
      <w:pPr>
        <w:pStyle w:val="SingleTxt"/>
        <w:rPr>
          <w:b/>
          <w:bCs/>
        </w:rPr>
      </w:pPr>
      <w:r>
        <w:tab/>
      </w:r>
      <w:r w:rsidR="00E12491" w:rsidRPr="00E12491">
        <w:t>b)</w:t>
      </w:r>
      <w:r w:rsidR="00E12491" w:rsidRPr="00E12491">
        <w:tab/>
      </w:r>
      <w:r w:rsidR="00E12491" w:rsidRPr="00E12491">
        <w:rPr>
          <w:b/>
          <w:bCs/>
        </w:rPr>
        <w:t>повышать осведомленность законодателей, сотрудников директивных органов, судей и других представителей правоохранительных органов и гражданского общества, а также частного сектора об использовании временных специальных мер в качестве важнейшего инструмента для решения проблемы дискриминации во всех сферах и достижения реального равенства женщин и мужчин.</w:t>
      </w:r>
    </w:p>
    <w:p w14:paraId="1100B3C4" w14:textId="62FD1495" w:rsidR="00B62DFA" w:rsidRPr="00B62DFA" w:rsidRDefault="00B62DFA" w:rsidP="00B62DFA">
      <w:pPr>
        <w:pStyle w:val="SingleTxt"/>
        <w:spacing w:after="0" w:line="120" w:lineRule="exact"/>
        <w:rPr>
          <w:sz w:val="10"/>
        </w:rPr>
      </w:pPr>
    </w:p>
    <w:p w14:paraId="29BBCEBD" w14:textId="73535E35" w:rsidR="00E12491" w:rsidRDefault="00E12491" w:rsidP="00B62D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2491">
        <w:tab/>
      </w:r>
      <w:r w:rsidRPr="00E12491">
        <w:tab/>
        <w:t>Дискриминационные стереотипы</w:t>
      </w:r>
    </w:p>
    <w:p w14:paraId="605212A9" w14:textId="47A2BD87" w:rsidR="00B62DFA" w:rsidRPr="00B62DFA" w:rsidRDefault="00B62DFA" w:rsidP="00B62DFA">
      <w:pPr>
        <w:pStyle w:val="SingleTxt"/>
        <w:spacing w:after="0" w:line="120" w:lineRule="exact"/>
        <w:rPr>
          <w:sz w:val="10"/>
        </w:rPr>
      </w:pPr>
    </w:p>
    <w:p w14:paraId="24F6F1B8" w14:textId="77777777" w:rsidR="00E12491" w:rsidRPr="00E12491" w:rsidRDefault="00E12491" w:rsidP="00E12491">
      <w:pPr>
        <w:pStyle w:val="SingleTxt"/>
      </w:pPr>
      <w:r w:rsidRPr="00E12491">
        <w:t>21.</w:t>
      </w:r>
      <w:r w:rsidRPr="00E12491">
        <w:tab/>
        <w:t>Комитет приветствует усилия государства-участника по борьбе с дискриминационными гендерными стереотипами в сфере образования в целях поощрения диверсификации выбора мальчиков и девочек в плане образования, включая подготовку почти 4000 преподавателей по вопросам принципов гендерного равенства. Он также приветствует информационно-просветительские кампании, побуждающие отцов пользоваться своими правами на отпуск по уходу за ребенком и родительский отпуск. Тем не менее Комитет выражает обеспокоенность по поводу того, что:</w:t>
      </w:r>
    </w:p>
    <w:p w14:paraId="30A3D724" w14:textId="389D7C21" w:rsidR="00E12491" w:rsidRPr="00E12491" w:rsidRDefault="00BE7F3E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  <w:t>в государстве-участнике сохраняются дискриминационные гендерные стереотипы, патриархальные и сексистские высказывания в средствах массовой информации и со стороны политиков, а также призывы к обеспечению приверженности женщин традиционным ролям и ценностям;</w:t>
      </w:r>
    </w:p>
    <w:p w14:paraId="18815BDE" w14:textId="0CAFDC54" w:rsidR="00E12491" w:rsidRPr="00E12491" w:rsidRDefault="00BE7F3E" w:rsidP="00E12491">
      <w:pPr>
        <w:pStyle w:val="SingleTxt"/>
      </w:pPr>
      <w:r>
        <w:tab/>
      </w:r>
      <w:r w:rsidR="00E12491" w:rsidRPr="00E12491">
        <w:t>b)</w:t>
      </w:r>
      <w:r w:rsidR="00E12491" w:rsidRPr="00E12491">
        <w:tab/>
        <w:t>в 2015 году в Закон об образовании были внесены поправки, предусматривающие моральное воспитание учащихся, в том числе в соответствии с конституционно охраняемыми ценностями брака и семьи, которые могут увековечить дискриминационные стереотипы в отношении ролей и обязанностей женщин и мужчин в семье и обществе.</w:t>
      </w:r>
    </w:p>
    <w:p w14:paraId="35AE1AAE" w14:textId="77777777" w:rsidR="00E12491" w:rsidRPr="00E12491" w:rsidRDefault="00E12491" w:rsidP="00E12491">
      <w:pPr>
        <w:pStyle w:val="SingleTxt"/>
      </w:pPr>
      <w:r w:rsidRPr="00E12491">
        <w:t>22.</w:t>
      </w:r>
      <w:r w:rsidRPr="00E12491">
        <w:tab/>
      </w:r>
      <w:r w:rsidRPr="00E12491">
        <w:rPr>
          <w:b/>
          <w:bCs/>
        </w:rPr>
        <w:t>Комитет рекомендует государству-участнику:</w:t>
      </w:r>
    </w:p>
    <w:p w14:paraId="7342668A" w14:textId="51A429ED" w:rsidR="00E12491" w:rsidRPr="00E12491" w:rsidRDefault="00BE7F3E" w:rsidP="00E12491">
      <w:pPr>
        <w:pStyle w:val="SingleTxt"/>
        <w:rPr>
          <w:b/>
        </w:rPr>
      </w:pPr>
      <w:r>
        <w:tab/>
      </w:r>
      <w:r w:rsidR="00E12491" w:rsidRPr="00E12491">
        <w:t>а)</w:t>
      </w:r>
      <w:r w:rsidR="00E12491" w:rsidRPr="00E12491">
        <w:tab/>
      </w:r>
      <w:r w:rsidR="00E12491" w:rsidRPr="00E12491">
        <w:rPr>
          <w:b/>
          <w:bCs/>
        </w:rPr>
        <w:t>принять всеобъемлющую стратегию по устранению дискриминационных стереотипов в отношении ролей и обязанностей женщин и мужчин в семье и обществе при участии женских организаций;</w:t>
      </w:r>
    </w:p>
    <w:p w14:paraId="5564BA76" w14:textId="21E957C5" w:rsidR="00E12491" w:rsidRPr="00E12491" w:rsidRDefault="00BE7F3E" w:rsidP="00E12491">
      <w:pPr>
        <w:pStyle w:val="SingleTxt"/>
        <w:rPr>
          <w:b/>
        </w:rPr>
      </w:pPr>
      <w:r>
        <w:tab/>
      </w:r>
      <w:r w:rsidR="00E12491" w:rsidRPr="00E12491">
        <w:t>b)</w:t>
      </w:r>
      <w:r w:rsidR="00E12491" w:rsidRPr="00E12491">
        <w:tab/>
      </w:r>
      <w:r w:rsidR="00E12491" w:rsidRPr="00E12491">
        <w:rPr>
          <w:b/>
          <w:bCs/>
        </w:rPr>
        <w:t>повышать осведомленность средств массовой информации о необходимости борьбы с гендерными стереотипами и поощрять их к изображению позитивного образа женщины как активного участника политической и экономической жизни с особым акцентом на наиболее обездоленные группы женщин;</w:t>
      </w:r>
    </w:p>
    <w:p w14:paraId="1452244D" w14:textId="0FD8DEE9" w:rsidR="00E12491" w:rsidRPr="00E12491" w:rsidRDefault="00BE7F3E" w:rsidP="00E12491">
      <w:pPr>
        <w:pStyle w:val="SingleTxt"/>
        <w:rPr>
          <w:b/>
          <w:bCs/>
        </w:rPr>
      </w:pPr>
      <w:r>
        <w:tab/>
      </w:r>
      <w:r w:rsidR="00E12491" w:rsidRPr="00E12491">
        <w:t>c)</w:t>
      </w:r>
      <w:r w:rsidR="00E12491" w:rsidRPr="00E12491">
        <w:tab/>
      </w:r>
      <w:r w:rsidR="00E12491" w:rsidRPr="00E12491">
        <w:rPr>
          <w:b/>
          <w:bCs/>
        </w:rPr>
        <w:t>активизировать осуществление мер по борьбе со стереотипами в системе образования, в том числе в школьных программах, провести исследование по вопросу о воздействии поправок, внесенных в Закон об образовании в 2015 году, и представить информацию о его результатах в своем следующем периодическом докладе;</w:t>
      </w:r>
    </w:p>
    <w:p w14:paraId="2E4752E0" w14:textId="3CB622A8" w:rsidR="00E12491" w:rsidRDefault="00BE7F3E" w:rsidP="00E12491">
      <w:pPr>
        <w:pStyle w:val="SingleTxt"/>
        <w:rPr>
          <w:b/>
          <w:bCs/>
        </w:rPr>
      </w:pPr>
      <w:r>
        <w:tab/>
      </w:r>
      <w:r w:rsidR="00E12491" w:rsidRPr="00E12491">
        <w:t>d)</w:t>
      </w:r>
      <w:r w:rsidR="00E12491" w:rsidRPr="00E12491">
        <w:tab/>
      </w:r>
      <w:r w:rsidR="00E12491" w:rsidRPr="00E12491">
        <w:rPr>
          <w:b/>
          <w:bCs/>
        </w:rPr>
        <w:t>рассмотреть вопрос о принятии политики равного обращения и недискриминации в средствах массовой информации и создании соответствующего контрольного механизма.</w:t>
      </w:r>
    </w:p>
    <w:p w14:paraId="325C6538" w14:textId="1DA3D52F" w:rsidR="00BE7F3E" w:rsidRPr="00BE7F3E" w:rsidRDefault="00BE7F3E" w:rsidP="00BE7F3E">
      <w:pPr>
        <w:pStyle w:val="SingleTxt"/>
        <w:spacing w:after="0" w:line="120" w:lineRule="exact"/>
        <w:rPr>
          <w:b/>
          <w:bCs/>
          <w:sz w:val="10"/>
        </w:rPr>
      </w:pPr>
    </w:p>
    <w:p w14:paraId="014317FF" w14:textId="08C083B8" w:rsidR="00E12491" w:rsidRDefault="00E12491" w:rsidP="00BE7F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2491">
        <w:tab/>
      </w:r>
      <w:r w:rsidRPr="00E12491">
        <w:tab/>
        <w:t>Гендерное насилие в отношении женщин</w:t>
      </w:r>
    </w:p>
    <w:p w14:paraId="5C89E928" w14:textId="31C29007" w:rsidR="00BE7F3E" w:rsidRPr="00BE7F3E" w:rsidRDefault="00BE7F3E" w:rsidP="00BE7F3E">
      <w:pPr>
        <w:pStyle w:val="SingleTxt"/>
        <w:spacing w:after="0" w:line="120" w:lineRule="exact"/>
        <w:rPr>
          <w:sz w:val="10"/>
        </w:rPr>
      </w:pPr>
    </w:p>
    <w:p w14:paraId="05FC4318" w14:textId="519F6715" w:rsidR="00E12491" w:rsidRPr="00E12491" w:rsidRDefault="00E12491" w:rsidP="00E12491">
      <w:pPr>
        <w:pStyle w:val="SingleTxt"/>
      </w:pPr>
      <w:r w:rsidRPr="00E12491">
        <w:t>23.</w:t>
      </w:r>
      <w:r w:rsidRPr="00E12491">
        <w:tab/>
        <w:t>Комитет приветствует принятые государством-участником законодательные меры по борьбе с гендерным насилием в отношении женщин. Он также приветствует тот факт, что женщины</w:t>
      </w:r>
      <w:r w:rsidR="00BE7F3E" w:rsidRPr="00BE7F3E">
        <w:t>-</w:t>
      </w:r>
      <w:r w:rsidRPr="00E12491">
        <w:t>жертвы насилия в семье, обращающиеся за временными охранными ордерами, освобождаются от судебных сборов. В то же время Комитет с обеспокоенностью отмечает следующие проблемы:</w:t>
      </w:r>
    </w:p>
    <w:p w14:paraId="39A69EB3" w14:textId="25761E3E" w:rsidR="00E12491" w:rsidRPr="00E12491" w:rsidRDefault="00BE7F3E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  <w:t>государство-участник до сих пор не ратифицировало Конвенцию Совета Европы о предотвращении насилия в отношении женщин и насилия в семье и борьбе с ним (Стамбульская конвенция);</w:t>
      </w:r>
    </w:p>
    <w:p w14:paraId="48231A18" w14:textId="3F72E8F2" w:rsidR="00E12491" w:rsidRPr="00E12491" w:rsidRDefault="00BE7F3E" w:rsidP="00E12491">
      <w:pPr>
        <w:pStyle w:val="SingleTxt"/>
      </w:pPr>
      <w:r>
        <w:tab/>
      </w:r>
      <w:r w:rsidR="00E12491" w:rsidRPr="00E12491">
        <w:t>b)</w:t>
      </w:r>
      <w:r w:rsidR="00E12491" w:rsidRPr="00E12491">
        <w:tab/>
        <w:t>отсутствует всеобъемлющий закон, охватывающий все формы гендерного насилия в отношении женщин;</w:t>
      </w:r>
    </w:p>
    <w:p w14:paraId="05ACD5E0" w14:textId="365F5D23" w:rsidR="00E12491" w:rsidRPr="00E12491" w:rsidRDefault="00BE7F3E" w:rsidP="00E12491">
      <w:pPr>
        <w:pStyle w:val="SingleTxt"/>
      </w:pPr>
      <w:r>
        <w:tab/>
      </w:r>
      <w:r w:rsidR="00E12491" w:rsidRPr="00E12491">
        <w:t>c)</w:t>
      </w:r>
      <w:r w:rsidR="00E12491" w:rsidRPr="00E12491">
        <w:tab/>
        <w:t>изнасилование в браке само по себе не определяется в качестве уголовного преступления и лишь считается отягчающим обстоятельством согласно статье 48 Уголовного кодекса;</w:t>
      </w:r>
    </w:p>
    <w:p w14:paraId="5295ACF8" w14:textId="0384DDA9" w:rsidR="00E12491" w:rsidRPr="00E12491" w:rsidRDefault="00BE7F3E" w:rsidP="00E12491">
      <w:pPr>
        <w:pStyle w:val="SingleTxt"/>
      </w:pPr>
      <w:r>
        <w:tab/>
      </w:r>
      <w:r w:rsidR="00E12491" w:rsidRPr="00E12491">
        <w:t>d)</w:t>
      </w:r>
      <w:r w:rsidR="00E12491" w:rsidRPr="00E12491">
        <w:tab/>
        <w:t>отмечается высокий уровень гендерного насилия в отношении женщин, в частности большое число случаев изнасилования и умышленного убийства;</w:t>
      </w:r>
    </w:p>
    <w:p w14:paraId="53198195" w14:textId="1B385CFC" w:rsidR="00E12491" w:rsidRPr="00E12491" w:rsidRDefault="00BE7F3E" w:rsidP="00E12491">
      <w:pPr>
        <w:pStyle w:val="SingleTxt"/>
      </w:pPr>
      <w:r>
        <w:tab/>
      </w:r>
      <w:r w:rsidR="00E12491" w:rsidRPr="00E12491">
        <w:t>e)</w:t>
      </w:r>
      <w:r w:rsidR="00E12491" w:rsidRPr="00E12491">
        <w:tab/>
        <w:t xml:space="preserve">отсутствует надлежащее рассмотрение следственными органами случаев гендерного насилия в отношении женщин, в частности сексуального насилия и насилия в семье, как это проявляется, например, в том, что опрос жертв и виновных не проводится раздельно, расследования не доводятся до конца и дела не передаются в суд для уголовного преследования; </w:t>
      </w:r>
    </w:p>
    <w:p w14:paraId="148D02A7" w14:textId="5C53F90D" w:rsidR="00E12491" w:rsidRPr="00E12491" w:rsidRDefault="00BE7F3E" w:rsidP="00E12491">
      <w:pPr>
        <w:pStyle w:val="SingleTxt"/>
      </w:pPr>
      <w:r>
        <w:tab/>
      </w:r>
      <w:r w:rsidR="00E12491" w:rsidRPr="00E12491">
        <w:t>f)</w:t>
      </w:r>
      <w:r w:rsidR="00E12491" w:rsidRPr="00E12491">
        <w:tab/>
        <w:t>отмечается крайне малое число предписаний о запрете на контакты или раздельном проживании, издаваемых полицией в интересах жертв насилия в семье, или временных защитных предписаний, издаваемых судом в подобных случаях, а также неэффективное исполнение этих предписаний и отсутствие надлежащего контроля за их исполнением, в результате чего женщины, ставшие жертвами такого насилия, рискуют подвергнуться повторной виктимизации;</w:t>
      </w:r>
    </w:p>
    <w:p w14:paraId="00AB8C20" w14:textId="6B42600D" w:rsidR="00E12491" w:rsidRPr="00E12491" w:rsidRDefault="00BE7F3E" w:rsidP="00E12491">
      <w:pPr>
        <w:pStyle w:val="SingleTxt"/>
      </w:pPr>
      <w:r>
        <w:tab/>
      </w:r>
      <w:r w:rsidR="00E12491" w:rsidRPr="00E12491">
        <w:t>g)</w:t>
      </w:r>
      <w:r w:rsidR="00E12491" w:rsidRPr="00E12491">
        <w:tab/>
        <w:t>услуги для жертв гендерного насилия не являются ни инклюзивными, ни доступными для женщин из наиболее обездоленных групп населения и доступны только в городских районах.</w:t>
      </w:r>
      <w:bookmarkStart w:id="5" w:name="_Hlk32842269"/>
      <w:bookmarkEnd w:id="5"/>
    </w:p>
    <w:p w14:paraId="502B57BA" w14:textId="69B97EC2" w:rsidR="00E12491" w:rsidRPr="00E12491" w:rsidRDefault="00E12491" w:rsidP="00E12491">
      <w:pPr>
        <w:pStyle w:val="SingleTxt"/>
      </w:pPr>
      <w:bookmarkStart w:id="6" w:name="_Ref33442641"/>
      <w:r w:rsidRPr="00E12491">
        <w:t>24.</w:t>
      </w:r>
      <w:r w:rsidRPr="00E12491">
        <w:tab/>
      </w:r>
      <w:r w:rsidRPr="00E12491">
        <w:rPr>
          <w:b/>
          <w:bCs/>
        </w:rPr>
        <w:t>В соответствии со своей общей рекомендацией №</w:t>
      </w:r>
      <w:r w:rsidR="00954B9A" w:rsidRPr="00954B9A">
        <w:rPr>
          <w:b/>
          <w:bCs/>
        </w:rPr>
        <w:t xml:space="preserve"> 35 (2017)</w:t>
      </w:r>
      <w:r w:rsidR="00BE7F3E" w:rsidRPr="00BE7F3E">
        <w:rPr>
          <w:b/>
          <w:bCs/>
        </w:rPr>
        <w:t xml:space="preserve"> </w:t>
      </w:r>
      <w:r w:rsidRPr="00E12491">
        <w:rPr>
          <w:b/>
          <w:bCs/>
        </w:rPr>
        <w:t>о гендерном насилии в отношении женщин, принятой в развитие общей рекомендации</w:t>
      </w:r>
      <w:r w:rsidR="00954B9A">
        <w:rPr>
          <w:b/>
          <w:bCs/>
          <w:lang w:val="en-US"/>
        </w:rPr>
        <w:t> </w:t>
      </w:r>
      <w:r w:rsidRPr="00E12491">
        <w:rPr>
          <w:b/>
          <w:bCs/>
        </w:rPr>
        <w:t>№ 19, и повторяя свои предыдущие заключительные замечания (</w:t>
      </w:r>
      <w:hyperlink r:id="rId25" w:history="1">
        <w:r w:rsidR="00BE7F3E" w:rsidRPr="004A662E">
          <w:rPr>
            <w:rStyle w:val="Hyperlink"/>
            <w:b/>
            <w:bCs/>
          </w:rPr>
          <w:t>A/59/38</w:t>
        </w:r>
      </w:hyperlink>
      <w:r w:rsidR="00BE7F3E" w:rsidRPr="00BE7F3E">
        <w:rPr>
          <w:b/>
          <w:bCs/>
        </w:rPr>
        <w:t xml:space="preserve">, </w:t>
      </w:r>
      <w:r w:rsidRPr="00E12491">
        <w:rPr>
          <w:b/>
          <w:bCs/>
        </w:rPr>
        <w:t>часть вторая, пункт 56), Комитет рекомендует государству-участнику:</w:t>
      </w:r>
      <w:bookmarkEnd w:id="6"/>
    </w:p>
    <w:p w14:paraId="29D16BF1" w14:textId="5C2D3F52" w:rsidR="00E12491" w:rsidRPr="00E12491" w:rsidRDefault="00BE7F3E" w:rsidP="00E12491">
      <w:pPr>
        <w:pStyle w:val="SingleTxt"/>
        <w:rPr>
          <w:b/>
        </w:rPr>
      </w:pPr>
      <w:r>
        <w:tab/>
      </w:r>
      <w:r w:rsidR="00E12491" w:rsidRPr="00E12491">
        <w:t>а)</w:t>
      </w:r>
      <w:r w:rsidR="00E12491" w:rsidRPr="00E12491">
        <w:tab/>
      </w:r>
      <w:r w:rsidR="00E12491" w:rsidRPr="00E12491">
        <w:rPr>
          <w:b/>
          <w:bCs/>
        </w:rPr>
        <w:t>ратифицировать Стамбульскую конвенцию;</w:t>
      </w:r>
    </w:p>
    <w:p w14:paraId="6226B4AC" w14:textId="4EE30953" w:rsidR="00E12491" w:rsidRPr="00E12491" w:rsidRDefault="00BE7F3E" w:rsidP="00E12491">
      <w:pPr>
        <w:pStyle w:val="SingleTxt"/>
        <w:rPr>
          <w:b/>
        </w:rPr>
      </w:pPr>
      <w:r>
        <w:tab/>
      </w:r>
      <w:r w:rsidR="00E12491" w:rsidRPr="00E12491">
        <w:t>b)</w:t>
      </w:r>
      <w:r w:rsidR="00E12491" w:rsidRPr="00E12491">
        <w:tab/>
      </w:r>
      <w:r w:rsidR="00E12491" w:rsidRPr="00E12491">
        <w:rPr>
          <w:b/>
          <w:bCs/>
        </w:rPr>
        <w:t>принять всеобъемлющий закон о гендерном насилии в отношении женщин;</w:t>
      </w:r>
    </w:p>
    <w:p w14:paraId="01EE0633" w14:textId="76E99B80" w:rsidR="00E12491" w:rsidRPr="00E12491" w:rsidRDefault="00BE7F3E" w:rsidP="00E12491">
      <w:pPr>
        <w:pStyle w:val="SingleTxt"/>
        <w:rPr>
          <w:b/>
        </w:rPr>
      </w:pPr>
      <w:r>
        <w:tab/>
      </w:r>
      <w:r w:rsidR="00E12491" w:rsidRPr="00E12491">
        <w:t>c)</w:t>
      </w:r>
      <w:r w:rsidR="00E12491" w:rsidRPr="00E12491">
        <w:tab/>
      </w:r>
      <w:r w:rsidR="00E12491" w:rsidRPr="00E12491">
        <w:rPr>
          <w:b/>
          <w:bCs/>
        </w:rPr>
        <w:t>определить изнасилование в браке как отдельное уголовное преступление;</w:t>
      </w:r>
    </w:p>
    <w:p w14:paraId="23709298" w14:textId="0A98A85F" w:rsidR="00E12491" w:rsidRPr="00E12491" w:rsidRDefault="00BE7F3E" w:rsidP="00E12491">
      <w:pPr>
        <w:pStyle w:val="SingleTxt"/>
        <w:rPr>
          <w:b/>
        </w:rPr>
      </w:pPr>
      <w:r>
        <w:tab/>
      </w:r>
      <w:r w:rsidR="00E12491" w:rsidRPr="00E12491">
        <w:t>d)</w:t>
      </w:r>
      <w:r w:rsidR="00E12491" w:rsidRPr="00E12491">
        <w:tab/>
      </w:r>
      <w:r w:rsidR="00E12491" w:rsidRPr="00E12491">
        <w:rPr>
          <w:b/>
          <w:bCs/>
        </w:rPr>
        <w:t>продолжать уделять приоритетное внимание усилиям по борьбе с гендерным насилием в отношении женщин, в том числе в рамках плана по поощрению равных прав и возможностей для женщин и мужчин на период 2018</w:t>
      </w:r>
      <w:r w:rsidRPr="00BE7F3E">
        <w:rPr>
          <w:b/>
          <w:bCs/>
        </w:rPr>
        <w:t>–</w:t>
      </w:r>
      <w:r w:rsidR="00E12491" w:rsidRPr="00E12491">
        <w:rPr>
          <w:b/>
          <w:bCs/>
        </w:rPr>
        <w:t>2020 годов и последующего плана, с уделением особого внимания профилактике, выявлению коренных причин насилия, предоставлению услуг по поддержке жертв и оперативному внедрению обязательных программ реабилитации для всех лиц, совершающих акты насилия в семье;</w:t>
      </w:r>
    </w:p>
    <w:p w14:paraId="30B49050" w14:textId="1D800673" w:rsidR="00E12491" w:rsidRPr="00E12491" w:rsidRDefault="00BE7F3E" w:rsidP="00E12491">
      <w:pPr>
        <w:pStyle w:val="SingleTxt"/>
        <w:rPr>
          <w:b/>
          <w:bCs/>
        </w:rPr>
      </w:pPr>
      <w:r>
        <w:tab/>
      </w:r>
      <w:r w:rsidR="00E12491" w:rsidRPr="00E12491">
        <w:t>e)</w:t>
      </w:r>
      <w:r w:rsidR="00E12491" w:rsidRPr="00E12491">
        <w:tab/>
      </w:r>
      <w:r w:rsidR="00E12491" w:rsidRPr="00E12491">
        <w:rPr>
          <w:b/>
          <w:bCs/>
        </w:rPr>
        <w:t>осуществлять контроль и оценивать эффективность реагирования судебных органов и полиции на случаи гендерного насилия, включая сексуальное насилие и насилие в семье, обеспечивать систематическое укрепление потенциала судей, прокуроров, сотрудников полиции и других правоохранительных органов в том, что касается строгого соблюдения положений уголовного законодательства о гендерном насилии в отношении женщин, а также в отношении учитывающих гендерные аспекты следственных процедур, и обеспечивать эффективное преследование и наказание виновных в совершении гендерного насилия;</w:t>
      </w:r>
    </w:p>
    <w:p w14:paraId="1A11154C" w14:textId="00D70025" w:rsidR="00E12491" w:rsidRPr="00E12491" w:rsidRDefault="00BE7F3E" w:rsidP="00E12491">
      <w:pPr>
        <w:pStyle w:val="SingleTxt"/>
        <w:rPr>
          <w:b/>
          <w:bCs/>
        </w:rPr>
      </w:pPr>
      <w:r>
        <w:tab/>
      </w:r>
      <w:r w:rsidR="00E12491" w:rsidRPr="00E12491">
        <w:t>f)</w:t>
      </w:r>
      <w:r w:rsidR="00E12491" w:rsidRPr="00E12491">
        <w:tab/>
      </w:r>
      <w:r w:rsidR="00E12491" w:rsidRPr="00E12491">
        <w:rPr>
          <w:b/>
          <w:bCs/>
        </w:rPr>
        <w:t>обеспечивать эффективное внедрение законодательных поправок, уполномочивающих полицию издавать предписания о запрете контактов или раздельном проживании, а суды</w:t>
      </w:r>
      <w:r w:rsidR="00A75AA1">
        <w:rPr>
          <w:b/>
          <w:bCs/>
          <w:lang w:val="en-US"/>
        </w:rPr>
        <w:t> </w:t>
      </w:r>
      <w:r w:rsidR="00A75AA1" w:rsidRPr="00A75AA1">
        <w:rPr>
          <w:b/>
          <w:bCs/>
        </w:rPr>
        <w:t>––</w:t>
      </w:r>
      <w:r w:rsidR="00E12491" w:rsidRPr="00E12491">
        <w:rPr>
          <w:b/>
          <w:bCs/>
        </w:rPr>
        <w:t xml:space="preserve"> временные защитные предписания, и повысить эффективность исполнения таких предписаний;</w:t>
      </w:r>
    </w:p>
    <w:p w14:paraId="1C6ABBFC" w14:textId="133CE06B" w:rsidR="00E12491" w:rsidRPr="00E12491" w:rsidRDefault="00BE7F3E" w:rsidP="00E12491">
      <w:pPr>
        <w:pStyle w:val="SingleTxt"/>
        <w:rPr>
          <w:b/>
          <w:bCs/>
        </w:rPr>
      </w:pPr>
      <w:r>
        <w:tab/>
      </w:r>
      <w:r w:rsidR="00E12491" w:rsidRPr="00E12491">
        <w:t>g)</w:t>
      </w:r>
      <w:r w:rsidR="00E12491" w:rsidRPr="00E12491">
        <w:tab/>
      </w:r>
      <w:r w:rsidR="00E12491" w:rsidRPr="00E12491">
        <w:rPr>
          <w:b/>
          <w:bCs/>
        </w:rPr>
        <w:t>обеспечивать, чтобы все услуги для жертв гендерного насилия являлись инклюзивными и доступными для женщин из наиболее обездоленных групп населения и чтобы они были доступны также в сельских районах.</w:t>
      </w:r>
    </w:p>
    <w:p w14:paraId="45BA6EF0" w14:textId="217A32AD" w:rsidR="00E12491" w:rsidRPr="00BE7F3E" w:rsidRDefault="00E12491" w:rsidP="00BE7F3E">
      <w:pPr>
        <w:pStyle w:val="SingleTxt"/>
        <w:spacing w:after="0" w:line="120" w:lineRule="exact"/>
        <w:rPr>
          <w:b/>
          <w:sz w:val="10"/>
        </w:rPr>
      </w:pPr>
    </w:p>
    <w:p w14:paraId="43E5ADC3" w14:textId="77777777" w:rsidR="00BE7F3E" w:rsidRDefault="00E12491" w:rsidP="00BE7F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2491">
        <w:tab/>
      </w:r>
      <w:r w:rsidRPr="00E12491">
        <w:tab/>
        <w:t>Торговля людьми и эксплуатация проституции</w:t>
      </w:r>
    </w:p>
    <w:p w14:paraId="2CC17185" w14:textId="157342CB" w:rsidR="00BE7F3E" w:rsidRPr="00BE7F3E" w:rsidRDefault="00BE7F3E" w:rsidP="00BE7F3E">
      <w:pPr>
        <w:pStyle w:val="SingleTxt"/>
        <w:spacing w:after="0" w:line="120" w:lineRule="exact"/>
        <w:rPr>
          <w:sz w:val="10"/>
        </w:rPr>
      </w:pPr>
    </w:p>
    <w:p w14:paraId="31B64E93" w14:textId="77777777" w:rsidR="00E12491" w:rsidRPr="00E12491" w:rsidRDefault="00E12491" w:rsidP="00E12491">
      <w:pPr>
        <w:pStyle w:val="SingleTxt"/>
      </w:pPr>
      <w:r w:rsidRPr="00E12491">
        <w:t>25.</w:t>
      </w:r>
      <w:r w:rsidRPr="00E12491">
        <w:tab/>
        <w:t>Комитет приветствует усилия государства-участника по борьбе с торговлей людьми, в частности женщинами и девочками, в том числе в рамках международного сотрудничества, и предоставление финансируемых государством всеобъемлющих услуг по оказанию помощи и поддержки жертвам торговли людьми. В то же время Комитет обеспокоен тем, что:</w:t>
      </w:r>
    </w:p>
    <w:p w14:paraId="39F131D9" w14:textId="110209CF" w:rsidR="00E12491" w:rsidRPr="00E12491" w:rsidRDefault="00BE7F3E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  <w:t>государство-участник не приняло конкретного законодательства о борьбе с торговлей людьми;</w:t>
      </w:r>
    </w:p>
    <w:p w14:paraId="75122081" w14:textId="46759C02" w:rsidR="00E12491" w:rsidRPr="00E12491" w:rsidRDefault="00BE7F3E" w:rsidP="00E12491">
      <w:pPr>
        <w:pStyle w:val="SingleTxt"/>
      </w:pPr>
      <w:r>
        <w:tab/>
      </w:r>
      <w:r w:rsidR="00E12491" w:rsidRPr="00E12491">
        <w:t>b)</w:t>
      </w:r>
      <w:r w:rsidR="00E12491" w:rsidRPr="00E12491">
        <w:tab/>
        <w:t>на основе официальных статистических данных государство-участник пришло к заключению о том, что оно является главным образом страной происхождения для торговли людьми, в частности женщинами и девочками, и наряду с этим поступают сообщения о том, что иностранные граждане</w:t>
      </w:r>
      <w:r w:rsidR="00A75AA1" w:rsidRPr="00A75AA1">
        <w:t>-</w:t>
      </w:r>
      <w:r w:rsidR="00E12491" w:rsidRPr="00E12491">
        <w:t>жертвы торговли людьми не признаются в качестве таковых: им отказывают во въезде в государство-участник и возвращают их в страну происхождения в качестве женщин-мигрантов с неурегулированным статусом;</w:t>
      </w:r>
    </w:p>
    <w:p w14:paraId="5375EA6D" w14:textId="0A4336C4" w:rsidR="00E12491" w:rsidRPr="00E12491" w:rsidRDefault="00BE7F3E" w:rsidP="00E12491">
      <w:pPr>
        <w:pStyle w:val="SingleTxt"/>
      </w:pPr>
      <w:r>
        <w:tab/>
      </w:r>
      <w:r w:rsidR="00E12491" w:rsidRPr="00E12491">
        <w:t>c)</w:t>
      </w:r>
      <w:r w:rsidR="00E12491" w:rsidRPr="00E12491">
        <w:tab/>
        <w:t>число расследований, судебных преследований и приговоров в отношении лиц, виновных в торговле людьми, является крайне малым.</w:t>
      </w:r>
    </w:p>
    <w:p w14:paraId="6DAF3149" w14:textId="31E5413E" w:rsidR="00E12491" w:rsidRPr="00E12491" w:rsidRDefault="00E12491" w:rsidP="00E12491">
      <w:pPr>
        <w:pStyle w:val="SingleTxt"/>
        <w:rPr>
          <w:b/>
        </w:rPr>
      </w:pPr>
      <w:bookmarkStart w:id="7" w:name="_Ref33442703"/>
      <w:r w:rsidRPr="00E12491">
        <w:t>26.</w:t>
      </w:r>
      <w:r w:rsidRPr="00E12491">
        <w:tab/>
      </w:r>
      <w:r w:rsidRPr="00E12491">
        <w:rPr>
          <w:b/>
          <w:bCs/>
        </w:rPr>
        <w:t>Ссылаясь на свои предыдущие рекомендации (</w:t>
      </w:r>
      <w:hyperlink r:id="rId26" w:history="1">
        <w:r w:rsidR="00BE7F3E" w:rsidRPr="004A662E">
          <w:rPr>
            <w:rStyle w:val="Hyperlink"/>
            <w:b/>
            <w:bCs/>
          </w:rPr>
          <w:t>A/59/38</w:t>
        </w:r>
      </w:hyperlink>
      <w:r w:rsidR="00BE7F3E" w:rsidRPr="00BE7F3E">
        <w:rPr>
          <w:b/>
          <w:bCs/>
        </w:rPr>
        <w:t xml:space="preserve">, </w:t>
      </w:r>
      <w:r w:rsidRPr="00E12491">
        <w:rPr>
          <w:b/>
          <w:bCs/>
        </w:rPr>
        <w:t>часть вторая, пункт 5</w:t>
      </w:r>
      <w:r w:rsidR="001850F5" w:rsidRPr="006627D1">
        <w:rPr>
          <w:b/>
          <w:bCs/>
        </w:rPr>
        <w:t>8</w:t>
      </w:r>
      <w:r w:rsidRPr="00E12491">
        <w:rPr>
          <w:b/>
          <w:bCs/>
        </w:rPr>
        <w:t>), Комитет рекомендует государству-участнику:</w:t>
      </w:r>
      <w:bookmarkEnd w:id="7"/>
    </w:p>
    <w:p w14:paraId="7502A79D" w14:textId="4F98BC71" w:rsidR="00E12491" w:rsidRPr="00E12491" w:rsidRDefault="00BE7F3E" w:rsidP="00E12491">
      <w:pPr>
        <w:pStyle w:val="SingleTxt"/>
        <w:rPr>
          <w:bCs/>
        </w:rPr>
      </w:pPr>
      <w:r>
        <w:tab/>
      </w:r>
      <w:r w:rsidR="00E12491" w:rsidRPr="00E12491">
        <w:t>а)</w:t>
      </w:r>
      <w:r w:rsidR="00E12491" w:rsidRPr="00E12491">
        <w:tab/>
      </w:r>
      <w:r w:rsidR="00E12491" w:rsidRPr="00E12491">
        <w:rPr>
          <w:b/>
          <w:bCs/>
        </w:rPr>
        <w:t>принять всеобъемлющее законодательство по борьбе с торговлей людьми;</w:t>
      </w:r>
    </w:p>
    <w:p w14:paraId="01E53A09" w14:textId="5A725667" w:rsidR="00E12491" w:rsidRPr="00E12491" w:rsidRDefault="00BE7F3E" w:rsidP="00E12491">
      <w:pPr>
        <w:pStyle w:val="SingleTxt"/>
        <w:rPr>
          <w:b/>
          <w:bCs/>
        </w:rPr>
      </w:pPr>
      <w:r>
        <w:tab/>
      </w:r>
      <w:r w:rsidR="00E12491" w:rsidRPr="00E12491">
        <w:t>b)</w:t>
      </w:r>
      <w:r w:rsidR="00E12491" w:rsidRPr="00E12491">
        <w:tab/>
      </w:r>
      <w:r w:rsidR="00E12491" w:rsidRPr="00E12491">
        <w:rPr>
          <w:b/>
          <w:bCs/>
        </w:rPr>
        <w:t>совершенствовать процедуры заблаговременного выявления жертв торговли людьми, в частности на государственной границе, и направления их в соответствующие службы, заботящиеся о жертвах торговли людьми, в частности о девочках, и совершенствовать услуги в целях защиты и поддержки жертв и свидетелей, в том числе на основе продления максимального периода предоставления защиты, составляющего в настоящее время 180 дней, независимо от способности или готовности жертвы сотрудничать с органами прокуратуры;</w:t>
      </w:r>
    </w:p>
    <w:p w14:paraId="51F01275" w14:textId="6F69817C" w:rsidR="00E12491" w:rsidRPr="00E12491" w:rsidRDefault="00BE7F3E" w:rsidP="00E12491">
      <w:pPr>
        <w:pStyle w:val="SingleTxt"/>
      </w:pPr>
      <w:r>
        <w:tab/>
      </w:r>
      <w:r w:rsidR="00E12491" w:rsidRPr="00E12491">
        <w:t>c)</w:t>
      </w:r>
      <w:r w:rsidR="00E12491" w:rsidRPr="00E12491">
        <w:tab/>
      </w:r>
      <w:r w:rsidR="00E12491" w:rsidRPr="00E12491">
        <w:rPr>
          <w:b/>
          <w:bCs/>
        </w:rPr>
        <w:t>обеспечить эффективное судебное преследование и надлежащее наказание лиц, виновных в совершении актов торговли людьми, и представить в своем следующем периодическом докладе соответствующие статистические данные в разбивке по полу, возрасту, национальному происхождению, занятости и социальному статусу.</w:t>
      </w:r>
    </w:p>
    <w:p w14:paraId="0200EC46" w14:textId="77777777" w:rsidR="00E12491" w:rsidRPr="00E12491" w:rsidRDefault="00E12491" w:rsidP="00E12491">
      <w:pPr>
        <w:pStyle w:val="SingleTxt"/>
      </w:pPr>
      <w:r w:rsidRPr="00E12491">
        <w:t>27.</w:t>
      </w:r>
      <w:r w:rsidRPr="00E12491">
        <w:tab/>
        <w:t>Комитет отмечает, что в государстве-участнике проституция является легальной, но регулируется постановлением № 32 об ограничении проституции и что проект закона об ограничении проституции все еще находится на рассмотрении. Комитет обеспокоен следующим:</w:t>
      </w:r>
    </w:p>
    <w:p w14:paraId="7874F4C5" w14:textId="3D996A9B" w:rsidR="00E12491" w:rsidRPr="00E12491" w:rsidRDefault="00BE7F3E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  <w:t>отсутствием информации о программах оказания помощи женщинам, которые хотят прекратить заниматься проституцией;</w:t>
      </w:r>
    </w:p>
    <w:p w14:paraId="39DF2460" w14:textId="419BA030" w:rsidR="00E12491" w:rsidRPr="00E12491" w:rsidRDefault="00BE7F3E" w:rsidP="00E12491">
      <w:pPr>
        <w:pStyle w:val="SingleTxt"/>
      </w:pPr>
      <w:r>
        <w:tab/>
      </w:r>
      <w:r w:rsidR="00E12491" w:rsidRPr="00E12491">
        <w:t>b)</w:t>
      </w:r>
      <w:r w:rsidR="00E12491" w:rsidRPr="00E12491">
        <w:tab/>
        <w:t>смешением понятий торговли людьми в целях сексуальной эксплуатации и принуждения к занятию проституцией в Уголовном кодексе</w:t>
      </w:r>
      <w:r w:rsidR="00E12491" w:rsidRPr="00360A87">
        <w:rPr>
          <w:vertAlign w:val="superscript"/>
          <w:lang w:val="en-GB"/>
        </w:rPr>
        <w:footnoteReference w:id="2"/>
      </w:r>
      <w:r w:rsidR="00E12491" w:rsidRPr="00E12491">
        <w:t>, что может на практике привести к повторной виктимизации женщин, ставших жертвами торговли людьми, и сделать их еще более уязвимыми перед эксплуатацией, жестоким обращением и дискриминацией.</w:t>
      </w:r>
    </w:p>
    <w:p w14:paraId="20880C5A" w14:textId="77777777" w:rsidR="00E12491" w:rsidRPr="00E12491" w:rsidRDefault="00E12491" w:rsidP="00E12491">
      <w:pPr>
        <w:pStyle w:val="SingleTxt"/>
        <w:rPr>
          <w:b/>
        </w:rPr>
      </w:pPr>
      <w:r w:rsidRPr="00E12491">
        <w:t>28.</w:t>
      </w:r>
      <w:r w:rsidRPr="00E12491">
        <w:tab/>
      </w:r>
      <w:r w:rsidRPr="00E12491">
        <w:rPr>
          <w:b/>
          <w:bCs/>
        </w:rPr>
        <w:t>Комитет рекомендует государству-участнику:</w:t>
      </w:r>
    </w:p>
    <w:p w14:paraId="1E4E8A4D" w14:textId="0A5D3027" w:rsidR="00E12491" w:rsidRPr="00E12491" w:rsidRDefault="00BE7F3E" w:rsidP="00E12491">
      <w:pPr>
        <w:pStyle w:val="SingleTxt"/>
        <w:rPr>
          <w:b/>
          <w:bCs/>
        </w:rPr>
      </w:pPr>
      <w:r>
        <w:tab/>
      </w:r>
      <w:r w:rsidR="00E12491" w:rsidRPr="00E12491">
        <w:t>а)</w:t>
      </w:r>
      <w:r w:rsidR="00E12491" w:rsidRPr="00E12491">
        <w:tab/>
      </w:r>
      <w:r w:rsidR="00E12491" w:rsidRPr="00E12491">
        <w:rPr>
          <w:b/>
          <w:bCs/>
        </w:rPr>
        <w:t>разрабатывать и осуществлять программы по оказанию помощи женщинам и девочкам, желающим покончить с проституцией, в том числе посредством наделения их альтернативными возможностями для получения дохода;</w:t>
      </w:r>
    </w:p>
    <w:p w14:paraId="461C68E4" w14:textId="6EC8D583" w:rsidR="00E12491" w:rsidRDefault="00BE7F3E" w:rsidP="00E12491">
      <w:pPr>
        <w:pStyle w:val="SingleTxt"/>
      </w:pPr>
      <w:r>
        <w:tab/>
      </w:r>
      <w:r w:rsidR="00E12491" w:rsidRPr="00E12491">
        <w:t>b)</w:t>
      </w:r>
      <w:r w:rsidR="00E12491" w:rsidRPr="00E12491">
        <w:tab/>
      </w:r>
      <w:r w:rsidR="00E12491" w:rsidRPr="00E12491">
        <w:rPr>
          <w:b/>
          <w:bCs/>
        </w:rPr>
        <w:t>уточнить понятия «уязвимости» и «согласия» в Уголовном кодексе</w:t>
      </w:r>
      <w:r w:rsidR="00E12491" w:rsidRPr="00360A87">
        <w:rPr>
          <w:bCs/>
          <w:vertAlign w:val="superscript"/>
          <w:lang w:val="en-GB"/>
        </w:rPr>
        <w:footnoteReference w:id="3"/>
      </w:r>
      <w:r w:rsidR="00E12491" w:rsidRPr="00E12491">
        <w:rPr>
          <w:b/>
          <w:bCs/>
        </w:rPr>
        <w:t>, при необходимости, путем внесения поправок в законодательство и обеспечить, чтобы женщины, эксплуатируемые как проститутки, признавались в качестве жертв и чтобы занятие проституцией не подлежало административным штрафам, в частности на основе принятия проекта закона об ограничении проституции, а также принять меры в отношении спроса на услуги проституток с целью его сокращения.</w:t>
      </w:r>
      <w:r w:rsidR="00E12491" w:rsidRPr="00E12491">
        <w:t xml:space="preserve"> </w:t>
      </w:r>
    </w:p>
    <w:p w14:paraId="29B3E92B" w14:textId="7604E3B8" w:rsidR="00BE7F3E" w:rsidRPr="00BE7F3E" w:rsidRDefault="00BE7F3E" w:rsidP="00BE7F3E">
      <w:pPr>
        <w:pStyle w:val="SingleTxt"/>
        <w:spacing w:after="0" w:line="120" w:lineRule="exact"/>
        <w:rPr>
          <w:b/>
          <w:sz w:val="10"/>
          <w:u w:val="single"/>
        </w:rPr>
      </w:pPr>
    </w:p>
    <w:p w14:paraId="4AF0C027" w14:textId="12D0CC28" w:rsidR="00E12491" w:rsidRDefault="00E12491" w:rsidP="00BE7F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8" w:name="_Hlk32829220"/>
      <w:r w:rsidRPr="00E12491">
        <w:tab/>
      </w:r>
      <w:r w:rsidRPr="00E12491">
        <w:tab/>
        <w:t>Равное участие в политической и общественной жизни</w:t>
      </w:r>
    </w:p>
    <w:p w14:paraId="6F34C982" w14:textId="57237C28" w:rsidR="00BE7F3E" w:rsidRPr="00BE7F3E" w:rsidRDefault="00BE7F3E" w:rsidP="00BE7F3E">
      <w:pPr>
        <w:pStyle w:val="SingleTxt"/>
        <w:spacing w:after="0" w:line="120" w:lineRule="exact"/>
        <w:rPr>
          <w:sz w:val="10"/>
        </w:rPr>
      </w:pPr>
    </w:p>
    <w:p w14:paraId="11088365" w14:textId="77777777" w:rsidR="00E12491" w:rsidRPr="00E12491" w:rsidRDefault="00E12491" w:rsidP="00E12491">
      <w:pPr>
        <w:pStyle w:val="SingleTxt"/>
      </w:pPr>
      <w:r w:rsidRPr="00E12491">
        <w:t>29.</w:t>
      </w:r>
      <w:r w:rsidRPr="00E12491">
        <w:tab/>
        <w:t>Комитет приветствует прогресс, достигнутый государством-участником в поощрении участия женщин, в том числе на уровне принятия решений, в частности на гражданской службе, в судебной системе, на выборных должностях на местном, национальном и общеевропейском уровнях, а также в дипломатическом корпусе. Вместе с тем Комитет обеспокоен тем, что участие женщин в политической и общественной жизни и в процессе принятия решений остается недостаточным, особенно в отношении групп женщин, находящихся в наиболее неблагоприятном положении, и что во многих областях сохраняется вертикальная гендерная сегрегация.</w:t>
      </w:r>
    </w:p>
    <w:p w14:paraId="0EA56A66" w14:textId="6744FC0C" w:rsidR="00E12491" w:rsidRDefault="00E12491" w:rsidP="00E12491">
      <w:pPr>
        <w:pStyle w:val="SingleTxt"/>
        <w:rPr>
          <w:b/>
          <w:bCs/>
        </w:rPr>
      </w:pPr>
      <w:r w:rsidRPr="00E12491">
        <w:t>30.</w:t>
      </w:r>
      <w:r w:rsidRPr="00E12491">
        <w:tab/>
      </w:r>
      <w:r w:rsidRPr="00E12491">
        <w:rPr>
          <w:b/>
          <w:bCs/>
        </w:rPr>
        <w:t>Повторяя свои предыдущие рекомендации (</w:t>
      </w:r>
      <w:hyperlink r:id="rId27" w:history="1">
        <w:r w:rsidR="00BE7F3E" w:rsidRPr="004A662E">
          <w:rPr>
            <w:rStyle w:val="Hyperlink"/>
            <w:b/>
            <w:bCs/>
          </w:rPr>
          <w:t>A/59/38</w:t>
        </w:r>
      </w:hyperlink>
      <w:r w:rsidR="00BE7F3E" w:rsidRPr="00BE7F3E">
        <w:rPr>
          <w:b/>
          <w:bCs/>
        </w:rPr>
        <w:t xml:space="preserve">, </w:t>
      </w:r>
      <w:r w:rsidRPr="00E12491">
        <w:rPr>
          <w:b/>
          <w:bCs/>
        </w:rPr>
        <w:t>часть вторая, пункт 62), Комитет рекомендует государству-участнику активизировать свои усилия по увеличению представленности женщин в политической жизни на уровне принятия решений как в выборных, так и в назначаемых государственных органах и принять временные специальные меры, в том числе обязать политические партии ввести квоты для женщин-кандидатов, с тем чтобы расширить участие женщин, в частности сельских женщин, женщин, принадлежащих к этническим меньшинствам, и женщин-инвалидов, в политической и общественной жизни в соответствии с его общей рекомендацией №</w:t>
      </w:r>
      <w:r w:rsidR="00064A5D" w:rsidRPr="00064A5D">
        <w:rPr>
          <w:b/>
          <w:bCs/>
        </w:rPr>
        <w:t xml:space="preserve"> 23 (1997)</w:t>
      </w:r>
      <w:r w:rsidR="00BE7F3E" w:rsidRPr="00BE7F3E">
        <w:rPr>
          <w:b/>
          <w:bCs/>
        </w:rPr>
        <w:t xml:space="preserve"> </w:t>
      </w:r>
      <w:r w:rsidRPr="00E12491">
        <w:rPr>
          <w:b/>
          <w:bCs/>
        </w:rPr>
        <w:t>об участии женщин в политической и общественной жизни.</w:t>
      </w:r>
    </w:p>
    <w:p w14:paraId="7B57B3B9" w14:textId="5C98A207" w:rsidR="00064A5D" w:rsidRPr="00064A5D" w:rsidRDefault="00064A5D" w:rsidP="00064A5D">
      <w:pPr>
        <w:pStyle w:val="SingleTxt"/>
        <w:spacing w:after="0" w:line="120" w:lineRule="exact"/>
        <w:rPr>
          <w:sz w:val="10"/>
        </w:rPr>
      </w:pPr>
    </w:p>
    <w:bookmarkEnd w:id="8"/>
    <w:p w14:paraId="5137B4AE" w14:textId="058E8326" w:rsidR="00E12491" w:rsidRDefault="00BE7F3E" w:rsidP="00064A5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="00E12491" w:rsidRPr="00E12491">
        <w:t>Гражданство</w:t>
      </w:r>
    </w:p>
    <w:p w14:paraId="456BA4C4" w14:textId="4D9CD73B" w:rsidR="00BE7F3E" w:rsidRPr="00BE7F3E" w:rsidRDefault="00BE7F3E" w:rsidP="00BE7F3E">
      <w:pPr>
        <w:pStyle w:val="SingleTxt"/>
        <w:spacing w:after="0" w:line="120" w:lineRule="exact"/>
        <w:rPr>
          <w:sz w:val="10"/>
        </w:rPr>
      </w:pPr>
    </w:p>
    <w:p w14:paraId="611B5DF0" w14:textId="77777777" w:rsidR="00E12491" w:rsidRPr="00E12491" w:rsidRDefault="00E12491" w:rsidP="00E12491">
      <w:pPr>
        <w:pStyle w:val="SingleTxt"/>
        <w:rPr>
          <w:bCs/>
        </w:rPr>
      </w:pPr>
      <w:r w:rsidRPr="00E12491">
        <w:rPr>
          <w:bCs/>
        </w:rPr>
        <w:t>31.</w:t>
      </w:r>
      <w:r w:rsidRPr="00E12491">
        <w:rPr>
          <w:bCs/>
        </w:rPr>
        <w:tab/>
      </w:r>
      <w:r w:rsidRPr="00E12491">
        <w:t>Комитет приветствует принятие в 2019 году Закона о прекращении действия статуса негражданина в интересах детей, устанавливающего, что все дети, родившиеся в государстве-участнике после 1 января 2020 года, автоматически получают латвийское гражданство. Вместе с тем он обеспокоен потенциальным гендерным воздействием действующего законодательства и политики в отношении гражданства, в частности на находящиеся в наиболее неблагоприятном положении группы женщин, в связи с отсутствием статистических данных в разбивке по полу, возрасту и другим соответствующим факторам.</w:t>
      </w:r>
    </w:p>
    <w:p w14:paraId="71EF9B26" w14:textId="463B4F14" w:rsidR="00E12491" w:rsidRDefault="00E12491" w:rsidP="00E12491">
      <w:pPr>
        <w:pStyle w:val="SingleTxt"/>
        <w:rPr>
          <w:b/>
          <w:bCs/>
        </w:rPr>
      </w:pPr>
      <w:r w:rsidRPr="00E12491">
        <w:t>32.</w:t>
      </w:r>
      <w:r w:rsidRPr="00E12491">
        <w:tab/>
      </w:r>
      <w:r w:rsidRPr="00E12491">
        <w:rPr>
          <w:b/>
          <w:bCs/>
        </w:rPr>
        <w:t>Комитет рекомендует государству-участнику обеспечить анализ потенциального гендерного воздействия действующего законодательства и политики в отношении гражданства путем разработки систем сбора данных, которые позволяли бы собирать информацию в разбивке по полу, возрасту, принадлежности к языковым меньшинствам, этническому происхождению и инвалидности, среди прочих важных аспектов, как в отношении лиц, обращающихся с просьбой о предоставлении гражданства, так и в отношении лиц, его получающих, и сообщить о прогрессе, достигнутом в этом отношении, в своем следующем периодическом докладе.</w:t>
      </w:r>
    </w:p>
    <w:p w14:paraId="6C559252" w14:textId="29DB4EC0" w:rsidR="006E1FBD" w:rsidRPr="006E1FBD" w:rsidRDefault="006E1FBD" w:rsidP="006E1FBD">
      <w:pPr>
        <w:pStyle w:val="SingleTxt"/>
        <w:spacing w:after="0" w:line="120" w:lineRule="exact"/>
        <w:rPr>
          <w:b/>
          <w:sz w:val="10"/>
        </w:rPr>
      </w:pPr>
    </w:p>
    <w:p w14:paraId="101FEE47" w14:textId="0D407F71" w:rsidR="00E12491" w:rsidRDefault="006E1FBD" w:rsidP="006E1FB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12491" w:rsidRPr="00E12491">
        <w:t>Образование</w:t>
      </w:r>
    </w:p>
    <w:p w14:paraId="7E65CB11" w14:textId="222C5426" w:rsidR="006E1FBD" w:rsidRPr="006E1FBD" w:rsidRDefault="006E1FBD" w:rsidP="006E1FBD">
      <w:pPr>
        <w:pStyle w:val="SingleTxt"/>
        <w:spacing w:after="0" w:line="120" w:lineRule="exact"/>
        <w:rPr>
          <w:sz w:val="10"/>
        </w:rPr>
      </w:pPr>
    </w:p>
    <w:p w14:paraId="3404DBCE" w14:textId="7B638DDB" w:rsidR="00E12491" w:rsidRPr="00E12491" w:rsidRDefault="00E12491" w:rsidP="00E12491">
      <w:pPr>
        <w:pStyle w:val="SingleTxt"/>
      </w:pPr>
      <w:r w:rsidRPr="00E12491">
        <w:t>33.</w:t>
      </w:r>
      <w:r w:rsidRPr="00E12491">
        <w:tab/>
        <w:t>Комитет приветствует всеобъемлющую реформу в области образования, направленную на разработку нового наполнения образования, основанного на принципе компетентности, которое включало бы уважение гендерного равенства в соответствии с общеобязательным стандартом начального образования и Общеобязательным стандартом среднего образования на 2020</w:t>
      </w:r>
      <w:r w:rsidR="006E1FBD" w:rsidRPr="006E1FBD">
        <w:t>–</w:t>
      </w:r>
      <w:r w:rsidRPr="00E12491">
        <w:t>2021 годы и руководящими принципами дошкольного образования на 2019</w:t>
      </w:r>
      <w:r w:rsidR="006E1FBD" w:rsidRPr="006E1FBD">
        <w:t>–</w:t>
      </w:r>
      <w:r w:rsidRPr="00E12491">
        <w:t>2020 годы. Он отмечает увеличение числа женщин и девочек, поступающих на учебу по специальностям, в которых ранее доминировали мужчины. Вместе с тем Комитет выражает сожаление в связи с отсутствием информации о женщинах на ведущих должностях научно-преподавательского состава. Он с обеспокоенностью отмечает также следующее:</w:t>
      </w:r>
    </w:p>
    <w:p w14:paraId="397148A6" w14:textId="354606CA" w:rsidR="00E12491" w:rsidRPr="00E12491" w:rsidRDefault="006E1FBD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  <w:t>показатели прекращения учебы среди девочек находятся на высоком уровне;</w:t>
      </w:r>
    </w:p>
    <w:p w14:paraId="49FCE7D7" w14:textId="5A7F5384" w:rsidR="00E12491" w:rsidRPr="00E12491" w:rsidRDefault="006E1FBD" w:rsidP="00E12491">
      <w:pPr>
        <w:pStyle w:val="SingleTxt"/>
      </w:pPr>
      <w:r>
        <w:tab/>
      </w:r>
      <w:r w:rsidR="00E12491" w:rsidRPr="00E12491">
        <w:t>b)</w:t>
      </w:r>
      <w:r w:rsidR="00E12491" w:rsidRPr="00E12491">
        <w:tab/>
        <w:t>несмотря на усилия, предпринимаемые государством-участником для расширения охвата школьным образованием девочек, принадлежащих к группам меньшинств, в частности девочек из числа рома, численность таких девочек, охваченных школьным образованием, не возрастает;</w:t>
      </w:r>
    </w:p>
    <w:p w14:paraId="0656ED4A" w14:textId="61B3CA84" w:rsidR="00E12491" w:rsidRPr="00E12491" w:rsidRDefault="006E1FBD" w:rsidP="00E12491">
      <w:pPr>
        <w:pStyle w:val="SingleTxt"/>
      </w:pPr>
      <w:r>
        <w:tab/>
      </w:r>
      <w:r w:rsidR="00E12491" w:rsidRPr="00E12491">
        <w:t>c)</w:t>
      </w:r>
      <w:r w:rsidR="00E12491" w:rsidRPr="00E12491">
        <w:tab/>
        <w:t>большинство девочек-инвалидов посещают специальные школы или поощряются к получению образования на дому;</w:t>
      </w:r>
    </w:p>
    <w:p w14:paraId="4FD9DC9D" w14:textId="496D0271" w:rsidR="00E12491" w:rsidRPr="00E12491" w:rsidRDefault="006E1FBD" w:rsidP="00E12491">
      <w:pPr>
        <w:pStyle w:val="SingleTxt"/>
      </w:pPr>
      <w:r>
        <w:tab/>
      </w:r>
      <w:r w:rsidR="00E12491" w:rsidRPr="00E12491">
        <w:t>d)</w:t>
      </w:r>
      <w:r w:rsidR="00E12491" w:rsidRPr="00E12491">
        <w:tab/>
        <w:t>реформа в области образования привела к сокращению преподавания языков меньшинств для девочек и мальчиков в государственных и частных средних учебных заведениях.</w:t>
      </w:r>
    </w:p>
    <w:p w14:paraId="73F15DBB" w14:textId="1D16F4F5" w:rsidR="00E12491" w:rsidRPr="00E12491" w:rsidRDefault="00E12491" w:rsidP="00E12491">
      <w:pPr>
        <w:pStyle w:val="SingleTxt"/>
      </w:pPr>
      <w:r w:rsidRPr="00E12491">
        <w:t>34.</w:t>
      </w:r>
      <w:r w:rsidRPr="00E12491">
        <w:tab/>
      </w:r>
      <w:r w:rsidRPr="00E12491">
        <w:rPr>
          <w:b/>
          <w:bCs/>
        </w:rPr>
        <w:t>Вновь подтверждая свою общую рекомендацию №</w:t>
      </w:r>
      <w:r w:rsidR="00D23FAF" w:rsidRPr="00D23FAF">
        <w:rPr>
          <w:b/>
          <w:bCs/>
        </w:rPr>
        <w:t xml:space="preserve"> 36 (2017)</w:t>
      </w:r>
      <w:r w:rsidRPr="00E12491">
        <w:rPr>
          <w:b/>
          <w:bCs/>
        </w:rPr>
        <w:t xml:space="preserve"> о праве девочек и женщин на образование, Комитет рекомендует государству-участнику повышать осведомленность девочек и мальчиков, родителей, преподавателей и политических лидеров о важном значении образования девочек на всех уровнях в качестве основы для расширения их прав и возможностей, а также рекомендует ему следующее:</w:t>
      </w:r>
      <w:r w:rsidRPr="00E12491">
        <w:t xml:space="preserve"> </w:t>
      </w:r>
    </w:p>
    <w:p w14:paraId="0DA5C1F4" w14:textId="73B674FB" w:rsidR="00E12491" w:rsidRPr="00E12491" w:rsidRDefault="006E1FBD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</w:r>
      <w:r w:rsidR="00E12491" w:rsidRPr="00E12491">
        <w:rPr>
          <w:b/>
          <w:bCs/>
        </w:rPr>
        <w:t>активизировать усилия по сокращению и предотвращению отсева учащихся из школ, уделяя особое внимание девочкам;</w:t>
      </w:r>
    </w:p>
    <w:p w14:paraId="2B0E5A39" w14:textId="39B2AD02" w:rsidR="00E12491" w:rsidRPr="00E12491" w:rsidRDefault="006E1FBD" w:rsidP="00E12491">
      <w:pPr>
        <w:pStyle w:val="SingleTxt"/>
      </w:pPr>
      <w:r>
        <w:tab/>
      </w:r>
      <w:r w:rsidR="00E12491" w:rsidRPr="00E12491">
        <w:t>b)</w:t>
      </w:r>
      <w:r w:rsidR="00E12491" w:rsidRPr="00E12491">
        <w:tab/>
      </w:r>
      <w:r w:rsidR="00E12491" w:rsidRPr="00E12491">
        <w:rPr>
          <w:b/>
          <w:bCs/>
        </w:rPr>
        <w:t>продолжать принимать меры по ликвидации дискриминационных гендерных стереотипов и структурных барьеров, которые могут удерживать девочек от прохождения учебной подготовки и освоения профессий в нетрадиционных для них областях на всех уровнях образования;</w:t>
      </w:r>
    </w:p>
    <w:p w14:paraId="60A81977" w14:textId="16A3E7E4" w:rsidR="00E12491" w:rsidRPr="00E12491" w:rsidRDefault="006E1FBD" w:rsidP="00E12491">
      <w:pPr>
        <w:pStyle w:val="SingleTxt"/>
      </w:pPr>
      <w:r>
        <w:tab/>
      </w:r>
      <w:r w:rsidR="00E12491" w:rsidRPr="00E12491">
        <w:t>c)</w:t>
      </w:r>
      <w:r w:rsidR="00E12491" w:rsidRPr="00E12491">
        <w:tab/>
      </w:r>
      <w:r w:rsidR="00E12491" w:rsidRPr="00E12491">
        <w:rPr>
          <w:b/>
          <w:bCs/>
        </w:rPr>
        <w:t>представить в своем следующем периодическом докладе информацию о количестве женщин, назначенных на руководящие должности в высших учебных заведениях;</w:t>
      </w:r>
    </w:p>
    <w:p w14:paraId="2BE5E57D" w14:textId="2903D837" w:rsidR="00E12491" w:rsidRPr="00E12491" w:rsidRDefault="006E1FBD" w:rsidP="00E12491">
      <w:pPr>
        <w:pStyle w:val="SingleTxt"/>
        <w:rPr>
          <w:b/>
          <w:bCs/>
        </w:rPr>
      </w:pPr>
      <w:r>
        <w:tab/>
      </w:r>
      <w:r w:rsidR="00E12491" w:rsidRPr="00E12491">
        <w:t>d)</w:t>
      </w:r>
      <w:r w:rsidR="00E12491" w:rsidRPr="00E12491">
        <w:tab/>
      </w:r>
      <w:r w:rsidR="00E12491" w:rsidRPr="00E12491">
        <w:rPr>
          <w:b/>
          <w:bCs/>
        </w:rPr>
        <w:t>повышать эффективность мер по включению девочек рома в общую систему образования и собирать данные о показателях отсева, а также представить в своем следующем периодическом докладе информацию о школьной посещаемости и показателях отсева среди девочек рома в разбивке по полу и возрасту, среди прочих важных аспектов;</w:t>
      </w:r>
    </w:p>
    <w:p w14:paraId="2DA1BE88" w14:textId="138A8D46" w:rsidR="00E12491" w:rsidRPr="00E12491" w:rsidRDefault="006E1FBD" w:rsidP="00E12491">
      <w:pPr>
        <w:pStyle w:val="SingleTxt"/>
        <w:rPr>
          <w:b/>
          <w:bCs/>
        </w:rPr>
      </w:pPr>
      <w:r>
        <w:tab/>
      </w:r>
      <w:r w:rsidR="00E12491" w:rsidRPr="00E12491">
        <w:t>e)</w:t>
      </w:r>
      <w:r w:rsidR="00E12491" w:rsidRPr="00E12491">
        <w:tab/>
      </w:r>
      <w:r w:rsidR="00E12491" w:rsidRPr="00E12491">
        <w:rPr>
          <w:b/>
          <w:bCs/>
        </w:rPr>
        <w:t>активизировать усилия по более широкому вовлечению девочек- и мальчиков-инвалидов в общую систему образования вместо того, чтобы помещать их в школы с классами для детей с особыми потребностями или поощрять обучение на дому, и выделять ресурсы, необходимые для обеспечения разумной адаптации женщин- и девочек-инвалидов к высококачественному инклюзивному образованию, в том числе в дошкольных учреждениях, высших учебных заведениях и учебных заведениях, обеспечивающих обучение на протяжении всей жизни;</w:t>
      </w:r>
    </w:p>
    <w:p w14:paraId="3117443E" w14:textId="455A815C" w:rsidR="00E12491" w:rsidRPr="00E12491" w:rsidRDefault="006E1FBD" w:rsidP="00E12491">
      <w:pPr>
        <w:pStyle w:val="SingleTxt"/>
      </w:pPr>
      <w:r>
        <w:tab/>
      </w:r>
      <w:r w:rsidR="00E12491" w:rsidRPr="00E12491">
        <w:t>f)</w:t>
      </w:r>
      <w:r w:rsidR="00E12491" w:rsidRPr="00E12491">
        <w:tab/>
        <w:t>о</w:t>
      </w:r>
      <w:r w:rsidR="00E12491" w:rsidRPr="00E12491">
        <w:rPr>
          <w:b/>
          <w:bCs/>
        </w:rPr>
        <w:t>беспечить, чтобы поправки к Закону об образовании не создавали необоснованных ограничений для доступа девочек и мальчиков к образованию на языках меньшинств.</w:t>
      </w:r>
      <w:r w:rsidR="00E12491" w:rsidRPr="00E12491">
        <w:t xml:space="preserve"> </w:t>
      </w:r>
    </w:p>
    <w:p w14:paraId="64A1DA62" w14:textId="3C21727A" w:rsidR="00E12491" w:rsidRPr="006E1FBD" w:rsidRDefault="00E12491" w:rsidP="006E1FBD">
      <w:pPr>
        <w:pStyle w:val="SingleTxt"/>
        <w:spacing w:after="0" w:line="120" w:lineRule="exact"/>
        <w:rPr>
          <w:sz w:val="10"/>
        </w:rPr>
      </w:pPr>
    </w:p>
    <w:p w14:paraId="3043D5F7" w14:textId="06349C9A" w:rsidR="00E12491" w:rsidRDefault="00E12491" w:rsidP="006E1FB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12491">
        <w:tab/>
      </w:r>
      <w:r w:rsidRPr="00E12491">
        <w:tab/>
        <w:t>Занятость</w:t>
      </w:r>
    </w:p>
    <w:p w14:paraId="2B686F9A" w14:textId="608E2E80" w:rsidR="006E1FBD" w:rsidRPr="006E1FBD" w:rsidRDefault="006E1FBD" w:rsidP="006E1FBD">
      <w:pPr>
        <w:pStyle w:val="SingleTxt"/>
        <w:spacing w:after="0" w:line="120" w:lineRule="exact"/>
        <w:rPr>
          <w:sz w:val="10"/>
        </w:rPr>
      </w:pPr>
    </w:p>
    <w:p w14:paraId="357441F1" w14:textId="0880160E" w:rsidR="00E12491" w:rsidRPr="00E12491" w:rsidRDefault="00E12491" w:rsidP="00E12491">
      <w:pPr>
        <w:pStyle w:val="SingleTxt"/>
      </w:pPr>
      <w:r w:rsidRPr="00E12491">
        <w:t>35.</w:t>
      </w:r>
      <w:r w:rsidRPr="00E12491">
        <w:tab/>
        <w:t>Комитет приветствует поправки к Закону о труде, которые закрепляют равное обращение с женщинами и мужчинами в сфере занятости и в соответствии с которыми домогательство рассматривается в качестве одной из форм дискриминации. Комитет также принимает к сведению руководящие принципы инклюзивной занятости на период 2015</w:t>
      </w:r>
      <w:r w:rsidR="006E1FBD" w:rsidRPr="006E1FBD">
        <w:t>–</w:t>
      </w:r>
      <w:r w:rsidRPr="00E12491">
        <w:t>2020 годов, направленные на содействие обеспечению равных возможностей на рынке труда для всех лиц, независимо от возраста, пола или инвалидности, в которых преодоление гендерного разрыва в оплате труда определяется в качестве одной из ключевых приоритетных задач. Тем не менее Комитет выражает обеспокоенность по поводу следующего:</w:t>
      </w:r>
    </w:p>
    <w:p w14:paraId="481292E4" w14:textId="34DACBC3" w:rsidR="00E12491" w:rsidRPr="00E12491" w:rsidRDefault="006E1FBD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  <w:t>сохраняется гендерный разрыв в оплате труда, в связи с чем пенсионные пособия для женщин, работавших на традиционно женских должностях, находятся на более низком уровне;</w:t>
      </w:r>
    </w:p>
    <w:p w14:paraId="0B9A1497" w14:textId="48C7C5EA" w:rsidR="00E12491" w:rsidRPr="00E12491" w:rsidRDefault="006E1FBD" w:rsidP="00E12491">
      <w:pPr>
        <w:pStyle w:val="SingleTxt"/>
      </w:pPr>
      <w:r>
        <w:tab/>
      </w:r>
      <w:r w:rsidR="00E12491" w:rsidRPr="00E12491">
        <w:t>b)</w:t>
      </w:r>
      <w:r w:rsidR="00E12491" w:rsidRPr="00E12491">
        <w:tab/>
        <w:t>сохраняется вертикальная и горизонтальная профессиональная сегрегация по признаку пола;</w:t>
      </w:r>
    </w:p>
    <w:p w14:paraId="31149D94" w14:textId="33008630" w:rsidR="00E12491" w:rsidRPr="00E12491" w:rsidRDefault="006E1FBD" w:rsidP="00E12491">
      <w:pPr>
        <w:pStyle w:val="SingleTxt"/>
      </w:pPr>
      <w:r>
        <w:tab/>
      </w:r>
      <w:r w:rsidR="00E12491" w:rsidRPr="00E12491">
        <w:t>c)</w:t>
      </w:r>
      <w:r w:rsidR="00E12491" w:rsidRPr="00E12491">
        <w:tab/>
        <w:t>государство-участник испытывает трудности в привлечении женщин из числа рома и женщин, принадлежащих к другим группам этнических меньшинств, женщин-мигрантов, сельских женщин, пожилых женщин и женщин-инвалидов на рынок труда;</w:t>
      </w:r>
    </w:p>
    <w:p w14:paraId="7EEDFD7F" w14:textId="3628B3A8" w:rsidR="00E12491" w:rsidRPr="00E12491" w:rsidRDefault="006E1FBD" w:rsidP="00E12491">
      <w:pPr>
        <w:pStyle w:val="SingleTxt"/>
      </w:pPr>
      <w:r>
        <w:tab/>
      </w:r>
      <w:r w:rsidR="00E12491" w:rsidRPr="00E12491">
        <w:t>d)</w:t>
      </w:r>
      <w:r w:rsidR="00E12491" w:rsidRPr="00E12491">
        <w:tab/>
        <w:t>отмечается неравное распределение семейных обязанностей между женщинами и мужчинами;</w:t>
      </w:r>
    </w:p>
    <w:p w14:paraId="0B22DCF6" w14:textId="5281142A" w:rsidR="00E12491" w:rsidRPr="00E12491" w:rsidRDefault="006E1FBD" w:rsidP="00E12491">
      <w:pPr>
        <w:pStyle w:val="SingleTxt"/>
      </w:pPr>
      <w:r>
        <w:tab/>
      </w:r>
      <w:r w:rsidR="00E12491" w:rsidRPr="00E12491">
        <w:t>e)</w:t>
      </w:r>
      <w:r w:rsidR="00E12491" w:rsidRPr="00E12491">
        <w:tab/>
        <w:t>Государственная инспекция по вопросам труда не получает никаких жалоб на сексуальные домогательства на рабочем месте;</w:t>
      </w:r>
    </w:p>
    <w:p w14:paraId="53838B87" w14:textId="3D6009FD" w:rsidR="00E12491" w:rsidRPr="00E12491" w:rsidRDefault="006E1FBD" w:rsidP="00E12491">
      <w:pPr>
        <w:pStyle w:val="SingleTxt"/>
      </w:pPr>
      <w:r>
        <w:tab/>
      </w:r>
      <w:r w:rsidR="00E12491" w:rsidRPr="00E12491">
        <w:t>f)</w:t>
      </w:r>
      <w:r w:rsidR="00E12491" w:rsidRPr="00E12491">
        <w:tab/>
        <w:t>государство-участник не ратифицировало Конвенцию Международной организации труда (МОТ) 1981 года о работниках с семейными обязанностями (№ 156), Конвенцию МОТ 2011 года о домашних работниках (№</w:t>
      </w:r>
      <w:r>
        <w:rPr>
          <w:lang w:val="en-US"/>
        </w:rPr>
        <w:t> </w:t>
      </w:r>
      <w:r w:rsidR="00E12491" w:rsidRPr="00E12491">
        <w:t>189) и Конвенцию МОТ 2019 года о насилии и домогательствах (№ 190).</w:t>
      </w:r>
    </w:p>
    <w:p w14:paraId="788CA2CA" w14:textId="77777777" w:rsidR="00E12491" w:rsidRPr="00E12491" w:rsidRDefault="00E12491" w:rsidP="00E12491">
      <w:pPr>
        <w:pStyle w:val="SingleTxt"/>
        <w:rPr>
          <w:b/>
          <w:bCs/>
        </w:rPr>
      </w:pPr>
      <w:r w:rsidRPr="00E12491">
        <w:rPr>
          <w:bCs/>
        </w:rPr>
        <w:t>36.</w:t>
      </w:r>
      <w:r w:rsidRPr="00E12491">
        <w:rPr>
          <w:bCs/>
        </w:rPr>
        <w:tab/>
      </w:r>
      <w:r w:rsidRPr="00E12491">
        <w:rPr>
          <w:b/>
          <w:bCs/>
        </w:rPr>
        <w:t>Комитет рекомендует государству-участнику:</w:t>
      </w:r>
    </w:p>
    <w:p w14:paraId="760602FA" w14:textId="6CD26E47" w:rsidR="00595F53" w:rsidRPr="00595F53" w:rsidRDefault="006E1FBD" w:rsidP="00E12491">
      <w:pPr>
        <w:pStyle w:val="SingleTxt"/>
        <w:rPr>
          <w:b/>
          <w:bCs/>
        </w:rPr>
      </w:pPr>
      <w:r>
        <w:tab/>
      </w:r>
      <w:r w:rsidR="00E12491" w:rsidRPr="00E12491">
        <w:t>а)</w:t>
      </w:r>
      <w:r w:rsidR="00E12491" w:rsidRPr="00E12491">
        <w:tab/>
      </w:r>
      <w:r w:rsidR="00E12491" w:rsidRPr="00E12491">
        <w:rPr>
          <w:b/>
          <w:bCs/>
        </w:rPr>
        <w:t>обеспечить соблюдение принципа равной оплаты за труд равной ценности в целях сокращения и окончательного устранения гендерного разрыва в оплате труда, в том числе путем регулярного проведения анализа данных о размерах заработной платы во всех секторах занятости, включая государственную службу, в сотрудничестве с ассоциациями работодателей и профсоюзами, применения гендерно нейтральных методов для анализа классификации должностей, проведения регулярных проверок условий труда и кампаний по повышению осведомленности и поощрения более широкого применения практики</w:t>
      </w:r>
      <w:r w:rsidR="00595F53">
        <w:rPr>
          <w:b/>
          <w:bCs/>
        </w:rPr>
        <w:t xml:space="preserve"> </w:t>
      </w:r>
      <w:r w:rsidR="00595F53" w:rsidRPr="00595F53">
        <w:rPr>
          <w:b/>
          <w:bCs/>
        </w:rPr>
        <w:t>переговоров между предпринимателями и профсоюзами о заключении коллективного договора;</w:t>
      </w:r>
    </w:p>
    <w:p w14:paraId="3DBCD3A3" w14:textId="5FDD83D1" w:rsidR="00E12491" w:rsidRPr="00E12491" w:rsidRDefault="00595F53" w:rsidP="00E12491">
      <w:pPr>
        <w:pStyle w:val="SingleTxt"/>
        <w:rPr>
          <w:b/>
          <w:bCs/>
        </w:rPr>
      </w:pPr>
      <w:r>
        <w:tab/>
      </w:r>
      <w:r w:rsidR="00E12491" w:rsidRPr="00E12491">
        <w:t>b)</w:t>
      </w:r>
      <w:r w:rsidR="00E12491" w:rsidRPr="00E12491">
        <w:tab/>
      </w:r>
      <w:r w:rsidR="00E12491" w:rsidRPr="00E12491">
        <w:rPr>
          <w:b/>
          <w:bCs/>
        </w:rPr>
        <w:t>повышать эффективность мер по решению проблемы горизонтальной и вертикальной профессиональной сегрегации;</w:t>
      </w:r>
    </w:p>
    <w:p w14:paraId="100FE73D" w14:textId="5016C3AA" w:rsidR="00E12491" w:rsidRPr="00E12491" w:rsidRDefault="00595F53" w:rsidP="00E12491">
      <w:pPr>
        <w:pStyle w:val="SingleTxt"/>
        <w:rPr>
          <w:b/>
          <w:bCs/>
        </w:rPr>
      </w:pPr>
      <w:r>
        <w:tab/>
      </w:r>
      <w:r w:rsidR="00E12491" w:rsidRPr="00E12491">
        <w:t>c)</w:t>
      </w:r>
      <w:r w:rsidR="00E12491" w:rsidRPr="00E12491">
        <w:tab/>
      </w:r>
      <w:r w:rsidR="00E12491" w:rsidRPr="00E12491">
        <w:rPr>
          <w:b/>
          <w:bCs/>
        </w:rPr>
        <w:t>расширять доступ женщин к рынку труда, в том числе в интересах находящихся в неблагоприятном положении групп женщин, таких как женщины из числа рома и женщины, принадлежащие к другим группам этнических меньшинств, женщины-мигранты, сельские женщины, пожилые женщины и женщины-инвалиды;</w:t>
      </w:r>
    </w:p>
    <w:p w14:paraId="4D26CC87" w14:textId="145D2953" w:rsidR="00E12491" w:rsidRPr="00E12491" w:rsidRDefault="00595F53" w:rsidP="00E12491">
      <w:pPr>
        <w:pStyle w:val="SingleTxt"/>
        <w:rPr>
          <w:b/>
          <w:bCs/>
        </w:rPr>
      </w:pPr>
      <w:r>
        <w:tab/>
      </w:r>
      <w:r w:rsidR="00E12491" w:rsidRPr="00E12491">
        <w:t>d)</w:t>
      </w:r>
      <w:r w:rsidR="00E12491" w:rsidRPr="00E12491">
        <w:tab/>
      </w:r>
      <w:r w:rsidR="00E12491" w:rsidRPr="00E12491">
        <w:rPr>
          <w:b/>
          <w:bCs/>
        </w:rPr>
        <w:t>в оперативном порядке осуществить намеченную реформу системы отпусков по беременности и родам, отцовству и уходу за ребенком, с тем чтобы сделать квоты на отпуск по уходу за ребенком не подлежащими передаче;</w:t>
      </w:r>
    </w:p>
    <w:p w14:paraId="648127D0" w14:textId="55072374" w:rsidR="00E12491" w:rsidRPr="00E12491" w:rsidRDefault="00595F53" w:rsidP="00E12491">
      <w:pPr>
        <w:pStyle w:val="SingleTxt"/>
        <w:rPr>
          <w:b/>
          <w:bCs/>
        </w:rPr>
      </w:pPr>
      <w:r>
        <w:tab/>
      </w:r>
      <w:r w:rsidR="00E12491" w:rsidRPr="00E12491">
        <w:t>e)</w:t>
      </w:r>
      <w:r w:rsidR="00E12491" w:rsidRPr="00E12491">
        <w:tab/>
      </w:r>
      <w:r w:rsidR="00E12491" w:rsidRPr="00E12491">
        <w:rPr>
          <w:b/>
          <w:bCs/>
        </w:rPr>
        <w:t>провести всеобъемлющее исследование по вопросу о распространенности сексуальных домогательств на рабочем месте и принять меры по борьбе с этой практикой;</w:t>
      </w:r>
    </w:p>
    <w:p w14:paraId="49E14F6C" w14:textId="0DE7EBDD" w:rsidR="00E12491" w:rsidRPr="00E12491" w:rsidRDefault="00595F53" w:rsidP="00E12491">
      <w:pPr>
        <w:pStyle w:val="SingleTxt"/>
        <w:rPr>
          <w:b/>
          <w:bCs/>
        </w:rPr>
      </w:pPr>
      <w:r>
        <w:tab/>
      </w:r>
      <w:r w:rsidR="00E12491" w:rsidRPr="00E12491">
        <w:t>f)</w:t>
      </w:r>
      <w:r w:rsidR="00E12491" w:rsidRPr="00E12491">
        <w:tab/>
      </w:r>
      <w:r w:rsidR="00E12491" w:rsidRPr="00E12491">
        <w:rPr>
          <w:b/>
          <w:bCs/>
        </w:rPr>
        <w:t>ратифицировать Конвенцию МОТ 1981 года о работниках с семейными обязанностями (№ 156), Конвенцию МОТ 2011 года о домашних работниках (№ 189) и Конвенцию МОТ 2019 года о насилии и домогательствах (№ 190).</w:t>
      </w:r>
    </w:p>
    <w:p w14:paraId="63B0BB8C" w14:textId="21184F3E" w:rsidR="00E12491" w:rsidRPr="00595F53" w:rsidRDefault="00E12491" w:rsidP="00595F53">
      <w:pPr>
        <w:pStyle w:val="SingleTxt"/>
        <w:spacing w:after="0" w:line="120" w:lineRule="exact"/>
        <w:rPr>
          <w:sz w:val="10"/>
        </w:rPr>
      </w:pPr>
    </w:p>
    <w:p w14:paraId="0E17D77C" w14:textId="67A1654C" w:rsidR="00E12491" w:rsidRDefault="00595F53" w:rsidP="00595F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12491" w:rsidRPr="00E12491">
        <w:t>Здравоохранение</w:t>
      </w:r>
    </w:p>
    <w:p w14:paraId="35B8157D" w14:textId="721D2011" w:rsidR="00595F53" w:rsidRPr="00595F53" w:rsidRDefault="00595F53" w:rsidP="00595F53">
      <w:pPr>
        <w:pStyle w:val="SingleTxt"/>
        <w:spacing w:after="0" w:line="120" w:lineRule="exact"/>
        <w:rPr>
          <w:sz w:val="10"/>
        </w:rPr>
      </w:pPr>
    </w:p>
    <w:p w14:paraId="43B2598F" w14:textId="6619725A" w:rsidR="00E12491" w:rsidRPr="00E12491" w:rsidRDefault="00E12491" w:rsidP="00E12491">
      <w:pPr>
        <w:pStyle w:val="SingleTxt"/>
      </w:pPr>
      <w:r w:rsidRPr="00E12491">
        <w:t>37.</w:t>
      </w:r>
      <w:r w:rsidRPr="00E12491">
        <w:tab/>
        <w:t>Комитет приветствует тот факт, что система здравоохранения государства-участника основана на принципе всеобщего охвата. Он также приветствует то, что государство-участник пропагандирует здоровый образ жизни среди женщин и девочек и что осуществление плана улучшения здоровья матери и ребенка на период 2018</w:t>
      </w:r>
      <w:r w:rsidR="00595F53" w:rsidRPr="00595F53">
        <w:t>–</w:t>
      </w:r>
      <w:r w:rsidRPr="00E12491">
        <w:t>2020 годов и руководящих принципов общественного здравоохранения на период 2014</w:t>
      </w:r>
      <w:r w:rsidR="00595F53" w:rsidRPr="00595F53">
        <w:t>–</w:t>
      </w:r>
      <w:r w:rsidRPr="00E12491">
        <w:t>2020 годов привело к улучшению ряда показателей в области охраны здоровья матери и ребенка, включая сокращение младенческой смертности. Комитет приветствует далее то, что в 2019 году государство-участник ввело дополнительные вспомогательные услуги для ВИЧ-инфицированных лиц, включая женщин, в целях обеспечения эффективного доступа к лечению на раннем этапе и что услуги, предоставляемые в пунктах профилактики ВИЧ, являются бесплатными и анонимными. В то же время Комитет с обеспокоенностью отмечает следующее:</w:t>
      </w:r>
    </w:p>
    <w:p w14:paraId="2C228E8E" w14:textId="7944D583" w:rsidR="00E12491" w:rsidRPr="00E12491" w:rsidRDefault="00595F53" w:rsidP="00E12491">
      <w:pPr>
        <w:pStyle w:val="SingleTxt"/>
      </w:pPr>
      <w:r>
        <w:tab/>
      </w:r>
      <w:r w:rsidR="00E12491" w:rsidRPr="00E12491">
        <w:t>а)</w:t>
      </w:r>
      <w:r w:rsidR="00E12491" w:rsidRPr="00E12491">
        <w:tab/>
        <w:t>финансовые ресурсы, выделяемые на здравоохранение, составляют 3,7 процента от валового национального продукта государства-участника и находятся на относительно низком уровне;</w:t>
      </w:r>
    </w:p>
    <w:p w14:paraId="44C39BA0" w14:textId="3F2FAEFA" w:rsidR="00E12491" w:rsidRPr="00E12491" w:rsidRDefault="00595F53" w:rsidP="00E12491">
      <w:pPr>
        <w:pStyle w:val="SingleTxt"/>
      </w:pPr>
      <w:r>
        <w:tab/>
      </w:r>
      <w:r w:rsidR="00E12491" w:rsidRPr="00E12491">
        <w:t>b)</w:t>
      </w:r>
      <w:r w:rsidR="00E12491" w:rsidRPr="00E12491">
        <w:tab/>
        <w:t>несмотря на наличие всеобщей системы медицинского обслуживания, отмечается ограниченный доступ женщин к основным медицинским услугам, включая услуги по охране сексуального и репродуктивного здоровья и современные противозачаточные средства, в частности для девочек и молодых женщин, в том числе для девочек и женщин, проживающих в сельских районах, девочек и женщин из числа рома, пожилых женщин, а также девочек- и женщин-инвалидов;</w:t>
      </w:r>
    </w:p>
    <w:p w14:paraId="1F363240" w14:textId="23587ECB" w:rsidR="00E12491" w:rsidRPr="00E12491" w:rsidRDefault="00595F53" w:rsidP="00E12491">
      <w:pPr>
        <w:pStyle w:val="SingleTxt"/>
      </w:pPr>
      <w:r>
        <w:tab/>
      </w:r>
      <w:r w:rsidR="00E12491" w:rsidRPr="00E12491">
        <w:t>c)</w:t>
      </w:r>
      <w:r w:rsidR="00E12491" w:rsidRPr="00E12491">
        <w:tab/>
        <w:t>отмечается ограниченный доступ к высококачественным услугам по охране материнского здоровья на протяжении всего периода беременности и родов для женщин-мигрантов, не имеющих документов, которые не имеют права на обязательное медицинское страхование в государстве-участнике, а также ограниченный доступ к высококачественным услугам по охране психического здоровья;</w:t>
      </w:r>
    </w:p>
    <w:p w14:paraId="7D329504" w14:textId="150500A6" w:rsidR="00E12491" w:rsidRPr="00E12491" w:rsidRDefault="00595F53" w:rsidP="00E12491">
      <w:pPr>
        <w:pStyle w:val="SingleTxt"/>
      </w:pPr>
      <w:r>
        <w:tab/>
      </w:r>
      <w:r w:rsidR="00E12491" w:rsidRPr="00E12491">
        <w:t>d)</w:t>
      </w:r>
      <w:r w:rsidR="00E12491" w:rsidRPr="00E12491">
        <w:tab/>
        <w:t>отмечаются высокие показатели ранней беременности, а также то, что медицинские расходы на прерывание беременности для девочек в возрасте до 16 лет должны оплачиваться девочкой или ее родителями и что мнение девочки не имеет приоритетного значения по сравнению с мнением ее родителей или опекунов;</w:t>
      </w:r>
    </w:p>
    <w:p w14:paraId="188BBD81" w14:textId="7BF69E0B" w:rsidR="00E12491" w:rsidRPr="00E12491" w:rsidRDefault="00595F53" w:rsidP="00E12491">
      <w:pPr>
        <w:pStyle w:val="SingleTxt"/>
      </w:pPr>
      <w:r>
        <w:tab/>
      </w:r>
      <w:r w:rsidR="00E12491" w:rsidRPr="00E12491">
        <w:t>e)</w:t>
      </w:r>
      <w:r w:rsidR="00E12491" w:rsidRPr="00E12491">
        <w:tab/>
        <w:t>в государстве-участнике отмечается высокая распространенность ВИЧ и возрастающее число инфицированных им женщин.</w:t>
      </w:r>
    </w:p>
    <w:p w14:paraId="2E26BA7F" w14:textId="77777777" w:rsidR="00E12491" w:rsidRPr="00E12491" w:rsidRDefault="00E12491" w:rsidP="00E12491">
      <w:pPr>
        <w:pStyle w:val="SingleTxt"/>
        <w:rPr>
          <w:b/>
          <w:bCs/>
        </w:rPr>
      </w:pPr>
      <w:r w:rsidRPr="00E12491">
        <w:rPr>
          <w:bCs/>
        </w:rPr>
        <w:t>38.</w:t>
      </w:r>
      <w:r w:rsidRPr="00E12491">
        <w:rPr>
          <w:bCs/>
        </w:rPr>
        <w:tab/>
      </w:r>
      <w:r w:rsidRPr="00E12491">
        <w:rPr>
          <w:b/>
          <w:bCs/>
        </w:rPr>
        <w:t>Комитет рекомендует государству-участнику:</w:t>
      </w:r>
    </w:p>
    <w:p w14:paraId="1ECD727B" w14:textId="3F19FF9C" w:rsidR="00E12491" w:rsidRPr="00E12491" w:rsidRDefault="00595F53" w:rsidP="00E12491">
      <w:pPr>
        <w:pStyle w:val="SingleTxt"/>
        <w:rPr>
          <w:b/>
        </w:rPr>
      </w:pPr>
      <w:r>
        <w:tab/>
      </w:r>
      <w:r w:rsidR="00E12491" w:rsidRPr="00E12491">
        <w:t>а)</w:t>
      </w:r>
      <w:r w:rsidR="00E12491" w:rsidRPr="00E12491">
        <w:tab/>
      </w:r>
      <w:r w:rsidR="00E12491" w:rsidRPr="00E12491">
        <w:rPr>
          <w:b/>
          <w:bCs/>
        </w:rPr>
        <w:t>существенно увеличить долю средств государственного бюджета, выделяемых сектору здравоохранения, с тем чтобы обеспечить поистине всеобщий охват медицинским обслуживанием, в частности для женщин и девочек;</w:t>
      </w:r>
    </w:p>
    <w:p w14:paraId="4AAD9214" w14:textId="2172186D" w:rsidR="00E12491" w:rsidRPr="00E12491" w:rsidRDefault="00595F53" w:rsidP="00E12491">
      <w:pPr>
        <w:pStyle w:val="SingleTxt"/>
        <w:rPr>
          <w:b/>
        </w:rPr>
      </w:pPr>
      <w:r>
        <w:tab/>
      </w:r>
      <w:r w:rsidR="00E12491" w:rsidRPr="00E12491">
        <w:t>b)</w:t>
      </w:r>
      <w:r w:rsidR="00E12491" w:rsidRPr="00E12491">
        <w:tab/>
      </w:r>
      <w:r w:rsidR="00E12491" w:rsidRPr="00E12491">
        <w:rPr>
          <w:b/>
          <w:bCs/>
        </w:rPr>
        <w:t>обеспечить доступ всех женщин и девочек к инклюзивным и доступным базовым медицинским услугам, включая услуги в области сексуального и репродуктивного здоровья и недорогостоящие современные противозачаточные средства, особенно в сельских районах, а также расширить доступ к системе охраны психического здоровья и повысить ее качество в соответствии с планом работы в области охраны психического здоровья на период 2018</w:t>
      </w:r>
      <w:r w:rsidRPr="00595F53">
        <w:rPr>
          <w:b/>
          <w:bCs/>
        </w:rPr>
        <w:t>–</w:t>
      </w:r>
      <w:r w:rsidR="00E12491" w:rsidRPr="00E12491">
        <w:rPr>
          <w:b/>
          <w:bCs/>
        </w:rPr>
        <w:t>2020 годов;</w:t>
      </w:r>
    </w:p>
    <w:p w14:paraId="7FC9E859" w14:textId="311FC38C" w:rsidR="00E12491" w:rsidRPr="00E12491" w:rsidRDefault="00595F53" w:rsidP="00E12491">
      <w:pPr>
        <w:pStyle w:val="SingleTxt"/>
        <w:rPr>
          <w:b/>
        </w:rPr>
      </w:pPr>
      <w:r>
        <w:tab/>
      </w:r>
      <w:r w:rsidR="00E12491" w:rsidRPr="00E12491">
        <w:t>c)</w:t>
      </w:r>
      <w:r w:rsidR="00E12491" w:rsidRPr="00E12491">
        <w:tab/>
      </w:r>
      <w:r w:rsidR="00E12491" w:rsidRPr="00E12491">
        <w:rPr>
          <w:b/>
          <w:bCs/>
        </w:rPr>
        <w:t>обеспечить недорогостоящий и, при необходимости, бесплатный доступ женщин-мигрантов, не имеющих документов, к услугам по охране материнского здоровья в период беременности и родов, включая дородовую медицинскую помощь;</w:t>
      </w:r>
      <w:r w:rsidR="00E12491" w:rsidRPr="00E12491">
        <w:t xml:space="preserve"> </w:t>
      </w:r>
    </w:p>
    <w:p w14:paraId="7FE38B6D" w14:textId="2A9DA34F" w:rsidR="00E12491" w:rsidRPr="00E12491" w:rsidRDefault="00595F53" w:rsidP="00E12491">
      <w:pPr>
        <w:pStyle w:val="SingleTxt"/>
        <w:rPr>
          <w:b/>
          <w:bCs/>
        </w:rPr>
      </w:pPr>
      <w:r>
        <w:tab/>
      </w:r>
      <w:r w:rsidR="00E12491" w:rsidRPr="00E12491">
        <w:t>d)</w:t>
      </w:r>
      <w:r w:rsidR="00E12491" w:rsidRPr="00E12491">
        <w:tab/>
      </w:r>
      <w:r w:rsidR="00E12491" w:rsidRPr="00E12491">
        <w:rPr>
          <w:b/>
          <w:bCs/>
        </w:rPr>
        <w:t>обеспечить, чтобы просвещение по вопросам сексуального и репродуктивного здоровья и прав на всех уровнях образования было обязательным, учитывало гендерные аспекты и возрастные особенности и поощряло ответственное сексуальное поведение, в целях предупреждения случаев беременности в раннем возрасте и профилактики инфекционных заболеваний, передаваемых половым путем, а также обеспечить, чтобы все девочки имели возможность пользоваться бесплатными услугами по проведению абортов и чтобы мнение девочек всегда принималось во внимание и уважалось при принятии решений об абортах;</w:t>
      </w:r>
    </w:p>
    <w:p w14:paraId="5768C06B" w14:textId="3BBF8BAE" w:rsidR="00E12491" w:rsidRDefault="00595F53" w:rsidP="00E12491">
      <w:pPr>
        <w:pStyle w:val="SingleTxt"/>
        <w:rPr>
          <w:b/>
          <w:bCs/>
        </w:rPr>
      </w:pPr>
      <w:r>
        <w:tab/>
      </w:r>
      <w:r w:rsidR="00E12491" w:rsidRPr="00E12491">
        <w:t>e)</w:t>
      </w:r>
      <w:r w:rsidR="00E12491" w:rsidRPr="00E12491">
        <w:tab/>
      </w:r>
      <w:r w:rsidR="00E12491" w:rsidRPr="00E12491">
        <w:rPr>
          <w:b/>
          <w:bCs/>
        </w:rPr>
        <w:t>продолжать укреплять свои меры, включая решительные превентивные меры, в целях борьбы с распространением ВИЧ и обеспечивать, чтобы женщины и девочки, живущие с ВИЧ, не подвергались стигматизации или дискриминации.</w:t>
      </w:r>
    </w:p>
    <w:p w14:paraId="3E5E78DD" w14:textId="494F8A48" w:rsidR="00A90761" w:rsidRPr="00A90761" w:rsidRDefault="00A90761" w:rsidP="00A90761">
      <w:pPr>
        <w:pStyle w:val="SingleTxt"/>
        <w:spacing w:after="0" w:line="120" w:lineRule="exact"/>
        <w:rPr>
          <w:b/>
          <w:sz w:val="10"/>
        </w:rPr>
      </w:pPr>
    </w:p>
    <w:p w14:paraId="77645870" w14:textId="3520B012" w:rsidR="00E12491" w:rsidRDefault="00595F53" w:rsidP="00595F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12491" w:rsidRPr="00E12491">
        <w:t>Экономические и социальные льготы и расширение экономических прав</w:t>
      </w:r>
      <w:r>
        <w:br/>
      </w:r>
      <w:r w:rsidR="00E12491" w:rsidRPr="00E12491">
        <w:t>и возможностей женщин</w:t>
      </w:r>
    </w:p>
    <w:p w14:paraId="420F81A0" w14:textId="67EC9DDB" w:rsidR="00595F53" w:rsidRPr="00595F53" w:rsidRDefault="00595F53" w:rsidP="00595F53">
      <w:pPr>
        <w:pStyle w:val="SingleTxt"/>
        <w:spacing w:after="0" w:line="120" w:lineRule="exact"/>
        <w:rPr>
          <w:sz w:val="10"/>
        </w:rPr>
      </w:pPr>
    </w:p>
    <w:p w14:paraId="5FA1BE57" w14:textId="77777777" w:rsidR="00E12491" w:rsidRPr="00E12491" w:rsidRDefault="00E12491" w:rsidP="00E12491">
      <w:pPr>
        <w:pStyle w:val="SingleTxt"/>
      </w:pPr>
      <w:r w:rsidRPr="00E12491">
        <w:t>39.</w:t>
      </w:r>
      <w:r w:rsidRPr="00E12491">
        <w:tab/>
        <w:t>Комитет приветствует ежегодное повышение пенсий и отмечает, что женщины получают относительно бóльшие выгоды от этого по сравнению с мужчинами, в частности в связи с тем, что больше женщин, чем мужчин, получают низкие пенсии, а люди, получающие низкие пенсии, зачастую имеют также право на дополнительные социальные пособия. Комитет приветствует также увеличение социальных пособий для женщин-инвалидов. Комитет отмечает инициативы государства-участника и гражданского общества по расширению экономических прав и возможностей женщин, такие как программы создания предприятий, программа микрокредитования сельских женщин и фонд поддержки предпринимательства среди сельских женщин, созданный Ассоциацией сельских женщин Латвии. Комитет отмечает также, что около трети предприятий принадлежат женщинам, но это в основном микро- и малые предприятия. В то же время Комитет обеспокоен следующим:</w:t>
      </w:r>
    </w:p>
    <w:p w14:paraId="259630D6" w14:textId="30775FB1" w:rsidR="00550F8B" w:rsidRPr="00550F8B" w:rsidRDefault="00595F53" w:rsidP="00550F8B">
      <w:pPr>
        <w:pStyle w:val="SingleTxt"/>
      </w:pPr>
      <w:r>
        <w:tab/>
      </w:r>
      <w:r w:rsidR="00550F8B" w:rsidRPr="00550F8B">
        <w:t>а)</w:t>
      </w:r>
      <w:r w:rsidR="00550F8B" w:rsidRPr="00550F8B">
        <w:tab/>
        <w:t>в 2018 году под угрозой нищеты и социальной изоляции находились в общей сложности 31,1 процента женщин, включая женщин, находящихся в неблагоприятном положении, и маргинализованных женщин, таких как женщины, принадлежащие к этническим меньшинствам, в частности женщины из числа рома, сельские женщины, пожилые женщины и женщины-инвалиды;</w:t>
      </w:r>
    </w:p>
    <w:p w14:paraId="0DDC3B84" w14:textId="6E9EC4DE" w:rsidR="00550F8B" w:rsidRPr="00550F8B" w:rsidRDefault="00595F53" w:rsidP="00550F8B">
      <w:pPr>
        <w:pStyle w:val="SingleTxt"/>
      </w:pPr>
      <w:r>
        <w:tab/>
      </w:r>
      <w:r w:rsidR="00550F8B" w:rsidRPr="00550F8B">
        <w:t>b)</w:t>
      </w:r>
      <w:r w:rsidR="00550F8B" w:rsidRPr="00550F8B">
        <w:tab/>
        <w:t>сокращение и старение населения, в частности в сельских районах, отрицательно сказалось на социальной защите женщин.</w:t>
      </w:r>
    </w:p>
    <w:p w14:paraId="46E76CA8" w14:textId="77777777" w:rsidR="00550F8B" w:rsidRPr="00550F8B" w:rsidRDefault="00550F8B" w:rsidP="00550F8B">
      <w:pPr>
        <w:pStyle w:val="SingleTxt"/>
        <w:rPr>
          <w:b/>
        </w:rPr>
      </w:pPr>
      <w:r w:rsidRPr="00550F8B">
        <w:t>40.</w:t>
      </w:r>
      <w:r w:rsidRPr="00550F8B">
        <w:tab/>
      </w:r>
      <w:r w:rsidRPr="00550F8B">
        <w:rPr>
          <w:b/>
          <w:bCs/>
        </w:rPr>
        <w:t>Комитет рекомендует государству-участнику:</w:t>
      </w:r>
    </w:p>
    <w:p w14:paraId="374056BA" w14:textId="5BF361FF" w:rsidR="00550F8B" w:rsidRPr="00550F8B" w:rsidRDefault="00595F53" w:rsidP="00550F8B">
      <w:pPr>
        <w:pStyle w:val="SingleTxt"/>
        <w:rPr>
          <w:b/>
        </w:rPr>
      </w:pPr>
      <w:r>
        <w:tab/>
      </w:r>
      <w:r w:rsidR="00550F8B" w:rsidRPr="00550F8B">
        <w:t>а)</w:t>
      </w:r>
      <w:r w:rsidR="00550F8B" w:rsidRPr="00550F8B">
        <w:tab/>
      </w:r>
      <w:r w:rsidR="00550F8B" w:rsidRPr="00550F8B">
        <w:rPr>
          <w:b/>
          <w:bCs/>
        </w:rPr>
        <w:t>в оперативном порядке внедрить запланированную систему поддержки доходов с уделением особого внимания женщинам, живущим в нищете, в том числе женщинам, принадлежащим к обездоленным или маргинализированным группам, и расширить для этих женщин доступ к образованию, занятости и услугам в сельских районах;</w:t>
      </w:r>
      <w:r w:rsidR="00550F8B" w:rsidRPr="00550F8B">
        <w:t xml:space="preserve"> </w:t>
      </w:r>
    </w:p>
    <w:p w14:paraId="3A4BF46A" w14:textId="42868873" w:rsidR="00550F8B" w:rsidRPr="00550F8B" w:rsidRDefault="00595F53" w:rsidP="00550F8B">
      <w:pPr>
        <w:pStyle w:val="SingleTxt"/>
        <w:rPr>
          <w:b/>
          <w:bCs/>
        </w:rPr>
      </w:pPr>
      <w:r>
        <w:tab/>
      </w:r>
      <w:r w:rsidR="00550F8B" w:rsidRPr="00550F8B">
        <w:t>b)</w:t>
      </w:r>
      <w:r w:rsidR="00550F8B" w:rsidRPr="00550F8B">
        <w:tab/>
      </w:r>
      <w:r w:rsidR="00550F8B" w:rsidRPr="00550F8B">
        <w:rPr>
          <w:b/>
          <w:bCs/>
        </w:rPr>
        <w:t>разработать политику и программы, направленные на обеспечение того, чтобы женщины могли пользоваться благами экономического развития государства-участника, а также на смягчение негативных последствий сокращения и старения населения, в том числе путем создания большего числа рабочих мест и возможностей для предпринимательства и расширения доступа к высшему образованию, информационно-коммуникационным технологиям и субсидируемому транспорту для сельских и пожилых женщин, и обеспечить их участие в разработке политики и программ в этих областях в соответствии с общей рекомендацией Комитета №</w:t>
      </w:r>
      <w:r>
        <w:rPr>
          <w:b/>
          <w:bCs/>
          <w:lang w:val="en-US"/>
        </w:rPr>
        <w:t> </w:t>
      </w:r>
      <w:r w:rsidR="00C30159" w:rsidRPr="00C30159">
        <w:rPr>
          <w:b/>
          <w:bCs/>
        </w:rPr>
        <w:t>34 (2016)</w:t>
      </w:r>
      <w:r w:rsidR="00550F8B" w:rsidRPr="00550F8B">
        <w:rPr>
          <w:b/>
          <w:bCs/>
        </w:rPr>
        <w:t xml:space="preserve"> по вопросу о правах сельских женщин;</w:t>
      </w:r>
    </w:p>
    <w:p w14:paraId="0EEC4DFE" w14:textId="52FEF920" w:rsidR="00550F8B" w:rsidRPr="00550F8B" w:rsidRDefault="00595F53" w:rsidP="00550F8B">
      <w:pPr>
        <w:pStyle w:val="SingleTxt"/>
        <w:rPr>
          <w:b/>
          <w:bCs/>
        </w:rPr>
      </w:pPr>
      <w:r>
        <w:tab/>
      </w:r>
      <w:r w:rsidR="00550F8B" w:rsidRPr="00550F8B">
        <w:t>c)</w:t>
      </w:r>
      <w:r w:rsidR="00550F8B" w:rsidRPr="00550F8B">
        <w:tab/>
      </w:r>
      <w:r w:rsidR="00550F8B" w:rsidRPr="00550F8B">
        <w:rPr>
          <w:b/>
          <w:bCs/>
        </w:rPr>
        <w:t>ратифицировать Конвенцию МОТ 1952 года о минимальных нормах социального обеспечения (№ 102).</w:t>
      </w:r>
    </w:p>
    <w:p w14:paraId="1A78C7B1" w14:textId="1906366C" w:rsidR="00550F8B" w:rsidRPr="00595F53" w:rsidRDefault="00550F8B" w:rsidP="00595F53">
      <w:pPr>
        <w:pStyle w:val="SingleTxt"/>
        <w:spacing w:after="0" w:line="120" w:lineRule="exact"/>
        <w:rPr>
          <w:b/>
          <w:bCs/>
          <w:sz w:val="10"/>
        </w:rPr>
      </w:pPr>
    </w:p>
    <w:p w14:paraId="2691908B" w14:textId="487FA348" w:rsidR="00550F8B" w:rsidRDefault="00550F8B" w:rsidP="00595F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50F8B">
        <w:tab/>
      </w:r>
      <w:r w:rsidRPr="00550F8B">
        <w:tab/>
        <w:t>Группы женщин, находящиеся в неблагоприятном положении</w:t>
      </w:r>
    </w:p>
    <w:p w14:paraId="63A7E961" w14:textId="3BB1217B" w:rsidR="00595F53" w:rsidRPr="00595F53" w:rsidRDefault="00595F53" w:rsidP="00595F53">
      <w:pPr>
        <w:pStyle w:val="SingleTxt"/>
        <w:spacing w:after="0" w:line="120" w:lineRule="exact"/>
        <w:rPr>
          <w:sz w:val="10"/>
        </w:rPr>
      </w:pPr>
    </w:p>
    <w:p w14:paraId="3962E3A9" w14:textId="457C38BB" w:rsidR="00550F8B" w:rsidRPr="00550F8B" w:rsidRDefault="00550F8B" w:rsidP="00550F8B">
      <w:pPr>
        <w:pStyle w:val="SingleTxt"/>
      </w:pPr>
      <w:r w:rsidRPr="00550F8B">
        <w:t>41.</w:t>
      </w:r>
      <w:r w:rsidRPr="00550F8B">
        <w:tab/>
        <w:t>Комитет обеспокоен тем, что государство-участник не приняло никакой конкретной стратегии или программы для улучшения положения находящихся в неблагоприятном положении групп женщин и не располагает дезагрегированными статистическими данными в отношении этих групп населения, а также тем, что в плане поощрения равных прав и возможностей для женщин и мужчин на период 2018</w:t>
      </w:r>
      <w:r w:rsidR="00595F53" w:rsidRPr="00595F53">
        <w:t>–</w:t>
      </w:r>
      <w:r w:rsidRPr="00550F8B">
        <w:t>2020 годов, в котором содержатся положения о молодежи, пожилых людях и инвалидах, не предусмотрены конкретные меры в интересах женщин, относящихся к этим группам. Более конкретно говоря, Комитет обеспокоен тем, что:</w:t>
      </w:r>
    </w:p>
    <w:p w14:paraId="21C4A8F5" w14:textId="758B868F" w:rsidR="00550F8B" w:rsidRPr="00550F8B" w:rsidRDefault="00595F53" w:rsidP="00550F8B">
      <w:pPr>
        <w:pStyle w:val="SingleTxt"/>
      </w:pPr>
      <w:r>
        <w:tab/>
      </w:r>
      <w:r w:rsidR="00550F8B" w:rsidRPr="00550F8B">
        <w:t>а)</w:t>
      </w:r>
      <w:r w:rsidR="00550F8B" w:rsidRPr="00550F8B">
        <w:tab/>
        <w:t>женщины- и девочки-инвалиды в большей мере подвержены гендерному насилию, сексуальной эксплуатации, помещению в специализированные учреждения и лишению родительских прав, а также страдают от гораздо более низкого уровня участия в том, что касается образования, занятости, здравоохранения, социальной защиты и доступа к правосудию, поскольку их проблемы не находят конкретного отражения ни в гендерной политике, ни в политике по вопросам инвалидности;</w:t>
      </w:r>
    </w:p>
    <w:p w14:paraId="10927B53" w14:textId="04B5FFFC" w:rsidR="00550F8B" w:rsidRPr="00550F8B" w:rsidRDefault="00595F53" w:rsidP="00550F8B">
      <w:pPr>
        <w:pStyle w:val="SingleTxt"/>
      </w:pPr>
      <w:r>
        <w:tab/>
      </w:r>
      <w:r w:rsidR="00550F8B" w:rsidRPr="00550F8B">
        <w:t>b)</w:t>
      </w:r>
      <w:r w:rsidR="00550F8B" w:rsidRPr="00550F8B">
        <w:tab/>
        <w:t xml:space="preserve">женщины из числа рома и других этнических меньшинств сталкиваются с многочисленными формами дискриминации в том, что касается доступа к основным услугам, образованию, трудоустройству и медицинскому обслуживанию, а также участия в общественной и политической жизни из-за глубоко укоренившихся социальных стереотипов; </w:t>
      </w:r>
    </w:p>
    <w:p w14:paraId="5E91DB18" w14:textId="552A068A" w:rsidR="00550F8B" w:rsidRPr="00550F8B" w:rsidRDefault="00595F53" w:rsidP="00550F8B">
      <w:pPr>
        <w:pStyle w:val="SingleTxt"/>
      </w:pPr>
      <w:r>
        <w:tab/>
      </w:r>
      <w:r w:rsidR="00550F8B" w:rsidRPr="00550F8B">
        <w:t>c)</w:t>
      </w:r>
      <w:r w:rsidR="00550F8B" w:rsidRPr="00550F8B">
        <w:tab/>
        <w:t>пожилые женщины, и в частности представительницы языковых меньшинств, сталкиваются с многочисленными барьерами, обусловленными требованиями в отношении знания латышского языка.</w:t>
      </w:r>
    </w:p>
    <w:p w14:paraId="1C8F0D8C" w14:textId="77777777" w:rsidR="00550F8B" w:rsidRPr="00550F8B" w:rsidRDefault="00550F8B" w:rsidP="00550F8B">
      <w:pPr>
        <w:pStyle w:val="SingleTxt"/>
        <w:rPr>
          <w:b/>
          <w:bCs/>
        </w:rPr>
      </w:pPr>
      <w:bookmarkStart w:id="9" w:name="_Ref33454171"/>
      <w:r w:rsidRPr="00550F8B">
        <w:rPr>
          <w:bCs/>
        </w:rPr>
        <w:t>42.</w:t>
      </w:r>
      <w:r w:rsidRPr="00550F8B">
        <w:rPr>
          <w:bCs/>
        </w:rPr>
        <w:tab/>
      </w:r>
      <w:r w:rsidRPr="00550F8B">
        <w:rPr>
          <w:b/>
          <w:bCs/>
        </w:rPr>
        <w:t>Комитет рекомендует государству-участнику внедрять стратегии и программы, направленные на ликвидацию многочисленных форм дискриминации, с которыми сталкиваются группы женщин, находящиеся в неблагоприятном положении.</w:t>
      </w:r>
      <w:r w:rsidRPr="00550F8B">
        <w:t xml:space="preserve"> </w:t>
      </w:r>
      <w:r w:rsidRPr="00550F8B">
        <w:rPr>
          <w:b/>
          <w:bCs/>
        </w:rPr>
        <w:t>В частности, Комитет рекомендует государству-участнику:</w:t>
      </w:r>
      <w:bookmarkEnd w:id="9"/>
    </w:p>
    <w:p w14:paraId="370787EE" w14:textId="4849CB7A" w:rsidR="00550F8B" w:rsidRPr="00550F8B" w:rsidRDefault="00595F53" w:rsidP="00550F8B">
      <w:pPr>
        <w:pStyle w:val="SingleTxt"/>
        <w:rPr>
          <w:b/>
          <w:bCs/>
        </w:rPr>
      </w:pPr>
      <w:r>
        <w:tab/>
      </w:r>
      <w:r w:rsidR="00550F8B" w:rsidRPr="00550F8B">
        <w:t>а)</w:t>
      </w:r>
      <w:r w:rsidR="00550F8B" w:rsidRPr="00550F8B">
        <w:tab/>
      </w:r>
      <w:r w:rsidR="00550F8B" w:rsidRPr="00550F8B">
        <w:rPr>
          <w:b/>
          <w:bCs/>
        </w:rPr>
        <w:t>обеспечить конкретное упоминание женщин- и девочек-инвалидов во всех законах, стратегиях и программах по вопросам гендерного равенства и по вопросам инвалидности, а также обеспечить, чтобы такие законы, стратегии и программы включали в себя позитивные меры, в консультации с организациями, представляющими интересы женщин- и девочек-инвалидов;</w:t>
      </w:r>
    </w:p>
    <w:p w14:paraId="36F687A8" w14:textId="520FDE03" w:rsidR="00550F8B" w:rsidRPr="00550F8B" w:rsidRDefault="00595F53" w:rsidP="00550F8B">
      <w:pPr>
        <w:pStyle w:val="SingleTxt"/>
        <w:rPr>
          <w:b/>
          <w:bCs/>
        </w:rPr>
      </w:pPr>
      <w:r>
        <w:tab/>
      </w:r>
      <w:r w:rsidR="00550F8B" w:rsidRPr="00550F8B">
        <w:t>b)</w:t>
      </w:r>
      <w:r w:rsidR="00550F8B" w:rsidRPr="00550F8B">
        <w:tab/>
      </w:r>
      <w:r w:rsidR="00550F8B" w:rsidRPr="00550F8B">
        <w:rPr>
          <w:b/>
          <w:bCs/>
        </w:rPr>
        <w:t>активизировать усилия по обеспечению того, чтобы женщины из числа рома и других этнических меньшинств имели равный доступ к основным услугам, образованию, трудоустройству и медицинскому обслуживанию, а также к участию в общественной и политической жизни;</w:t>
      </w:r>
    </w:p>
    <w:p w14:paraId="2ABF1BD6" w14:textId="45C4F8FF" w:rsidR="00550F8B" w:rsidRPr="00550F8B" w:rsidRDefault="00595F53" w:rsidP="00550F8B">
      <w:pPr>
        <w:pStyle w:val="SingleTxt"/>
        <w:rPr>
          <w:b/>
          <w:bCs/>
        </w:rPr>
      </w:pPr>
      <w:r>
        <w:tab/>
      </w:r>
      <w:r w:rsidR="00550F8B" w:rsidRPr="00550F8B">
        <w:t>c)</w:t>
      </w:r>
      <w:r w:rsidR="00550F8B" w:rsidRPr="00550F8B">
        <w:tab/>
      </w:r>
      <w:r w:rsidR="00550F8B" w:rsidRPr="00550F8B">
        <w:rPr>
          <w:b/>
          <w:bCs/>
        </w:rPr>
        <w:t>обеспечить оказание надлежащей поддержки представителям языковых меньшинств, особенно пожилым людям, включая предоставление услуг письменных и устных переводчиков в государственных и муниципальных учреждениях, в частности в регионах с высокой концентрацией носителей языка меньшинств, в соответствии со статьей 10 Рамочной конвенции Совета Европы о защите национальных меньшинств, участником которой является Латвия.</w:t>
      </w:r>
    </w:p>
    <w:p w14:paraId="009BB87D" w14:textId="30913BA9" w:rsidR="00550F8B" w:rsidRPr="00595F53" w:rsidRDefault="00550F8B" w:rsidP="00595F53">
      <w:pPr>
        <w:pStyle w:val="SingleTxt"/>
        <w:spacing w:after="0" w:line="120" w:lineRule="exact"/>
        <w:rPr>
          <w:b/>
          <w:bCs/>
          <w:sz w:val="10"/>
        </w:rPr>
      </w:pPr>
    </w:p>
    <w:p w14:paraId="71013B6B" w14:textId="7E1F4AAB" w:rsidR="00550F8B" w:rsidRDefault="00550F8B" w:rsidP="00595F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50F8B">
        <w:tab/>
      </w:r>
      <w:r w:rsidRPr="00550F8B">
        <w:tab/>
        <w:t>Брак и семейные отношения</w:t>
      </w:r>
    </w:p>
    <w:p w14:paraId="118089E5" w14:textId="0B36CEC4" w:rsidR="00595F53" w:rsidRPr="00595F53" w:rsidRDefault="00595F53" w:rsidP="00595F53">
      <w:pPr>
        <w:pStyle w:val="SingleTxt"/>
        <w:spacing w:after="0" w:line="120" w:lineRule="exact"/>
        <w:rPr>
          <w:sz w:val="10"/>
        </w:rPr>
      </w:pPr>
    </w:p>
    <w:p w14:paraId="575177EC" w14:textId="77777777" w:rsidR="00550F8B" w:rsidRPr="00550F8B" w:rsidRDefault="00550F8B" w:rsidP="00550F8B">
      <w:pPr>
        <w:pStyle w:val="SingleTxt"/>
      </w:pPr>
      <w:r w:rsidRPr="00550F8B">
        <w:t>43.</w:t>
      </w:r>
      <w:r w:rsidRPr="00550F8B">
        <w:tab/>
        <w:t>Комитет обеспокоен тем, что:</w:t>
      </w:r>
    </w:p>
    <w:p w14:paraId="6B728E72" w14:textId="2F0543B4" w:rsidR="00550F8B" w:rsidRPr="00550F8B" w:rsidRDefault="00595F53" w:rsidP="00550F8B">
      <w:pPr>
        <w:pStyle w:val="SingleTxt"/>
      </w:pPr>
      <w:r>
        <w:tab/>
      </w:r>
      <w:r w:rsidR="00550F8B" w:rsidRPr="00550F8B">
        <w:t>а)</w:t>
      </w:r>
      <w:r w:rsidR="00550F8B" w:rsidRPr="00550F8B">
        <w:tab/>
        <w:t>непризнание некоторых форм семейных отношений может привести к дискриминации женщин;</w:t>
      </w:r>
    </w:p>
    <w:p w14:paraId="24CF92F8" w14:textId="03649453" w:rsidR="00550F8B" w:rsidRPr="00550F8B" w:rsidRDefault="00595F53" w:rsidP="00550F8B">
      <w:pPr>
        <w:pStyle w:val="SingleTxt"/>
      </w:pPr>
      <w:r>
        <w:tab/>
      </w:r>
      <w:r w:rsidR="00550F8B" w:rsidRPr="00550F8B">
        <w:t>b)</w:t>
      </w:r>
      <w:r w:rsidR="00550F8B" w:rsidRPr="00550F8B">
        <w:tab/>
        <w:t>согласно статьям 32 и 33 Гражданского кодекса лица, достигшие 16</w:t>
      </w:r>
      <w:r>
        <w:noBreakHyphen/>
      </w:r>
      <w:r w:rsidR="00550F8B" w:rsidRPr="00550F8B">
        <w:t>летнего возраста, могут вступать в брак с согласия своих родителей или опекунов в случае их вступления в брак с лицом, достигшим совершеннолетия;</w:t>
      </w:r>
    </w:p>
    <w:p w14:paraId="4A45E8C5" w14:textId="28CBF566" w:rsidR="00550F8B" w:rsidRPr="00550F8B" w:rsidRDefault="00595F53" w:rsidP="00550F8B">
      <w:pPr>
        <w:pStyle w:val="SingleTxt"/>
      </w:pPr>
      <w:r>
        <w:tab/>
      </w:r>
      <w:r w:rsidR="00550F8B" w:rsidRPr="00550F8B">
        <w:t>c)</w:t>
      </w:r>
      <w:r w:rsidR="00550F8B" w:rsidRPr="00550F8B">
        <w:tab/>
        <w:t>состоящие в браке женщины-инвалиды, проживающие в специализированных учреждениях, часто вынуждены жить отдельно от супруга либо в том же учреждении, либо в другом в тех случаях, когда один из супругов переводится из одного учреждения в другое.</w:t>
      </w:r>
    </w:p>
    <w:p w14:paraId="4702C6C2" w14:textId="77777777" w:rsidR="00550F8B" w:rsidRPr="00550F8B" w:rsidRDefault="00550F8B" w:rsidP="00550F8B">
      <w:pPr>
        <w:pStyle w:val="SingleTxt"/>
        <w:rPr>
          <w:b/>
        </w:rPr>
      </w:pPr>
      <w:bookmarkStart w:id="10" w:name="_Hlk32828261"/>
      <w:r w:rsidRPr="00550F8B">
        <w:t>44.</w:t>
      </w:r>
      <w:r w:rsidRPr="00550F8B">
        <w:tab/>
      </w:r>
      <w:r w:rsidRPr="00550F8B">
        <w:rPr>
          <w:b/>
          <w:bCs/>
        </w:rPr>
        <w:t>Комитет рекомендует государству-участнику:</w:t>
      </w:r>
    </w:p>
    <w:p w14:paraId="508FD4C5" w14:textId="449AD618" w:rsidR="00550F8B" w:rsidRPr="00550F8B" w:rsidRDefault="00595F53" w:rsidP="00550F8B">
      <w:pPr>
        <w:pStyle w:val="SingleTxt"/>
        <w:rPr>
          <w:b/>
        </w:rPr>
      </w:pPr>
      <w:r>
        <w:tab/>
      </w:r>
      <w:r w:rsidR="00550F8B" w:rsidRPr="00550F8B">
        <w:t>а)</w:t>
      </w:r>
      <w:r w:rsidR="00550F8B" w:rsidRPr="00550F8B">
        <w:tab/>
      </w:r>
      <w:r w:rsidR="00550F8B" w:rsidRPr="00550F8B">
        <w:rPr>
          <w:b/>
          <w:bCs/>
        </w:rPr>
        <w:t>обеспечивать правовую защиту женщин, состоящих в семейных отношениях какой бы то ни было формы, включая обеспечение их экономических прав;</w:t>
      </w:r>
    </w:p>
    <w:p w14:paraId="38E270AB" w14:textId="03143B6D" w:rsidR="00550F8B" w:rsidRPr="00550F8B" w:rsidRDefault="00595F53" w:rsidP="00550F8B">
      <w:pPr>
        <w:pStyle w:val="SingleTxt"/>
        <w:rPr>
          <w:b/>
          <w:bCs/>
        </w:rPr>
      </w:pPr>
      <w:bookmarkStart w:id="11" w:name="_Hlk32828374"/>
      <w:bookmarkEnd w:id="10"/>
      <w:r>
        <w:tab/>
      </w:r>
      <w:r w:rsidR="00550F8B" w:rsidRPr="00550F8B">
        <w:t>b)</w:t>
      </w:r>
      <w:r w:rsidR="00550F8B" w:rsidRPr="00550F8B">
        <w:tab/>
      </w:r>
      <w:r w:rsidR="00550F8B" w:rsidRPr="00550F8B">
        <w:rPr>
          <w:b/>
          <w:bCs/>
        </w:rPr>
        <w:t>внести поправки в Гражданский кодекс и повысить минимальный возраст вступления в брак для женщин и мужчин до 18 лет без каких-либо исключений;</w:t>
      </w:r>
    </w:p>
    <w:p w14:paraId="62092790" w14:textId="3A387CDF" w:rsidR="00550F8B" w:rsidRPr="00550F8B" w:rsidRDefault="00595F53" w:rsidP="00550F8B">
      <w:pPr>
        <w:pStyle w:val="SingleTxt"/>
        <w:rPr>
          <w:b/>
        </w:rPr>
      </w:pPr>
      <w:r>
        <w:tab/>
      </w:r>
      <w:r w:rsidR="00550F8B" w:rsidRPr="00550F8B">
        <w:t>c)</w:t>
      </w:r>
      <w:r w:rsidR="00550F8B" w:rsidRPr="00550F8B">
        <w:tab/>
      </w:r>
      <w:r w:rsidR="00550F8B" w:rsidRPr="00550F8B">
        <w:rPr>
          <w:b/>
          <w:bCs/>
        </w:rPr>
        <w:t>обеспечивать право на вступление в брак, создание семьи, отцовство и материнство для всех инвалидов, предоставляя им при этом всеохватные вспомогательные услуги.</w:t>
      </w:r>
    </w:p>
    <w:bookmarkEnd w:id="11"/>
    <w:p w14:paraId="143F982E" w14:textId="43986ACC" w:rsidR="00550F8B" w:rsidRPr="00595F53" w:rsidRDefault="00550F8B" w:rsidP="00595F53">
      <w:pPr>
        <w:pStyle w:val="SingleTxt"/>
        <w:spacing w:after="0" w:line="120" w:lineRule="exact"/>
        <w:rPr>
          <w:b/>
          <w:sz w:val="10"/>
        </w:rPr>
      </w:pPr>
    </w:p>
    <w:p w14:paraId="3E522AFA" w14:textId="2A92D200" w:rsidR="00550F8B" w:rsidRDefault="00595F53" w:rsidP="00595F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550F8B" w:rsidRPr="00550F8B">
        <w:t>Факультативный протокол к Конвенции и поправка к статье 20 1) Конвенции</w:t>
      </w:r>
    </w:p>
    <w:p w14:paraId="38AD5B52" w14:textId="6D9532ED" w:rsidR="00595F53" w:rsidRPr="00595F53" w:rsidRDefault="00595F53" w:rsidP="00595F53">
      <w:pPr>
        <w:pStyle w:val="SingleTxt"/>
        <w:spacing w:after="0" w:line="120" w:lineRule="exact"/>
        <w:rPr>
          <w:sz w:val="10"/>
        </w:rPr>
      </w:pPr>
    </w:p>
    <w:p w14:paraId="71479EB8" w14:textId="5D8F014C" w:rsidR="00550F8B" w:rsidRPr="00550F8B" w:rsidRDefault="00550F8B" w:rsidP="00550F8B">
      <w:pPr>
        <w:pStyle w:val="SingleTxt"/>
        <w:rPr>
          <w:b/>
        </w:rPr>
      </w:pPr>
      <w:r w:rsidRPr="00550F8B">
        <w:t>45.</w:t>
      </w:r>
      <w:r w:rsidRPr="00550F8B">
        <w:tab/>
      </w:r>
      <w:r w:rsidRPr="00550F8B">
        <w:rPr>
          <w:b/>
          <w:bCs/>
        </w:rPr>
        <w:t>Комитет призывает государство-участник как можно скорее ратифицировать Факультативный протокол к Конвенции и принять поправку к статье 20 1) Конвенции, касающуюся продолжительности заседаний Комитета.</w:t>
      </w:r>
    </w:p>
    <w:p w14:paraId="63A0FA3E" w14:textId="2BC17953" w:rsidR="00550F8B" w:rsidRPr="00595F53" w:rsidRDefault="00550F8B" w:rsidP="00595F53">
      <w:pPr>
        <w:pStyle w:val="SingleTxt"/>
        <w:spacing w:after="0" w:line="120" w:lineRule="exact"/>
        <w:rPr>
          <w:b/>
          <w:sz w:val="10"/>
        </w:rPr>
      </w:pPr>
    </w:p>
    <w:p w14:paraId="31AD110A" w14:textId="6203117D" w:rsidR="00550F8B" w:rsidRDefault="00595F53" w:rsidP="00595F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550F8B" w:rsidRPr="00550F8B">
        <w:t xml:space="preserve">Пекинская декларация и Платформа действий </w:t>
      </w:r>
    </w:p>
    <w:p w14:paraId="2AC2E5D7" w14:textId="11F8457F" w:rsidR="00595F53" w:rsidRPr="00595F53" w:rsidRDefault="00595F53" w:rsidP="00595F53">
      <w:pPr>
        <w:pStyle w:val="SingleTxt"/>
        <w:spacing w:after="0" w:line="120" w:lineRule="exact"/>
        <w:rPr>
          <w:sz w:val="10"/>
        </w:rPr>
      </w:pPr>
    </w:p>
    <w:p w14:paraId="5773716A" w14:textId="77777777" w:rsidR="00550F8B" w:rsidRPr="00550F8B" w:rsidRDefault="00550F8B" w:rsidP="00550F8B">
      <w:pPr>
        <w:pStyle w:val="SingleTxt"/>
      </w:pPr>
      <w:r w:rsidRPr="00550F8B">
        <w:t>46.</w:t>
      </w:r>
      <w:r w:rsidRPr="00550F8B">
        <w:tab/>
      </w:r>
      <w:r w:rsidRPr="00550F8B">
        <w:rPr>
          <w:b/>
          <w:bCs/>
        </w:rPr>
        <w:t>Комитет призывает государство-участник применять Пекинскую декларацию и Платформу действий и провести последующую оценку осуществления прав, закрепленных в Конвенции, в контексте проведения обзора в преддверии 25-й годовщины принятия Пекинской декларации и Платформы действий в целях достижения реального равенства между женщинами и мужчинами.</w:t>
      </w:r>
    </w:p>
    <w:p w14:paraId="02D2E5F9" w14:textId="0D15D72B" w:rsidR="00550F8B" w:rsidRPr="00595F53" w:rsidRDefault="00550F8B" w:rsidP="00595F53">
      <w:pPr>
        <w:pStyle w:val="SingleTxt"/>
        <w:spacing w:after="0" w:line="120" w:lineRule="exact"/>
        <w:rPr>
          <w:sz w:val="10"/>
        </w:rPr>
      </w:pPr>
    </w:p>
    <w:p w14:paraId="6FCD3B99" w14:textId="1791CEB0" w:rsidR="00550F8B" w:rsidRDefault="00550F8B" w:rsidP="00595F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50F8B">
        <w:tab/>
      </w:r>
      <w:r w:rsidRPr="00550F8B">
        <w:tab/>
        <w:t xml:space="preserve">Распространение </w:t>
      </w:r>
    </w:p>
    <w:p w14:paraId="4FB2F3C1" w14:textId="1F3E0756" w:rsidR="00595F53" w:rsidRPr="00595F53" w:rsidRDefault="00595F53" w:rsidP="00595F53">
      <w:pPr>
        <w:pStyle w:val="SingleTxt"/>
        <w:spacing w:after="0" w:line="120" w:lineRule="exact"/>
        <w:rPr>
          <w:sz w:val="10"/>
        </w:rPr>
      </w:pPr>
    </w:p>
    <w:p w14:paraId="2F745AFD" w14:textId="77777777" w:rsidR="00550F8B" w:rsidRPr="00550F8B" w:rsidRDefault="00550F8B" w:rsidP="00550F8B">
      <w:pPr>
        <w:pStyle w:val="SingleTxt"/>
        <w:rPr>
          <w:b/>
        </w:rPr>
      </w:pPr>
      <w:r w:rsidRPr="00550F8B">
        <w:t>47.</w:t>
      </w:r>
      <w:r w:rsidRPr="00550F8B">
        <w:tab/>
      </w:r>
      <w:r w:rsidRPr="00550F8B">
        <w:rPr>
          <w:b/>
          <w:bCs/>
        </w:rPr>
        <w:t>Комитет предлагает государству-участнику обеспечить своевременное распространение настоящих заключительных замечаний на официальном языке государства-участника в соответствующих государственных учреждениях всех уровней (на национальном, окружном и местном уровнях), в частности в правительственных органах, министерствах, парламенте и органах правосудия, с тем чтобы обеспечить полное осуществление содержащихся в них рекомендаций.</w:t>
      </w:r>
    </w:p>
    <w:p w14:paraId="1DD376CD" w14:textId="4C87D6A7" w:rsidR="00550F8B" w:rsidRPr="00595F53" w:rsidRDefault="00550F8B" w:rsidP="00595F53">
      <w:pPr>
        <w:pStyle w:val="SingleTxt"/>
        <w:spacing w:after="0" w:line="120" w:lineRule="exact"/>
        <w:rPr>
          <w:b/>
          <w:sz w:val="10"/>
        </w:rPr>
      </w:pPr>
    </w:p>
    <w:p w14:paraId="5481569C" w14:textId="2093F53A" w:rsidR="00550F8B" w:rsidRDefault="00550F8B" w:rsidP="00595F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50F8B">
        <w:tab/>
      </w:r>
      <w:r w:rsidRPr="00550F8B">
        <w:tab/>
        <w:t>Ратификация других соглашений</w:t>
      </w:r>
    </w:p>
    <w:p w14:paraId="673388E9" w14:textId="3F18407D" w:rsidR="00595F53" w:rsidRPr="00595F53" w:rsidRDefault="00595F53" w:rsidP="00595F53">
      <w:pPr>
        <w:pStyle w:val="SingleTxt"/>
        <w:spacing w:after="0" w:line="120" w:lineRule="exact"/>
        <w:rPr>
          <w:sz w:val="10"/>
        </w:rPr>
      </w:pPr>
    </w:p>
    <w:p w14:paraId="00E48B19" w14:textId="012B0CF2" w:rsidR="00550F8B" w:rsidRPr="00550F8B" w:rsidRDefault="00550F8B" w:rsidP="00550F8B">
      <w:pPr>
        <w:pStyle w:val="SingleTxt"/>
        <w:rPr>
          <w:b/>
        </w:rPr>
      </w:pPr>
      <w:r w:rsidRPr="00550F8B">
        <w:t>48.</w:t>
      </w:r>
      <w:r w:rsidRPr="00550F8B">
        <w:tab/>
      </w:r>
      <w:r w:rsidRPr="00550F8B">
        <w:rPr>
          <w:b/>
          <w:bCs/>
        </w:rPr>
        <w:t>Комитет отмечает, что соблюдение государством-участником девяти основных международных соглашений по правам человека</w:t>
      </w:r>
      <w:r w:rsidRPr="00360A87">
        <w:rPr>
          <w:bCs/>
          <w:vertAlign w:val="superscript"/>
          <w:lang w:val="en-GB"/>
        </w:rPr>
        <w:footnoteReference w:id="4"/>
      </w:r>
      <w:r w:rsidRPr="00550F8B">
        <w:rPr>
          <w:b/>
          <w:bCs/>
        </w:rPr>
        <w:t xml:space="preserve"> будет способ</w:t>
      </w:r>
      <w:r w:rsidR="009D2E89">
        <w:rPr>
          <w:b/>
          <w:bCs/>
        </w:rPr>
        <w:softHyphen/>
      </w:r>
      <w:r w:rsidRPr="00550F8B">
        <w:rPr>
          <w:b/>
          <w:bCs/>
        </w:rPr>
        <w:t>ствовать более полному осуществлению женщинами их прав человека и основных свобод во всех сферах жизни.</w:t>
      </w:r>
      <w:r w:rsidRPr="00550F8B">
        <w:t xml:space="preserve"> </w:t>
      </w:r>
      <w:r w:rsidRPr="00550F8B">
        <w:rPr>
          <w:b/>
          <w:bCs/>
        </w:rPr>
        <w:t>В этой связи Комитет призывает государство-участник ратифицировать Международную конвенцию о защите прав всех трудящихся-мигрантов и членов их семей и Международную конвенцию для защиты всех лиц от насильственных исчезновений, участником которых оно еще не является.</w:t>
      </w:r>
    </w:p>
    <w:p w14:paraId="5AB8EB30" w14:textId="34372375" w:rsidR="00550F8B" w:rsidRPr="00595F53" w:rsidRDefault="00550F8B" w:rsidP="00595F53">
      <w:pPr>
        <w:pStyle w:val="SingleTxt"/>
        <w:spacing w:after="0" w:line="120" w:lineRule="exact"/>
        <w:rPr>
          <w:b/>
          <w:sz w:val="10"/>
        </w:rPr>
      </w:pPr>
    </w:p>
    <w:p w14:paraId="0323779E" w14:textId="65C70A6D" w:rsidR="00550F8B" w:rsidRDefault="00595F53" w:rsidP="00595F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550F8B" w:rsidRPr="00550F8B">
        <w:t>Последующая деятельность в свете заключительных замечаний</w:t>
      </w:r>
    </w:p>
    <w:p w14:paraId="1FE7F029" w14:textId="1FF51257" w:rsidR="00595F53" w:rsidRPr="00595F53" w:rsidRDefault="00595F53" w:rsidP="00595F53">
      <w:pPr>
        <w:pStyle w:val="SingleTxt"/>
        <w:spacing w:after="0" w:line="120" w:lineRule="exact"/>
        <w:rPr>
          <w:sz w:val="10"/>
        </w:rPr>
      </w:pPr>
    </w:p>
    <w:p w14:paraId="02B0ABEA" w14:textId="7C4404F8" w:rsidR="00550F8B" w:rsidRPr="00550F8B" w:rsidRDefault="00550F8B" w:rsidP="00550F8B">
      <w:pPr>
        <w:pStyle w:val="SingleTxt"/>
        <w:rPr>
          <w:b/>
        </w:rPr>
      </w:pPr>
      <w:r w:rsidRPr="00550F8B">
        <w:t>49.</w:t>
      </w:r>
      <w:r w:rsidRPr="00550F8B">
        <w:tab/>
      </w:r>
      <w:r w:rsidRPr="00550F8B">
        <w:rPr>
          <w:b/>
          <w:bCs/>
        </w:rPr>
        <w:t>Комитет предлагает государству-участнику представить в течение двух лет письменную информацию о мерах, принятых для выполнения рекомендаций, содержащихся в пунктах 16 a), 24 b), 26 b) и 42 a) выше.</w:t>
      </w:r>
    </w:p>
    <w:p w14:paraId="4EBFD65F" w14:textId="38DC45EC" w:rsidR="00550F8B" w:rsidRPr="00595F53" w:rsidRDefault="00550F8B" w:rsidP="00595F53">
      <w:pPr>
        <w:pStyle w:val="SingleTxt"/>
        <w:spacing w:after="0" w:line="120" w:lineRule="exact"/>
        <w:rPr>
          <w:b/>
          <w:sz w:val="10"/>
        </w:rPr>
      </w:pPr>
    </w:p>
    <w:p w14:paraId="308FEB5A" w14:textId="0EE446E0" w:rsidR="00550F8B" w:rsidRDefault="00550F8B" w:rsidP="00595F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50F8B">
        <w:tab/>
      </w:r>
      <w:r w:rsidRPr="00550F8B">
        <w:tab/>
        <w:t xml:space="preserve">Подготовка следующего доклада </w:t>
      </w:r>
    </w:p>
    <w:p w14:paraId="667FB313" w14:textId="4C05C67B" w:rsidR="001224AC" w:rsidRPr="001224AC" w:rsidRDefault="001224AC" w:rsidP="001224AC">
      <w:pPr>
        <w:pStyle w:val="SingleTxt"/>
        <w:spacing w:after="0" w:line="120" w:lineRule="exact"/>
        <w:rPr>
          <w:sz w:val="10"/>
        </w:rPr>
      </w:pPr>
    </w:p>
    <w:p w14:paraId="1C449CA9" w14:textId="31420E4B" w:rsidR="00550F8B" w:rsidRPr="00550F8B" w:rsidRDefault="00550F8B" w:rsidP="00550F8B">
      <w:pPr>
        <w:pStyle w:val="SingleTxt"/>
      </w:pPr>
      <w:r w:rsidRPr="00550F8B">
        <w:t>50.</w:t>
      </w:r>
      <w:r w:rsidRPr="00550F8B">
        <w:tab/>
      </w:r>
      <w:r w:rsidRPr="00550F8B">
        <w:rPr>
          <w:b/>
          <w:bCs/>
        </w:rPr>
        <w:t>Комитет предлагает государству-участнику представить свой восьмой периодический доклад, срок подачи которого установлен на февраль 2024</w:t>
      </w:r>
      <w:r w:rsidR="00595F53">
        <w:rPr>
          <w:b/>
          <w:bCs/>
          <w:lang w:val="en-US"/>
        </w:rPr>
        <w:t> </w:t>
      </w:r>
      <w:r w:rsidRPr="00550F8B">
        <w:rPr>
          <w:b/>
          <w:bCs/>
        </w:rPr>
        <w:t>года.</w:t>
      </w:r>
      <w:r w:rsidRPr="00550F8B">
        <w:t xml:space="preserve"> </w:t>
      </w:r>
      <w:r w:rsidRPr="00550F8B">
        <w:rPr>
          <w:b/>
          <w:bCs/>
        </w:rPr>
        <w:t>Доклад должен быть представлен в срок и охватывать весь период до момента его представления.</w:t>
      </w:r>
    </w:p>
    <w:p w14:paraId="7B4D00F4" w14:textId="48E091D5" w:rsidR="0018172E" w:rsidRDefault="00550F8B" w:rsidP="00550F8B">
      <w:pPr>
        <w:pStyle w:val="SingleTxt"/>
        <w:rPr>
          <w:b/>
          <w:bCs/>
        </w:rPr>
      </w:pPr>
      <w:r w:rsidRPr="00550F8B">
        <w:t>51.</w:t>
      </w:r>
      <w:r w:rsidRPr="00550F8B">
        <w:tab/>
      </w:r>
      <w:r w:rsidRPr="00550F8B">
        <w:rPr>
          <w:b/>
          <w:bCs/>
        </w:rPr>
        <w:t>Комитет предлагает государству-участнику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</w:t>
      </w:r>
      <w:hyperlink r:id="rId28" w:history="1">
        <w:r w:rsidRPr="004A662E">
          <w:rPr>
            <w:rStyle w:val="Hyperlink"/>
            <w:b/>
            <w:bCs/>
          </w:rPr>
          <w:t>HRI/GEN/2/Rev.6</w:t>
        </w:r>
      </w:hyperlink>
      <w:r w:rsidRPr="00550F8B">
        <w:rPr>
          <w:b/>
          <w:bCs/>
        </w:rPr>
        <w:t>, глава I).</w:t>
      </w:r>
    </w:p>
    <w:p w14:paraId="31269080" w14:textId="31DDC8D2" w:rsidR="00550F8B" w:rsidRPr="00550F8B" w:rsidRDefault="00550F8B" w:rsidP="00550F8B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DE573" wp14:editId="52F6809E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F46B5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50F8B" w:rsidRPr="00550F8B" w:rsidSect="00816619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20-03-23T16:18:00Z" w:initials="Start">
    <w:p w14:paraId="67FC31FB" w14:textId="77777777" w:rsidR="00550F8B" w:rsidRPr="00816619" w:rsidRDefault="00550F8B">
      <w:pPr>
        <w:pStyle w:val="CommentText"/>
        <w:rPr>
          <w:lang w:val="en-US"/>
        </w:rPr>
      </w:pPr>
      <w:r>
        <w:fldChar w:fldCharType="begin"/>
      </w:r>
      <w:r w:rsidRPr="00816619">
        <w:rPr>
          <w:rStyle w:val="CommentReference"/>
          <w:lang w:val="en-US"/>
        </w:rPr>
        <w:instrText xml:space="preserve"> </w:instrText>
      </w:r>
      <w:r w:rsidRPr="00816619">
        <w:rPr>
          <w:lang w:val="en-US"/>
        </w:rPr>
        <w:instrText>PAGE \# "'Page: '#'</w:instrText>
      </w:r>
      <w:r w:rsidRPr="00816619">
        <w:rPr>
          <w:lang w:val="en-US"/>
        </w:rPr>
        <w:br/>
        <w:instrText>'"</w:instrText>
      </w:r>
      <w:r w:rsidRPr="00816619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16619">
        <w:rPr>
          <w:lang w:val="en-US"/>
        </w:rPr>
        <w:t>&lt;&lt;ODS JOB NO&gt;&gt;N2006208R&lt;&lt;ODS JOB NO&gt;&gt;</w:t>
      </w:r>
    </w:p>
    <w:p w14:paraId="51165721" w14:textId="77777777" w:rsidR="00550F8B" w:rsidRPr="00816619" w:rsidRDefault="00550F8B">
      <w:pPr>
        <w:pStyle w:val="CommentText"/>
        <w:rPr>
          <w:lang w:val="en-US"/>
        </w:rPr>
      </w:pPr>
      <w:r w:rsidRPr="00816619">
        <w:rPr>
          <w:lang w:val="en-US"/>
        </w:rPr>
        <w:t>&lt;&lt;ODS DOC SYMBOL1&gt;&gt;CEDAW/C/LVA/CO/4-7&lt;&lt;ODS DOC SYMBOL1&gt;&gt;</w:t>
      </w:r>
    </w:p>
    <w:p w14:paraId="61196ADF" w14:textId="77777777" w:rsidR="00550F8B" w:rsidRPr="001850F5" w:rsidRDefault="00550F8B">
      <w:pPr>
        <w:pStyle w:val="CommentText"/>
        <w:rPr>
          <w:lang w:val="en-US"/>
        </w:rPr>
      </w:pPr>
      <w:r w:rsidRPr="001850F5">
        <w:rPr>
          <w:lang w:val="en-US"/>
        </w:rP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196A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96ADF" w16cid:durableId="222456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6856" w14:textId="77777777" w:rsidR="00C2311E" w:rsidRDefault="00C2311E" w:rsidP="001824A1">
      <w:pPr>
        <w:spacing w:line="240" w:lineRule="auto"/>
      </w:pPr>
      <w:r>
        <w:separator/>
      </w:r>
    </w:p>
  </w:endnote>
  <w:endnote w:type="continuationSeparator" w:id="0">
    <w:p w14:paraId="57E5FB92" w14:textId="77777777" w:rsidR="00C2311E" w:rsidRDefault="00C2311E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50F8B" w14:paraId="07023F00" w14:textId="77777777" w:rsidTr="0018172E">
      <w:tc>
        <w:tcPr>
          <w:tcW w:w="4920" w:type="dxa"/>
          <w:shd w:val="clear" w:color="auto" w:fill="auto"/>
          <w:vAlign w:val="bottom"/>
        </w:tcPr>
        <w:p w14:paraId="3BD67DF9" w14:textId="77777777" w:rsidR="00550F8B" w:rsidRPr="0018172E" w:rsidRDefault="00550F8B" w:rsidP="0018172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 w:rsidR="003A2F23">
            <w:rPr>
              <w:noProof/>
            </w:rPr>
            <w:fldChar w:fldCharType="begin"/>
          </w:r>
          <w:r w:rsidR="003A2F23">
            <w:rPr>
              <w:noProof/>
            </w:rPr>
            <w:instrText xml:space="preserve"> NUMPAGES  \* Arabic  \* MERGEFORMAT </w:instrText>
          </w:r>
          <w:r w:rsidR="003A2F23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3A2F23">
            <w:rPr>
              <w:noProof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EAB91B9" w14:textId="3DD6A919" w:rsidR="00550F8B" w:rsidRPr="0018172E" w:rsidRDefault="00550F8B" w:rsidP="0018172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F64B4">
            <w:rPr>
              <w:b w:val="0"/>
              <w:color w:val="000000"/>
              <w:sz w:val="14"/>
            </w:rPr>
            <w:t>20-03727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7C379FD7" w14:textId="77777777" w:rsidR="00550F8B" w:rsidRPr="0018172E" w:rsidRDefault="00550F8B" w:rsidP="00181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50F8B" w14:paraId="0E53B130" w14:textId="77777777" w:rsidTr="0018172E">
      <w:tc>
        <w:tcPr>
          <w:tcW w:w="4920" w:type="dxa"/>
          <w:shd w:val="clear" w:color="auto" w:fill="auto"/>
          <w:vAlign w:val="bottom"/>
        </w:tcPr>
        <w:p w14:paraId="66F97912" w14:textId="040ECFD1" w:rsidR="00550F8B" w:rsidRPr="0018172E" w:rsidRDefault="00550F8B" w:rsidP="0018172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F64B4">
            <w:rPr>
              <w:b w:val="0"/>
              <w:color w:val="000000"/>
              <w:sz w:val="14"/>
            </w:rPr>
            <w:t>20-03727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BA68547" w14:textId="77777777" w:rsidR="00550F8B" w:rsidRPr="0018172E" w:rsidRDefault="00550F8B" w:rsidP="0018172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3A2F23">
            <w:rPr>
              <w:noProof/>
            </w:rPr>
            <w:fldChar w:fldCharType="begin"/>
          </w:r>
          <w:r w:rsidR="003A2F23">
            <w:rPr>
              <w:noProof/>
            </w:rPr>
            <w:instrText xml:space="preserve"> NUMPAGES  \* Arabic  \* MERGEFORMAT </w:instrText>
          </w:r>
          <w:r w:rsidR="003A2F23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3A2F23">
            <w:rPr>
              <w:noProof/>
            </w:rPr>
            <w:fldChar w:fldCharType="end"/>
          </w:r>
        </w:p>
      </w:tc>
    </w:tr>
  </w:tbl>
  <w:p w14:paraId="3BC14159" w14:textId="77777777" w:rsidR="00550F8B" w:rsidRPr="0018172E" w:rsidRDefault="00550F8B" w:rsidP="001817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550F8B" w14:paraId="5D619735" w14:textId="77777777" w:rsidTr="0018172E">
      <w:tc>
        <w:tcPr>
          <w:tcW w:w="3830" w:type="dxa"/>
        </w:tcPr>
        <w:p w14:paraId="4A394E44" w14:textId="4339D91D" w:rsidR="00550F8B" w:rsidRDefault="00550F8B" w:rsidP="0018172E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B0AF708" wp14:editId="5EB3C545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LVA/CO/4-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LVA/CO/4-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20-03727 (</w:t>
          </w:r>
          <w:proofErr w:type="gramStart"/>
          <w:r>
            <w:t>R)</w:t>
          </w:r>
          <w:r>
            <w:rPr>
              <w:color w:val="010000"/>
            </w:rPr>
            <w:t xml:space="preserve">   </w:t>
          </w:r>
          <w:proofErr w:type="gramEnd"/>
          <w:r>
            <w:rPr>
              <w:color w:val="010000"/>
            </w:rPr>
            <w:t xml:space="preserve"> 230320   </w:t>
          </w:r>
          <w:r w:rsidR="006627D1">
            <w:rPr>
              <w:color w:val="010000"/>
              <w:lang w:val="en-US"/>
            </w:rPr>
            <w:t>02</w:t>
          </w:r>
          <w:r>
            <w:rPr>
              <w:color w:val="010000"/>
            </w:rPr>
            <w:t>0</w:t>
          </w:r>
          <w:r w:rsidR="006627D1">
            <w:rPr>
              <w:color w:val="010000"/>
              <w:lang w:val="en-US"/>
            </w:rPr>
            <w:t>4</w:t>
          </w:r>
          <w:r>
            <w:rPr>
              <w:color w:val="010000"/>
            </w:rPr>
            <w:t>20</w:t>
          </w:r>
        </w:p>
        <w:p w14:paraId="137C723A" w14:textId="77777777" w:rsidR="00550F8B" w:rsidRPr="0018172E" w:rsidRDefault="00550F8B" w:rsidP="0018172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*2003727*</w:t>
          </w:r>
        </w:p>
      </w:tc>
      <w:tc>
        <w:tcPr>
          <w:tcW w:w="4920" w:type="dxa"/>
        </w:tcPr>
        <w:p w14:paraId="2836E7A6" w14:textId="77777777" w:rsidR="00550F8B" w:rsidRDefault="00550F8B" w:rsidP="0018172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31A3E054" wp14:editId="76E1BE7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F2A62C" w14:textId="77777777" w:rsidR="00550F8B" w:rsidRPr="0018172E" w:rsidRDefault="00550F8B" w:rsidP="0018172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1B6E9" w14:textId="77777777" w:rsidR="00C2311E" w:rsidRPr="00360A87" w:rsidRDefault="00C2311E" w:rsidP="00360A87">
      <w:pPr>
        <w:pStyle w:val="Footer"/>
        <w:spacing w:after="80"/>
        <w:ind w:left="792"/>
      </w:pPr>
      <w:r w:rsidRPr="00360A87">
        <w:t>__________________</w:t>
      </w:r>
    </w:p>
  </w:footnote>
  <w:footnote w:type="continuationSeparator" w:id="0">
    <w:p w14:paraId="438DD38B" w14:textId="77777777" w:rsidR="00C2311E" w:rsidRPr="00360A87" w:rsidRDefault="00C2311E" w:rsidP="00360A87">
      <w:pPr>
        <w:pStyle w:val="Footer"/>
        <w:spacing w:after="80"/>
        <w:ind w:left="792"/>
      </w:pPr>
      <w:r w:rsidRPr="00360A87">
        <w:t>__________________</w:t>
      </w:r>
    </w:p>
  </w:footnote>
  <w:footnote w:id="1">
    <w:p w14:paraId="0F6A0E73" w14:textId="5D74BBA0" w:rsidR="00550F8B" w:rsidRPr="00053D0B" w:rsidRDefault="00360A87" w:rsidP="00360A8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="00550F8B" w:rsidRPr="00053D0B">
        <w:rPr>
          <w:rStyle w:val="FootnoteReference"/>
        </w:rPr>
        <w:t>*</w:t>
      </w:r>
      <w:r>
        <w:tab/>
      </w:r>
      <w:r w:rsidR="00550F8B">
        <w:t>Приняты Комитетом на его семьдесят пятой сессии (10</w:t>
      </w:r>
      <w:r w:rsidR="00073BDF" w:rsidRPr="00073BDF">
        <w:t>–</w:t>
      </w:r>
      <w:r w:rsidR="00550F8B">
        <w:t>28 февраля 2020 года).</w:t>
      </w:r>
    </w:p>
  </w:footnote>
  <w:footnote w:id="2">
    <w:p w14:paraId="40835C8E" w14:textId="77777777" w:rsidR="00550F8B" w:rsidRPr="00D4199C" w:rsidRDefault="00550F8B" w:rsidP="00360A8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Style w:val="FootnoteReference"/>
        </w:rPr>
        <w:footnoteRef/>
      </w:r>
      <w:r w:rsidRPr="00053D0B">
        <w:t xml:space="preserve"> </w:t>
      </w:r>
      <w:r>
        <w:t>Статьи 154</w:t>
      </w:r>
      <w:r w:rsidRPr="00237D13">
        <w:rPr>
          <w:vertAlign w:val="superscript"/>
        </w:rPr>
        <w:t>1</w:t>
      </w:r>
      <w:r>
        <w:t>, 154</w:t>
      </w:r>
      <w:r w:rsidRPr="00237D13">
        <w:rPr>
          <w:vertAlign w:val="superscript"/>
        </w:rPr>
        <w:t>2</w:t>
      </w:r>
      <w:r>
        <w:t xml:space="preserve"> и 165</w:t>
      </w:r>
      <w:r w:rsidRPr="00237D13">
        <w:rPr>
          <w:vertAlign w:val="superscript"/>
        </w:rPr>
        <w:t>1</w:t>
      </w:r>
      <w:r w:rsidRPr="00D4199C">
        <w:t>.</w:t>
      </w:r>
    </w:p>
  </w:footnote>
  <w:footnote w:id="3">
    <w:p w14:paraId="5B1000F8" w14:textId="77777777" w:rsidR="00550F8B" w:rsidRPr="009C2AE6" w:rsidRDefault="00550F8B" w:rsidP="00360A8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Style w:val="FootnoteReference"/>
        </w:rPr>
        <w:footnoteRef/>
      </w:r>
      <w:r w:rsidRPr="009C2AE6">
        <w:t xml:space="preserve"> </w:t>
      </w:r>
      <w:r>
        <w:t>П</w:t>
      </w:r>
      <w:r w:rsidRPr="009C2AE6">
        <w:t>ункт 4 статьи 154</w:t>
      </w:r>
      <w:r w:rsidRPr="009C2AE6">
        <w:rPr>
          <w:vertAlign w:val="superscript"/>
        </w:rPr>
        <w:t>2</w:t>
      </w:r>
      <w:r w:rsidRPr="009C2AE6">
        <w:t xml:space="preserve"> и стать</w:t>
      </w:r>
      <w:r>
        <w:t>я</w:t>
      </w:r>
      <w:r w:rsidRPr="009C2AE6">
        <w:t xml:space="preserve"> 165</w:t>
      </w:r>
      <w:r w:rsidRPr="009C2AE6">
        <w:rPr>
          <w:vertAlign w:val="superscript"/>
        </w:rPr>
        <w:t>1</w:t>
      </w:r>
      <w:r w:rsidRPr="009C2AE6">
        <w:t xml:space="preserve">, </w:t>
      </w:r>
      <w:r>
        <w:t>соответственно.</w:t>
      </w:r>
    </w:p>
  </w:footnote>
  <w:footnote w:id="4">
    <w:p w14:paraId="5CB2E6BD" w14:textId="4C03407C" w:rsidR="00550F8B" w:rsidRPr="00756135" w:rsidRDefault="00360A87" w:rsidP="00360A8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="00550F8B">
        <w:rPr>
          <w:rStyle w:val="FootnoteReference"/>
        </w:rPr>
        <w:footnoteRef/>
      </w:r>
      <w:r>
        <w:tab/>
      </w:r>
      <w:r w:rsidR="00550F8B" w:rsidRPr="00756135"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Конвенцию о правах ребенка; Международн</w:t>
      </w:r>
      <w:r w:rsidR="00550F8B">
        <w:t>ая</w:t>
      </w:r>
      <w:r w:rsidR="00550F8B" w:rsidRPr="00756135">
        <w:t xml:space="preserve"> конвенци</w:t>
      </w:r>
      <w:r w:rsidR="00550F8B">
        <w:t>я</w:t>
      </w:r>
      <w:r w:rsidR="00550F8B" w:rsidRPr="00756135">
        <w:t xml:space="preserve"> о защите прав всех трудящихся-мигрантов и членов их семей; Международн</w:t>
      </w:r>
      <w:r w:rsidR="00550F8B">
        <w:t>ая</w:t>
      </w:r>
      <w:r w:rsidR="00550F8B" w:rsidRPr="00756135">
        <w:t xml:space="preserve"> конвенци</w:t>
      </w:r>
      <w:r w:rsidR="00550F8B">
        <w:t>я</w:t>
      </w:r>
      <w:r w:rsidR="00550F8B" w:rsidRPr="00756135">
        <w:t xml:space="preserve"> для защиты всех лиц от насильственных исчезновений; и Конвенци</w:t>
      </w:r>
      <w:r w:rsidR="00550F8B">
        <w:t>я</w:t>
      </w:r>
      <w:r w:rsidR="00550F8B" w:rsidRPr="00756135">
        <w:t xml:space="preserve">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50F8B" w14:paraId="5F3D9083" w14:textId="77777777" w:rsidTr="0018172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834A73A" w14:textId="0BC19A29" w:rsidR="00550F8B" w:rsidRPr="0018172E" w:rsidRDefault="00550F8B" w:rsidP="0018172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F64B4">
            <w:rPr>
              <w:b/>
            </w:rPr>
            <w:t>CEDAW/C/LVA/CO/4-7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7003D53" w14:textId="77777777" w:rsidR="00550F8B" w:rsidRDefault="00550F8B" w:rsidP="0018172E">
          <w:pPr>
            <w:pStyle w:val="Header"/>
          </w:pPr>
        </w:p>
      </w:tc>
    </w:tr>
  </w:tbl>
  <w:p w14:paraId="57DDD911" w14:textId="77777777" w:rsidR="00550F8B" w:rsidRPr="0018172E" w:rsidRDefault="00550F8B" w:rsidP="00181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50F8B" w14:paraId="445CA288" w14:textId="77777777" w:rsidTr="0018172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54AC457" w14:textId="77777777" w:rsidR="00550F8B" w:rsidRDefault="00550F8B" w:rsidP="0018172E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005B29BB" w14:textId="4DB184EF" w:rsidR="00550F8B" w:rsidRPr="0018172E" w:rsidRDefault="00550F8B" w:rsidP="0018172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F64B4">
            <w:rPr>
              <w:b/>
            </w:rPr>
            <w:t>CEDAW/C/LVA/CO/4-7</w:t>
          </w:r>
          <w:r>
            <w:rPr>
              <w:b/>
            </w:rPr>
            <w:fldChar w:fldCharType="end"/>
          </w:r>
        </w:p>
      </w:tc>
    </w:tr>
  </w:tbl>
  <w:p w14:paraId="30D40CB5" w14:textId="77777777" w:rsidR="00550F8B" w:rsidRPr="0018172E" w:rsidRDefault="00550F8B" w:rsidP="001817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550F8B" w14:paraId="177E2321" w14:textId="77777777" w:rsidTr="0018172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6E9DB513" w14:textId="77777777" w:rsidR="00550F8B" w:rsidRPr="0018172E" w:rsidRDefault="00550F8B" w:rsidP="0018172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3388F04" w14:textId="77777777" w:rsidR="00550F8B" w:rsidRDefault="00550F8B" w:rsidP="0018172E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1BD362B3" w14:textId="77777777" w:rsidR="00550F8B" w:rsidRPr="0018172E" w:rsidRDefault="00550F8B" w:rsidP="0018172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/C/LVA/CO/4-7</w:t>
          </w:r>
        </w:p>
      </w:tc>
    </w:tr>
    <w:tr w:rsidR="00550F8B" w:rsidRPr="006627D1" w14:paraId="705BA02C" w14:textId="77777777" w:rsidTr="0018172E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D166202" w14:textId="77777777" w:rsidR="00550F8B" w:rsidRPr="0018172E" w:rsidRDefault="00550F8B" w:rsidP="0018172E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70167740" wp14:editId="28E9C3D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5A11CC9" w14:textId="77777777" w:rsidR="00550F8B" w:rsidRDefault="00550F8B" w:rsidP="0018172E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  <w:p w14:paraId="3EBAC955" w14:textId="59339E46" w:rsidR="00C92CAF" w:rsidRPr="006627D1" w:rsidRDefault="00C92CAF" w:rsidP="0018172E">
          <w:pPr>
            <w:pStyle w:val="XLarge"/>
            <w:spacing w:before="109" w:line="330" w:lineRule="exact"/>
            <w:rPr>
              <w:sz w:val="24"/>
              <w:szCs w:val="24"/>
              <w:lang w:val="es-ES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ECA9D38" w14:textId="77777777" w:rsidR="00550F8B" w:rsidRPr="006627D1" w:rsidRDefault="00550F8B" w:rsidP="0018172E">
          <w:pPr>
            <w:pStyle w:val="Header"/>
            <w:spacing w:before="109"/>
            <w:rPr>
              <w:lang w:val="es-ES"/>
            </w:rPr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DFE30ED" w14:textId="77777777" w:rsidR="00550F8B" w:rsidRPr="00816619" w:rsidRDefault="00550F8B" w:rsidP="0018172E">
          <w:pPr>
            <w:pStyle w:val="Distribution"/>
            <w:rPr>
              <w:color w:val="000000"/>
              <w:lang w:val="en-US"/>
            </w:rPr>
          </w:pPr>
          <w:r w:rsidRPr="00816619">
            <w:rPr>
              <w:color w:val="000000"/>
              <w:lang w:val="en-US"/>
            </w:rPr>
            <w:t>Distr.: General</w:t>
          </w:r>
        </w:p>
        <w:p w14:paraId="7BA7EE27" w14:textId="77777777" w:rsidR="00550F8B" w:rsidRPr="00816619" w:rsidRDefault="00550F8B" w:rsidP="0018172E">
          <w:pPr>
            <w:pStyle w:val="Publication"/>
            <w:rPr>
              <w:color w:val="000000"/>
              <w:lang w:val="en-US"/>
            </w:rPr>
          </w:pPr>
          <w:r w:rsidRPr="00816619">
            <w:rPr>
              <w:color w:val="000000"/>
              <w:lang w:val="en-US"/>
            </w:rPr>
            <w:t>10 March 2020</w:t>
          </w:r>
        </w:p>
        <w:p w14:paraId="74684A3F" w14:textId="77777777" w:rsidR="00550F8B" w:rsidRPr="00816619" w:rsidRDefault="00550F8B" w:rsidP="0018172E">
          <w:pPr>
            <w:rPr>
              <w:color w:val="000000"/>
              <w:lang w:val="en-US"/>
            </w:rPr>
          </w:pPr>
          <w:r w:rsidRPr="00816619">
            <w:rPr>
              <w:color w:val="000000"/>
              <w:lang w:val="en-US"/>
            </w:rPr>
            <w:t>Russian</w:t>
          </w:r>
        </w:p>
        <w:p w14:paraId="5FF54B4B" w14:textId="77777777" w:rsidR="00550F8B" w:rsidRPr="00816619" w:rsidRDefault="00550F8B" w:rsidP="0018172E">
          <w:pPr>
            <w:pStyle w:val="Original"/>
            <w:rPr>
              <w:color w:val="000000"/>
              <w:lang w:val="en-US"/>
            </w:rPr>
          </w:pPr>
          <w:r w:rsidRPr="00816619">
            <w:rPr>
              <w:color w:val="000000"/>
              <w:lang w:val="en-US"/>
            </w:rPr>
            <w:t>Original: English</w:t>
          </w:r>
        </w:p>
        <w:p w14:paraId="6056788D" w14:textId="77777777" w:rsidR="00550F8B" w:rsidRPr="00816619" w:rsidRDefault="00550F8B" w:rsidP="0018172E">
          <w:pPr>
            <w:rPr>
              <w:lang w:val="en-US"/>
            </w:rPr>
          </w:pPr>
        </w:p>
      </w:tc>
    </w:tr>
  </w:tbl>
  <w:p w14:paraId="061CA7DB" w14:textId="77777777" w:rsidR="00550F8B" w:rsidRPr="00816619" w:rsidRDefault="00550F8B" w:rsidP="0018172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7CDC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revisionView w:markup="0"/>
  <w:defaultTabStop w:val="475"/>
  <w:autoHyphenation/>
  <w:doNotHyphenateCaps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3727*"/>
    <w:docVar w:name="CreationDt" w:val="23/03/2020 4:18: PM"/>
    <w:docVar w:name="DocCategory" w:val="Doc"/>
    <w:docVar w:name="DocType" w:val="Final"/>
    <w:docVar w:name="DutyStation" w:val="New York"/>
    <w:docVar w:name="FooterJN" w:val="20-03727"/>
    <w:docVar w:name="jobn" w:val="20-03727 (R)"/>
    <w:docVar w:name="jobnDT" w:val="20-03727 (R)   230320"/>
    <w:docVar w:name="jobnDTDT" w:val="20-03727 (R)   230320   230320"/>
    <w:docVar w:name="JobNo" w:val="2003727R"/>
    <w:docVar w:name="JobNo2" w:val="2006208R"/>
    <w:docVar w:name="LocalDrive" w:val="-1"/>
    <w:docVar w:name="OandT" w:val=" "/>
    <w:docVar w:name="sss1" w:val="CEDAW/C/LVA/CO/4-7"/>
    <w:docVar w:name="sss2" w:val="-"/>
    <w:docVar w:name="Symbol1" w:val="CEDAW/C/LVA/CO/4-7"/>
    <w:docVar w:name="Symbol2" w:val="-"/>
  </w:docVars>
  <w:rsids>
    <w:rsidRoot w:val="00FA7EC7"/>
    <w:rsid w:val="00003F8C"/>
    <w:rsid w:val="00041EE2"/>
    <w:rsid w:val="00057473"/>
    <w:rsid w:val="00064A5D"/>
    <w:rsid w:val="00065F0E"/>
    <w:rsid w:val="00073BDF"/>
    <w:rsid w:val="000A1A1B"/>
    <w:rsid w:val="000F64B4"/>
    <w:rsid w:val="00112E16"/>
    <w:rsid w:val="001224AC"/>
    <w:rsid w:val="001674B7"/>
    <w:rsid w:val="0018172E"/>
    <w:rsid w:val="001824A1"/>
    <w:rsid w:val="001850F5"/>
    <w:rsid w:val="001B0786"/>
    <w:rsid w:val="001C67AF"/>
    <w:rsid w:val="001E0FD7"/>
    <w:rsid w:val="001E4DE3"/>
    <w:rsid w:val="001F427A"/>
    <w:rsid w:val="001F7371"/>
    <w:rsid w:val="00204EF2"/>
    <w:rsid w:val="00210AF4"/>
    <w:rsid w:val="00210EC3"/>
    <w:rsid w:val="00215A7D"/>
    <w:rsid w:val="002D2C61"/>
    <w:rsid w:val="002F4047"/>
    <w:rsid w:val="003218EF"/>
    <w:rsid w:val="00323373"/>
    <w:rsid w:val="00360A87"/>
    <w:rsid w:val="003807EF"/>
    <w:rsid w:val="0038495D"/>
    <w:rsid w:val="003A2F23"/>
    <w:rsid w:val="003B2CFB"/>
    <w:rsid w:val="003F7347"/>
    <w:rsid w:val="004170BB"/>
    <w:rsid w:val="004240B1"/>
    <w:rsid w:val="00425FDE"/>
    <w:rsid w:val="004275D7"/>
    <w:rsid w:val="004279A5"/>
    <w:rsid w:val="00431502"/>
    <w:rsid w:val="00432AC6"/>
    <w:rsid w:val="00433733"/>
    <w:rsid w:val="004340E9"/>
    <w:rsid w:val="004731F9"/>
    <w:rsid w:val="004A662E"/>
    <w:rsid w:val="005351C0"/>
    <w:rsid w:val="00542D6F"/>
    <w:rsid w:val="00550F8B"/>
    <w:rsid w:val="005644C2"/>
    <w:rsid w:val="00567558"/>
    <w:rsid w:val="00571999"/>
    <w:rsid w:val="00595F53"/>
    <w:rsid w:val="005A2266"/>
    <w:rsid w:val="005B58D8"/>
    <w:rsid w:val="00635C39"/>
    <w:rsid w:val="00643F79"/>
    <w:rsid w:val="006627D1"/>
    <w:rsid w:val="0066344D"/>
    <w:rsid w:val="006B0972"/>
    <w:rsid w:val="006B59C3"/>
    <w:rsid w:val="006D4969"/>
    <w:rsid w:val="006E1FBD"/>
    <w:rsid w:val="006E5CA5"/>
    <w:rsid w:val="00705A84"/>
    <w:rsid w:val="00726630"/>
    <w:rsid w:val="00770BD3"/>
    <w:rsid w:val="007934BE"/>
    <w:rsid w:val="007D2E54"/>
    <w:rsid w:val="0080025F"/>
    <w:rsid w:val="00803EE5"/>
    <w:rsid w:val="00816619"/>
    <w:rsid w:val="0083640B"/>
    <w:rsid w:val="00840363"/>
    <w:rsid w:val="00843551"/>
    <w:rsid w:val="008B4A4B"/>
    <w:rsid w:val="008D7164"/>
    <w:rsid w:val="008E0493"/>
    <w:rsid w:val="008E3D70"/>
    <w:rsid w:val="009413F3"/>
    <w:rsid w:val="00954B9A"/>
    <w:rsid w:val="00963590"/>
    <w:rsid w:val="0096420F"/>
    <w:rsid w:val="009707EE"/>
    <w:rsid w:val="00972652"/>
    <w:rsid w:val="009740F8"/>
    <w:rsid w:val="009A1A35"/>
    <w:rsid w:val="009D2E89"/>
    <w:rsid w:val="009D5859"/>
    <w:rsid w:val="009F077A"/>
    <w:rsid w:val="00A570D6"/>
    <w:rsid w:val="00A57ABA"/>
    <w:rsid w:val="00A6521C"/>
    <w:rsid w:val="00A72FF5"/>
    <w:rsid w:val="00A75AA1"/>
    <w:rsid w:val="00A90761"/>
    <w:rsid w:val="00AA0CE4"/>
    <w:rsid w:val="00AB1E36"/>
    <w:rsid w:val="00B306AF"/>
    <w:rsid w:val="00B535EE"/>
    <w:rsid w:val="00B62DFA"/>
    <w:rsid w:val="00B745E4"/>
    <w:rsid w:val="00B83362"/>
    <w:rsid w:val="00B95A96"/>
    <w:rsid w:val="00BE7F3E"/>
    <w:rsid w:val="00C06BC2"/>
    <w:rsid w:val="00C2311E"/>
    <w:rsid w:val="00C26FCC"/>
    <w:rsid w:val="00C30159"/>
    <w:rsid w:val="00C41769"/>
    <w:rsid w:val="00C45C26"/>
    <w:rsid w:val="00C47E5C"/>
    <w:rsid w:val="00C54064"/>
    <w:rsid w:val="00C71CD0"/>
    <w:rsid w:val="00C92CAF"/>
    <w:rsid w:val="00C961B9"/>
    <w:rsid w:val="00CA0010"/>
    <w:rsid w:val="00CA4BB0"/>
    <w:rsid w:val="00D11AF9"/>
    <w:rsid w:val="00D23FAF"/>
    <w:rsid w:val="00D67F91"/>
    <w:rsid w:val="00D760D3"/>
    <w:rsid w:val="00D82575"/>
    <w:rsid w:val="00D82BC5"/>
    <w:rsid w:val="00D96F14"/>
    <w:rsid w:val="00DC5B92"/>
    <w:rsid w:val="00DF78D1"/>
    <w:rsid w:val="00E03929"/>
    <w:rsid w:val="00E10D88"/>
    <w:rsid w:val="00E12491"/>
    <w:rsid w:val="00E144A8"/>
    <w:rsid w:val="00E25037"/>
    <w:rsid w:val="00E720E8"/>
    <w:rsid w:val="00E7414B"/>
    <w:rsid w:val="00EC2A36"/>
    <w:rsid w:val="00ED31CE"/>
    <w:rsid w:val="00EF1631"/>
    <w:rsid w:val="00EF43F3"/>
    <w:rsid w:val="00F2422B"/>
    <w:rsid w:val="00F63321"/>
    <w:rsid w:val="00F81CC1"/>
    <w:rsid w:val="00FA7EC7"/>
    <w:rsid w:val="00FB1E56"/>
    <w:rsid w:val="00FB731E"/>
    <w:rsid w:val="00FC2FD3"/>
    <w:rsid w:val="00FC5756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5403A4"/>
  <w15:chartTrackingRefBased/>
  <w15:docId w15:val="{5EB5524F-6111-4F29-82B6-D4DBC5C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112E16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112E16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112E16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2E1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112E16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112E16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112E16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112E16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12E1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112E16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112E1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112E16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12E1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112E16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112E1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112E16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112E1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112E16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112E16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112E16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112E16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112E16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112E1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112E16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112E16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112E16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112E16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112E1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112E16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12E16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112E16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112E16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12E16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12E16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12E16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112E16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112E16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112E16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112E16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112E16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112E16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112E16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112E16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112E16"/>
    <w:rPr>
      <w:szCs w:val="20"/>
    </w:rPr>
  </w:style>
  <w:style w:type="paragraph" w:customStyle="1" w:styleId="Publication">
    <w:name w:val="Publication"/>
    <w:basedOn w:val="Normal"/>
    <w:next w:val="Normal"/>
    <w:qFormat/>
    <w:rsid w:val="00112E16"/>
  </w:style>
  <w:style w:type="paragraph" w:customStyle="1" w:styleId="ReleaseDate">
    <w:name w:val="ReleaseDate"/>
    <w:basedOn w:val="Normal"/>
    <w:next w:val="Normal"/>
    <w:qFormat/>
    <w:rsid w:val="00112E16"/>
    <w:rPr>
      <w:szCs w:val="20"/>
    </w:rPr>
  </w:style>
  <w:style w:type="paragraph" w:customStyle="1" w:styleId="Small">
    <w:name w:val="Small"/>
    <w:basedOn w:val="Normal"/>
    <w:next w:val="Normal"/>
    <w:qFormat/>
    <w:rsid w:val="00112E1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112E1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112E1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112E1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112E16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112E16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C961B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1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72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72E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72E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1750" TargetMode="External"/><Relationship Id="rId26" Type="http://schemas.openxmlformats.org/officeDocument/2006/relationships/hyperlink" Target="https://undocs.org/ru/A/59/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A/65/38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ru/CEDAW/C/SR.1749" TargetMode="External"/><Relationship Id="rId25" Type="http://schemas.openxmlformats.org/officeDocument/2006/relationships/hyperlink" Target="https://undocs.org/ru/A/59/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ru/CEDAW/C/LVA/4-7" TargetMode="External"/><Relationship Id="rId20" Type="http://schemas.openxmlformats.org/officeDocument/2006/relationships/hyperlink" Target="https://undocs.org/ru/CEDAW/C/LVA/Q/4-7/Add.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ru/A/59/38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hyperlink" Target="https://undocs.org/ru/A/59/38" TargetMode="External"/><Relationship Id="rId28" Type="http://schemas.openxmlformats.org/officeDocument/2006/relationships/hyperlink" Target="https://undocs.org/ru/HRI/GEN/2/Rev.6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LVA/Q/4-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A/59/38" TargetMode="External"/><Relationship Id="rId27" Type="http://schemas.openxmlformats.org/officeDocument/2006/relationships/hyperlink" Target="https://undocs.org/ru/A/59/38" TargetMode="Externa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7696</Words>
  <Characters>43868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Evseeva</dc:creator>
  <cp:keywords/>
  <dc:description/>
  <cp:lastModifiedBy>Svetlana Evseeva</cp:lastModifiedBy>
  <cp:revision>3</cp:revision>
  <cp:lastPrinted>2020-04-02T20:13:00Z</cp:lastPrinted>
  <dcterms:created xsi:type="dcterms:W3CDTF">2020-04-02T20:13:00Z</dcterms:created>
  <dcterms:modified xsi:type="dcterms:W3CDTF">2020-04-02T20:14:00Z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2003727R</vt:lpwstr>
  </property>
  <property fmtid="{D5CDD505-2E9C-101B-9397-08002B2CF9AE}" pid="3" name="ODSRefJobNo">
    <vt:lpwstr>2006208R</vt:lpwstr>
  </property>
  <property fmtid="{D5CDD505-2E9C-101B-9397-08002B2CF9AE}" pid="4" name="Symbol1">
    <vt:lpwstr>CEDAW/C/LVA/CO/4-7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Заключительные замечания по объединенным четвертому–седьмому периодическим докладам Латвии*_x000d_</vt:lpwstr>
  </property>
</Properties>
</file>