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DA" w:rsidRPr="00EE1867" w:rsidRDefault="00732013" w:rsidP="00732013">
      <w:pPr>
        <w:spacing w:line="240" w:lineRule="auto"/>
        <w:rPr>
          <w:b/>
          <w:sz w:val="24"/>
          <w:szCs w:val="24"/>
          <w:lang w:val="ru-RU"/>
        </w:rPr>
      </w:pPr>
      <w:commentRangeStart w:id="0"/>
      <w:r>
        <w:rPr>
          <w:b/>
          <w:sz w:val="6"/>
          <w:szCs w:val="24"/>
          <w:lang w:val="ru-RU"/>
        </w:rPr>
        <w:t xml:space="preserve">  </w:t>
      </w:r>
      <w:commentRangeEnd w:id="0"/>
      <w:r>
        <w:rPr>
          <w:rStyle w:val="CommentReference"/>
        </w:rPr>
        <w:commentReference w:id="0"/>
      </w:r>
      <w:r w:rsidR="005E09DA" w:rsidRPr="00EE1867">
        <w:rPr>
          <w:b/>
          <w:sz w:val="24"/>
          <w:szCs w:val="24"/>
          <w:lang w:val="ru-RU"/>
        </w:rPr>
        <w:t>Комитет по ликвидации дискриминации</w:t>
      </w:r>
      <w:r w:rsidR="005E09DA" w:rsidRPr="00EE1867">
        <w:rPr>
          <w:b/>
          <w:sz w:val="24"/>
          <w:szCs w:val="24"/>
          <w:lang w:val="ru-RU"/>
        </w:rPr>
        <w:br/>
        <w:t>в отношении женщин</w:t>
      </w:r>
    </w:p>
    <w:p w:rsidR="00866E29" w:rsidRPr="00EE1867" w:rsidRDefault="005E09DA" w:rsidP="00EE1867">
      <w:pPr>
        <w:pStyle w:val="HChG"/>
        <w:spacing w:line="240" w:lineRule="auto"/>
        <w:ind w:left="1264" w:right="1259" w:firstLine="0"/>
        <w:rPr>
          <w:szCs w:val="28"/>
          <w:lang w:val="ru-RU"/>
        </w:rPr>
      </w:pPr>
      <w:r w:rsidRPr="00EE1867">
        <w:rPr>
          <w:szCs w:val="28"/>
          <w:lang w:val="ru-RU"/>
        </w:rPr>
        <w:t>Пер</w:t>
      </w:r>
      <w:r w:rsidR="00E37C5B" w:rsidRPr="00EE1867">
        <w:rPr>
          <w:szCs w:val="28"/>
          <w:lang w:val="ru-RU"/>
        </w:rPr>
        <w:t>е</w:t>
      </w:r>
      <w:r w:rsidRPr="00EE1867">
        <w:rPr>
          <w:szCs w:val="28"/>
          <w:lang w:val="ru-RU"/>
        </w:rPr>
        <w:t>чень</w:t>
      </w:r>
      <w:r w:rsidR="00E37C5B" w:rsidRPr="00EE1867">
        <w:rPr>
          <w:szCs w:val="28"/>
          <w:lang w:val="ru-RU"/>
        </w:rPr>
        <w:t xml:space="preserve"> тем и вопр</w:t>
      </w:r>
      <w:r w:rsidR="0002571B" w:rsidRPr="00EE1867">
        <w:rPr>
          <w:szCs w:val="28"/>
          <w:lang w:val="ru-RU"/>
        </w:rPr>
        <w:t>о</w:t>
      </w:r>
      <w:r w:rsidR="00E37C5B" w:rsidRPr="00EE1867">
        <w:rPr>
          <w:szCs w:val="28"/>
          <w:lang w:val="ru-RU"/>
        </w:rPr>
        <w:t>сов</w:t>
      </w:r>
      <w:r w:rsidR="0002571B" w:rsidRPr="00EE1867">
        <w:rPr>
          <w:szCs w:val="28"/>
          <w:lang w:val="ru-RU"/>
        </w:rPr>
        <w:t xml:space="preserve"> в связи с пятым периодическим докладом Литвы</w:t>
      </w:r>
      <w:r w:rsidRPr="00EE1867">
        <w:rPr>
          <w:szCs w:val="28"/>
          <w:lang w:val="ru-RU"/>
        </w:rPr>
        <w:t xml:space="preserve"> </w:t>
      </w:r>
    </w:p>
    <w:p w:rsidR="00866E29" w:rsidRPr="00955435" w:rsidRDefault="0002571B" w:rsidP="00EE1867">
      <w:pPr>
        <w:pStyle w:val="H23G"/>
        <w:spacing w:line="240" w:lineRule="auto"/>
        <w:ind w:left="1264" w:right="1259" w:firstLine="0"/>
      </w:pPr>
      <w:r w:rsidRPr="00955435">
        <w:t>Добавление</w:t>
      </w:r>
      <w:r w:rsidR="00B54414" w:rsidRPr="00955435">
        <w:t xml:space="preserve"> </w:t>
      </w:r>
    </w:p>
    <w:p w:rsidR="00866E29" w:rsidRPr="00EE1867" w:rsidRDefault="0002571B" w:rsidP="00EE1867">
      <w:pPr>
        <w:pStyle w:val="H1G"/>
        <w:spacing w:line="240" w:lineRule="auto"/>
        <w:ind w:left="1264" w:right="1259" w:firstLine="0"/>
        <w:rPr>
          <w:sz w:val="28"/>
          <w:szCs w:val="28"/>
          <w:lang w:val="ru-RU"/>
        </w:rPr>
      </w:pPr>
      <w:r w:rsidRPr="00EE1867">
        <w:rPr>
          <w:sz w:val="28"/>
          <w:szCs w:val="28"/>
          <w:lang w:val="ru-RU"/>
        </w:rPr>
        <w:t>Ответы Литвы</w:t>
      </w:r>
      <w:r w:rsidR="00B54414" w:rsidRPr="00EE1867">
        <w:rPr>
          <w:rStyle w:val="FootnoteReference"/>
          <w:b w:val="0"/>
          <w:sz w:val="28"/>
          <w:szCs w:val="28"/>
          <w:lang w:val="ru-RU"/>
        </w:rPr>
        <w:footnoteReference w:customMarkFollows="1" w:id="2"/>
        <w:t>*</w:t>
      </w:r>
      <w:r w:rsidR="00B54414" w:rsidRPr="00EE1867">
        <w:rPr>
          <w:b w:val="0"/>
          <w:sz w:val="28"/>
          <w:szCs w:val="28"/>
          <w:lang w:val="ru-RU"/>
        </w:rPr>
        <w:t xml:space="preserve"> </w:t>
      </w:r>
      <w:r w:rsidR="00842BED" w:rsidRPr="00EE1867">
        <w:rPr>
          <w:rStyle w:val="FootnoteReference"/>
          <w:b w:val="0"/>
          <w:sz w:val="28"/>
          <w:szCs w:val="28"/>
          <w:lang w:val="ru-RU"/>
        </w:rPr>
        <w:footnoteReference w:customMarkFollows="1" w:id="3"/>
        <w:t>**</w:t>
      </w:r>
    </w:p>
    <w:p w:rsidR="00866E29" w:rsidRPr="0002571B" w:rsidRDefault="00866E29" w:rsidP="00866E29">
      <w:pPr>
        <w:jc w:val="right"/>
        <w:rPr>
          <w:sz w:val="24"/>
          <w:szCs w:val="24"/>
          <w:lang w:val="ru-RU"/>
        </w:rPr>
      </w:pPr>
    </w:p>
    <w:p w:rsidR="007E0486" w:rsidRPr="00EE1867" w:rsidRDefault="00842BED" w:rsidP="00866E29">
      <w:pPr>
        <w:jc w:val="right"/>
        <w:rPr>
          <w:lang w:val="ru-RU"/>
        </w:rPr>
      </w:pPr>
      <w:r w:rsidRPr="00EE1867">
        <w:rPr>
          <w:lang w:val="ru-RU"/>
        </w:rPr>
        <w:t>16 января 2014</w:t>
      </w:r>
      <w:r w:rsidR="008055A1" w:rsidRPr="00EE1867">
        <w:rPr>
          <w:lang w:val="ru-RU"/>
        </w:rPr>
        <w:t> год</w:t>
      </w:r>
      <w:r w:rsidRPr="00EE1867">
        <w:rPr>
          <w:lang w:val="ru-RU"/>
        </w:rPr>
        <w:t>а</w:t>
      </w:r>
    </w:p>
    <w:p w:rsidR="00866E29" w:rsidRPr="00522676" w:rsidRDefault="00F1254A" w:rsidP="00732013">
      <w:pPr>
        <w:pStyle w:val="H1"/>
        <w:spacing w:before="0" w:line="240" w:lineRule="exact"/>
        <w:ind w:left="1323" w:right="1267"/>
      </w:pPr>
      <w:r>
        <w:rPr>
          <w:b w:val="0"/>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3.5pt;margin-top:671.8pt;width:57.9pt;height:57.9pt;z-index:1;mso-position-horizontal-relative:page;mso-position-vertical-relative:page" o:preferrelative="f">
            <v:imagedata r:id="rId8" o:title="Add"/>
            <w10:wrap anchorx="page" anchory="page"/>
          </v:shape>
        </w:pict>
      </w:r>
      <w:r w:rsidR="00866E29" w:rsidRPr="00EE1867">
        <w:br w:type="page"/>
      </w:r>
      <w:r w:rsidR="006250EA">
        <w:t>Введение</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1.</w:t>
      </w:r>
      <w:r w:rsidRPr="00732013">
        <w:rPr>
          <w:spacing w:val="5"/>
          <w:w w:val="104"/>
          <w:lang w:val="ru-RU"/>
        </w:rPr>
        <w:tab/>
      </w:r>
      <w:r w:rsidR="00522676" w:rsidRPr="00732013">
        <w:rPr>
          <w:spacing w:val="5"/>
          <w:w w:val="104"/>
          <w:lang w:val="ru-RU"/>
        </w:rPr>
        <w:t>В н</w:t>
      </w:r>
      <w:r w:rsidR="00312A5E" w:rsidRPr="00732013">
        <w:rPr>
          <w:spacing w:val="5"/>
          <w:w w:val="104"/>
          <w:lang w:val="ru-RU"/>
        </w:rPr>
        <w:t>астоящ</w:t>
      </w:r>
      <w:r w:rsidR="00522676" w:rsidRPr="00732013">
        <w:rPr>
          <w:spacing w:val="5"/>
          <w:w w:val="104"/>
          <w:lang w:val="ru-RU"/>
        </w:rPr>
        <w:t>ем</w:t>
      </w:r>
      <w:r w:rsidR="00312A5E" w:rsidRPr="00732013">
        <w:rPr>
          <w:spacing w:val="5"/>
          <w:w w:val="104"/>
          <w:lang w:val="ru-RU"/>
        </w:rPr>
        <w:t xml:space="preserve"> документ</w:t>
      </w:r>
      <w:r w:rsidR="00522676" w:rsidRPr="00732013">
        <w:rPr>
          <w:spacing w:val="5"/>
          <w:w w:val="104"/>
          <w:lang w:val="ru-RU"/>
        </w:rPr>
        <w:t xml:space="preserve">е представлены </w:t>
      </w:r>
      <w:r w:rsidR="00312A5E" w:rsidRPr="00732013">
        <w:rPr>
          <w:spacing w:val="5"/>
          <w:w w:val="104"/>
          <w:lang w:val="ru-RU"/>
        </w:rPr>
        <w:t xml:space="preserve">ответы правительства Литовской Республики на перечень тем и вопросов Комитета Организации Объединенных Наций по ликвидации </w:t>
      </w:r>
      <w:r w:rsidR="00973942" w:rsidRPr="00732013">
        <w:rPr>
          <w:spacing w:val="5"/>
          <w:w w:val="104"/>
          <w:lang w:val="ru-RU"/>
        </w:rPr>
        <w:t>дискриминации в отношении женщин</w:t>
      </w:r>
      <w:r w:rsidR="00522676" w:rsidRPr="00732013">
        <w:rPr>
          <w:spacing w:val="5"/>
          <w:w w:val="104"/>
          <w:lang w:val="ru-RU"/>
        </w:rPr>
        <w:t xml:space="preserve">, </w:t>
      </w:r>
      <w:r w:rsidR="00522676" w:rsidRPr="00481188">
        <w:rPr>
          <w:spacing w:val="5"/>
          <w:w w:val="104"/>
          <w:lang w:val="ru-RU"/>
        </w:rPr>
        <w:t>датируемый</w:t>
      </w:r>
      <w:r w:rsidR="00522676" w:rsidRPr="00732013">
        <w:rPr>
          <w:spacing w:val="5"/>
          <w:w w:val="104"/>
          <w:lang w:val="ru-RU"/>
        </w:rPr>
        <w:t xml:space="preserve"> </w:t>
      </w:r>
      <w:r w:rsidRPr="00732013">
        <w:rPr>
          <w:spacing w:val="5"/>
          <w:w w:val="104"/>
          <w:lang w:val="ru-RU"/>
        </w:rPr>
        <w:t>25</w:t>
      </w:r>
      <w:r w:rsidR="00522676" w:rsidRPr="00732013">
        <w:rPr>
          <w:spacing w:val="5"/>
          <w:w w:val="104"/>
          <w:lang w:val="ru-RU"/>
        </w:rPr>
        <w:t> </w:t>
      </w:r>
      <w:r w:rsidR="00973942" w:rsidRPr="00732013">
        <w:rPr>
          <w:spacing w:val="5"/>
          <w:w w:val="104"/>
          <w:lang w:val="ru-RU"/>
        </w:rPr>
        <w:t>октября</w:t>
      </w:r>
      <w:r w:rsidRPr="00732013">
        <w:rPr>
          <w:spacing w:val="5"/>
          <w:w w:val="104"/>
          <w:lang w:val="ru-RU"/>
        </w:rPr>
        <w:t xml:space="preserve"> 2013</w:t>
      </w:r>
      <w:r w:rsidR="008055A1" w:rsidRPr="00732013">
        <w:rPr>
          <w:spacing w:val="5"/>
          <w:w w:val="104"/>
          <w:lang w:val="ru-RU"/>
        </w:rPr>
        <w:t> год</w:t>
      </w:r>
      <w:r w:rsidR="00973942" w:rsidRPr="00732013">
        <w:rPr>
          <w:spacing w:val="5"/>
          <w:w w:val="104"/>
          <w:lang w:val="ru-RU"/>
        </w:rPr>
        <w:t>а</w:t>
      </w:r>
      <w:r w:rsidRPr="00732013">
        <w:rPr>
          <w:spacing w:val="5"/>
          <w:w w:val="104"/>
          <w:lang w:val="ru-RU"/>
        </w:rPr>
        <w:t xml:space="preserve"> (</w:t>
      </w:r>
      <w:r w:rsidR="00973942" w:rsidRPr="00732013">
        <w:rPr>
          <w:spacing w:val="5"/>
          <w:w w:val="104"/>
          <w:lang w:val="ru-RU"/>
        </w:rPr>
        <w:t>документ</w:t>
      </w:r>
      <w:r w:rsidRPr="00732013">
        <w:rPr>
          <w:spacing w:val="5"/>
          <w:w w:val="104"/>
          <w:lang w:val="ru-RU"/>
        </w:rPr>
        <w:t xml:space="preserve"> </w:t>
      </w:r>
      <w:hyperlink r:id="rId9" w:history="1">
        <w:r w:rsidRPr="00301B75">
          <w:rPr>
            <w:rStyle w:val="Hyperlink"/>
            <w:spacing w:val="5"/>
            <w:w w:val="104"/>
          </w:rPr>
          <w:t>CEDAW</w:t>
        </w:r>
        <w:r w:rsidRPr="00301B75">
          <w:rPr>
            <w:rStyle w:val="Hyperlink"/>
            <w:spacing w:val="5"/>
            <w:w w:val="104"/>
            <w:lang w:val="ru-RU"/>
          </w:rPr>
          <w:t>/</w:t>
        </w:r>
        <w:r w:rsidRPr="00301B75">
          <w:rPr>
            <w:rStyle w:val="Hyperlink"/>
            <w:spacing w:val="5"/>
            <w:w w:val="104"/>
          </w:rPr>
          <w:t>C</w:t>
        </w:r>
        <w:r w:rsidRPr="00301B75">
          <w:rPr>
            <w:rStyle w:val="Hyperlink"/>
            <w:spacing w:val="5"/>
            <w:w w:val="104"/>
            <w:lang w:val="ru-RU"/>
          </w:rPr>
          <w:t>/</w:t>
        </w:r>
        <w:r w:rsidRPr="00301B75">
          <w:rPr>
            <w:rStyle w:val="Hyperlink"/>
            <w:spacing w:val="5"/>
            <w:w w:val="104"/>
          </w:rPr>
          <w:t>LTU</w:t>
        </w:r>
        <w:r w:rsidRPr="00301B75">
          <w:rPr>
            <w:rStyle w:val="Hyperlink"/>
            <w:spacing w:val="5"/>
            <w:w w:val="104"/>
            <w:lang w:val="ru-RU"/>
          </w:rPr>
          <w:t>/5</w:t>
        </w:r>
      </w:hyperlink>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2.</w:t>
      </w:r>
      <w:r w:rsidRPr="00732013">
        <w:rPr>
          <w:spacing w:val="5"/>
          <w:w w:val="104"/>
          <w:lang w:val="ru-RU"/>
        </w:rPr>
        <w:tab/>
      </w:r>
      <w:r w:rsidR="00973942" w:rsidRPr="00732013">
        <w:rPr>
          <w:spacing w:val="5"/>
          <w:w w:val="104"/>
          <w:lang w:val="ru-RU"/>
        </w:rPr>
        <w:t xml:space="preserve">Ответы были подготовлены на основании информации, </w:t>
      </w:r>
      <w:r w:rsidR="00D606F8" w:rsidRPr="00732013">
        <w:rPr>
          <w:spacing w:val="5"/>
          <w:w w:val="104"/>
          <w:lang w:val="ru-RU"/>
        </w:rPr>
        <w:t xml:space="preserve">которая </w:t>
      </w:r>
      <w:r w:rsidR="009A3671" w:rsidRPr="00732013">
        <w:rPr>
          <w:spacing w:val="5"/>
          <w:w w:val="104"/>
          <w:lang w:val="ru-RU"/>
        </w:rPr>
        <w:t xml:space="preserve">по </w:t>
      </w:r>
      <w:r w:rsidR="00D606F8" w:rsidRPr="00732013">
        <w:rPr>
          <w:spacing w:val="5"/>
          <w:w w:val="104"/>
          <w:lang w:val="ru-RU"/>
        </w:rPr>
        <w:t>больш</w:t>
      </w:r>
      <w:r w:rsidR="009A3671" w:rsidRPr="00732013">
        <w:rPr>
          <w:spacing w:val="5"/>
          <w:w w:val="104"/>
          <w:lang w:val="ru-RU"/>
        </w:rPr>
        <w:t xml:space="preserve">ей части </w:t>
      </w:r>
      <w:r w:rsidR="00973942" w:rsidRPr="00732013">
        <w:rPr>
          <w:spacing w:val="5"/>
          <w:w w:val="104"/>
          <w:lang w:val="ru-RU"/>
        </w:rPr>
        <w:t>представлен</w:t>
      </w:r>
      <w:r w:rsidR="00D606F8" w:rsidRPr="00732013">
        <w:rPr>
          <w:spacing w:val="5"/>
          <w:w w:val="104"/>
          <w:lang w:val="ru-RU"/>
        </w:rPr>
        <w:t>а</w:t>
      </w:r>
      <w:r w:rsidR="00973942" w:rsidRPr="00732013">
        <w:rPr>
          <w:spacing w:val="5"/>
          <w:w w:val="104"/>
          <w:lang w:val="ru-RU"/>
        </w:rPr>
        <w:t xml:space="preserve"> </w:t>
      </w:r>
      <w:r w:rsidR="00D606F8" w:rsidRPr="00732013">
        <w:rPr>
          <w:spacing w:val="5"/>
          <w:w w:val="104"/>
          <w:lang w:val="ru-RU"/>
        </w:rPr>
        <w:t xml:space="preserve">действующими в рамках соответствующих полномочий </w:t>
      </w:r>
      <w:r w:rsidR="00973942" w:rsidRPr="00732013">
        <w:rPr>
          <w:spacing w:val="5"/>
          <w:w w:val="104"/>
          <w:lang w:val="ru-RU"/>
        </w:rPr>
        <w:t xml:space="preserve">министерствами, </w:t>
      </w:r>
      <w:r w:rsidR="009A3671" w:rsidRPr="00732013">
        <w:rPr>
          <w:spacing w:val="5"/>
          <w:w w:val="104"/>
          <w:lang w:val="ru-RU"/>
        </w:rPr>
        <w:t>друг</w:t>
      </w:r>
      <w:r w:rsidR="00973942" w:rsidRPr="00732013">
        <w:rPr>
          <w:spacing w:val="5"/>
          <w:w w:val="104"/>
          <w:lang w:val="ru-RU"/>
        </w:rPr>
        <w:t xml:space="preserve">ими </w:t>
      </w:r>
      <w:r w:rsidR="009A3671" w:rsidRPr="00732013">
        <w:rPr>
          <w:spacing w:val="5"/>
          <w:w w:val="104"/>
          <w:lang w:val="ru-RU"/>
        </w:rPr>
        <w:t xml:space="preserve">государственными </w:t>
      </w:r>
      <w:r w:rsidR="00973942" w:rsidRPr="00732013">
        <w:rPr>
          <w:spacing w:val="5"/>
          <w:w w:val="104"/>
          <w:lang w:val="ru-RU"/>
        </w:rPr>
        <w:t xml:space="preserve">учреждениями и </w:t>
      </w:r>
      <w:r w:rsidR="00A54C86" w:rsidRPr="00732013">
        <w:rPr>
          <w:spacing w:val="5"/>
          <w:w w:val="104"/>
          <w:lang w:val="ru-RU"/>
        </w:rPr>
        <w:t>университетами</w:t>
      </w:r>
      <w:r w:rsidR="00D606F8" w:rsidRPr="00732013">
        <w:rPr>
          <w:spacing w:val="5"/>
          <w:w w:val="104"/>
          <w:lang w:val="ru-RU"/>
        </w:rPr>
        <w:t>.</w:t>
      </w:r>
      <w:r w:rsidR="002B68CD" w:rsidRPr="00732013">
        <w:rPr>
          <w:spacing w:val="5"/>
          <w:w w:val="104"/>
          <w:lang w:val="ru-RU"/>
        </w:rPr>
        <w:t xml:space="preserve"> Проекты ответов были рассмотрены на заседании Комиссии по </w:t>
      </w:r>
      <w:r w:rsidR="008E5FD3" w:rsidRPr="00732013">
        <w:rPr>
          <w:spacing w:val="5"/>
          <w:w w:val="104"/>
          <w:lang w:val="ru-RU"/>
        </w:rPr>
        <w:t>вопросам равных возможностей</w:t>
      </w:r>
      <w:r w:rsidR="002B68CD" w:rsidRPr="00732013">
        <w:rPr>
          <w:spacing w:val="5"/>
          <w:w w:val="104"/>
          <w:lang w:val="ru-RU"/>
        </w:rPr>
        <w:t xml:space="preserve"> женщин и мужчин</w:t>
      </w:r>
      <w:r w:rsidR="00AA3CC6" w:rsidRPr="00732013">
        <w:rPr>
          <w:spacing w:val="5"/>
          <w:w w:val="104"/>
          <w:lang w:val="ru-RU"/>
        </w:rPr>
        <w:t xml:space="preserve">, </w:t>
      </w:r>
      <w:r w:rsidR="009A3671" w:rsidRPr="00732013">
        <w:rPr>
          <w:spacing w:val="5"/>
          <w:w w:val="104"/>
          <w:lang w:val="ru-RU"/>
        </w:rPr>
        <w:t xml:space="preserve">которое </w:t>
      </w:r>
      <w:r w:rsidR="00AA3CC6" w:rsidRPr="00732013">
        <w:rPr>
          <w:spacing w:val="5"/>
          <w:w w:val="104"/>
          <w:lang w:val="ru-RU"/>
        </w:rPr>
        <w:t>состоя</w:t>
      </w:r>
      <w:r w:rsidR="009A3671" w:rsidRPr="00732013">
        <w:rPr>
          <w:spacing w:val="5"/>
          <w:w w:val="104"/>
          <w:lang w:val="ru-RU"/>
        </w:rPr>
        <w:t xml:space="preserve">лось </w:t>
      </w:r>
      <w:r w:rsidR="00AA3CC6" w:rsidRPr="00732013">
        <w:rPr>
          <w:spacing w:val="5"/>
          <w:w w:val="104"/>
          <w:lang w:val="ru-RU"/>
        </w:rPr>
        <w:t>13</w:t>
      </w:r>
      <w:r w:rsidR="009A3671" w:rsidRPr="00732013">
        <w:rPr>
          <w:spacing w:val="5"/>
          <w:w w:val="104"/>
          <w:lang w:val="ru-RU"/>
        </w:rPr>
        <w:t> </w:t>
      </w:r>
      <w:r w:rsidR="00AA3CC6" w:rsidRPr="00732013">
        <w:rPr>
          <w:spacing w:val="5"/>
          <w:w w:val="104"/>
          <w:lang w:val="ru-RU"/>
        </w:rPr>
        <w:t>декабря 2013</w:t>
      </w:r>
      <w:r w:rsidR="008055A1" w:rsidRPr="00732013">
        <w:rPr>
          <w:spacing w:val="5"/>
          <w:w w:val="104"/>
          <w:lang w:val="ru-RU"/>
        </w:rPr>
        <w:t> год</w:t>
      </w:r>
      <w:r w:rsidR="00AA3CC6" w:rsidRPr="00732013">
        <w:rPr>
          <w:spacing w:val="5"/>
          <w:w w:val="104"/>
          <w:lang w:val="ru-RU"/>
        </w:rPr>
        <w:t xml:space="preserve">а </w:t>
      </w:r>
      <w:r w:rsidR="009A3671" w:rsidRPr="00732013">
        <w:rPr>
          <w:spacing w:val="5"/>
          <w:w w:val="104"/>
          <w:lang w:val="ru-RU"/>
        </w:rPr>
        <w:t>и в котором</w:t>
      </w:r>
      <w:r w:rsidR="00AA3CC6" w:rsidRPr="00732013">
        <w:rPr>
          <w:spacing w:val="5"/>
          <w:w w:val="104"/>
          <w:lang w:val="ru-RU"/>
        </w:rPr>
        <w:t xml:space="preserve"> </w:t>
      </w:r>
      <w:r w:rsidR="002C24B0" w:rsidRPr="00732013">
        <w:rPr>
          <w:spacing w:val="5"/>
          <w:w w:val="104"/>
          <w:lang w:val="ru-RU"/>
        </w:rPr>
        <w:t>при</w:t>
      </w:r>
      <w:r w:rsidR="00037B6C" w:rsidRPr="00732013">
        <w:rPr>
          <w:spacing w:val="5"/>
          <w:w w:val="104"/>
          <w:lang w:val="ru-RU"/>
        </w:rPr>
        <w:t>нимали участие</w:t>
      </w:r>
      <w:r w:rsidR="002C24B0" w:rsidRPr="00732013">
        <w:rPr>
          <w:spacing w:val="5"/>
          <w:w w:val="104"/>
          <w:lang w:val="ru-RU"/>
        </w:rPr>
        <w:t xml:space="preserve"> представител</w:t>
      </w:r>
      <w:r w:rsidR="00037B6C" w:rsidRPr="00732013">
        <w:rPr>
          <w:spacing w:val="5"/>
          <w:w w:val="104"/>
          <w:lang w:val="ru-RU"/>
        </w:rPr>
        <w:t>и</w:t>
      </w:r>
      <w:r w:rsidR="002C24B0" w:rsidRPr="00732013">
        <w:rPr>
          <w:spacing w:val="5"/>
          <w:w w:val="104"/>
          <w:lang w:val="ru-RU"/>
        </w:rPr>
        <w:t xml:space="preserve"> неправительственных организаций, социальных партнеров и университетских центров</w:t>
      </w:r>
      <w:r w:rsidR="00AA3CC6" w:rsidRPr="00732013">
        <w:rPr>
          <w:spacing w:val="5"/>
          <w:w w:val="104"/>
          <w:lang w:val="ru-RU"/>
        </w:rPr>
        <w:t>, занимающи</w:t>
      </w:r>
      <w:r w:rsidR="00037B6C" w:rsidRPr="00732013">
        <w:rPr>
          <w:spacing w:val="5"/>
          <w:w w:val="104"/>
          <w:lang w:val="ru-RU"/>
        </w:rPr>
        <w:t>хся гендерной проблематикой</w:t>
      </w:r>
      <w:r w:rsidR="00AC45FD" w:rsidRPr="00732013">
        <w:rPr>
          <w:spacing w:val="5"/>
          <w:w w:val="104"/>
          <w:lang w:val="ru-RU"/>
        </w:rPr>
        <w:t>. Проекты ответов были надлежащим образом согласованы с организациями, пред</w:t>
      </w:r>
      <w:r w:rsidR="009A3671" w:rsidRPr="00732013">
        <w:rPr>
          <w:spacing w:val="5"/>
          <w:w w:val="104"/>
          <w:lang w:val="ru-RU"/>
        </w:rPr>
        <w:t>о</w:t>
      </w:r>
      <w:r w:rsidR="00AC45FD" w:rsidRPr="00732013">
        <w:rPr>
          <w:spacing w:val="5"/>
          <w:w w:val="104"/>
          <w:lang w:val="ru-RU"/>
        </w:rPr>
        <w:t>став</w:t>
      </w:r>
      <w:r w:rsidR="00037B6C" w:rsidRPr="00732013">
        <w:rPr>
          <w:spacing w:val="5"/>
          <w:w w:val="104"/>
          <w:lang w:val="ru-RU"/>
        </w:rPr>
        <w:t>ляв</w:t>
      </w:r>
      <w:r w:rsidR="00B84D9E" w:rsidRPr="00732013">
        <w:rPr>
          <w:spacing w:val="5"/>
          <w:w w:val="104"/>
          <w:lang w:val="ru-RU"/>
        </w:rPr>
        <w:t>ш</w:t>
      </w:r>
      <w:r w:rsidR="00AA3CC6" w:rsidRPr="00732013">
        <w:rPr>
          <w:spacing w:val="5"/>
          <w:w w:val="104"/>
          <w:lang w:val="ru-RU"/>
        </w:rPr>
        <w:t xml:space="preserve">ими </w:t>
      </w:r>
      <w:r w:rsidR="00AC45FD" w:rsidRPr="00732013">
        <w:rPr>
          <w:spacing w:val="5"/>
          <w:w w:val="104"/>
          <w:lang w:val="ru-RU"/>
        </w:rPr>
        <w:t>информацию</w:t>
      </w:r>
      <w:r w:rsidRPr="00732013">
        <w:rPr>
          <w:spacing w:val="5"/>
          <w:w w:val="104"/>
          <w:lang w:val="ru-RU"/>
        </w:rPr>
        <w:t xml:space="preserve">. </w:t>
      </w:r>
    </w:p>
    <w:p w:rsidR="00866E29" w:rsidRPr="00732013" w:rsidRDefault="00037B6C" w:rsidP="00732013">
      <w:pPr>
        <w:pStyle w:val="H1"/>
        <w:spacing w:before="0" w:line="240" w:lineRule="exact"/>
        <w:ind w:right="1267"/>
        <w:rPr>
          <w:spacing w:val="5"/>
          <w:w w:val="104"/>
        </w:rPr>
      </w:pPr>
      <w:r w:rsidRPr="00732013">
        <w:rPr>
          <w:spacing w:val="5"/>
          <w:w w:val="104"/>
        </w:rPr>
        <w:t xml:space="preserve">Доступ к правосудию и правовые механизмы подачи жалоб </w:t>
      </w:r>
    </w:p>
    <w:p w:rsidR="00866E29" w:rsidRPr="00732013" w:rsidRDefault="00037B6C" w:rsidP="00732013">
      <w:pPr>
        <w:pStyle w:val="H23G"/>
        <w:spacing w:before="0"/>
        <w:ind w:right="1267"/>
        <w:rPr>
          <w:spacing w:val="5"/>
          <w:w w:val="104"/>
        </w:rPr>
      </w:pPr>
      <w:r w:rsidRPr="00732013">
        <w:rPr>
          <w:spacing w:val="5"/>
          <w:w w:val="104"/>
        </w:rPr>
        <w:t xml:space="preserve">Ответы </w:t>
      </w:r>
      <w:r w:rsidR="005C5775" w:rsidRPr="00732013">
        <w:rPr>
          <w:spacing w:val="5"/>
          <w:w w:val="104"/>
        </w:rPr>
        <w:t>по</w:t>
      </w:r>
      <w:r w:rsidRPr="00732013">
        <w:rPr>
          <w:spacing w:val="5"/>
          <w:w w:val="104"/>
        </w:rPr>
        <w:t xml:space="preserve"> пункт</w:t>
      </w:r>
      <w:r w:rsidR="005C5775" w:rsidRPr="00732013">
        <w:rPr>
          <w:spacing w:val="5"/>
          <w:w w:val="104"/>
        </w:rPr>
        <w:t>у</w:t>
      </w:r>
      <w:r w:rsidR="00866E29" w:rsidRPr="00732013">
        <w:rPr>
          <w:spacing w:val="5"/>
          <w:w w:val="104"/>
        </w:rPr>
        <w:t xml:space="preserve"> 1</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3.</w:t>
      </w:r>
      <w:r w:rsidRPr="00732013">
        <w:rPr>
          <w:spacing w:val="5"/>
          <w:w w:val="104"/>
          <w:lang w:val="ru-RU"/>
        </w:rPr>
        <w:tab/>
      </w:r>
      <w:r w:rsidR="009A3671" w:rsidRPr="00732013">
        <w:rPr>
          <w:spacing w:val="5"/>
          <w:w w:val="104"/>
          <w:lang w:val="ru-RU"/>
        </w:rPr>
        <w:t xml:space="preserve">Литовская </w:t>
      </w:r>
      <w:r w:rsidR="00CA3DDF" w:rsidRPr="00732013">
        <w:rPr>
          <w:spacing w:val="5"/>
          <w:w w:val="104"/>
          <w:lang w:val="ru-RU"/>
        </w:rPr>
        <w:t xml:space="preserve">система </w:t>
      </w:r>
      <w:r w:rsidR="00C977CF" w:rsidRPr="00732013">
        <w:rPr>
          <w:spacing w:val="5"/>
          <w:w w:val="104"/>
          <w:lang w:val="ru-RU"/>
        </w:rPr>
        <w:t xml:space="preserve">судебной </w:t>
      </w:r>
      <w:r w:rsidR="00CA3DDF" w:rsidRPr="00732013">
        <w:rPr>
          <w:spacing w:val="5"/>
          <w:w w:val="104"/>
          <w:lang w:val="ru-RU"/>
        </w:rPr>
        <w:t>информации</w:t>
      </w:r>
      <w:r w:rsidR="00C977CF" w:rsidRPr="00732013">
        <w:rPr>
          <w:spacing w:val="5"/>
          <w:w w:val="104"/>
          <w:lang w:val="ru-RU"/>
        </w:rPr>
        <w:t>/база данных о судопроизводстве</w:t>
      </w:r>
      <w:r w:rsidRPr="00732013">
        <w:rPr>
          <w:spacing w:val="5"/>
          <w:w w:val="104"/>
          <w:lang w:val="ru-RU"/>
        </w:rPr>
        <w:t xml:space="preserve"> (</w:t>
      </w:r>
      <w:r w:rsidR="00CA3DDF" w:rsidRPr="00732013">
        <w:rPr>
          <w:spacing w:val="5"/>
          <w:w w:val="104"/>
          <w:lang w:val="ru-RU"/>
        </w:rPr>
        <w:t xml:space="preserve">далее </w:t>
      </w:r>
      <w:r w:rsidR="00A72819" w:rsidRPr="00732013">
        <w:rPr>
          <w:spacing w:val="5"/>
          <w:w w:val="104"/>
          <w:lang w:val="ru-RU"/>
        </w:rPr>
        <w:t>ЛИТЕКО</w:t>
      </w:r>
      <w:r w:rsidRPr="00732013">
        <w:rPr>
          <w:spacing w:val="5"/>
          <w:w w:val="104"/>
          <w:lang w:val="ru-RU"/>
        </w:rPr>
        <w:t>)</w:t>
      </w:r>
      <w:r w:rsidR="009A3671" w:rsidRPr="00732013">
        <w:rPr>
          <w:rStyle w:val="FootnoteReference"/>
          <w:spacing w:val="5"/>
          <w:w w:val="104"/>
          <w:sz w:val="20"/>
          <w:lang w:val="ru-RU"/>
        </w:rPr>
        <w:footnoteReference w:id="4"/>
      </w:r>
      <w:r w:rsidR="00E20E40" w:rsidRPr="00732013">
        <w:rPr>
          <w:spacing w:val="5"/>
          <w:w w:val="104"/>
          <w:lang w:val="ru-RU"/>
        </w:rPr>
        <w:t xml:space="preserve"> </w:t>
      </w:r>
      <w:r w:rsidR="009A3671" w:rsidRPr="00732013">
        <w:rPr>
          <w:spacing w:val="5"/>
          <w:w w:val="104"/>
          <w:lang w:val="ru-RU"/>
        </w:rPr>
        <w:t xml:space="preserve">предназначена </w:t>
      </w:r>
      <w:r w:rsidR="00E20E40" w:rsidRPr="00732013">
        <w:rPr>
          <w:spacing w:val="5"/>
          <w:w w:val="104"/>
          <w:lang w:val="ru-RU"/>
        </w:rPr>
        <w:t>для хранения в электронном виде информации о каждом рассматриваемом в Литве</w:t>
      </w:r>
      <w:r w:rsidR="009A3671" w:rsidRPr="00732013">
        <w:rPr>
          <w:spacing w:val="5"/>
          <w:w w:val="104"/>
          <w:lang w:val="ru-RU"/>
        </w:rPr>
        <w:t xml:space="preserve"> деле</w:t>
      </w:r>
      <w:r w:rsidR="00E20E40" w:rsidRPr="00732013">
        <w:rPr>
          <w:spacing w:val="5"/>
          <w:w w:val="104"/>
          <w:lang w:val="ru-RU"/>
        </w:rPr>
        <w:t xml:space="preserve">. </w:t>
      </w:r>
      <w:r w:rsidR="00A72819" w:rsidRPr="00732013">
        <w:rPr>
          <w:spacing w:val="5"/>
          <w:w w:val="104"/>
          <w:lang w:val="ru-RU"/>
        </w:rPr>
        <w:t>База данных ЛИТЕКО пр</w:t>
      </w:r>
      <w:r w:rsidR="009A3671" w:rsidRPr="00732013">
        <w:rPr>
          <w:spacing w:val="5"/>
          <w:w w:val="104"/>
          <w:lang w:val="ru-RU"/>
        </w:rPr>
        <w:t>извана</w:t>
      </w:r>
      <w:r w:rsidR="00A72819" w:rsidRPr="00732013">
        <w:rPr>
          <w:spacing w:val="5"/>
          <w:w w:val="104"/>
          <w:lang w:val="ru-RU"/>
        </w:rPr>
        <w:t xml:space="preserve">, среди прочего, </w:t>
      </w:r>
      <w:r w:rsidR="009A3671" w:rsidRPr="00732013">
        <w:rPr>
          <w:spacing w:val="5"/>
          <w:w w:val="104"/>
          <w:lang w:val="ru-RU"/>
        </w:rPr>
        <w:t xml:space="preserve">содействовать укреплению </w:t>
      </w:r>
      <w:r w:rsidR="00A72819" w:rsidRPr="00732013">
        <w:rPr>
          <w:spacing w:val="5"/>
          <w:w w:val="104"/>
          <w:lang w:val="ru-RU"/>
        </w:rPr>
        <w:t>публичн</w:t>
      </w:r>
      <w:r w:rsidR="009A3671" w:rsidRPr="00732013">
        <w:rPr>
          <w:spacing w:val="5"/>
          <w:w w:val="104"/>
          <w:lang w:val="ru-RU"/>
        </w:rPr>
        <w:t>ого</w:t>
      </w:r>
      <w:r w:rsidR="00A72819" w:rsidRPr="00732013">
        <w:rPr>
          <w:spacing w:val="5"/>
          <w:w w:val="104"/>
          <w:lang w:val="ru-RU"/>
        </w:rPr>
        <w:t xml:space="preserve"> характер</w:t>
      </w:r>
      <w:r w:rsidR="009A3671" w:rsidRPr="00732013">
        <w:rPr>
          <w:spacing w:val="5"/>
          <w:w w:val="104"/>
          <w:lang w:val="ru-RU"/>
        </w:rPr>
        <w:t>а</w:t>
      </w:r>
      <w:r w:rsidR="00A72819" w:rsidRPr="00732013">
        <w:rPr>
          <w:spacing w:val="5"/>
          <w:w w:val="104"/>
          <w:lang w:val="ru-RU"/>
        </w:rPr>
        <w:t xml:space="preserve"> </w:t>
      </w:r>
      <w:r w:rsidR="00B843E4" w:rsidRPr="00732013">
        <w:rPr>
          <w:spacing w:val="5"/>
          <w:w w:val="104"/>
          <w:lang w:val="ru-RU"/>
        </w:rPr>
        <w:t>деятельности судебной системы</w:t>
      </w:r>
      <w:r w:rsidR="00AB490E" w:rsidRPr="00732013">
        <w:rPr>
          <w:spacing w:val="5"/>
          <w:w w:val="104"/>
          <w:lang w:val="ru-RU"/>
        </w:rPr>
        <w:t xml:space="preserve"> и </w:t>
      </w:r>
      <w:r w:rsidR="009A3671" w:rsidRPr="00732013">
        <w:rPr>
          <w:spacing w:val="5"/>
          <w:w w:val="104"/>
          <w:lang w:val="ru-RU"/>
        </w:rPr>
        <w:t xml:space="preserve">облегчить </w:t>
      </w:r>
      <w:r w:rsidR="00AB490E" w:rsidRPr="00732013">
        <w:rPr>
          <w:spacing w:val="5"/>
          <w:w w:val="104"/>
          <w:lang w:val="ru-RU"/>
        </w:rPr>
        <w:t xml:space="preserve">доступ к ней </w:t>
      </w:r>
      <w:r w:rsidR="009A3671" w:rsidRPr="00732013">
        <w:rPr>
          <w:spacing w:val="5"/>
          <w:w w:val="104"/>
          <w:lang w:val="ru-RU"/>
        </w:rPr>
        <w:t xml:space="preserve">для </w:t>
      </w:r>
      <w:r w:rsidR="00AB490E" w:rsidRPr="00732013">
        <w:rPr>
          <w:spacing w:val="5"/>
          <w:w w:val="104"/>
          <w:lang w:val="ru-RU"/>
        </w:rPr>
        <w:t xml:space="preserve">каждого гражданина и общества в целом. </w:t>
      </w:r>
      <w:r w:rsidR="009A3671" w:rsidRPr="00732013">
        <w:rPr>
          <w:spacing w:val="5"/>
          <w:w w:val="104"/>
          <w:lang w:val="ru-RU"/>
        </w:rPr>
        <w:t>П</w:t>
      </w:r>
      <w:r w:rsidR="00BE3DD2" w:rsidRPr="00732013">
        <w:rPr>
          <w:spacing w:val="5"/>
          <w:w w:val="104"/>
          <w:lang w:val="ru-RU"/>
        </w:rPr>
        <w:t xml:space="preserve">оиск дел в ЛИТЕКО </w:t>
      </w:r>
      <w:r w:rsidR="009A3671" w:rsidRPr="00732013">
        <w:rPr>
          <w:spacing w:val="5"/>
          <w:w w:val="104"/>
          <w:lang w:val="ru-RU"/>
        </w:rPr>
        <w:t xml:space="preserve">осуществляется с помощью </w:t>
      </w:r>
      <w:r w:rsidR="00BE3DD2" w:rsidRPr="00732013">
        <w:rPr>
          <w:spacing w:val="5"/>
          <w:w w:val="104"/>
          <w:lang w:val="ru-RU"/>
        </w:rPr>
        <w:t>определенн</w:t>
      </w:r>
      <w:r w:rsidR="009A3671" w:rsidRPr="00732013">
        <w:rPr>
          <w:spacing w:val="5"/>
          <w:w w:val="104"/>
          <w:lang w:val="ru-RU"/>
        </w:rPr>
        <w:t>ой</w:t>
      </w:r>
      <w:r w:rsidR="00BE3DD2" w:rsidRPr="00732013">
        <w:rPr>
          <w:spacing w:val="5"/>
          <w:w w:val="104"/>
          <w:lang w:val="ru-RU"/>
        </w:rPr>
        <w:t xml:space="preserve"> классификаци</w:t>
      </w:r>
      <w:r w:rsidR="009A3671" w:rsidRPr="00732013">
        <w:rPr>
          <w:spacing w:val="5"/>
          <w:w w:val="104"/>
          <w:lang w:val="ru-RU"/>
        </w:rPr>
        <w:t>и</w:t>
      </w:r>
      <w:r w:rsidR="00BE3DD2" w:rsidRPr="00732013">
        <w:rPr>
          <w:spacing w:val="5"/>
          <w:w w:val="104"/>
          <w:lang w:val="ru-RU"/>
        </w:rPr>
        <w:t xml:space="preserve"> дел</w:t>
      </w:r>
      <w:r w:rsidR="00BF04B9" w:rsidRPr="00732013">
        <w:rPr>
          <w:rStyle w:val="FootnoteReference"/>
          <w:spacing w:val="5"/>
          <w:w w:val="104"/>
          <w:sz w:val="20"/>
        </w:rPr>
        <w:footnoteReference w:id="5"/>
      </w:r>
      <w:r w:rsidR="009A3671" w:rsidRPr="00732013">
        <w:rPr>
          <w:spacing w:val="5"/>
          <w:w w:val="104"/>
          <w:lang w:val="ru-RU"/>
        </w:rPr>
        <w:t>.</w:t>
      </w:r>
      <w:r w:rsidR="00D163A9" w:rsidRPr="00732013">
        <w:rPr>
          <w:spacing w:val="5"/>
          <w:w w:val="104"/>
          <w:lang w:val="ru-RU"/>
        </w:rPr>
        <w:t xml:space="preserve"> </w:t>
      </w:r>
      <w:r w:rsidR="009A3671" w:rsidRPr="00732013">
        <w:rPr>
          <w:spacing w:val="5"/>
          <w:w w:val="104"/>
          <w:lang w:val="ru-RU"/>
        </w:rPr>
        <w:t xml:space="preserve">За </w:t>
      </w:r>
      <w:r w:rsidRPr="00732013">
        <w:rPr>
          <w:spacing w:val="5"/>
          <w:w w:val="104"/>
          <w:lang w:val="ru-RU"/>
        </w:rPr>
        <w:t xml:space="preserve">2012 </w:t>
      </w:r>
      <w:r w:rsidR="00D163A9" w:rsidRPr="00732013">
        <w:rPr>
          <w:spacing w:val="5"/>
          <w:w w:val="104"/>
          <w:lang w:val="ru-RU"/>
        </w:rPr>
        <w:t>и</w:t>
      </w:r>
      <w:r w:rsidRPr="00732013">
        <w:rPr>
          <w:spacing w:val="5"/>
          <w:w w:val="104"/>
          <w:lang w:val="ru-RU"/>
        </w:rPr>
        <w:t xml:space="preserve"> 2013</w:t>
      </w:r>
      <w:r w:rsidR="008055A1" w:rsidRPr="00732013">
        <w:rPr>
          <w:spacing w:val="5"/>
          <w:w w:val="104"/>
          <w:lang w:val="ru-RU"/>
        </w:rPr>
        <w:t> год</w:t>
      </w:r>
      <w:r w:rsidR="00D163A9" w:rsidRPr="00732013">
        <w:rPr>
          <w:spacing w:val="5"/>
          <w:w w:val="104"/>
          <w:lang w:val="ru-RU"/>
        </w:rPr>
        <w:t>ы в</w:t>
      </w:r>
      <w:r w:rsidRPr="00732013">
        <w:rPr>
          <w:spacing w:val="5"/>
          <w:w w:val="104"/>
          <w:lang w:val="ru-RU"/>
        </w:rPr>
        <w:t xml:space="preserve"> </w:t>
      </w:r>
      <w:r w:rsidR="00D163A9" w:rsidRPr="00732013">
        <w:rPr>
          <w:spacing w:val="5"/>
          <w:w w:val="104"/>
          <w:lang w:val="ru-RU"/>
        </w:rPr>
        <w:t>ЛИТЕКО не</w:t>
      </w:r>
      <w:r w:rsidR="006475EC" w:rsidRPr="00732013">
        <w:rPr>
          <w:spacing w:val="5"/>
          <w:w w:val="104"/>
          <w:lang w:val="ru-RU"/>
        </w:rPr>
        <w:t xml:space="preserve"> </w:t>
      </w:r>
      <w:r w:rsidR="000523E8" w:rsidRPr="00732013">
        <w:rPr>
          <w:spacing w:val="5"/>
          <w:w w:val="104"/>
          <w:lang w:val="ru-RU"/>
        </w:rPr>
        <w:t xml:space="preserve">было </w:t>
      </w:r>
      <w:r w:rsidR="006475EC" w:rsidRPr="00732013">
        <w:rPr>
          <w:spacing w:val="5"/>
          <w:w w:val="104"/>
          <w:lang w:val="ru-RU"/>
        </w:rPr>
        <w:t>найдено</w:t>
      </w:r>
      <w:r w:rsidR="00D163A9" w:rsidRPr="00732013">
        <w:rPr>
          <w:spacing w:val="5"/>
          <w:w w:val="104"/>
          <w:lang w:val="ru-RU"/>
        </w:rPr>
        <w:t xml:space="preserve"> ни одного дела, </w:t>
      </w:r>
      <w:r w:rsidR="006475EC" w:rsidRPr="00732013">
        <w:rPr>
          <w:spacing w:val="5"/>
          <w:w w:val="104"/>
          <w:lang w:val="ru-RU"/>
        </w:rPr>
        <w:t>в котором упомина</w:t>
      </w:r>
      <w:r w:rsidR="000523E8" w:rsidRPr="00732013">
        <w:rPr>
          <w:spacing w:val="5"/>
          <w:w w:val="104"/>
          <w:lang w:val="ru-RU"/>
        </w:rPr>
        <w:t>лась бы</w:t>
      </w:r>
      <w:r w:rsidR="006475EC" w:rsidRPr="00732013">
        <w:rPr>
          <w:spacing w:val="5"/>
          <w:w w:val="104"/>
          <w:lang w:val="ru-RU"/>
        </w:rPr>
        <w:t xml:space="preserve"> Конвенци</w:t>
      </w:r>
      <w:r w:rsidR="000523E8" w:rsidRPr="00732013">
        <w:rPr>
          <w:spacing w:val="5"/>
          <w:w w:val="104"/>
          <w:lang w:val="ru-RU"/>
        </w:rPr>
        <w:t xml:space="preserve">я в качестве </w:t>
      </w:r>
      <w:r w:rsidR="006475EC" w:rsidRPr="00732013">
        <w:rPr>
          <w:spacing w:val="5"/>
          <w:w w:val="104"/>
          <w:lang w:val="ru-RU"/>
        </w:rPr>
        <w:t xml:space="preserve">ключевого слова в процессуальных документах. </w:t>
      </w:r>
      <w:r w:rsidR="00AE03D4" w:rsidRPr="00732013">
        <w:rPr>
          <w:spacing w:val="5"/>
          <w:w w:val="104"/>
          <w:lang w:val="ru-RU"/>
        </w:rPr>
        <w:t xml:space="preserve">Ниже приводятся дела, </w:t>
      </w:r>
      <w:r w:rsidR="000523E8" w:rsidRPr="00732013">
        <w:rPr>
          <w:spacing w:val="5"/>
          <w:w w:val="104"/>
          <w:lang w:val="ru-RU"/>
        </w:rPr>
        <w:t xml:space="preserve">в которых </w:t>
      </w:r>
      <w:r w:rsidR="00AE03D4" w:rsidRPr="00732013">
        <w:rPr>
          <w:spacing w:val="5"/>
          <w:w w:val="104"/>
          <w:lang w:val="ru-RU"/>
        </w:rPr>
        <w:t xml:space="preserve">содержится ссылка на </w:t>
      </w:r>
      <w:r w:rsidR="008055A1" w:rsidRPr="00732013">
        <w:rPr>
          <w:spacing w:val="5"/>
          <w:w w:val="104"/>
          <w:lang w:val="ru-RU"/>
        </w:rPr>
        <w:t>"</w:t>
      </w:r>
      <w:r w:rsidR="00186588" w:rsidRPr="00732013">
        <w:rPr>
          <w:spacing w:val="5"/>
          <w:w w:val="104"/>
          <w:lang w:val="ru-RU"/>
        </w:rPr>
        <w:t>равноправие мужчин и женщин</w:t>
      </w:r>
      <w:r w:rsidR="008055A1" w:rsidRPr="00732013">
        <w:rPr>
          <w:spacing w:val="5"/>
          <w:w w:val="104"/>
          <w:lang w:val="ru-RU"/>
        </w:rPr>
        <w:t>"</w:t>
      </w:r>
      <w:r w:rsidR="00186588" w:rsidRPr="00732013">
        <w:rPr>
          <w:spacing w:val="5"/>
          <w:w w:val="104"/>
          <w:lang w:val="ru-RU"/>
        </w:rPr>
        <w:t xml:space="preserve"> в качестве ключевых слов</w:t>
      </w:r>
      <w:r w:rsidR="009138B7" w:rsidRPr="00732013">
        <w:rPr>
          <w:spacing w:val="5"/>
          <w:w w:val="104"/>
          <w:lang w:val="ru-RU"/>
        </w:rPr>
        <w:t>:</w:t>
      </w:r>
    </w:p>
    <w:p w:rsidR="00866E29" w:rsidRPr="00732013" w:rsidRDefault="00E5613A" w:rsidP="00732013">
      <w:pPr>
        <w:pStyle w:val="SingleTxtG"/>
        <w:tabs>
          <w:tab w:val="left" w:pos="1418"/>
        </w:tabs>
        <w:spacing w:line="240" w:lineRule="exact"/>
        <w:ind w:left="1741" w:right="1267" w:hanging="477"/>
        <w:rPr>
          <w:spacing w:val="5"/>
          <w:w w:val="104"/>
          <w:lang w:val="ru-RU"/>
        </w:rPr>
      </w:pPr>
      <w:r w:rsidRPr="00732013">
        <w:rPr>
          <w:spacing w:val="5"/>
          <w:w w:val="104"/>
          <w:lang w:val="ru-RU"/>
        </w:rPr>
        <w:tab/>
      </w:r>
      <w:r w:rsidR="000523E8" w:rsidRPr="00732013">
        <w:rPr>
          <w:rFonts w:ascii="Wingdings" w:hAnsi="Wingdings"/>
          <w:spacing w:val="5"/>
          <w:w w:val="104"/>
          <w:lang w:val="ru-RU"/>
        </w:rPr>
        <w:t></w:t>
      </w:r>
      <w:r w:rsidR="000523E8" w:rsidRPr="00732013">
        <w:rPr>
          <w:spacing w:val="5"/>
          <w:w w:val="104"/>
          <w:lang w:val="ru-RU"/>
        </w:rPr>
        <w:tab/>
      </w:r>
      <w:r w:rsidR="007C4FEA" w:rsidRPr="00732013">
        <w:rPr>
          <w:spacing w:val="5"/>
          <w:w w:val="104"/>
          <w:lang w:val="ru-RU"/>
        </w:rPr>
        <w:t>А</w:t>
      </w:r>
      <w:r w:rsidR="0097034D" w:rsidRPr="00732013">
        <w:rPr>
          <w:spacing w:val="5"/>
          <w:w w:val="104"/>
          <w:lang w:val="ru-RU"/>
        </w:rPr>
        <w:t>дминистративное дело,</w:t>
      </w:r>
      <w:r w:rsidR="00866E29" w:rsidRPr="00732013">
        <w:rPr>
          <w:spacing w:val="5"/>
          <w:w w:val="104"/>
          <w:lang w:val="ru-RU"/>
        </w:rPr>
        <w:t xml:space="preserve"> </w:t>
      </w:r>
      <w:r w:rsidR="00A10EBF" w:rsidRPr="00732013">
        <w:rPr>
          <w:spacing w:val="5"/>
          <w:w w:val="104"/>
          <w:lang w:val="ru-RU"/>
        </w:rPr>
        <w:t>порядковый номер судебного разбирательства</w:t>
      </w:r>
      <w:r w:rsidR="00AE3ED8" w:rsidRPr="00732013">
        <w:rPr>
          <w:spacing w:val="5"/>
          <w:w w:val="104"/>
          <w:lang w:val="ru-RU"/>
        </w:rPr>
        <w:t xml:space="preserve"> </w:t>
      </w:r>
      <w:r w:rsidR="000523E8" w:rsidRPr="00732013">
        <w:rPr>
          <w:spacing w:val="5"/>
          <w:w w:val="104"/>
          <w:lang w:val="ru-RU"/>
        </w:rPr>
        <w:t xml:space="preserve">– </w:t>
      </w:r>
      <w:r w:rsidRPr="00732013">
        <w:rPr>
          <w:spacing w:val="5"/>
          <w:w w:val="104"/>
          <w:lang w:val="ru-RU"/>
        </w:rPr>
        <w:br/>
      </w:r>
      <w:r w:rsidR="00866E29" w:rsidRPr="00732013">
        <w:rPr>
          <w:spacing w:val="5"/>
          <w:w w:val="104"/>
          <w:lang w:val="ru-RU"/>
        </w:rPr>
        <w:t xml:space="preserve">3-61-3-01061-2011-5. </w:t>
      </w:r>
      <w:r w:rsidR="00A10EBF" w:rsidRPr="00732013">
        <w:rPr>
          <w:spacing w:val="5"/>
          <w:w w:val="104"/>
          <w:lang w:val="ru-RU"/>
        </w:rPr>
        <w:t xml:space="preserve">Номер дела в суде первой инстанции </w:t>
      </w:r>
      <w:r w:rsidR="000523E8" w:rsidRPr="00732013">
        <w:rPr>
          <w:spacing w:val="5"/>
          <w:w w:val="104"/>
          <w:lang w:val="ru-RU"/>
        </w:rPr>
        <w:t xml:space="preserve">– </w:t>
      </w:r>
      <w:hyperlink r:id="rId10" w:history="1">
        <w:r w:rsidR="00866E29" w:rsidRPr="00732013">
          <w:rPr>
            <w:spacing w:val="5"/>
            <w:w w:val="104"/>
          </w:rPr>
          <w:t>Ik</w:t>
        </w:r>
        <w:r w:rsidR="00866E29" w:rsidRPr="00732013">
          <w:rPr>
            <w:spacing w:val="5"/>
            <w:w w:val="104"/>
            <w:lang w:val="ru-RU"/>
          </w:rPr>
          <w:t>-2848-189/2011</w:t>
        </w:r>
      </w:hyperlink>
      <w:r w:rsidR="00866E29" w:rsidRPr="00732013">
        <w:rPr>
          <w:spacing w:val="5"/>
          <w:w w:val="104"/>
          <w:lang w:val="ru-RU"/>
        </w:rPr>
        <w:t xml:space="preserve">, </w:t>
      </w:r>
      <w:r w:rsidR="00A10EBF" w:rsidRPr="00732013">
        <w:rPr>
          <w:spacing w:val="5"/>
          <w:w w:val="104"/>
          <w:lang w:val="ru-RU"/>
        </w:rPr>
        <w:t xml:space="preserve">номер дела в </w:t>
      </w:r>
      <w:r w:rsidR="003D2684" w:rsidRPr="00732013">
        <w:rPr>
          <w:spacing w:val="5"/>
          <w:w w:val="104"/>
          <w:lang w:val="ru-RU"/>
        </w:rPr>
        <w:t>апелляционной</w:t>
      </w:r>
      <w:r w:rsidR="00A10EBF" w:rsidRPr="00732013">
        <w:rPr>
          <w:spacing w:val="5"/>
          <w:w w:val="104"/>
          <w:lang w:val="ru-RU"/>
        </w:rPr>
        <w:t xml:space="preserve"> инстанции </w:t>
      </w:r>
      <w:r w:rsidR="000523E8" w:rsidRPr="00732013">
        <w:rPr>
          <w:spacing w:val="5"/>
          <w:w w:val="104"/>
          <w:lang w:val="ru-RU"/>
        </w:rPr>
        <w:t xml:space="preserve">– </w:t>
      </w:r>
      <w:r w:rsidR="00866E29" w:rsidRPr="00732013">
        <w:rPr>
          <w:spacing w:val="5"/>
          <w:w w:val="104"/>
        </w:rPr>
        <w:t>A</w:t>
      </w:r>
      <w:r w:rsidR="00866E29" w:rsidRPr="00732013">
        <w:rPr>
          <w:spacing w:val="5"/>
          <w:w w:val="104"/>
          <w:lang w:val="ru-RU"/>
        </w:rPr>
        <w:t xml:space="preserve">-858-403-12; </w:t>
      </w:r>
      <w:r w:rsidR="003D2684" w:rsidRPr="00732013">
        <w:rPr>
          <w:spacing w:val="5"/>
          <w:w w:val="104"/>
          <w:lang w:val="ru-RU"/>
        </w:rPr>
        <w:t>номер нового дела в суде первой инстанции</w:t>
      </w:r>
      <w:r w:rsidR="00866E29" w:rsidRPr="00732013">
        <w:rPr>
          <w:spacing w:val="5"/>
          <w:w w:val="104"/>
          <w:lang w:val="ru-RU"/>
        </w:rPr>
        <w:t xml:space="preserve"> </w:t>
      </w:r>
      <w:r w:rsidR="000523E8" w:rsidRPr="00732013">
        <w:rPr>
          <w:spacing w:val="5"/>
          <w:w w:val="104"/>
          <w:lang w:val="ru-RU"/>
        </w:rPr>
        <w:t xml:space="preserve">– </w:t>
      </w:r>
      <w:hyperlink r:id="rId11" w:history="1">
        <w:r w:rsidR="00866E29" w:rsidRPr="00732013">
          <w:rPr>
            <w:spacing w:val="5"/>
            <w:w w:val="104"/>
          </w:rPr>
          <w:t>I</w:t>
        </w:r>
        <w:r w:rsidR="00866E29" w:rsidRPr="00732013">
          <w:rPr>
            <w:spacing w:val="5"/>
            <w:w w:val="104"/>
            <w:lang w:val="ru-RU"/>
          </w:rPr>
          <w:t>-2867-562/2012</w:t>
        </w:r>
      </w:hyperlink>
      <w:r w:rsidR="00866E29" w:rsidRPr="00732013">
        <w:rPr>
          <w:spacing w:val="5"/>
          <w:w w:val="104"/>
          <w:lang w:val="ru-RU"/>
        </w:rPr>
        <w:t xml:space="preserve">, </w:t>
      </w:r>
      <w:r w:rsidR="003D2684" w:rsidRPr="00732013">
        <w:rPr>
          <w:spacing w:val="5"/>
          <w:w w:val="104"/>
          <w:lang w:val="ru-RU"/>
        </w:rPr>
        <w:t xml:space="preserve">номер дела в апелляционной инстанции </w:t>
      </w:r>
      <w:r w:rsidR="000523E8" w:rsidRPr="00732013">
        <w:rPr>
          <w:spacing w:val="5"/>
          <w:w w:val="104"/>
          <w:lang w:val="ru-RU"/>
        </w:rPr>
        <w:t xml:space="preserve">– </w:t>
      </w:r>
      <w:r w:rsidR="00866E29" w:rsidRPr="00732013">
        <w:rPr>
          <w:spacing w:val="5"/>
          <w:w w:val="104"/>
        </w:rPr>
        <w:t>A</w:t>
      </w:r>
      <w:r w:rsidR="00866E29" w:rsidRPr="00732013">
        <w:rPr>
          <w:spacing w:val="5"/>
          <w:w w:val="104"/>
          <w:lang w:val="ru-RU"/>
        </w:rPr>
        <w:t xml:space="preserve">-525-730/2013, </w:t>
      </w:r>
      <w:r w:rsidR="003D2684" w:rsidRPr="00732013">
        <w:rPr>
          <w:spacing w:val="5"/>
          <w:w w:val="104"/>
          <w:lang w:val="ru-RU"/>
        </w:rPr>
        <w:t>касающ</w:t>
      </w:r>
      <w:r w:rsidR="000523E8" w:rsidRPr="00732013">
        <w:rPr>
          <w:spacing w:val="5"/>
          <w:w w:val="104"/>
          <w:lang w:val="ru-RU"/>
        </w:rPr>
        <w:t>его</w:t>
      </w:r>
      <w:r w:rsidR="003D2684" w:rsidRPr="00732013">
        <w:rPr>
          <w:spacing w:val="5"/>
          <w:w w:val="104"/>
          <w:lang w:val="ru-RU"/>
        </w:rPr>
        <w:t>ся возобновления</w:t>
      </w:r>
      <w:r w:rsidR="009F0AF0" w:rsidRPr="00732013">
        <w:rPr>
          <w:spacing w:val="5"/>
          <w:w w:val="104"/>
          <w:lang w:val="ru-RU"/>
        </w:rPr>
        <w:t xml:space="preserve"> </w:t>
      </w:r>
      <w:r w:rsidR="007C4FEA" w:rsidRPr="00732013">
        <w:rPr>
          <w:spacing w:val="5"/>
          <w:w w:val="104"/>
          <w:lang w:val="ru-RU"/>
        </w:rPr>
        <w:t>производства по делу</w:t>
      </w:r>
      <w:r w:rsidR="00866E29" w:rsidRPr="00732013">
        <w:rPr>
          <w:spacing w:val="5"/>
          <w:w w:val="104"/>
          <w:lang w:val="ru-RU"/>
        </w:rPr>
        <w:t xml:space="preserve"> </w:t>
      </w:r>
      <w:hyperlink r:id="rId12" w:history="1">
        <w:r w:rsidR="00866E29" w:rsidRPr="00732013">
          <w:rPr>
            <w:spacing w:val="5"/>
            <w:w w:val="104"/>
          </w:rPr>
          <w:t>P</w:t>
        </w:r>
        <w:r w:rsidR="00866E29" w:rsidRPr="00732013">
          <w:rPr>
            <w:spacing w:val="5"/>
            <w:w w:val="104"/>
            <w:lang w:val="ru-RU"/>
          </w:rPr>
          <w:t>-444-169-13</w:t>
        </w:r>
      </w:hyperlink>
      <w:r w:rsidR="00866E29" w:rsidRPr="00732013">
        <w:rPr>
          <w:spacing w:val="5"/>
          <w:w w:val="104"/>
          <w:lang w:val="ru-RU"/>
        </w:rPr>
        <w:t>.</w:t>
      </w:r>
    </w:p>
    <w:p w:rsidR="00866E29" w:rsidRPr="00732013" w:rsidRDefault="00E5613A" w:rsidP="00732013">
      <w:pPr>
        <w:pStyle w:val="SingleTxtG"/>
        <w:tabs>
          <w:tab w:val="left" w:pos="1418"/>
        </w:tabs>
        <w:spacing w:line="240" w:lineRule="exact"/>
        <w:ind w:left="1741" w:right="1267" w:hanging="477"/>
        <w:rPr>
          <w:spacing w:val="5"/>
          <w:w w:val="104"/>
          <w:lang w:val="ru-RU"/>
        </w:rPr>
      </w:pPr>
      <w:r w:rsidRPr="00732013">
        <w:rPr>
          <w:spacing w:val="5"/>
          <w:w w:val="104"/>
          <w:lang w:val="ru-RU"/>
        </w:rPr>
        <w:tab/>
      </w:r>
      <w:r w:rsidR="009F0AF0" w:rsidRPr="00732013">
        <w:rPr>
          <w:rFonts w:ascii="Wingdings" w:hAnsi="Wingdings"/>
          <w:spacing w:val="5"/>
          <w:w w:val="104"/>
          <w:lang w:val="ru-RU"/>
        </w:rPr>
        <w:t></w:t>
      </w:r>
      <w:r w:rsidR="009F0AF0" w:rsidRPr="00732013">
        <w:rPr>
          <w:spacing w:val="5"/>
          <w:w w:val="104"/>
          <w:lang w:val="ru-RU"/>
        </w:rPr>
        <w:tab/>
      </w:r>
      <w:r w:rsidR="003121E6" w:rsidRPr="00732013">
        <w:rPr>
          <w:spacing w:val="5"/>
          <w:w w:val="104"/>
          <w:lang w:val="ru-RU"/>
        </w:rPr>
        <w:t>А</w:t>
      </w:r>
      <w:r w:rsidR="007C4FEA" w:rsidRPr="00732013">
        <w:rPr>
          <w:spacing w:val="5"/>
          <w:w w:val="104"/>
          <w:lang w:val="ru-RU"/>
        </w:rPr>
        <w:t>дминистративное дело, порядковый номер судебного разбирательства</w:t>
      </w:r>
      <w:r w:rsidR="009F0AF0" w:rsidRPr="00732013">
        <w:rPr>
          <w:spacing w:val="5"/>
          <w:w w:val="104"/>
          <w:lang w:val="ru-RU"/>
        </w:rPr>
        <w:t xml:space="preserve"> –</w:t>
      </w:r>
      <w:r w:rsidR="00AE3ED8" w:rsidRPr="00732013">
        <w:rPr>
          <w:spacing w:val="5"/>
          <w:w w:val="104"/>
          <w:lang w:val="ru-RU"/>
        </w:rPr>
        <w:t xml:space="preserve"> </w:t>
      </w:r>
      <w:r w:rsidRPr="00732013">
        <w:rPr>
          <w:spacing w:val="5"/>
          <w:w w:val="104"/>
          <w:lang w:val="ru-RU"/>
        </w:rPr>
        <w:br/>
      </w:r>
      <w:r w:rsidR="00866E29" w:rsidRPr="00732013">
        <w:rPr>
          <w:spacing w:val="5"/>
          <w:w w:val="104"/>
          <w:lang w:val="ru-RU"/>
        </w:rPr>
        <w:t xml:space="preserve">3-61-3-01867-2011-9. </w:t>
      </w:r>
      <w:r w:rsidR="007C4FEA" w:rsidRPr="00732013">
        <w:rPr>
          <w:spacing w:val="5"/>
          <w:w w:val="104"/>
          <w:lang w:val="ru-RU"/>
        </w:rPr>
        <w:t xml:space="preserve">Номер дела в суде первой инстанции </w:t>
      </w:r>
      <w:r w:rsidR="009F0AF0" w:rsidRPr="00732013">
        <w:rPr>
          <w:spacing w:val="5"/>
          <w:w w:val="104"/>
          <w:lang w:val="ru-RU"/>
        </w:rPr>
        <w:t xml:space="preserve">– </w:t>
      </w:r>
      <w:r w:rsidR="00866E29" w:rsidRPr="00732013">
        <w:rPr>
          <w:spacing w:val="5"/>
          <w:w w:val="104"/>
        </w:rPr>
        <w:t>Ik</w:t>
      </w:r>
      <w:r w:rsidR="00866E29" w:rsidRPr="00732013">
        <w:rPr>
          <w:spacing w:val="5"/>
          <w:w w:val="104"/>
          <w:lang w:val="ru-RU"/>
        </w:rPr>
        <w:t xml:space="preserve">-3701-602/2011, </w:t>
      </w:r>
      <w:r w:rsidR="007C4FEA" w:rsidRPr="00732013">
        <w:rPr>
          <w:spacing w:val="5"/>
          <w:w w:val="104"/>
          <w:lang w:val="ru-RU"/>
        </w:rPr>
        <w:t xml:space="preserve">номер дела в </w:t>
      </w:r>
      <w:r w:rsidR="007C4FEA" w:rsidRPr="00732013">
        <w:rPr>
          <w:spacing w:val="5"/>
          <w:w w:val="104"/>
        </w:rPr>
        <w:t>апелляционной</w:t>
      </w:r>
      <w:r w:rsidR="007C4FEA" w:rsidRPr="00732013">
        <w:rPr>
          <w:spacing w:val="5"/>
          <w:w w:val="104"/>
          <w:lang w:val="ru-RU"/>
        </w:rPr>
        <w:t xml:space="preserve"> инстанции </w:t>
      </w:r>
      <w:r w:rsidR="009F0AF0" w:rsidRPr="00732013">
        <w:rPr>
          <w:spacing w:val="5"/>
          <w:w w:val="104"/>
          <w:lang w:val="ru-RU"/>
        </w:rPr>
        <w:t xml:space="preserve">– </w:t>
      </w:r>
      <w:hyperlink r:id="rId13" w:history="1">
        <w:r w:rsidR="00866E29" w:rsidRPr="00732013">
          <w:rPr>
            <w:spacing w:val="5"/>
            <w:w w:val="104"/>
          </w:rPr>
          <w:t>A</w:t>
        </w:r>
        <w:r w:rsidR="00866E29" w:rsidRPr="00732013">
          <w:rPr>
            <w:spacing w:val="5"/>
            <w:w w:val="104"/>
            <w:lang w:val="ru-RU"/>
          </w:rPr>
          <w:t>-858-1975-12</w:t>
        </w:r>
      </w:hyperlink>
      <w:r w:rsidR="00866E29" w:rsidRPr="00732013">
        <w:rPr>
          <w:spacing w:val="5"/>
          <w:w w:val="104"/>
          <w:lang w:val="ru-RU"/>
        </w:rPr>
        <w:t>.</w:t>
      </w:r>
    </w:p>
    <w:p w:rsidR="00866E29" w:rsidRPr="00732013" w:rsidRDefault="00E5613A" w:rsidP="00732013">
      <w:pPr>
        <w:pStyle w:val="SingleTxtG"/>
        <w:tabs>
          <w:tab w:val="left" w:pos="1418"/>
        </w:tabs>
        <w:spacing w:line="240" w:lineRule="exact"/>
        <w:ind w:left="1741" w:right="1267" w:hanging="477"/>
        <w:rPr>
          <w:spacing w:val="5"/>
          <w:w w:val="104"/>
          <w:lang w:val="ru-RU"/>
        </w:rPr>
      </w:pPr>
      <w:r w:rsidRPr="00732013">
        <w:rPr>
          <w:spacing w:val="5"/>
          <w:w w:val="104"/>
          <w:lang w:val="en-US"/>
        </w:rPr>
        <w:tab/>
      </w:r>
      <w:r w:rsidR="009F0AF0" w:rsidRPr="00732013">
        <w:rPr>
          <w:rFonts w:ascii="Wingdings" w:hAnsi="Wingdings"/>
          <w:spacing w:val="5"/>
          <w:w w:val="104"/>
          <w:lang w:val="ru-RU"/>
        </w:rPr>
        <w:t></w:t>
      </w:r>
      <w:r w:rsidR="009F0AF0" w:rsidRPr="00732013">
        <w:rPr>
          <w:spacing w:val="5"/>
          <w:w w:val="104"/>
          <w:lang w:val="ru-RU"/>
        </w:rPr>
        <w:tab/>
      </w:r>
      <w:r w:rsidR="003121E6" w:rsidRPr="00732013">
        <w:rPr>
          <w:spacing w:val="5"/>
          <w:w w:val="104"/>
          <w:lang w:val="ru-RU"/>
        </w:rPr>
        <w:t>Административное дело, порядковый номер судебного разбирательства</w:t>
      </w:r>
      <w:r w:rsidR="00866E29" w:rsidRPr="00732013">
        <w:rPr>
          <w:spacing w:val="5"/>
          <w:w w:val="104"/>
          <w:lang w:val="ru-RU"/>
        </w:rPr>
        <w:t xml:space="preserve"> </w:t>
      </w:r>
      <w:r w:rsidR="009F0AF0" w:rsidRPr="00732013">
        <w:rPr>
          <w:spacing w:val="5"/>
          <w:w w:val="104"/>
          <w:lang w:val="ru-RU"/>
        </w:rPr>
        <w:t xml:space="preserve">– </w:t>
      </w:r>
      <w:r w:rsidRPr="00732013">
        <w:rPr>
          <w:spacing w:val="5"/>
          <w:w w:val="104"/>
          <w:lang w:val="ru-RU"/>
        </w:rPr>
        <w:br/>
      </w:r>
      <w:r w:rsidR="009F0AF0" w:rsidRPr="00732013">
        <w:rPr>
          <w:spacing w:val="5"/>
          <w:w w:val="104"/>
          <w:lang w:val="ru-RU"/>
        </w:rPr>
        <w:t>с</w:t>
      </w:r>
      <w:hyperlink r:id="rId14" w:history="1">
        <w:r w:rsidR="00866E29" w:rsidRPr="00732013">
          <w:rPr>
            <w:spacing w:val="5"/>
            <w:w w:val="104"/>
            <w:lang w:val="ru-RU"/>
          </w:rPr>
          <w:t>3-61-3-00015-2011-3</w:t>
        </w:r>
      </w:hyperlink>
      <w:r w:rsidR="00866E29" w:rsidRPr="00732013">
        <w:rPr>
          <w:spacing w:val="5"/>
          <w:w w:val="104"/>
          <w:lang w:val="ru-RU"/>
        </w:rPr>
        <w:t xml:space="preserve">. </w:t>
      </w:r>
      <w:r w:rsidR="00783023" w:rsidRPr="00732013">
        <w:rPr>
          <w:spacing w:val="5"/>
          <w:w w:val="104"/>
          <w:lang w:val="ru-RU"/>
        </w:rPr>
        <w:t xml:space="preserve">Номер дела в суде первой инстанции </w:t>
      </w:r>
      <w:r w:rsidR="009F0AF0" w:rsidRPr="00732013">
        <w:rPr>
          <w:spacing w:val="5"/>
          <w:w w:val="104"/>
          <w:lang w:val="ru-RU"/>
        </w:rPr>
        <w:t xml:space="preserve">– </w:t>
      </w:r>
      <w:r w:rsidR="00866E29" w:rsidRPr="00732013">
        <w:rPr>
          <w:spacing w:val="5"/>
          <w:w w:val="104"/>
        </w:rPr>
        <w:t>Ik</w:t>
      </w:r>
      <w:r w:rsidR="00866E29" w:rsidRPr="00732013">
        <w:rPr>
          <w:spacing w:val="5"/>
          <w:w w:val="104"/>
          <w:lang w:val="ru-RU"/>
        </w:rPr>
        <w:t xml:space="preserve">-710-815/2012, </w:t>
      </w:r>
      <w:r w:rsidR="00783023" w:rsidRPr="00732013">
        <w:rPr>
          <w:spacing w:val="5"/>
          <w:w w:val="104"/>
          <w:lang w:val="ru-RU"/>
        </w:rPr>
        <w:t xml:space="preserve">номер дела в апелляционной инстанции </w:t>
      </w:r>
      <w:r w:rsidR="009F0AF0" w:rsidRPr="00732013">
        <w:rPr>
          <w:spacing w:val="5"/>
          <w:w w:val="104"/>
          <w:lang w:val="ru-RU"/>
        </w:rPr>
        <w:t xml:space="preserve">– </w:t>
      </w:r>
      <w:r w:rsidR="00866E29" w:rsidRPr="00732013">
        <w:rPr>
          <w:spacing w:val="5"/>
          <w:w w:val="104"/>
        </w:rPr>
        <w:t>A</w:t>
      </w:r>
      <w:r w:rsidR="00866E29" w:rsidRPr="00732013">
        <w:rPr>
          <w:spacing w:val="5"/>
          <w:w w:val="104"/>
          <w:lang w:val="ru-RU"/>
        </w:rPr>
        <w:t>-552-314-13.</w:t>
      </w:r>
    </w:p>
    <w:p w:rsidR="00866E29" w:rsidRPr="00732013" w:rsidRDefault="00E5613A" w:rsidP="00732013">
      <w:pPr>
        <w:pStyle w:val="SingleTxtG"/>
        <w:tabs>
          <w:tab w:val="left" w:pos="1418"/>
        </w:tabs>
        <w:spacing w:line="240" w:lineRule="exact"/>
        <w:ind w:left="1741" w:right="1267" w:hanging="477"/>
        <w:rPr>
          <w:spacing w:val="5"/>
          <w:w w:val="104"/>
          <w:lang w:val="ru-RU"/>
        </w:rPr>
      </w:pPr>
      <w:r w:rsidRPr="00732013">
        <w:rPr>
          <w:spacing w:val="5"/>
          <w:w w:val="104"/>
          <w:lang w:val="en-US"/>
        </w:rPr>
        <w:tab/>
      </w:r>
      <w:r w:rsidR="009F0AF0" w:rsidRPr="00732013">
        <w:rPr>
          <w:rFonts w:ascii="Wingdings" w:hAnsi="Wingdings"/>
          <w:spacing w:val="5"/>
          <w:w w:val="104"/>
          <w:lang w:val="ru-RU"/>
        </w:rPr>
        <w:t></w:t>
      </w:r>
      <w:r w:rsidR="009F0AF0" w:rsidRPr="00732013">
        <w:rPr>
          <w:spacing w:val="5"/>
          <w:w w:val="104"/>
          <w:lang w:val="ru-RU"/>
        </w:rPr>
        <w:tab/>
      </w:r>
      <w:r w:rsidR="00783023" w:rsidRPr="00732013">
        <w:rPr>
          <w:spacing w:val="5"/>
          <w:w w:val="104"/>
          <w:lang w:val="ru-RU"/>
        </w:rPr>
        <w:t>Административное дело, порядковый номер судебного разбирательства</w:t>
      </w:r>
      <w:r w:rsidR="009F0AF0" w:rsidRPr="00732013">
        <w:rPr>
          <w:spacing w:val="5"/>
          <w:w w:val="104"/>
          <w:lang w:val="ru-RU"/>
        </w:rPr>
        <w:t xml:space="preserve"> –</w:t>
      </w:r>
      <w:r w:rsidR="00866E29" w:rsidRPr="00732013">
        <w:rPr>
          <w:spacing w:val="5"/>
          <w:w w:val="104"/>
          <w:lang w:val="ru-RU"/>
        </w:rPr>
        <w:t xml:space="preserve"> </w:t>
      </w:r>
      <w:r w:rsidRPr="00732013">
        <w:rPr>
          <w:spacing w:val="5"/>
          <w:w w:val="104"/>
          <w:lang w:val="ru-RU"/>
        </w:rPr>
        <w:br/>
      </w:r>
      <w:r w:rsidR="00866E29" w:rsidRPr="00732013">
        <w:rPr>
          <w:spacing w:val="5"/>
          <w:w w:val="104"/>
          <w:lang w:val="ru-RU"/>
        </w:rPr>
        <w:t xml:space="preserve">3-61-3-02379-2011-8. </w:t>
      </w:r>
      <w:r w:rsidR="002E659B" w:rsidRPr="00732013">
        <w:rPr>
          <w:spacing w:val="5"/>
          <w:w w:val="104"/>
          <w:lang w:val="ru-RU"/>
        </w:rPr>
        <w:t xml:space="preserve">Номер дела в суде первой инстанции </w:t>
      </w:r>
      <w:r w:rsidR="009F0AF0" w:rsidRPr="00732013">
        <w:rPr>
          <w:spacing w:val="5"/>
          <w:w w:val="104"/>
          <w:lang w:val="ru-RU"/>
        </w:rPr>
        <w:t xml:space="preserve">– </w:t>
      </w:r>
      <w:r w:rsidR="00866E29" w:rsidRPr="00732013">
        <w:rPr>
          <w:spacing w:val="5"/>
          <w:w w:val="104"/>
        </w:rPr>
        <w:t>Ik</w:t>
      </w:r>
      <w:r w:rsidR="00866E29" w:rsidRPr="00732013">
        <w:rPr>
          <w:spacing w:val="5"/>
          <w:w w:val="104"/>
          <w:lang w:val="ru-RU"/>
        </w:rPr>
        <w:t xml:space="preserve">-1278-624/2012, </w:t>
      </w:r>
      <w:r w:rsidR="002E659B" w:rsidRPr="00732013">
        <w:rPr>
          <w:spacing w:val="5"/>
          <w:w w:val="104"/>
          <w:lang w:val="ru-RU"/>
        </w:rPr>
        <w:t xml:space="preserve">номер дела в апелляционной инстанции </w:t>
      </w:r>
      <w:r w:rsidR="009F0AF0" w:rsidRPr="00732013">
        <w:rPr>
          <w:spacing w:val="5"/>
          <w:w w:val="104"/>
          <w:lang w:val="ru-RU"/>
        </w:rPr>
        <w:t xml:space="preserve">– </w:t>
      </w:r>
      <w:hyperlink r:id="rId15" w:history="1">
        <w:r w:rsidR="00866E29" w:rsidRPr="00732013">
          <w:rPr>
            <w:spacing w:val="5"/>
            <w:w w:val="104"/>
          </w:rPr>
          <w:t>AS</w:t>
        </w:r>
        <w:r w:rsidR="00866E29" w:rsidRPr="00732013">
          <w:rPr>
            <w:spacing w:val="5"/>
            <w:w w:val="104"/>
            <w:lang w:val="ru-RU"/>
          </w:rPr>
          <w:t>-520-361-12</w:t>
        </w:r>
      </w:hyperlink>
      <w:r w:rsidR="00866E29"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4.</w:t>
      </w:r>
      <w:r w:rsidRPr="00732013">
        <w:rPr>
          <w:spacing w:val="5"/>
          <w:w w:val="104"/>
          <w:lang w:val="ru-RU"/>
        </w:rPr>
        <w:tab/>
      </w:r>
      <w:r w:rsidR="002E659B" w:rsidRPr="00732013">
        <w:rPr>
          <w:spacing w:val="5"/>
          <w:w w:val="104"/>
          <w:lang w:val="ru-RU"/>
        </w:rPr>
        <w:t xml:space="preserve">По данным </w:t>
      </w:r>
      <w:r w:rsidR="00144EC9" w:rsidRPr="00732013">
        <w:rPr>
          <w:spacing w:val="5"/>
          <w:w w:val="104"/>
          <w:lang w:val="ru-RU"/>
        </w:rPr>
        <w:t>ЛИТЕКО,</w:t>
      </w:r>
      <w:r w:rsidR="002E659B" w:rsidRPr="00732013">
        <w:rPr>
          <w:spacing w:val="5"/>
          <w:w w:val="104"/>
          <w:lang w:val="ru-RU"/>
        </w:rPr>
        <w:t xml:space="preserve"> имеется одно уг</w:t>
      </w:r>
      <w:r w:rsidR="00144EC9" w:rsidRPr="00732013">
        <w:rPr>
          <w:spacing w:val="5"/>
          <w:w w:val="104"/>
          <w:lang w:val="ru-RU"/>
        </w:rPr>
        <w:t>о</w:t>
      </w:r>
      <w:r w:rsidR="002E659B" w:rsidRPr="00732013">
        <w:rPr>
          <w:spacing w:val="5"/>
          <w:w w:val="104"/>
          <w:lang w:val="ru-RU"/>
        </w:rPr>
        <w:t>ловное дело</w:t>
      </w:r>
      <w:r w:rsidR="009F0AF0" w:rsidRPr="00732013">
        <w:rPr>
          <w:spacing w:val="5"/>
          <w:w w:val="104"/>
          <w:lang w:val="ru-RU"/>
        </w:rPr>
        <w:t> </w:t>
      </w:r>
      <w:r w:rsidRPr="00732013">
        <w:rPr>
          <w:spacing w:val="5"/>
          <w:w w:val="104"/>
          <w:lang w:val="ru-RU"/>
        </w:rPr>
        <w:t>(</w:t>
      </w:r>
      <w:r w:rsidR="00144EC9" w:rsidRPr="00732013">
        <w:rPr>
          <w:spacing w:val="5"/>
          <w:w w:val="104"/>
          <w:lang w:val="ru-RU"/>
        </w:rPr>
        <w:t>№</w:t>
      </w:r>
      <w:r w:rsidR="009F0AF0" w:rsidRPr="00732013">
        <w:rPr>
          <w:spacing w:val="5"/>
          <w:w w:val="104"/>
          <w:lang w:val="ru-RU"/>
        </w:rPr>
        <w:t> </w:t>
      </w:r>
      <w:r w:rsidRPr="00732013">
        <w:rPr>
          <w:spacing w:val="5"/>
          <w:w w:val="104"/>
          <w:lang w:val="ru-RU"/>
        </w:rPr>
        <w:t>1</w:t>
      </w:r>
      <w:r w:rsidRPr="00732013">
        <w:rPr>
          <w:spacing w:val="5"/>
          <w:w w:val="104"/>
        </w:rPr>
        <w:t>S</w:t>
      </w:r>
      <w:r w:rsidR="009F0AF0" w:rsidRPr="00732013">
        <w:rPr>
          <w:spacing w:val="5"/>
          <w:w w:val="104"/>
          <w:lang w:val="ru-RU"/>
        </w:rPr>
        <w:t>-</w:t>
      </w:r>
      <w:r w:rsidRPr="00732013">
        <w:rPr>
          <w:spacing w:val="5"/>
          <w:w w:val="104"/>
          <w:lang w:val="ru-RU"/>
        </w:rPr>
        <w:t>963</w:t>
      </w:r>
      <w:r w:rsidR="009F0AF0" w:rsidRPr="00732013">
        <w:rPr>
          <w:spacing w:val="5"/>
          <w:w w:val="104"/>
          <w:lang w:val="ru-RU"/>
        </w:rPr>
        <w:t>-</w:t>
      </w:r>
      <w:r w:rsidRPr="00732013">
        <w:rPr>
          <w:spacing w:val="5"/>
          <w:w w:val="104"/>
          <w:lang w:val="ru-RU"/>
        </w:rPr>
        <w:t>557/2012)</w:t>
      </w:r>
      <w:r w:rsidR="00E84342" w:rsidRPr="00732013">
        <w:rPr>
          <w:spacing w:val="5"/>
          <w:w w:val="104"/>
          <w:lang w:val="ru-RU"/>
        </w:rPr>
        <w:t>,</w:t>
      </w:r>
      <w:r w:rsidRPr="00732013">
        <w:rPr>
          <w:spacing w:val="5"/>
          <w:w w:val="104"/>
          <w:lang w:val="ru-RU"/>
        </w:rPr>
        <w:t xml:space="preserve"> </w:t>
      </w:r>
      <w:r w:rsidR="00144EC9" w:rsidRPr="00732013">
        <w:rPr>
          <w:spacing w:val="5"/>
          <w:w w:val="104"/>
          <w:lang w:val="ru-RU"/>
        </w:rPr>
        <w:t>рассмотренное в соответствии со статьей</w:t>
      </w:r>
      <w:r w:rsidRPr="00732013">
        <w:rPr>
          <w:spacing w:val="5"/>
          <w:w w:val="104"/>
          <w:lang w:val="ru-RU"/>
        </w:rPr>
        <w:t xml:space="preserve"> 170</w:t>
      </w:r>
      <w:r w:rsidR="00144EC9" w:rsidRPr="00732013">
        <w:rPr>
          <w:spacing w:val="5"/>
          <w:w w:val="104"/>
          <w:lang w:val="ru-RU"/>
        </w:rPr>
        <w:t xml:space="preserve"> Уголовного кодекса</w:t>
      </w:r>
      <w:r w:rsidR="00BF04B9" w:rsidRPr="00732013">
        <w:rPr>
          <w:rStyle w:val="FootnoteReference"/>
          <w:spacing w:val="5"/>
          <w:w w:val="104"/>
          <w:sz w:val="20"/>
        </w:rPr>
        <w:footnoteReference w:id="6"/>
      </w:r>
      <w:r w:rsidR="009F0AF0" w:rsidRPr="00732013">
        <w:rPr>
          <w:spacing w:val="5"/>
          <w:w w:val="104"/>
          <w:lang w:val="ru-RU"/>
        </w:rPr>
        <w:t>,</w:t>
      </w:r>
      <w:r w:rsidRPr="00732013">
        <w:rPr>
          <w:spacing w:val="5"/>
          <w:w w:val="104"/>
          <w:lang w:val="ru-RU"/>
        </w:rPr>
        <w:t xml:space="preserve"> </w:t>
      </w:r>
      <w:r w:rsidR="00E84342" w:rsidRPr="00732013">
        <w:rPr>
          <w:spacing w:val="5"/>
          <w:w w:val="104"/>
          <w:lang w:val="ru-RU"/>
        </w:rPr>
        <w:t>и одно гражданское дело</w:t>
      </w:r>
      <w:r w:rsidR="009F0AF0" w:rsidRPr="00732013">
        <w:rPr>
          <w:spacing w:val="5"/>
          <w:w w:val="104"/>
          <w:lang w:val="ru-RU"/>
        </w:rPr>
        <w:t> </w:t>
      </w:r>
      <w:r w:rsidR="00E84342" w:rsidRPr="00732013">
        <w:rPr>
          <w:spacing w:val="5"/>
          <w:w w:val="104"/>
          <w:lang w:val="ru-RU"/>
        </w:rPr>
        <w:t>(№</w:t>
      </w:r>
      <w:r w:rsidR="009F0AF0" w:rsidRPr="00732013">
        <w:rPr>
          <w:spacing w:val="5"/>
          <w:w w:val="104"/>
          <w:lang w:val="ru-RU"/>
        </w:rPr>
        <w:t> </w:t>
      </w:r>
      <w:r w:rsidRPr="00732013">
        <w:rPr>
          <w:spacing w:val="5"/>
          <w:w w:val="104"/>
          <w:lang w:val="ru-RU"/>
        </w:rPr>
        <w:t>2</w:t>
      </w:r>
      <w:r w:rsidR="009F0AF0" w:rsidRPr="00732013">
        <w:rPr>
          <w:spacing w:val="5"/>
          <w:w w:val="104"/>
          <w:lang w:val="ru-RU"/>
        </w:rPr>
        <w:t>-</w:t>
      </w:r>
      <w:r w:rsidRPr="00732013">
        <w:rPr>
          <w:spacing w:val="5"/>
          <w:w w:val="104"/>
          <w:lang w:val="ru-RU"/>
        </w:rPr>
        <w:t>1434</w:t>
      </w:r>
      <w:r w:rsidR="009F0AF0" w:rsidRPr="00732013">
        <w:rPr>
          <w:spacing w:val="5"/>
          <w:w w:val="104"/>
          <w:lang w:val="ru-RU"/>
        </w:rPr>
        <w:t>-</w:t>
      </w:r>
      <w:r w:rsidRPr="00732013">
        <w:rPr>
          <w:spacing w:val="5"/>
          <w:w w:val="104"/>
          <w:lang w:val="ru-RU"/>
        </w:rPr>
        <w:t>7987/2012</w:t>
      </w:r>
      <w:r w:rsidR="00E84342" w:rsidRPr="00732013">
        <w:rPr>
          <w:spacing w:val="5"/>
          <w:w w:val="104"/>
          <w:lang w:val="ru-RU"/>
        </w:rPr>
        <w:t>), подпадающие под классификацию</w:t>
      </w:r>
      <w:r w:rsidRPr="00732013">
        <w:rPr>
          <w:spacing w:val="5"/>
          <w:w w:val="104"/>
          <w:lang w:val="ru-RU"/>
        </w:rPr>
        <w:t xml:space="preserve"> </w:t>
      </w:r>
      <w:r w:rsidR="009F0AF0" w:rsidRPr="00732013">
        <w:rPr>
          <w:spacing w:val="5"/>
          <w:w w:val="104"/>
          <w:lang w:val="ru-RU"/>
        </w:rPr>
        <w:t>"</w:t>
      </w:r>
      <w:r w:rsidR="00E84342" w:rsidRPr="00732013">
        <w:rPr>
          <w:spacing w:val="5"/>
          <w:w w:val="104"/>
          <w:lang w:val="ru-RU"/>
        </w:rPr>
        <w:t xml:space="preserve">дела, касающиеся </w:t>
      </w:r>
      <w:r w:rsidR="00E84342" w:rsidRPr="00732013">
        <w:rPr>
          <w:spacing w:val="5"/>
          <w:w w:val="104"/>
        </w:rPr>
        <w:t>дискриминации</w:t>
      </w:r>
      <w:r w:rsidR="00E84342" w:rsidRPr="00732013">
        <w:rPr>
          <w:spacing w:val="5"/>
          <w:w w:val="104"/>
          <w:lang w:val="ru-RU"/>
        </w:rPr>
        <w:t xml:space="preserve"> в сфере занятости и профессиональной деятельности</w:t>
      </w:r>
      <w:r w:rsidR="00B25BC3" w:rsidRPr="00732013">
        <w:rPr>
          <w:spacing w:val="5"/>
          <w:w w:val="104"/>
          <w:lang w:val="ru-RU"/>
        </w:rPr>
        <w:t xml:space="preserve"> по признаку расы, пола, религии, политических убеждений и социального происхождения</w:t>
      </w:r>
      <w:r w:rsidR="009F0AF0" w:rsidRPr="00732013">
        <w:rPr>
          <w:spacing w:val="5"/>
          <w:w w:val="104"/>
          <w:lang w:val="ru-RU"/>
        </w:rPr>
        <w:t>"</w:t>
      </w:r>
      <w:r w:rsidR="00B25BC3" w:rsidRPr="00732013">
        <w:rPr>
          <w:spacing w:val="5"/>
          <w:w w:val="104"/>
          <w:lang w:val="ru-RU"/>
        </w:rPr>
        <w:t>,</w:t>
      </w:r>
      <w:r w:rsidR="009F0AF0" w:rsidRPr="00732013">
        <w:rPr>
          <w:spacing w:val="5"/>
          <w:w w:val="104"/>
          <w:lang w:val="ru-RU"/>
        </w:rPr>
        <w:t xml:space="preserve"> </w:t>
      </w:r>
      <w:r w:rsidR="002B6F06" w:rsidRPr="00732013">
        <w:rPr>
          <w:spacing w:val="5"/>
          <w:w w:val="104"/>
          <w:lang w:val="ru-RU"/>
        </w:rPr>
        <w:t>их разбирательство проходило</w:t>
      </w:r>
      <w:r w:rsidR="00E6247C" w:rsidRPr="00732013">
        <w:rPr>
          <w:spacing w:val="5"/>
          <w:w w:val="104"/>
          <w:lang w:val="ru-RU"/>
        </w:rPr>
        <w:t xml:space="preserve"> в первом полугодии </w:t>
      </w:r>
      <w:r w:rsidR="002B6F06" w:rsidRPr="00732013">
        <w:rPr>
          <w:spacing w:val="5"/>
          <w:w w:val="104"/>
          <w:lang w:val="ru-RU"/>
        </w:rPr>
        <w:t>2012 и 2013</w:t>
      </w:r>
      <w:r w:rsidR="008055A1" w:rsidRPr="00732013">
        <w:rPr>
          <w:spacing w:val="5"/>
          <w:w w:val="104"/>
          <w:lang w:val="ru-RU"/>
        </w:rPr>
        <w:t> год</w:t>
      </w:r>
      <w:r w:rsidR="002B6F06" w:rsidRPr="00732013">
        <w:rPr>
          <w:spacing w:val="5"/>
          <w:w w:val="104"/>
          <w:lang w:val="ru-RU"/>
        </w:rPr>
        <w:t xml:space="preserve">ов в суде первой инстанции. </w:t>
      </w:r>
      <w:r w:rsidR="00293BC6" w:rsidRPr="00732013">
        <w:rPr>
          <w:spacing w:val="5"/>
          <w:w w:val="104"/>
          <w:lang w:val="ru-RU"/>
        </w:rPr>
        <w:t>По последнему делу была подана апелляция (номер дела в апелляционной инстанции</w:t>
      </w:r>
      <w:r w:rsidRPr="00732013">
        <w:rPr>
          <w:spacing w:val="5"/>
          <w:w w:val="104"/>
          <w:lang w:val="ru-RU"/>
        </w:rPr>
        <w:t xml:space="preserve"> 2</w:t>
      </w:r>
      <w:r w:rsidRPr="00732013">
        <w:rPr>
          <w:spacing w:val="5"/>
          <w:w w:val="104"/>
        </w:rPr>
        <w:t>A</w:t>
      </w:r>
      <w:r w:rsidR="009F0AF0" w:rsidRPr="00732013">
        <w:rPr>
          <w:spacing w:val="5"/>
          <w:w w:val="104"/>
          <w:lang w:val="ru-RU"/>
        </w:rPr>
        <w:t>-</w:t>
      </w:r>
      <w:r w:rsidRPr="00732013">
        <w:rPr>
          <w:spacing w:val="5"/>
          <w:w w:val="104"/>
          <w:lang w:val="ru-RU"/>
        </w:rPr>
        <w:t>949/2013).</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5.</w:t>
      </w:r>
      <w:r w:rsidRPr="00732013">
        <w:rPr>
          <w:spacing w:val="5"/>
          <w:w w:val="104"/>
          <w:lang w:val="ru-RU"/>
        </w:rPr>
        <w:tab/>
      </w:r>
      <w:r w:rsidR="00D81A7A" w:rsidRPr="00732013">
        <w:rPr>
          <w:spacing w:val="5"/>
          <w:w w:val="104"/>
          <w:lang w:val="ru-RU"/>
        </w:rPr>
        <w:t>Укрепление потенциала и подготовка специалистов представляют собой одну из долгосрочных целей</w:t>
      </w:r>
      <w:r w:rsidR="00085F57" w:rsidRPr="00732013">
        <w:rPr>
          <w:spacing w:val="5"/>
          <w:w w:val="104"/>
          <w:lang w:val="ru-RU"/>
        </w:rPr>
        <w:t xml:space="preserve"> Национальной программы </w:t>
      </w:r>
      <w:r w:rsidR="00DD3C3E" w:rsidRPr="00732013">
        <w:rPr>
          <w:spacing w:val="5"/>
          <w:w w:val="104"/>
          <w:lang w:val="ru-RU"/>
        </w:rPr>
        <w:t>по обеспечению</w:t>
      </w:r>
      <w:r w:rsidR="004173CE" w:rsidRPr="00732013">
        <w:rPr>
          <w:spacing w:val="5"/>
          <w:w w:val="104"/>
          <w:lang w:val="ru-RU"/>
        </w:rPr>
        <w:t xml:space="preserve"> </w:t>
      </w:r>
      <w:r w:rsidR="00265BF8" w:rsidRPr="00732013">
        <w:rPr>
          <w:spacing w:val="5"/>
          <w:w w:val="104"/>
          <w:lang w:val="ru-RU"/>
        </w:rPr>
        <w:t>равных возможностей для мужчин и женщин</w:t>
      </w:r>
      <w:r w:rsidR="00DD3C3E" w:rsidRPr="00732013">
        <w:rPr>
          <w:spacing w:val="5"/>
          <w:w w:val="104"/>
          <w:lang w:val="ru-RU"/>
        </w:rPr>
        <w:t xml:space="preserve"> </w:t>
      </w:r>
      <w:r w:rsidR="00DD3C3E" w:rsidRPr="00732013">
        <w:rPr>
          <w:spacing w:val="5"/>
          <w:w w:val="104"/>
        </w:rPr>
        <w:t>на</w:t>
      </w:r>
      <w:r w:rsidR="004173CE" w:rsidRPr="00732013">
        <w:rPr>
          <w:spacing w:val="5"/>
          <w:w w:val="104"/>
          <w:lang w:val="ru-RU"/>
        </w:rPr>
        <w:t xml:space="preserve"> 2010–</w:t>
      </w:r>
      <w:r w:rsidRPr="00732013">
        <w:rPr>
          <w:spacing w:val="5"/>
          <w:w w:val="104"/>
          <w:lang w:val="ru-RU"/>
        </w:rPr>
        <w:t>2014</w:t>
      </w:r>
      <w:r w:rsidR="008055A1" w:rsidRPr="00732013">
        <w:rPr>
          <w:spacing w:val="5"/>
          <w:w w:val="104"/>
          <w:lang w:val="ru-RU"/>
        </w:rPr>
        <w:t> год</w:t>
      </w:r>
      <w:r w:rsidR="004173CE" w:rsidRPr="00732013">
        <w:rPr>
          <w:spacing w:val="5"/>
          <w:w w:val="104"/>
          <w:lang w:val="ru-RU"/>
        </w:rPr>
        <w:t>ы</w:t>
      </w:r>
      <w:r w:rsidR="00BF04B9" w:rsidRPr="00732013">
        <w:rPr>
          <w:rStyle w:val="FootnoteReference"/>
          <w:spacing w:val="5"/>
          <w:w w:val="104"/>
          <w:sz w:val="20"/>
        </w:rPr>
        <w:footnoteReference w:id="7"/>
      </w:r>
      <w:r w:rsidRPr="00732013">
        <w:rPr>
          <w:spacing w:val="5"/>
          <w:w w:val="104"/>
          <w:lang w:val="ru-RU"/>
        </w:rPr>
        <w:t xml:space="preserve"> (</w:t>
      </w:r>
      <w:r w:rsidR="004173CE" w:rsidRPr="00732013">
        <w:rPr>
          <w:spacing w:val="5"/>
          <w:w w:val="104"/>
          <w:lang w:val="ru-RU"/>
        </w:rPr>
        <w:t>далее Программа</w:t>
      </w:r>
      <w:r w:rsidR="00705B63" w:rsidRPr="00732013">
        <w:rPr>
          <w:spacing w:val="5"/>
          <w:w w:val="104"/>
          <w:lang w:val="ru-RU"/>
        </w:rPr>
        <w:t>).</w:t>
      </w:r>
      <w:r w:rsidRPr="00732013">
        <w:rPr>
          <w:spacing w:val="5"/>
          <w:w w:val="104"/>
          <w:lang w:val="ru-RU"/>
        </w:rPr>
        <w:t xml:space="preserve"> </w:t>
      </w:r>
      <w:r w:rsidR="00705B63" w:rsidRPr="00732013">
        <w:rPr>
          <w:spacing w:val="5"/>
          <w:w w:val="104"/>
          <w:lang w:val="ru-RU"/>
        </w:rPr>
        <w:t>Ведется непрерывная подготовка судей,</w:t>
      </w:r>
      <w:r w:rsidR="00B725D1" w:rsidRPr="00732013">
        <w:rPr>
          <w:spacing w:val="5"/>
          <w:w w:val="104"/>
          <w:lang w:val="ru-RU"/>
        </w:rPr>
        <w:t xml:space="preserve"> работников прокуратуры, адвокатов и других профессиональных юристов по вопросам гендерного равенства и недискриминации, включая применение национального, </w:t>
      </w:r>
      <w:r w:rsidR="004F2140" w:rsidRPr="00732013">
        <w:rPr>
          <w:spacing w:val="5"/>
          <w:w w:val="104"/>
          <w:lang w:val="ru-RU"/>
        </w:rPr>
        <w:t>общеевропейского (Европейского союза) и международного законодательства различными органами, наприм</w:t>
      </w:r>
      <w:r w:rsidR="00862FDF" w:rsidRPr="00732013">
        <w:rPr>
          <w:spacing w:val="5"/>
          <w:w w:val="104"/>
          <w:lang w:val="ru-RU"/>
        </w:rPr>
        <w:t>е</w:t>
      </w:r>
      <w:r w:rsidR="004F2140" w:rsidRPr="00732013">
        <w:rPr>
          <w:spacing w:val="5"/>
          <w:w w:val="104"/>
          <w:lang w:val="ru-RU"/>
        </w:rPr>
        <w:t>р</w:t>
      </w:r>
      <w:r w:rsidR="00364C5B" w:rsidRPr="00732013">
        <w:rPr>
          <w:spacing w:val="5"/>
          <w:w w:val="104"/>
          <w:lang w:val="ru-RU"/>
        </w:rPr>
        <w:t xml:space="preserve"> </w:t>
      </w:r>
      <w:r w:rsidR="00C37ED8" w:rsidRPr="00732013">
        <w:rPr>
          <w:spacing w:val="5"/>
          <w:w w:val="104"/>
          <w:lang w:val="ru-RU"/>
        </w:rPr>
        <w:t>Национальной</w:t>
      </w:r>
      <w:r w:rsidR="00F84D3B" w:rsidRPr="00732013">
        <w:rPr>
          <w:spacing w:val="5"/>
          <w:w w:val="104"/>
          <w:lang w:val="ru-RU"/>
        </w:rPr>
        <w:t xml:space="preserve"> </w:t>
      </w:r>
      <w:r w:rsidR="00C37ED8" w:rsidRPr="00732013">
        <w:rPr>
          <w:spacing w:val="5"/>
          <w:w w:val="104"/>
          <w:lang w:val="ru-RU"/>
        </w:rPr>
        <w:t>администрацией</w:t>
      </w:r>
      <w:r w:rsidR="00364C5B" w:rsidRPr="00732013">
        <w:rPr>
          <w:spacing w:val="5"/>
          <w:w w:val="104"/>
          <w:lang w:val="ru-RU"/>
        </w:rPr>
        <w:t xml:space="preserve"> судов, </w:t>
      </w:r>
      <w:r w:rsidR="00C37ED8" w:rsidRPr="00732013">
        <w:rPr>
          <w:spacing w:val="5"/>
          <w:w w:val="104"/>
          <w:lang w:val="ru-RU"/>
        </w:rPr>
        <w:t xml:space="preserve">Канцелярией </w:t>
      </w:r>
      <w:r w:rsidR="002342C2" w:rsidRPr="00732013">
        <w:rPr>
          <w:spacing w:val="5"/>
          <w:w w:val="104"/>
          <w:lang w:val="ru-RU"/>
        </w:rPr>
        <w:t xml:space="preserve">Омбудсмена </w:t>
      </w:r>
      <w:r w:rsidR="00364C5B" w:rsidRPr="00732013">
        <w:rPr>
          <w:spacing w:val="5"/>
          <w:w w:val="104"/>
          <w:lang w:val="ru-RU"/>
        </w:rPr>
        <w:t xml:space="preserve">по вопросам равных возможностей, </w:t>
      </w:r>
      <w:r w:rsidR="00106FF1" w:rsidRPr="00732013">
        <w:rPr>
          <w:spacing w:val="5"/>
          <w:w w:val="104"/>
          <w:lang w:val="ru-RU"/>
        </w:rPr>
        <w:t>Генеральной прокуратурой, Департаментом полиции</w:t>
      </w:r>
      <w:r w:rsidR="009F0AF0" w:rsidRPr="00732013">
        <w:rPr>
          <w:spacing w:val="5"/>
          <w:w w:val="104"/>
          <w:lang w:val="ru-RU"/>
        </w:rPr>
        <w:t>,</w:t>
      </w:r>
      <w:r w:rsidR="00106FF1" w:rsidRPr="00732013">
        <w:rPr>
          <w:spacing w:val="5"/>
          <w:w w:val="104"/>
          <w:lang w:val="ru-RU"/>
        </w:rPr>
        <w:t xml:space="preserve"> </w:t>
      </w:r>
      <w:r w:rsidR="009F0AF0" w:rsidRPr="00732013">
        <w:rPr>
          <w:spacing w:val="5"/>
          <w:w w:val="104"/>
          <w:lang w:val="ru-RU"/>
        </w:rPr>
        <w:t>находящимся в ведении М</w:t>
      </w:r>
      <w:r w:rsidR="00106FF1" w:rsidRPr="00732013">
        <w:rPr>
          <w:spacing w:val="5"/>
          <w:w w:val="104"/>
          <w:lang w:val="ru-RU"/>
        </w:rPr>
        <w:t>инистерств</w:t>
      </w:r>
      <w:r w:rsidR="009F0AF0" w:rsidRPr="00732013">
        <w:rPr>
          <w:spacing w:val="5"/>
          <w:w w:val="104"/>
          <w:lang w:val="ru-RU"/>
        </w:rPr>
        <w:t>а</w:t>
      </w:r>
      <w:r w:rsidR="00106FF1" w:rsidRPr="00732013">
        <w:rPr>
          <w:spacing w:val="5"/>
          <w:w w:val="104"/>
          <w:lang w:val="ru-RU"/>
        </w:rPr>
        <w:t xml:space="preserve"> внутренних дел</w:t>
      </w:r>
      <w:r w:rsidR="009F0AF0" w:rsidRPr="00732013">
        <w:rPr>
          <w:spacing w:val="5"/>
          <w:w w:val="104"/>
          <w:lang w:val="ru-RU"/>
        </w:rPr>
        <w:t>,</w:t>
      </w:r>
      <w:r w:rsidR="00247B4C" w:rsidRPr="00732013">
        <w:rPr>
          <w:spacing w:val="5"/>
          <w:w w:val="104"/>
          <w:lang w:val="ru-RU"/>
        </w:rPr>
        <w:t xml:space="preserve"> и др. </w:t>
      </w:r>
      <w:r w:rsidR="003B42DD" w:rsidRPr="00732013">
        <w:rPr>
          <w:spacing w:val="5"/>
          <w:w w:val="104"/>
          <w:lang w:val="ru-RU"/>
        </w:rPr>
        <w:t>Так,</w:t>
      </w:r>
      <w:r w:rsidRPr="00732013">
        <w:rPr>
          <w:spacing w:val="5"/>
          <w:w w:val="104"/>
          <w:lang w:val="ru-RU"/>
        </w:rPr>
        <w:t xml:space="preserve"> 31</w:t>
      </w:r>
      <w:r w:rsidR="009F0AF0" w:rsidRPr="00732013">
        <w:rPr>
          <w:spacing w:val="5"/>
          <w:w w:val="104"/>
          <w:lang w:val="ru-RU"/>
        </w:rPr>
        <w:t> </w:t>
      </w:r>
      <w:r w:rsidR="003B42DD" w:rsidRPr="00732013">
        <w:rPr>
          <w:spacing w:val="5"/>
          <w:w w:val="104"/>
          <w:lang w:val="ru-RU"/>
        </w:rPr>
        <w:t>января</w:t>
      </w:r>
      <w:r w:rsidRPr="00732013">
        <w:rPr>
          <w:spacing w:val="5"/>
          <w:w w:val="104"/>
          <w:lang w:val="ru-RU"/>
        </w:rPr>
        <w:t xml:space="preserve"> 2012</w:t>
      </w:r>
      <w:r w:rsidR="008055A1" w:rsidRPr="00732013">
        <w:rPr>
          <w:spacing w:val="5"/>
          <w:w w:val="104"/>
          <w:lang w:val="ru-RU"/>
        </w:rPr>
        <w:t> год</w:t>
      </w:r>
      <w:r w:rsidR="003B42DD" w:rsidRPr="00732013">
        <w:rPr>
          <w:spacing w:val="5"/>
          <w:w w:val="104"/>
          <w:lang w:val="ru-RU"/>
        </w:rPr>
        <w:t>а был проведен семинар по повышению квалификации на тему</w:t>
      </w:r>
      <w:r w:rsidRPr="00732013">
        <w:rPr>
          <w:spacing w:val="5"/>
          <w:w w:val="104"/>
          <w:lang w:val="ru-RU"/>
        </w:rPr>
        <w:t xml:space="preserve"> </w:t>
      </w:r>
      <w:r w:rsidR="009F0AF0" w:rsidRPr="00732013">
        <w:rPr>
          <w:spacing w:val="5"/>
          <w:w w:val="104"/>
          <w:lang w:val="ru-RU"/>
        </w:rPr>
        <w:t>"</w:t>
      </w:r>
      <w:r w:rsidR="00613220" w:rsidRPr="00732013">
        <w:rPr>
          <w:spacing w:val="5"/>
          <w:w w:val="104"/>
          <w:lang w:val="ru-RU"/>
        </w:rPr>
        <w:t>Поощрение недискриминации. Осуществление политики равных возможностей</w:t>
      </w:r>
      <w:r w:rsidR="009F0AF0" w:rsidRPr="00732013">
        <w:rPr>
          <w:spacing w:val="5"/>
          <w:w w:val="104"/>
          <w:lang w:val="ru-RU"/>
        </w:rPr>
        <w:t>"</w:t>
      </w:r>
      <w:r w:rsidRPr="00732013">
        <w:rPr>
          <w:spacing w:val="5"/>
          <w:w w:val="104"/>
          <w:lang w:val="ru-RU"/>
        </w:rPr>
        <w:t xml:space="preserve"> (8</w:t>
      </w:r>
      <w:r w:rsidR="009F0AF0" w:rsidRPr="00732013">
        <w:rPr>
          <w:spacing w:val="5"/>
          <w:w w:val="104"/>
          <w:lang w:val="ru-RU"/>
        </w:rPr>
        <w:t> </w:t>
      </w:r>
      <w:r w:rsidR="00613220" w:rsidRPr="00732013">
        <w:rPr>
          <w:spacing w:val="5"/>
          <w:w w:val="104"/>
          <w:lang w:val="ru-RU"/>
        </w:rPr>
        <w:t>академических часов</w:t>
      </w:r>
      <w:r w:rsidRPr="00732013">
        <w:rPr>
          <w:spacing w:val="5"/>
          <w:w w:val="104"/>
          <w:lang w:val="ru-RU"/>
        </w:rPr>
        <w:t xml:space="preserve">). </w:t>
      </w:r>
      <w:r w:rsidR="00613220" w:rsidRPr="00732013">
        <w:rPr>
          <w:spacing w:val="5"/>
          <w:w w:val="104"/>
          <w:lang w:val="ru-RU"/>
        </w:rPr>
        <w:t>В семинаре приняли участие</w:t>
      </w:r>
      <w:r w:rsidRPr="00732013">
        <w:rPr>
          <w:spacing w:val="5"/>
          <w:w w:val="104"/>
          <w:lang w:val="ru-RU"/>
        </w:rPr>
        <w:t xml:space="preserve"> 26</w:t>
      </w:r>
      <w:r w:rsidR="003262E9" w:rsidRPr="00732013">
        <w:rPr>
          <w:spacing w:val="5"/>
          <w:w w:val="104"/>
          <w:lang w:val="ru-RU"/>
        </w:rPr>
        <w:t> </w:t>
      </w:r>
      <w:r w:rsidR="00896FE0" w:rsidRPr="00732013">
        <w:rPr>
          <w:spacing w:val="5"/>
          <w:w w:val="104"/>
          <w:lang w:val="ru-RU"/>
        </w:rPr>
        <w:t>сотрудников учреждений</w:t>
      </w:r>
      <w:r w:rsidR="003262E9" w:rsidRPr="00732013">
        <w:rPr>
          <w:spacing w:val="5"/>
          <w:w w:val="104"/>
          <w:lang w:val="ru-RU"/>
        </w:rPr>
        <w:t xml:space="preserve"> полиции</w:t>
      </w:r>
      <w:r w:rsidR="00896FE0" w:rsidRPr="00732013">
        <w:rPr>
          <w:spacing w:val="5"/>
          <w:w w:val="104"/>
          <w:lang w:val="ru-RU"/>
        </w:rPr>
        <w:t>. В</w:t>
      </w:r>
      <w:r w:rsidR="00AE3ED8" w:rsidRPr="00732013">
        <w:rPr>
          <w:spacing w:val="5"/>
          <w:w w:val="104"/>
          <w:lang w:val="ru-RU"/>
        </w:rPr>
        <w:t xml:space="preserve"> </w:t>
      </w:r>
      <w:r w:rsidRPr="00732013">
        <w:rPr>
          <w:spacing w:val="5"/>
          <w:w w:val="104"/>
          <w:lang w:val="ru-RU"/>
        </w:rPr>
        <w:t>2012</w:t>
      </w:r>
      <w:r w:rsidR="008055A1" w:rsidRPr="00732013">
        <w:rPr>
          <w:spacing w:val="5"/>
          <w:w w:val="104"/>
          <w:lang w:val="ru-RU"/>
        </w:rPr>
        <w:t> год</w:t>
      </w:r>
      <w:r w:rsidR="00896FE0" w:rsidRPr="00732013">
        <w:rPr>
          <w:spacing w:val="5"/>
          <w:w w:val="104"/>
          <w:lang w:val="ru-RU"/>
        </w:rPr>
        <w:t>у в разных р</w:t>
      </w:r>
      <w:r w:rsidR="003262E9" w:rsidRPr="00732013">
        <w:rPr>
          <w:spacing w:val="5"/>
          <w:w w:val="104"/>
          <w:lang w:val="ru-RU"/>
        </w:rPr>
        <w:t>ай</w:t>
      </w:r>
      <w:r w:rsidR="00896FE0" w:rsidRPr="00732013">
        <w:rPr>
          <w:spacing w:val="5"/>
          <w:w w:val="104"/>
          <w:lang w:val="ru-RU"/>
        </w:rPr>
        <w:t>онах Литвы было организовано девять семинаров на тему</w:t>
      </w:r>
      <w:r w:rsidRPr="00732013">
        <w:rPr>
          <w:spacing w:val="5"/>
          <w:w w:val="104"/>
          <w:lang w:val="ru-RU"/>
        </w:rPr>
        <w:t xml:space="preserve"> </w:t>
      </w:r>
      <w:r w:rsidR="009F0AF0" w:rsidRPr="00732013">
        <w:rPr>
          <w:spacing w:val="5"/>
          <w:w w:val="104"/>
          <w:lang w:val="ru-RU"/>
        </w:rPr>
        <w:t>"</w:t>
      </w:r>
      <w:r w:rsidR="006D1953" w:rsidRPr="00732013">
        <w:rPr>
          <w:spacing w:val="5"/>
          <w:w w:val="104"/>
          <w:lang w:val="ru-RU"/>
        </w:rPr>
        <w:t>Особенности коммуникации с жертвами</w:t>
      </w:r>
      <w:r w:rsidR="009F0AF0" w:rsidRPr="00732013">
        <w:rPr>
          <w:spacing w:val="5"/>
          <w:w w:val="104"/>
          <w:lang w:val="ru-RU"/>
        </w:rPr>
        <w:t>"</w:t>
      </w:r>
      <w:r w:rsidRPr="00732013">
        <w:rPr>
          <w:spacing w:val="5"/>
          <w:w w:val="104"/>
          <w:lang w:val="ru-RU"/>
        </w:rPr>
        <w:t xml:space="preserve"> (8</w:t>
      </w:r>
      <w:r w:rsidR="003262E9" w:rsidRPr="00732013">
        <w:rPr>
          <w:spacing w:val="5"/>
          <w:w w:val="104"/>
          <w:lang w:val="ru-RU"/>
        </w:rPr>
        <w:t> </w:t>
      </w:r>
      <w:r w:rsidR="006D1953" w:rsidRPr="00732013">
        <w:rPr>
          <w:spacing w:val="5"/>
          <w:w w:val="104"/>
          <w:lang w:val="ru-RU"/>
        </w:rPr>
        <w:t>академических часов)</w:t>
      </w:r>
      <w:r w:rsidRPr="00732013">
        <w:rPr>
          <w:spacing w:val="5"/>
          <w:w w:val="104"/>
          <w:lang w:val="ru-RU"/>
        </w:rPr>
        <w:t xml:space="preserve"> </w:t>
      </w:r>
      <w:r w:rsidR="006D1953" w:rsidRPr="00732013">
        <w:rPr>
          <w:spacing w:val="5"/>
          <w:w w:val="104"/>
          <w:lang w:val="ru-RU"/>
        </w:rPr>
        <w:t>для</w:t>
      </w:r>
      <w:r w:rsidRPr="00732013">
        <w:rPr>
          <w:spacing w:val="5"/>
          <w:w w:val="104"/>
          <w:lang w:val="ru-RU"/>
        </w:rPr>
        <w:t xml:space="preserve"> 126</w:t>
      </w:r>
      <w:r w:rsidR="003262E9" w:rsidRPr="00732013">
        <w:rPr>
          <w:spacing w:val="5"/>
          <w:w w:val="104"/>
          <w:lang w:val="ru-RU"/>
        </w:rPr>
        <w:t> </w:t>
      </w:r>
      <w:r w:rsidR="006D1953" w:rsidRPr="00732013">
        <w:rPr>
          <w:spacing w:val="5"/>
          <w:w w:val="104"/>
          <w:lang w:val="ru-RU"/>
        </w:rPr>
        <w:t>сотрудников полиции</w:t>
      </w:r>
      <w:r w:rsidRPr="00732013">
        <w:rPr>
          <w:spacing w:val="5"/>
          <w:w w:val="104"/>
          <w:lang w:val="ru-RU"/>
        </w:rPr>
        <w:t xml:space="preserve"> (</w:t>
      </w:r>
      <w:r w:rsidR="006D1953" w:rsidRPr="00732013">
        <w:rPr>
          <w:spacing w:val="5"/>
          <w:w w:val="104"/>
          <w:lang w:val="ru-RU"/>
        </w:rPr>
        <w:t>см.</w:t>
      </w:r>
      <w:r w:rsidRPr="00732013">
        <w:rPr>
          <w:spacing w:val="5"/>
          <w:w w:val="104"/>
          <w:lang w:val="ru-RU"/>
        </w:rPr>
        <w:t xml:space="preserve"> </w:t>
      </w:r>
      <w:r w:rsidR="006D1953" w:rsidRPr="00732013">
        <w:rPr>
          <w:spacing w:val="5"/>
          <w:w w:val="104"/>
          <w:lang w:val="ru-RU"/>
        </w:rPr>
        <w:t>Приложение</w:t>
      </w:r>
      <w:r w:rsidR="003262E9" w:rsidRPr="00732013">
        <w:rPr>
          <w:spacing w:val="5"/>
          <w:w w:val="104"/>
          <w:lang w:val="ru-RU"/>
        </w:rPr>
        <w:t> </w:t>
      </w:r>
      <w:r w:rsidRPr="00732013">
        <w:rPr>
          <w:spacing w:val="5"/>
          <w:w w:val="104"/>
          <w:lang w:val="ru-RU"/>
        </w:rPr>
        <w:t xml:space="preserve">1, </w:t>
      </w:r>
      <w:r w:rsidR="006D1953" w:rsidRPr="00732013">
        <w:rPr>
          <w:spacing w:val="5"/>
          <w:w w:val="104"/>
          <w:lang w:val="ru-RU"/>
        </w:rPr>
        <w:t>пункт</w:t>
      </w:r>
      <w:r w:rsidR="003262E9" w:rsidRPr="00732013">
        <w:rPr>
          <w:spacing w:val="5"/>
          <w:w w:val="104"/>
          <w:lang w:val="ru-RU"/>
        </w:rPr>
        <w:t> </w:t>
      </w:r>
      <w:r w:rsidRPr="00732013">
        <w:rPr>
          <w:spacing w:val="5"/>
          <w:w w:val="104"/>
          <w:lang w:val="ru-RU"/>
        </w:rPr>
        <w:t>6).</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6.</w:t>
      </w:r>
      <w:r w:rsidRPr="00732013">
        <w:rPr>
          <w:spacing w:val="5"/>
          <w:w w:val="104"/>
          <w:lang w:val="ru-RU"/>
        </w:rPr>
        <w:tab/>
      </w:r>
      <w:r w:rsidR="006D1953" w:rsidRPr="00732013">
        <w:rPr>
          <w:spacing w:val="5"/>
          <w:w w:val="104"/>
          <w:lang w:val="ru-RU"/>
        </w:rPr>
        <w:t xml:space="preserve">В </w:t>
      </w:r>
      <w:r w:rsidRPr="00732013">
        <w:rPr>
          <w:spacing w:val="5"/>
          <w:w w:val="104"/>
          <w:lang w:val="ru-RU"/>
        </w:rPr>
        <w:t>2012</w:t>
      </w:r>
      <w:r w:rsidR="008055A1" w:rsidRPr="00732013">
        <w:rPr>
          <w:spacing w:val="5"/>
          <w:w w:val="104"/>
          <w:lang w:val="ru-RU"/>
        </w:rPr>
        <w:t> год</w:t>
      </w:r>
      <w:r w:rsidR="006D1953" w:rsidRPr="00732013">
        <w:rPr>
          <w:spacing w:val="5"/>
          <w:w w:val="104"/>
          <w:lang w:val="ru-RU"/>
        </w:rPr>
        <w:t>у Учебный цент</w:t>
      </w:r>
      <w:r w:rsidR="001F6BCE" w:rsidRPr="00732013">
        <w:rPr>
          <w:spacing w:val="5"/>
          <w:w w:val="104"/>
          <w:lang w:val="ru-RU"/>
        </w:rPr>
        <w:t xml:space="preserve">р при </w:t>
      </w:r>
      <w:r w:rsidR="00C37ED8" w:rsidRPr="00732013">
        <w:rPr>
          <w:spacing w:val="5"/>
          <w:w w:val="104"/>
          <w:lang w:val="ru-RU"/>
        </w:rPr>
        <w:t>Национальной</w:t>
      </w:r>
      <w:r w:rsidR="00F84D3B" w:rsidRPr="00732013">
        <w:rPr>
          <w:spacing w:val="5"/>
          <w:w w:val="104"/>
          <w:lang w:val="ru-RU"/>
        </w:rPr>
        <w:t xml:space="preserve"> </w:t>
      </w:r>
      <w:r w:rsidR="00C37ED8" w:rsidRPr="00732013">
        <w:rPr>
          <w:spacing w:val="5"/>
          <w:w w:val="104"/>
          <w:lang w:val="ru-RU"/>
        </w:rPr>
        <w:t>администрации</w:t>
      </w:r>
      <w:r w:rsidR="001F6BCE" w:rsidRPr="00732013">
        <w:rPr>
          <w:spacing w:val="5"/>
          <w:w w:val="104"/>
          <w:lang w:val="ru-RU"/>
        </w:rPr>
        <w:t xml:space="preserve"> судов</w:t>
      </w:r>
      <w:r w:rsidR="00F84D3B" w:rsidRPr="00732013">
        <w:rPr>
          <w:spacing w:val="5"/>
          <w:w w:val="104"/>
          <w:lang w:val="ru-RU"/>
        </w:rPr>
        <w:t xml:space="preserve"> провел для судей семинар на тему</w:t>
      </w:r>
      <w:r w:rsidRPr="00732013">
        <w:rPr>
          <w:spacing w:val="5"/>
          <w:w w:val="104"/>
          <w:lang w:val="ru-RU"/>
        </w:rPr>
        <w:t xml:space="preserve"> </w:t>
      </w:r>
      <w:r w:rsidR="009F0AF0" w:rsidRPr="00732013">
        <w:rPr>
          <w:spacing w:val="5"/>
          <w:w w:val="104"/>
          <w:lang w:val="ru-RU"/>
        </w:rPr>
        <w:t>"</w:t>
      </w:r>
      <w:r w:rsidR="00F84D3B" w:rsidRPr="00732013">
        <w:rPr>
          <w:spacing w:val="5"/>
          <w:w w:val="104"/>
          <w:lang w:val="ru-RU"/>
        </w:rPr>
        <w:t>Правовые и социальные аспекты борьбы против дискриминации</w:t>
      </w:r>
      <w:r w:rsidR="009F0AF0" w:rsidRPr="00732013">
        <w:rPr>
          <w:spacing w:val="5"/>
          <w:w w:val="104"/>
          <w:lang w:val="ru-RU"/>
        </w:rPr>
        <w:t>"</w:t>
      </w:r>
      <w:r w:rsidR="008D45AD" w:rsidRPr="00732013">
        <w:rPr>
          <w:spacing w:val="5"/>
          <w:w w:val="104"/>
          <w:lang w:val="ru-RU"/>
        </w:rPr>
        <w:t>,</w:t>
      </w:r>
      <w:r w:rsidR="00F84D3B" w:rsidRPr="00732013">
        <w:rPr>
          <w:spacing w:val="5"/>
          <w:w w:val="104"/>
          <w:lang w:val="ru-RU"/>
        </w:rPr>
        <w:t xml:space="preserve"> </w:t>
      </w:r>
      <w:r w:rsidR="00F84D3B" w:rsidRPr="00732013">
        <w:rPr>
          <w:spacing w:val="5"/>
          <w:w w:val="104"/>
        </w:rPr>
        <w:t>посвящен</w:t>
      </w:r>
      <w:r w:rsidR="008D45AD" w:rsidRPr="00732013">
        <w:rPr>
          <w:spacing w:val="5"/>
          <w:w w:val="104"/>
        </w:rPr>
        <w:t>ный</w:t>
      </w:r>
      <w:r w:rsidRPr="00732013">
        <w:rPr>
          <w:spacing w:val="5"/>
          <w:w w:val="104"/>
          <w:lang w:val="ru-RU"/>
        </w:rPr>
        <w:t xml:space="preserve"> </w:t>
      </w:r>
      <w:r w:rsidR="009F0AF0" w:rsidRPr="00732013">
        <w:rPr>
          <w:spacing w:val="5"/>
          <w:w w:val="104"/>
          <w:lang w:val="ru-RU"/>
        </w:rPr>
        <w:t>"</w:t>
      </w:r>
      <w:r w:rsidR="008D45AD" w:rsidRPr="00732013">
        <w:rPr>
          <w:spacing w:val="5"/>
          <w:w w:val="104"/>
          <w:lang w:val="ru-RU"/>
        </w:rPr>
        <w:t xml:space="preserve">национальному и международному законодательству, запрещающему дискриминацию, и практическому применению </w:t>
      </w:r>
      <w:r w:rsidR="003262E9" w:rsidRPr="00732013">
        <w:rPr>
          <w:spacing w:val="5"/>
          <w:w w:val="104"/>
          <w:lang w:val="ru-RU"/>
        </w:rPr>
        <w:t xml:space="preserve">его </w:t>
      </w:r>
      <w:r w:rsidR="008D45AD" w:rsidRPr="00732013">
        <w:rPr>
          <w:spacing w:val="5"/>
          <w:w w:val="104"/>
          <w:lang w:val="ru-RU"/>
        </w:rPr>
        <w:t>положений</w:t>
      </w:r>
      <w:r w:rsidR="009F0AF0" w:rsidRPr="00732013">
        <w:rPr>
          <w:spacing w:val="5"/>
          <w:w w:val="104"/>
          <w:lang w:val="ru-RU"/>
        </w:rPr>
        <w:t>"</w:t>
      </w:r>
      <w:r w:rsidR="000B2282" w:rsidRPr="00732013">
        <w:rPr>
          <w:spacing w:val="5"/>
          <w:w w:val="104"/>
          <w:lang w:val="ru-RU"/>
        </w:rPr>
        <w:t xml:space="preserve">. Кроме того, в ходе семинара были </w:t>
      </w:r>
      <w:r w:rsidR="00543752" w:rsidRPr="00732013">
        <w:rPr>
          <w:spacing w:val="5"/>
          <w:w w:val="104"/>
          <w:lang w:val="ru-RU"/>
        </w:rPr>
        <w:t>изучены</w:t>
      </w:r>
      <w:r w:rsidR="00FB33AA" w:rsidRPr="00732013">
        <w:rPr>
          <w:spacing w:val="5"/>
          <w:w w:val="104"/>
          <w:lang w:val="ru-RU"/>
        </w:rPr>
        <w:t xml:space="preserve"> аспекты</w:t>
      </w:r>
      <w:r w:rsidR="00CF1436" w:rsidRPr="00732013">
        <w:rPr>
          <w:spacing w:val="5"/>
          <w:w w:val="104"/>
          <w:lang w:val="ru-RU"/>
        </w:rPr>
        <w:t xml:space="preserve">, выходящие за </w:t>
      </w:r>
      <w:r w:rsidR="004835FC" w:rsidRPr="00732013">
        <w:rPr>
          <w:spacing w:val="5"/>
          <w:w w:val="104"/>
          <w:lang w:val="ru-RU"/>
        </w:rPr>
        <w:t>рамки</w:t>
      </w:r>
      <w:r w:rsidR="00CF1436" w:rsidRPr="00732013">
        <w:rPr>
          <w:spacing w:val="5"/>
          <w:w w:val="104"/>
          <w:lang w:val="ru-RU"/>
        </w:rPr>
        <w:t xml:space="preserve"> применения Конвенции и Факультативного протокола к ней</w:t>
      </w:r>
      <w:r w:rsidR="004835FC" w:rsidRPr="00732013">
        <w:rPr>
          <w:spacing w:val="5"/>
          <w:w w:val="104"/>
          <w:lang w:val="ru-RU"/>
        </w:rPr>
        <w:t>, положения национального</w:t>
      </w:r>
      <w:r w:rsidR="00CF1436" w:rsidRPr="00732013">
        <w:rPr>
          <w:spacing w:val="5"/>
          <w:w w:val="104"/>
          <w:lang w:val="ru-RU"/>
        </w:rPr>
        <w:t xml:space="preserve"> и </w:t>
      </w:r>
      <w:r w:rsidR="004835FC" w:rsidRPr="00732013">
        <w:rPr>
          <w:spacing w:val="5"/>
          <w:w w:val="104"/>
          <w:lang w:val="ru-RU"/>
        </w:rPr>
        <w:t>международного законодательства, запрещающего</w:t>
      </w:r>
      <w:r w:rsidR="000C2F12" w:rsidRPr="00732013">
        <w:rPr>
          <w:spacing w:val="5"/>
          <w:w w:val="104"/>
          <w:lang w:val="ru-RU"/>
        </w:rPr>
        <w:t xml:space="preserve"> дискриминацию, </w:t>
      </w:r>
      <w:r w:rsidR="00543752" w:rsidRPr="00732013">
        <w:rPr>
          <w:spacing w:val="5"/>
          <w:w w:val="104"/>
          <w:lang w:val="ru-RU"/>
        </w:rPr>
        <w:t xml:space="preserve">и их практическое применение, а также рассмотрены стереотипы дискриминации, </w:t>
      </w:r>
      <w:r w:rsidR="003262E9" w:rsidRPr="00732013">
        <w:rPr>
          <w:spacing w:val="5"/>
          <w:w w:val="104"/>
          <w:lang w:val="ru-RU"/>
        </w:rPr>
        <w:t xml:space="preserve">ее </w:t>
      </w:r>
      <w:r w:rsidR="00543752" w:rsidRPr="00732013">
        <w:rPr>
          <w:spacing w:val="5"/>
          <w:w w:val="104"/>
          <w:lang w:val="ru-RU"/>
        </w:rPr>
        <w:t>многоуровневый характер</w:t>
      </w:r>
      <w:r w:rsidR="003262E9" w:rsidRPr="00732013">
        <w:rPr>
          <w:spacing w:val="5"/>
          <w:w w:val="104"/>
          <w:lang w:val="ru-RU"/>
        </w:rPr>
        <w:t xml:space="preserve">, а также другие </w:t>
      </w:r>
      <w:r w:rsidR="00543752" w:rsidRPr="00732013">
        <w:rPr>
          <w:spacing w:val="5"/>
          <w:w w:val="104"/>
          <w:lang w:val="ru-RU"/>
        </w:rPr>
        <w:t xml:space="preserve">темы. </w:t>
      </w:r>
      <w:r w:rsidR="00FD3232" w:rsidRPr="00732013">
        <w:rPr>
          <w:spacing w:val="5"/>
          <w:w w:val="104"/>
          <w:lang w:val="ru-RU"/>
        </w:rPr>
        <w:t>В семинаре участвовали 37</w:t>
      </w:r>
      <w:r w:rsidR="003262E9" w:rsidRPr="00732013">
        <w:rPr>
          <w:spacing w:val="5"/>
          <w:w w:val="104"/>
          <w:lang w:val="ru-RU"/>
        </w:rPr>
        <w:t> </w:t>
      </w:r>
      <w:r w:rsidR="00FD3232" w:rsidRPr="00732013">
        <w:rPr>
          <w:spacing w:val="5"/>
          <w:w w:val="104"/>
          <w:lang w:val="ru-RU"/>
        </w:rPr>
        <w:t>судей из судов общей юрисдикции и административных судов</w:t>
      </w:r>
      <w:r w:rsidR="0064177A" w:rsidRPr="00732013">
        <w:rPr>
          <w:spacing w:val="5"/>
          <w:w w:val="104"/>
          <w:lang w:val="ru-RU"/>
        </w:rPr>
        <w:t xml:space="preserve"> и 15</w:t>
      </w:r>
      <w:r w:rsidR="003262E9" w:rsidRPr="00732013">
        <w:rPr>
          <w:spacing w:val="5"/>
          <w:w w:val="104"/>
          <w:lang w:val="ru-RU"/>
        </w:rPr>
        <w:t xml:space="preserve"> работников </w:t>
      </w:r>
      <w:r w:rsidR="0064177A" w:rsidRPr="00732013">
        <w:rPr>
          <w:spacing w:val="5"/>
          <w:w w:val="104"/>
          <w:lang w:val="ru-RU"/>
        </w:rPr>
        <w:t>прокуратуры</w:t>
      </w:r>
      <w:r w:rsidRPr="00732013">
        <w:rPr>
          <w:spacing w:val="5"/>
          <w:w w:val="104"/>
          <w:lang w:val="ru-RU"/>
        </w:rPr>
        <w:t xml:space="preserve"> </w:t>
      </w:r>
      <w:r w:rsidR="009E274A" w:rsidRPr="00732013">
        <w:rPr>
          <w:spacing w:val="5"/>
          <w:w w:val="104"/>
          <w:lang w:val="ru-RU"/>
        </w:rPr>
        <w:t>каждого уровня</w:t>
      </w:r>
      <w:r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7.</w:t>
      </w:r>
      <w:r w:rsidRPr="00732013">
        <w:rPr>
          <w:spacing w:val="5"/>
          <w:w w:val="104"/>
          <w:lang w:val="ru-RU"/>
        </w:rPr>
        <w:tab/>
      </w:r>
      <w:r w:rsidR="009E274A" w:rsidRPr="00732013">
        <w:rPr>
          <w:spacing w:val="5"/>
          <w:w w:val="104"/>
          <w:lang w:val="ru-RU"/>
        </w:rPr>
        <w:t>В</w:t>
      </w:r>
      <w:r w:rsidRPr="00732013">
        <w:rPr>
          <w:spacing w:val="5"/>
          <w:w w:val="104"/>
          <w:lang w:val="ru-RU"/>
        </w:rPr>
        <w:t xml:space="preserve"> 2011</w:t>
      </w:r>
      <w:r w:rsidR="008055A1" w:rsidRPr="00732013">
        <w:rPr>
          <w:spacing w:val="5"/>
          <w:w w:val="104"/>
          <w:lang w:val="ru-RU"/>
        </w:rPr>
        <w:t> год</w:t>
      </w:r>
      <w:r w:rsidR="009E274A" w:rsidRPr="00732013">
        <w:rPr>
          <w:spacing w:val="5"/>
          <w:w w:val="104"/>
          <w:lang w:val="ru-RU"/>
        </w:rPr>
        <w:t xml:space="preserve">у Учебный центр при </w:t>
      </w:r>
      <w:r w:rsidR="00C37ED8" w:rsidRPr="00732013">
        <w:rPr>
          <w:spacing w:val="5"/>
          <w:w w:val="104"/>
          <w:lang w:val="ru-RU"/>
        </w:rPr>
        <w:t>Национальной</w:t>
      </w:r>
      <w:r w:rsidR="009E274A" w:rsidRPr="00732013">
        <w:rPr>
          <w:spacing w:val="5"/>
          <w:w w:val="104"/>
          <w:lang w:val="ru-RU"/>
        </w:rPr>
        <w:t xml:space="preserve"> </w:t>
      </w:r>
      <w:r w:rsidR="00C37ED8" w:rsidRPr="00732013">
        <w:rPr>
          <w:spacing w:val="5"/>
          <w:w w:val="104"/>
          <w:lang w:val="ru-RU"/>
        </w:rPr>
        <w:t>администрации</w:t>
      </w:r>
      <w:r w:rsidR="009E274A" w:rsidRPr="00732013">
        <w:rPr>
          <w:spacing w:val="5"/>
          <w:w w:val="104"/>
          <w:lang w:val="ru-RU"/>
        </w:rPr>
        <w:t xml:space="preserve"> судов обеспечил участие</w:t>
      </w:r>
      <w:r w:rsidRPr="00732013">
        <w:rPr>
          <w:spacing w:val="5"/>
          <w:w w:val="104"/>
          <w:lang w:val="ru-RU"/>
        </w:rPr>
        <w:t xml:space="preserve"> 14</w:t>
      </w:r>
      <w:r w:rsidR="003262E9" w:rsidRPr="00732013">
        <w:rPr>
          <w:spacing w:val="5"/>
          <w:w w:val="104"/>
          <w:lang w:val="ru-RU"/>
        </w:rPr>
        <w:t> </w:t>
      </w:r>
      <w:r w:rsidR="00485299" w:rsidRPr="00732013">
        <w:rPr>
          <w:spacing w:val="5"/>
          <w:w w:val="104"/>
          <w:lang w:val="ru-RU"/>
        </w:rPr>
        <w:t xml:space="preserve">литовских судей в работе международных семинаров </w:t>
      </w:r>
      <w:r w:rsidR="003262E9" w:rsidRPr="00732013">
        <w:rPr>
          <w:spacing w:val="5"/>
          <w:w w:val="104"/>
          <w:lang w:val="ru-RU"/>
        </w:rPr>
        <w:t xml:space="preserve">на тему </w:t>
      </w:r>
      <w:r w:rsidR="00485299" w:rsidRPr="00732013">
        <w:rPr>
          <w:spacing w:val="5"/>
          <w:w w:val="104"/>
          <w:lang w:val="ru-RU"/>
        </w:rPr>
        <w:t>дискриминации и равноправи</w:t>
      </w:r>
      <w:r w:rsidR="003262E9" w:rsidRPr="00732013">
        <w:rPr>
          <w:spacing w:val="5"/>
          <w:w w:val="104"/>
          <w:lang w:val="ru-RU"/>
        </w:rPr>
        <w:t>я</w:t>
      </w:r>
      <w:r w:rsidR="00AD19A6" w:rsidRPr="00732013">
        <w:rPr>
          <w:spacing w:val="5"/>
          <w:w w:val="104"/>
          <w:lang w:val="ru-RU"/>
        </w:rPr>
        <w:t xml:space="preserve">, </w:t>
      </w:r>
      <w:r w:rsidR="00AD19A6" w:rsidRPr="00732013">
        <w:rPr>
          <w:spacing w:val="5"/>
          <w:w w:val="104"/>
        </w:rPr>
        <w:t>организованных</w:t>
      </w:r>
      <w:r w:rsidR="00AD19A6" w:rsidRPr="00732013">
        <w:rPr>
          <w:spacing w:val="5"/>
          <w:w w:val="104"/>
          <w:lang w:val="ru-RU"/>
        </w:rPr>
        <w:t xml:space="preserve"> </w:t>
      </w:r>
      <w:r w:rsidR="00B33648" w:rsidRPr="00732013">
        <w:rPr>
          <w:spacing w:val="5"/>
          <w:w w:val="104"/>
          <w:lang w:val="ru-RU"/>
        </w:rPr>
        <w:t>Академией европейского права</w:t>
      </w:r>
      <w:r w:rsidR="00890EA1" w:rsidRPr="00732013">
        <w:rPr>
          <w:spacing w:val="5"/>
          <w:w w:val="104"/>
          <w:lang w:val="ru-RU"/>
        </w:rPr>
        <w:t xml:space="preserve"> (Трир, Германия)</w:t>
      </w:r>
      <w:r w:rsidR="00B33648" w:rsidRPr="00732013">
        <w:rPr>
          <w:spacing w:val="5"/>
          <w:w w:val="104"/>
          <w:lang w:val="ru-RU"/>
        </w:rPr>
        <w:t xml:space="preserve"> </w:t>
      </w:r>
      <w:r w:rsidR="00AD19A6" w:rsidRPr="00732013">
        <w:rPr>
          <w:spacing w:val="5"/>
          <w:w w:val="104"/>
          <w:lang w:val="ru-RU"/>
        </w:rPr>
        <w:t>совместно с Европейской комиссией</w:t>
      </w:r>
      <w:r w:rsidR="00FA3CB1" w:rsidRPr="00732013">
        <w:rPr>
          <w:spacing w:val="5"/>
          <w:w w:val="104"/>
          <w:lang w:val="ru-RU"/>
        </w:rPr>
        <w:t>. 17–</w:t>
      </w:r>
      <w:r w:rsidRPr="00732013">
        <w:rPr>
          <w:spacing w:val="5"/>
          <w:w w:val="104"/>
          <w:lang w:val="ru-RU"/>
        </w:rPr>
        <w:t>18</w:t>
      </w:r>
      <w:r w:rsidR="003262E9" w:rsidRPr="00732013">
        <w:rPr>
          <w:spacing w:val="5"/>
          <w:w w:val="104"/>
          <w:lang w:val="ru-RU"/>
        </w:rPr>
        <w:t> </w:t>
      </w:r>
      <w:r w:rsidR="00FA3CB1" w:rsidRPr="00732013">
        <w:rPr>
          <w:spacing w:val="5"/>
          <w:w w:val="104"/>
          <w:lang w:val="ru-RU"/>
        </w:rPr>
        <w:t>октября</w:t>
      </w:r>
      <w:r w:rsidRPr="00732013">
        <w:rPr>
          <w:spacing w:val="5"/>
          <w:w w:val="104"/>
          <w:lang w:val="ru-RU"/>
        </w:rPr>
        <w:t xml:space="preserve"> 2011</w:t>
      </w:r>
      <w:r w:rsidR="008055A1" w:rsidRPr="00732013">
        <w:rPr>
          <w:spacing w:val="5"/>
          <w:w w:val="104"/>
          <w:lang w:val="ru-RU"/>
        </w:rPr>
        <w:t> год</w:t>
      </w:r>
      <w:r w:rsidR="00FA3CB1" w:rsidRPr="00732013">
        <w:rPr>
          <w:spacing w:val="5"/>
          <w:w w:val="104"/>
          <w:lang w:val="ru-RU"/>
        </w:rPr>
        <w:t>а состоялся семинар на тему</w:t>
      </w:r>
      <w:r w:rsidRPr="00732013">
        <w:rPr>
          <w:spacing w:val="5"/>
          <w:w w:val="104"/>
          <w:lang w:val="ru-RU"/>
        </w:rPr>
        <w:t xml:space="preserve"> </w:t>
      </w:r>
      <w:r w:rsidR="009F0AF0" w:rsidRPr="00732013">
        <w:rPr>
          <w:spacing w:val="5"/>
          <w:w w:val="104"/>
          <w:lang w:val="ru-RU"/>
        </w:rPr>
        <w:t>"</w:t>
      </w:r>
      <w:r w:rsidR="00FA3CB1" w:rsidRPr="00732013">
        <w:rPr>
          <w:spacing w:val="5"/>
          <w:w w:val="104"/>
          <w:lang w:val="ru-RU"/>
        </w:rPr>
        <w:t xml:space="preserve">Законодательство Европейского союза, регулирующее равные возможности </w:t>
      </w:r>
      <w:r w:rsidR="00890DB3" w:rsidRPr="00732013">
        <w:rPr>
          <w:spacing w:val="5"/>
          <w:w w:val="104"/>
          <w:lang w:val="ru-RU"/>
        </w:rPr>
        <w:t>мужчин и женщин на практике</w:t>
      </w:r>
      <w:r w:rsidR="009F0AF0" w:rsidRPr="00732013">
        <w:rPr>
          <w:spacing w:val="5"/>
          <w:w w:val="104"/>
          <w:lang w:val="ru-RU"/>
        </w:rPr>
        <w:t>"</w:t>
      </w:r>
      <w:r w:rsidR="00890DB3" w:rsidRPr="00732013">
        <w:rPr>
          <w:spacing w:val="5"/>
          <w:w w:val="104"/>
          <w:lang w:val="ru-RU"/>
        </w:rPr>
        <w:t>, а</w:t>
      </w:r>
      <w:r w:rsidRPr="00732013">
        <w:rPr>
          <w:spacing w:val="5"/>
          <w:w w:val="104"/>
          <w:lang w:val="ru-RU"/>
        </w:rPr>
        <w:t xml:space="preserve"> </w:t>
      </w:r>
      <w:r w:rsidR="0053137B" w:rsidRPr="00732013">
        <w:rPr>
          <w:spacing w:val="5"/>
          <w:w w:val="104"/>
          <w:lang w:val="ru-RU"/>
        </w:rPr>
        <w:t>14–</w:t>
      </w:r>
      <w:r w:rsidRPr="00732013">
        <w:rPr>
          <w:spacing w:val="5"/>
          <w:w w:val="104"/>
          <w:lang w:val="ru-RU"/>
        </w:rPr>
        <w:t>15</w:t>
      </w:r>
      <w:r w:rsidR="003262E9" w:rsidRPr="00732013">
        <w:rPr>
          <w:spacing w:val="5"/>
          <w:w w:val="104"/>
          <w:lang w:val="ru-RU"/>
        </w:rPr>
        <w:t> </w:t>
      </w:r>
      <w:r w:rsidR="00890DB3" w:rsidRPr="00732013">
        <w:rPr>
          <w:spacing w:val="5"/>
          <w:w w:val="104"/>
          <w:lang w:val="ru-RU"/>
        </w:rPr>
        <w:t>ноября</w:t>
      </w:r>
      <w:r w:rsidRPr="00732013">
        <w:rPr>
          <w:spacing w:val="5"/>
          <w:w w:val="104"/>
          <w:lang w:val="ru-RU"/>
        </w:rPr>
        <w:t xml:space="preserve"> 2011</w:t>
      </w:r>
      <w:r w:rsidR="008055A1" w:rsidRPr="00732013">
        <w:rPr>
          <w:spacing w:val="5"/>
          <w:w w:val="104"/>
          <w:lang w:val="ru-RU"/>
        </w:rPr>
        <w:t> год</w:t>
      </w:r>
      <w:r w:rsidR="00890DB3" w:rsidRPr="00732013">
        <w:rPr>
          <w:spacing w:val="5"/>
          <w:w w:val="104"/>
          <w:lang w:val="ru-RU"/>
        </w:rPr>
        <w:t>а</w:t>
      </w:r>
      <w:r w:rsidR="0053137B" w:rsidRPr="00732013">
        <w:rPr>
          <w:spacing w:val="5"/>
          <w:w w:val="104"/>
          <w:lang w:val="ru-RU"/>
        </w:rPr>
        <w:t xml:space="preserve"> </w:t>
      </w:r>
      <w:r w:rsidR="003262E9" w:rsidRPr="00732013">
        <w:rPr>
          <w:spacing w:val="5"/>
          <w:w w:val="104"/>
          <w:lang w:val="ru-RU"/>
        </w:rPr>
        <w:t>–</w:t>
      </w:r>
      <w:r w:rsidR="0053137B" w:rsidRPr="00732013">
        <w:rPr>
          <w:spacing w:val="5"/>
          <w:w w:val="104"/>
          <w:lang w:val="ru-RU"/>
        </w:rPr>
        <w:t xml:space="preserve"> семинар на тему</w:t>
      </w:r>
      <w:r w:rsidRPr="00732013">
        <w:rPr>
          <w:spacing w:val="5"/>
          <w:w w:val="104"/>
          <w:lang w:val="ru-RU"/>
        </w:rPr>
        <w:t xml:space="preserve"> </w:t>
      </w:r>
      <w:r w:rsidR="009F0AF0" w:rsidRPr="00732013">
        <w:rPr>
          <w:spacing w:val="5"/>
          <w:w w:val="104"/>
          <w:lang w:val="ru-RU"/>
        </w:rPr>
        <w:t>"</w:t>
      </w:r>
      <w:r w:rsidR="00565495" w:rsidRPr="00732013">
        <w:rPr>
          <w:spacing w:val="5"/>
          <w:w w:val="104"/>
          <w:lang w:val="ru-RU"/>
        </w:rPr>
        <w:t>Директивы по</w:t>
      </w:r>
      <w:r w:rsidR="0053137B" w:rsidRPr="00732013">
        <w:rPr>
          <w:spacing w:val="5"/>
          <w:w w:val="104"/>
          <w:lang w:val="ru-RU"/>
        </w:rPr>
        <w:t xml:space="preserve"> </w:t>
      </w:r>
      <w:r w:rsidR="00565495" w:rsidRPr="00732013">
        <w:rPr>
          <w:spacing w:val="5"/>
          <w:w w:val="104"/>
          <w:lang w:val="ru-RU"/>
        </w:rPr>
        <w:t xml:space="preserve">противодействию </w:t>
      </w:r>
      <w:r w:rsidR="0053137B" w:rsidRPr="00732013">
        <w:rPr>
          <w:spacing w:val="5"/>
          <w:w w:val="104"/>
          <w:lang w:val="ru-RU"/>
        </w:rPr>
        <w:t>дискриминации</w:t>
      </w:r>
      <w:r w:rsidRPr="00732013">
        <w:rPr>
          <w:spacing w:val="5"/>
          <w:w w:val="104"/>
          <w:lang w:val="ru-RU"/>
        </w:rPr>
        <w:t xml:space="preserve"> </w:t>
      </w:r>
      <w:r w:rsidR="0053137B" w:rsidRPr="00732013">
        <w:rPr>
          <w:spacing w:val="5"/>
          <w:w w:val="104"/>
          <w:lang w:val="ru-RU"/>
        </w:rPr>
        <w:t>на практике</w:t>
      </w:r>
      <w:r w:rsidR="003262E9" w:rsidRPr="00732013">
        <w:rPr>
          <w:spacing w:val="5"/>
          <w:w w:val="104"/>
          <w:lang w:val="ru-RU"/>
        </w:rPr>
        <w:t> № 2000/843 и 2000/78</w:t>
      </w:r>
      <w:r w:rsidR="009F0AF0" w:rsidRPr="00732013">
        <w:rPr>
          <w:spacing w:val="5"/>
          <w:w w:val="104"/>
          <w:lang w:val="ru-RU"/>
        </w:rPr>
        <w:t>"</w:t>
      </w:r>
      <w:r w:rsidRPr="00732013">
        <w:rPr>
          <w:spacing w:val="5"/>
          <w:w w:val="104"/>
          <w:lang w:val="ru-RU"/>
        </w:rPr>
        <w:t xml:space="preserve">. </w:t>
      </w:r>
      <w:r w:rsidR="00D01DB9" w:rsidRPr="00732013">
        <w:rPr>
          <w:spacing w:val="5"/>
          <w:w w:val="104"/>
          <w:lang w:val="ru-RU"/>
        </w:rPr>
        <w:t>Таки</w:t>
      </w:r>
      <w:r w:rsidR="008B6B86" w:rsidRPr="00732013">
        <w:rPr>
          <w:spacing w:val="5"/>
          <w:w w:val="104"/>
          <w:lang w:val="ru-RU"/>
        </w:rPr>
        <w:t xml:space="preserve">е семинары </w:t>
      </w:r>
      <w:r w:rsidR="005D7898" w:rsidRPr="00732013">
        <w:rPr>
          <w:spacing w:val="5"/>
          <w:w w:val="104"/>
          <w:lang w:val="ru-RU"/>
        </w:rPr>
        <w:t>предоставили</w:t>
      </w:r>
      <w:r w:rsidR="008B6B86" w:rsidRPr="00732013">
        <w:rPr>
          <w:spacing w:val="5"/>
          <w:w w:val="104"/>
          <w:lang w:val="ru-RU"/>
        </w:rPr>
        <w:t xml:space="preserve"> литовским судьям</w:t>
      </w:r>
      <w:r w:rsidR="005D7898" w:rsidRPr="00732013">
        <w:rPr>
          <w:spacing w:val="5"/>
          <w:w w:val="104"/>
          <w:lang w:val="ru-RU"/>
        </w:rPr>
        <w:t xml:space="preserve"> возможность обменяться опытом и информацией с судьями, прокурорами и другими</w:t>
      </w:r>
      <w:r w:rsidR="002A12A4" w:rsidRPr="00732013">
        <w:rPr>
          <w:spacing w:val="5"/>
          <w:w w:val="104"/>
          <w:lang w:val="ru-RU"/>
        </w:rPr>
        <w:t xml:space="preserve"> профессиональными юристами из других стран</w:t>
      </w:r>
      <w:r w:rsidR="00D01DB9" w:rsidRPr="00732013">
        <w:rPr>
          <w:spacing w:val="5"/>
          <w:w w:val="104"/>
          <w:lang w:val="ru-RU"/>
        </w:rPr>
        <w:t xml:space="preserve"> – </w:t>
      </w:r>
      <w:r w:rsidR="002A12A4" w:rsidRPr="00732013">
        <w:rPr>
          <w:spacing w:val="5"/>
          <w:w w:val="104"/>
          <w:lang w:val="ru-RU"/>
        </w:rPr>
        <w:t>членов ЕС</w:t>
      </w:r>
      <w:r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8.</w:t>
      </w:r>
      <w:r w:rsidRPr="00732013">
        <w:rPr>
          <w:spacing w:val="5"/>
          <w:w w:val="104"/>
          <w:lang w:val="ru-RU"/>
        </w:rPr>
        <w:tab/>
      </w:r>
      <w:r w:rsidR="002A12A4" w:rsidRPr="00732013">
        <w:rPr>
          <w:spacing w:val="5"/>
          <w:w w:val="104"/>
          <w:lang w:val="ru-RU"/>
        </w:rPr>
        <w:t xml:space="preserve">Учебный центр при </w:t>
      </w:r>
      <w:r w:rsidR="006A041A" w:rsidRPr="00732013">
        <w:rPr>
          <w:spacing w:val="5"/>
          <w:w w:val="104"/>
          <w:lang w:val="ru-RU"/>
        </w:rPr>
        <w:t>Национальной администрации судов</w:t>
      </w:r>
      <w:r w:rsidR="006A041A" w:rsidRPr="00732013">
        <w:rPr>
          <w:color w:val="0000FF"/>
          <w:spacing w:val="5"/>
          <w:w w:val="104"/>
          <w:lang w:val="ru-RU"/>
        </w:rPr>
        <w:t xml:space="preserve"> </w:t>
      </w:r>
      <w:r w:rsidR="002A12A4" w:rsidRPr="00732013">
        <w:rPr>
          <w:spacing w:val="5"/>
          <w:w w:val="104"/>
          <w:lang w:val="ru-RU"/>
        </w:rPr>
        <w:t xml:space="preserve">проводил подготовку судей, прокуроров и сотрудников полиции по вопросам </w:t>
      </w:r>
      <w:r w:rsidR="00F3109D" w:rsidRPr="00732013">
        <w:rPr>
          <w:spacing w:val="5"/>
          <w:w w:val="104"/>
          <w:lang w:val="ru-RU"/>
        </w:rPr>
        <w:t>насилия</w:t>
      </w:r>
      <w:r w:rsidR="00D01DB9" w:rsidRPr="00732013">
        <w:rPr>
          <w:spacing w:val="5"/>
          <w:w w:val="104"/>
          <w:lang w:val="ru-RU"/>
        </w:rPr>
        <w:t xml:space="preserve"> в семье</w:t>
      </w:r>
      <w:r w:rsidR="00F3109D" w:rsidRPr="00732013">
        <w:rPr>
          <w:spacing w:val="5"/>
          <w:w w:val="104"/>
          <w:lang w:val="ru-RU"/>
        </w:rPr>
        <w:t xml:space="preserve">. В ходе занятий рассматривались правовые аспекты насилия в отношении женщин, опыт </w:t>
      </w:r>
      <w:r w:rsidR="00AD2682" w:rsidRPr="00732013">
        <w:rPr>
          <w:spacing w:val="5"/>
          <w:w w:val="104"/>
          <w:lang w:val="ru-RU"/>
        </w:rPr>
        <w:t xml:space="preserve">других государств в борьбе </w:t>
      </w:r>
      <w:r w:rsidR="00D01DB9" w:rsidRPr="00732013">
        <w:rPr>
          <w:spacing w:val="5"/>
          <w:w w:val="104"/>
          <w:lang w:val="ru-RU"/>
        </w:rPr>
        <w:t xml:space="preserve">с </w:t>
      </w:r>
      <w:r w:rsidR="00AD2682" w:rsidRPr="00732013">
        <w:rPr>
          <w:spacing w:val="5"/>
          <w:w w:val="104"/>
          <w:lang w:val="ru-RU"/>
        </w:rPr>
        <w:t xml:space="preserve">насилием </w:t>
      </w:r>
      <w:r w:rsidR="00D01DB9" w:rsidRPr="00732013">
        <w:rPr>
          <w:spacing w:val="5"/>
          <w:w w:val="104"/>
          <w:lang w:val="ru-RU"/>
        </w:rPr>
        <w:t xml:space="preserve">в семье </w:t>
      </w:r>
      <w:r w:rsidR="00AD2682" w:rsidRPr="00732013">
        <w:rPr>
          <w:spacing w:val="5"/>
          <w:w w:val="104"/>
          <w:lang w:val="ru-RU"/>
        </w:rPr>
        <w:t xml:space="preserve">и примеры наилучшей практики </w:t>
      </w:r>
      <w:r w:rsidR="00D01DB9" w:rsidRPr="00732013">
        <w:rPr>
          <w:spacing w:val="5"/>
          <w:w w:val="104"/>
          <w:lang w:val="ru-RU"/>
        </w:rPr>
        <w:t xml:space="preserve">применения </w:t>
      </w:r>
      <w:r w:rsidR="00AD2682" w:rsidRPr="00732013">
        <w:rPr>
          <w:spacing w:val="5"/>
          <w:w w:val="104"/>
          <w:lang w:val="ru-RU"/>
        </w:rPr>
        <w:t>законодательства. В работе семинара участвовали</w:t>
      </w:r>
      <w:r w:rsidRPr="00732013">
        <w:rPr>
          <w:spacing w:val="5"/>
          <w:w w:val="104"/>
          <w:lang w:val="ru-RU"/>
        </w:rPr>
        <w:t xml:space="preserve"> 30</w:t>
      </w:r>
      <w:r w:rsidR="00D01DB9" w:rsidRPr="00732013">
        <w:rPr>
          <w:spacing w:val="5"/>
          <w:w w:val="104"/>
          <w:lang w:val="ru-RU"/>
        </w:rPr>
        <w:t> </w:t>
      </w:r>
      <w:r w:rsidR="00AD2682" w:rsidRPr="00732013">
        <w:rPr>
          <w:spacing w:val="5"/>
          <w:w w:val="104"/>
          <w:lang w:val="ru-RU"/>
        </w:rPr>
        <w:t>судей</w:t>
      </w:r>
      <w:r w:rsidRPr="00732013">
        <w:rPr>
          <w:spacing w:val="5"/>
          <w:w w:val="104"/>
          <w:lang w:val="ru-RU"/>
        </w:rPr>
        <w:t>, 10</w:t>
      </w:r>
      <w:r w:rsidR="00D01DB9" w:rsidRPr="00732013">
        <w:rPr>
          <w:spacing w:val="5"/>
          <w:w w:val="104"/>
          <w:lang w:val="ru-RU"/>
        </w:rPr>
        <w:t> </w:t>
      </w:r>
      <w:r w:rsidR="00AD2682" w:rsidRPr="00732013">
        <w:rPr>
          <w:spacing w:val="5"/>
          <w:w w:val="104"/>
          <w:lang w:val="ru-RU"/>
        </w:rPr>
        <w:t>прокуроров</w:t>
      </w:r>
      <w:r w:rsidRPr="00732013">
        <w:rPr>
          <w:spacing w:val="5"/>
          <w:w w:val="104"/>
          <w:lang w:val="ru-RU"/>
        </w:rPr>
        <w:t>, 20</w:t>
      </w:r>
      <w:r w:rsidR="00D01DB9" w:rsidRPr="00732013">
        <w:rPr>
          <w:spacing w:val="5"/>
          <w:w w:val="104"/>
          <w:lang w:val="ru-RU"/>
        </w:rPr>
        <w:t> </w:t>
      </w:r>
      <w:r w:rsidR="00AD2682" w:rsidRPr="00732013">
        <w:rPr>
          <w:spacing w:val="5"/>
          <w:w w:val="104"/>
          <w:lang w:val="ru-RU"/>
        </w:rPr>
        <w:t>сотрудников полиции и</w:t>
      </w:r>
      <w:r w:rsidR="00B56A51" w:rsidRPr="00732013">
        <w:rPr>
          <w:spacing w:val="5"/>
          <w:w w:val="104"/>
          <w:lang w:val="ru-RU"/>
        </w:rPr>
        <w:t xml:space="preserve"> два помощника судьи</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9.</w:t>
      </w:r>
      <w:r w:rsidRPr="00732013">
        <w:rPr>
          <w:spacing w:val="5"/>
          <w:w w:val="104"/>
          <w:lang w:val="ru-RU"/>
        </w:rPr>
        <w:tab/>
      </w:r>
      <w:r w:rsidR="00B56A51" w:rsidRPr="00732013">
        <w:rPr>
          <w:spacing w:val="5"/>
          <w:w w:val="104"/>
          <w:lang w:val="ru-RU"/>
        </w:rPr>
        <w:t>Ежегодная подготовка по вопросам равноправия мужчин и женщин проводится</w:t>
      </w:r>
      <w:r w:rsidR="001F251C" w:rsidRPr="00732013">
        <w:rPr>
          <w:spacing w:val="5"/>
          <w:w w:val="104"/>
          <w:lang w:val="ru-RU"/>
        </w:rPr>
        <w:t xml:space="preserve"> не только для юри</w:t>
      </w:r>
      <w:r w:rsidR="00D01DB9" w:rsidRPr="00732013">
        <w:rPr>
          <w:spacing w:val="5"/>
          <w:w w:val="104"/>
          <w:lang w:val="ru-RU"/>
        </w:rPr>
        <w:t>стов-профессионалов</w:t>
      </w:r>
      <w:r w:rsidR="001F251C" w:rsidRPr="00732013">
        <w:rPr>
          <w:spacing w:val="5"/>
          <w:w w:val="104"/>
          <w:lang w:val="ru-RU"/>
        </w:rPr>
        <w:t xml:space="preserve">, но и для тех, кто занят в </w:t>
      </w:r>
      <w:r w:rsidR="00C015E8" w:rsidRPr="00732013">
        <w:rPr>
          <w:spacing w:val="5"/>
          <w:w w:val="104"/>
          <w:lang w:val="ru-RU"/>
        </w:rPr>
        <w:t>других,</w:t>
      </w:r>
      <w:r w:rsidR="00D01DB9" w:rsidRPr="00732013">
        <w:rPr>
          <w:spacing w:val="5"/>
          <w:w w:val="104"/>
          <w:lang w:val="ru-RU"/>
        </w:rPr>
        <w:t xml:space="preserve"> в частности</w:t>
      </w:r>
      <w:r w:rsidR="00C015E8" w:rsidRPr="00732013">
        <w:rPr>
          <w:spacing w:val="5"/>
          <w:w w:val="104"/>
          <w:lang w:val="ru-RU"/>
        </w:rPr>
        <w:t xml:space="preserve"> в так называемых</w:t>
      </w:r>
      <w:r w:rsidRPr="00732013">
        <w:rPr>
          <w:spacing w:val="5"/>
          <w:w w:val="104"/>
          <w:lang w:val="ru-RU"/>
        </w:rPr>
        <w:t xml:space="preserve"> </w:t>
      </w:r>
      <w:r w:rsidR="009F0AF0" w:rsidRPr="00732013">
        <w:rPr>
          <w:spacing w:val="5"/>
          <w:w w:val="104"/>
          <w:lang w:val="ru-RU"/>
        </w:rPr>
        <w:t>"</w:t>
      </w:r>
      <w:r w:rsidR="00D01DB9" w:rsidRPr="00732013">
        <w:rPr>
          <w:spacing w:val="5"/>
          <w:w w:val="104"/>
          <w:lang w:val="ru-RU"/>
        </w:rPr>
        <w:t>мужск</w:t>
      </w:r>
      <w:r w:rsidR="00C015E8" w:rsidRPr="00732013">
        <w:rPr>
          <w:spacing w:val="5"/>
          <w:w w:val="104"/>
          <w:lang w:val="ru-RU"/>
        </w:rPr>
        <w:t>их</w:t>
      </w:r>
      <w:r w:rsidR="009F0AF0" w:rsidRPr="00732013">
        <w:rPr>
          <w:spacing w:val="5"/>
          <w:w w:val="104"/>
          <w:lang w:val="ru-RU"/>
        </w:rPr>
        <w:t>"</w:t>
      </w:r>
      <w:r w:rsidRPr="00732013">
        <w:rPr>
          <w:spacing w:val="5"/>
          <w:w w:val="104"/>
          <w:lang w:val="ru-RU"/>
        </w:rPr>
        <w:t xml:space="preserve"> </w:t>
      </w:r>
      <w:r w:rsidR="00C015E8" w:rsidRPr="00732013">
        <w:rPr>
          <w:spacing w:val="5"/>
          <w:w w:val="104"/>
          <w:lang w:val="ru-RU"/>
        </w:rPr>
        <w:t>сферах</w:t>
      </w:r>
      <w:r w:rsidRPr="00732013">
        <w:rPr>
          <w:spacing w:val="5"/>
          <w:w w:val="104"/>
          <w:lang w:val="ru-RU"/>
        </w:rPr>
        <w:t xml:space="preserve">, </w:t>
      </w:r>
      <w:r w:rsidR="00C015E8" w:rsidRPr="00732013">
        <w:rPr>
          <w:spacing w:val="5"/>
          <w:w w:val="104"/>
          <w:lang w:val="ru-RU"/>
        </w:rPr>
        <w:t>в том числе военных, полицейских, транспортных и т.</w:t>
      </w:r>
      <w:r w:rsidR="00D01DB9" w:rsidRPr="00732013">
        <w:rPr>
          <w:spacing w:val="5"/>
          <w:w w:val="104"/>
          <w:lang w:val="ru-RU"/>
        </w:rPr>
        <w:t> </w:t>
      </w:r>
      <w:r w:rsidR="00C015E8" w:rsidRPr="00732013">
        <w:rPr>
          <w:spacing w:val="5"/>
          <w:w w:val="104"/>
          <w:lang w:val="ru-RU"/>
        </w:rPr>
        <w:t>д.</w:t>
      </w:r>
      <w:r w:rsidR="005829B1" w:rsidRPr="00732013">
        <w:rPr>
          <w:spacing w:val="5"/>
          <w:w w:val="104"/>
          <w:lang w:val="ru-RU"/>
        </w:rPr>
        <w:t xml:space="preserve"> Для иностранцев</w:t>
      </w:r>
      <w:r w:rsidR="00997A7C" w:rsidRPr="00732013">
        <w:rPr>
          <w:spacing w:val="5"/>
          <w:w w:val="104"/>
          <w:lang w:val="ru-RU"/>
        </w:rPr>
        <w:t>, ищущих убежищ</w:t>
      </w:r>
      <w:r w:rsidR="00D01DB9" w:rsidRPr="00732013">
        <w:rPr>
          <w:spacing w:val="5"/>
          <w:w w:val="104"/>
          <w:lang w:val="ru-RU"/>
        </w:rPr>
        <w:t>а</w:t>
      </w:r>
      <w:r w:rsidR="00997A7C" w:rsidRPr="00732013">
        <w:rPr>
          <w:spacing w:val="5"/>
          <w:w w:val="104"/>
          <w:lang w:val="ru-RU"/>
        </w:rPr>
        <w:t xml:space="preserve">, в случае положительного решения проводятся индивидуальные занятия по </w:t>
      </w:r>
      <w:r w:rsidR="00F22007" w:rsidRPr="00732013">
        <w:rPr>
          <w:spacing w:val="5"/>
          <w:w w:val="104"/>
          <w:lang w:val="ru-RU"/>
        </w:rPr>
        <w:t>вопросам прав человека и равным возможностям</w:t>
      </w:r>
      <w:r w:rsidR="00BF04B9" w:rsidRPr="00732013">
        <w:rPr>
          <w:rStyle w:val="FootnoteReference"/>
          <w:spacing w:val="5"/>
          <w:w w:val="104"/>
          <w:sz w:val="20"/>
        </w:rPr>
        <w:footnoteReference w:id="8"/>
      </w:r>
      <w:r w:rsidR="00D01DB9" w:rsidRPr="00732013">
        <w:rPr>
          <w:spacing w:val="5"/>
          <w:w w:val="104"/>
          <w:lang w:val="ru-RU"/>
        </w:rPr>
        <w:t>.</w:t>
      </w:r>
      <w:r w:rsidR="00F22007" w:rsidRPr="00732013">
        <w:rPr>
          <w:spacing w:val="5"/>
          <w:w w:val="104"/>
          <w:lang w:val="ru-RU"/>
        </w:rPr>
        <w:t xml:space="preserve"> Конкретные примеры различных видов подготовки </w:t>
      </w:r>
      <w:r w:rsidR="00577CF4" w:rsidRPr="00732013">
        <w:rPr>
          <w:spacing w:val="5"/>
          <w:w w:val="104"/>
          <w:lang w:val="ru-RU"/>
        </w:rPr>
        <w:t xml:space="preserve">приведены </w:t>
      </w:r>
      <w:r w:rsidR="00F22007" w:rsidRPr="00732013">
        <w:rPr>
          <w:spacing w:val="5"/>
          <w:w w:val="104"/>
          <w:lang w:val="ru-RU"/>
        </w:rPr>
        <w:t>в Приложении</w:t>
      </w:r>
      <w:r w:rsidR="00577CF4" w:rsidRPr="00732013">
        <w:rPr>
          <w:spacing w:val="5"/>
          <w:w w:val="104"/>
          <w:lang w:val="ru-RU"/>
        </w:rPr>
        <w:t> </w:t>
      </w:r>
      <w:r w:rsidRPr="00732013">
        <w:rPr>
          <w:spacing w:val="5"/>
          <w:w w:val="104"/>
          <w:lang w:val="ru-RU"/>
        </w:rPr>
        <w:t>1.</w:t>
      </w:r>
      <w:r w:rsidR="00AE3ED8"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10.</w:t>
      </w:r>
      <w:r w:rsidRPr="00732013">
        <w:rPr>
          <w:spacing w:val="5"/>
          <w:w w:val="104"/>
          <w:lang w:val="ru-RU"/>
        </w:rPr>
        <w:tab/>
      </w:r>
      <w:r w:rsidR="00577CF4" w:rsidRPr="00732013">
        <w:rPr>
          <w:spacing w:val="5"/>
          <w:w w:val="104"/>
          <w:lang w:val="ru-RU"/>
        </w:rPr>
        <w:t xml:space="preserve">Вопросы </w:t>
      </w:r>
      <w:r w:rsidR="00914298" w:rsidRPr="00732013">
        <w:rPr>
          <w:spacing w:val="5"/>
          <w:w w:val="104"/>
          <w:lang w:val="ru-RU"/>
        </w:rPr>
        <w:t xml:space="preserve">равноправия мужчин и женщин </w:t>
      </w:r>
      <w:r w:rsidR="00E73563" w:rsidRPr="00732013">
        <w:rPr>
          <w:spacing w:val="5"/>
          <w:w w:val="104"/>
          <w:lang w:val="ru-RU"/>
        </w:rPr>
        <w:t>вход</w:t>
      </w:r>
      <w:r w:rsidR="00577CF4" w:rsidRPr="00732013">
        <w:rPr>
          <w:spacing w:val="5"/>
          <w:w w:val="104"/>
          <w:lang w:val="ru-RU"/>
        </w:rPr>
        <w:t>я</w:t>
      </w:r>
      <w:r w:rsidR="00E73563" w:rsidRPr="00732013">
        <w:rPr>
          <w:spacing w:val="5"/>
          <w:w w:val="104"/>
          <w:lang w:val="ru-RU"/>
        </w:rPr>
        <w:t>т</w:t>
      </w:r>
      <w:r w:rsidR="00914298" w:rsidRPr="00732013">
        <w:rPr>
          <w:spacing w:val="5"/>
          <w:w w:val="104"/>
          <w:lang w:val="ru-RU"/>
        </w:rPr>
        <w:t xml:space="preserve"> в </w:t>
      </w:r>
      <w:r w:rsidR="00E73563" w:rsidRPr="00732013">
        <w:rPr>
          <w:spacing w:val="5"/>
          <w:w w:val="104"/>
          <w:lang w:val="ru-RU"/>
        </w:rPr>
        <w:t>университетск</w:t>
      </w:r>
      <w:r w:rsidR="00577CF4" w:rsidRPr="00732013">
        <w:rPr>
          <w:spacing w:val="5"/>
          <w:w w:val="104"/>
          <w:lang w:val="ru-RU"/>
        </w:rPr>
        <w:t>ие</w:t>
      </w:r>
      <w:r w:rsidR="00E73563" w:rsidRPr="00732013">
        <w:rPr>
          <w:spacing w:val="5"/>
          <w:w w:val="104"/>
          <w:lang w:val="ru-RU"/>
        </w:rPr>
        <w:t xml:space="preserve"> </w:t>
      </w:r>
      <w:r w:rsidR="00577CF4" w:rsidRPr="00732013">
        <w:rPr>
          <w:spacing w:val="5"/>
          <w:w w:val="104"/>
          <w:lang w:val="ru-RU"/>
        </w:rPr>
        <w:t xml:space="preserve">программы, в частности по подготовке </w:t>
      </w:r>
      <w:r w:rsidR="00E73563" w:rsidRPr="00732013">
        <w:rPr>
          <w:spacing w:val="5"/>
          <w:w w:val="104"/>
          <w:lang w:val="ru-RU"/>
        </w:rPr>
        <w:t xml:space="preserve">будущих </w:t>
      </w:r>
      <w:r w:rsidR="00577CF4" w:rsidRPr="00732013">
        <w:rPr>
          <w:spacing w:val="5"/>
          <w:w w:val="104"/>
          <w:lang w:val="ru-RU"/>
        </w:rPr>
        <w:t>юристов</w:t>
      </w:r>
      <w:r w:rsidR="00E73563" w:rsidRPr="00732013">
        <w:rPr>
          <w:spacing w:val="5"/>
          <w:w w:val="104"/>
          <w:lang w:val="ru-RU"/>
        </w:rPr>
        <w:t>.</w:t>
      </w:r>
      <w:r w:rsidR="00DB2F26" w:rsidRPr="00732013">
        <w:rPr>
          <w:spacing w:val="5"/>
          <w:w w:val="104"/>
          <w:lang w:val="ru-RU"/>
        </w:rPr>
        <w:t xml:space="preserve"> </w:t>
      </w:r>
      <w:r w:rsidR="00711513" w:rsidRPr="00732013">
        <w:rPr>
          <w:spacing w:val="5"/>
          <w:w w:val="104"/>
          <w:lang w:val="ru-RU"/>
        </w:rPr>
        <w:t>Так</w:t>
      </w:r>
      <w:r w:rsidR="00DB2F26" w:rsidRPr="00732013">
        <w:rPr>
          <w:spacing w:val="5"/>
          <w:w w:val="104"/>
          <w:lang w:val="ru-RU"/>
        </w:rPr>
        <w:t>,</w:t>
      </w:r>
      <w:r w:rsidR="00F7439B" w:rsidRPr="00732013">
        <w:rPr>
          <w:spacing w:val="5"/>
          <w:w w:val="104"/>
          <w:lang w:val="ru-RU"/>
        </w:rPr>
        <w:t xml:space="preserve"> Университет Миколаса Р</w:t>
      </w:r>
      <w:r w:rsidR="00577CF4" w:rsidRPr="00732013">
        <w:rPr>
          <w:spacing w:val="5"/>
          <w:w w:val="104"/>
          <w:lang w:val="ru-RU"/>
        </w:rPr>
        <w:t>о</w:t>
      </w:r>
      <w:r w:rsidR="00F7439B" w:rsidRPr="00732013">
        <w:rPr>
          <w:spacing w:val="5"/>
          <w:w w:val="104"/>
          <w:lang w:val="ru-RU"/>
        </w:rPr>
        <w:t>мериса</w:t>
      </w:r>
      <w:r w:rsidR="0088083F" w:rsidRPr="00732013">
        <w:rPr>
          <w:spacing w:val="5"/>
          <w:w w:val="104"/>
          <w:lang w:val="ru-RU"/>
        </w:rPr>
        <w:t xml:space="preserve"> включил в учебный план </w:t>
      </w:r>
      <w:r w:rsidR="00292402" w:rsidRPr="00732013">
        <w:rPr>
          <w:spacing w:val="5"/>
          <w:w w:val="104"/>
          <w:lang w:val="ru-RU"/>
        </w:rPr>
        <w:t>основных занятий</w:t>
      </w:r>
      <w:r w:rsidR="007216DD" w:rsidRPr="00732013">
        <w:rPr>
          <w:spacing w:val="5"/>
          <w:w w:val="104"/>
          <w:lang w:val="ru-RU"/>
        </w:rPr>
        <w:t xml:space="preserve"> право </w:t>
      </w:r>
      <w:r w:rsidR="009138B7" w:rsidRPr="00732013">
        <w:rPr>
          <w:spacing w:val="5"/>
          <w:w w:val="104"/>
          <w:lang w:val="ru-RU"/>
        </w:rPr>
        <w:t xml:space="preserve">в области </w:t>
      </w:r>
      <w:r w:rsidR="007216DD" w:rsidRPr="00732013">
        <w:rPr>
          <w:spacing w:val="5"/>
          <w:w w:val="104"/>
          <w:lang w:val="ru-RU"/>
        </w:rPr>
        <w:t>прав человека</w:t>
      </w:r>
      <w:r w:rsidR="009138B7" w:rsidRPr="00732013">
        <w:rPr>
          <w:spacing w:val="5"/>
          <w:w w:val="104"/>
          <w:lang w:val="ru-RU"/>
        </w:rPr>
        <w:t xml:space="preserve"> </w:t>
      </w:r>
      <w:r w:rsidR="007216DD" w:rsidRPr="00732013">
        <w:rPr>
          <w:spacing w:val="5"/>
          <w:w w:val="104"/>
          <w:lang w:val="ru-RU"/>
        </w:rPr>
        <w:t xml:space="preserve">– </w:t>
      </w:r>
      <w:r w:rsidR="0072560E" w:rsidRPr="00732013">
        <w:rPr>
          <w:spacing w:val="5"/>
          <w:w w:val="104"/>
          <w:lang w:val="ru-RU"/>
        </w:rPr>
        <w:t>в международном, общеевропейском и национальном измерении</w:t>
      </w:r>
      <w:r w:rsidRPr="00732013">
        <w:rPr>
          <w:spacing w:val="5"/>
          <w:w w:val="104"/>
          <w:lang w:val="ru-RU"/>
        </w:rPr>
        <w:t xml:space="preserve">. </w:t>
      </w:r>
      <w:r w:rsidR="0014482F" w:rsidRPr="00732013">
        <w:rPr>
          <w:spacing w:val="5"/>
          <w:w w:val="104"/>
          <w:lang w:val="ru-RU"/>
        </w:rPr>
        <w:t>Гендерный аспект является частью изучения беженского права и других</w:t>
      </w:r>
      <w:r w:rsidR="00FB76FC" w:rsidRPr="00732013">
        <w:rPr>
          <w:spacing w:val="5"/>
          <w:w w:val="104"/>
          <w:lang w:val="ru-RU"/>
        </w:rPr>
        <w:t xml:space="preserve"> учебных программ. </w:t>
      </w:r>
      <w:r w:rsidR="00D672DD" w:rsidRPr="00732013">
        <w:rPr>
          <w:spacing w:val="5"/>
          <w:w w:val="104"/>
          <w:lang w:val="ru-RU"/>
        </w:rPr>
        <w:t>Центры гендерных исследований</w:t>
      </w:r>
      <w:r w:rsidR="00577CF4" w:rsidRPr="00732013">
        <w:rPr>
          <w:spacing w:val="5"/>
          <w:w w:val="104"/>
          <w:lang w:val="ru-RU"/>
        </w:rPr>
        <w:t xml:space="preserve"> при </w:t>
      </w:r>
      <w:r w:rsidR="0014482F" w:rsidRPr="00732013">
        <w:rPr>
          <w:spacing w:val="5"/>
          <w:w w:val="104"/>
          <w:lang w:val="ru-RU"/>
        </w:rPr>
        <w:t>Вильнюсско</w:t>
      </w:r>
      <w:r w:rsidR="00577CF4" w:rsidRPr="00732013">
        <w:rPr>
          <w:spacing w:val="5"/>
          <w:w w:val="104"/>
          <w:lang w:val="ru-RU"/>
        </w:rPr>
        <w:t>м</w:t>
      </w:r>
      <w:r w:rsidR="0014482F" w:rsidRPr="00732013">
        <w:rPr>
          <w:spacing w:val="5"/>
          <w:w w:val="104"/>
          <w:lang w:val="ru-RU"/>
        </w:rPr>
        <w:t xml:space="preserve"> и</w:t>
      </w:r>
      <w:r w:rsidR="00D672DD" w:rsidRPr="00732013">
        <w:rPr>
          <w:spacing w:val="5"/>
          <w:w w:val="104"/>
          <w:lang w:val="ru-RU"/>
        </w:rPr>
        <w:t xml:space="preserve"> Ш</w:t>
      </w:r>
      <w:r w:rsidR="00577CF4" w:rsidRPr="00732013">
        <w:rPr>
          <w:spacing w:val="5"/>
          <w:w w:val="104"/>
          <w:lang w:val="ru-RU"/>
        </w:rPr>
        <w:t>я</w:t>
      </w:r>
      <w:r w:rsidR="00D672DD" w:rsidRPr="00732013">
        <w:rPr>
          <w:spacing w:val="5"/>
          <w:w w:val="104"/>
          <w:lang w:val="ru-RU"/>
        </w:rPr>
        <w:t>уляйско</w:t>
      </w:r>
      <w:r w:rsidR="00577CF4" w:rsidRPr="00732013">
        <w:rPr>
          <w:spacing w:val="5"/>
          <w:w w:val="104"/>
          <w:lang w:val="ru-RU"/>
        </w:rPr>
        <w:t>м</w:t>
      </w:r>
      <w:r w:rsidR="00D672DD" w:rsidRPr="00732013">
        <w:rPr>
          <w:spacing w:val="5"/>
          <w:w w:val="104"/>
          <w:lang w:val="ru-RU"/>
        </w:rPr>
        <w:t xml:space="preserve"> университет</w:t>
      </w:r>
      <w:r w:rsidR="00577CF4" w:rsidRPr="00732013">
        <w:rPr>
          <w:spacing w:val="5"/>
          <w:w w:val="104"/>
          <w:lang w:val="ru-RU"/>
        </w:rPr>
        <w:t>ах</w:t>
      </w:r>
      <w:r w:rsidR="00D672DD" w:rsidRPr="00732013">
        <w:rPr>
          <w:spacing w:val="5"/>
          <w:w w:val="104"/>
          <w:lang w:val="ru-RU"/>
        </w:rPr>
        <w:t xml:space="preserve"> </w:t>
      </w:r>
      <w:r w:rsidR="009703E7" w:rsidRPr="00732013">
        <w:rPr>
          <w:spacing w:val="5"/>
          <w:w w:val="104"/>
          <w:lang w:val="ru-RU"/>
        </w:rPr>
        <w:t>предлагают широкий круг дополнительных заняти</w:t>
      </w:r>
      <w:r w:rsidR="00C2265A" w:rsidRPr="00732013">
        <w:rPr>
          <w:spacing w:val="5"/>
          <w:w w:val="104"/>
          <w:lang w:val="ru-RU"/>
        </w:rPr>
        <w:t>й в области гендерного равенст</w:t>
      </w:r>
      <w:r w:rsidR="00FC5563" w:rsidRPr="00732013">
        <w:rPr>
          <w:spacing w:val="5"/>
          <w:w w:val="104"/>
          <w:lang w:val="ru-RU"/>
        </w:rPr>
        <w:t>в</w:t>
      </w:r>
      <w:r w:rsidR="009703E7" w:rsidRPr="00732013">
        <w:rPr>
          <w:spacing w:val="5"/>
          <w:w w:val="104"/>
          <w:lang w:val="ru-RU"/>
        </w:rPr>
        <w:t>а</w:t>
      </w:r>
      <w:r w:rsidR="00C2265A" w:rsidRPr="00732013">
        <w:rPr>
          <w:spacing w:val="5"/>
          <w:w w:val="104"/>
          <w:lang w:val="ru-RU"/>
        </w:rPr>
        <w:t xml:space="preserve">, </w:t>
      </w:r>
      <w:r w:rsidR="0078295A" w:rsidRPr="00732013">
        <w:rPr>
          <w:spacing w:val="5"/>
          <w:w w:val="104"/>
          <w:lang w:val="ru-RU"/>
        </w:rPr>
        <w:t>а</w:t>
      </w:r>
      <w:r w:rsidR="00C2265A" w:rsidRPr="00732013">
        <w:rPr>
          <w:spacing w:val="5"/>
          <w:w w:val="104"/>
          <w:lang w:val="ru-RU"/>
        </w:rPr>
        <w:t xml:space="preserve"> с</w:t>
      </w:r>
      <w:r w:rsidR="0078295A" w:rsidRPr="00732013">
        <w:rPr>
          <w:spacing w:val="5"/>
          <w:w w:val="104"/>
          <w:lang w:val="ru-RU"/>
        </w:rPr>
        <w:t xml:space="preserve"> 2014</w:t>
      </w:r>
      <w:r w:rsidR="008055A1" w:rsidRPr="00732013">
        <w:rPr>
          <w:spacing w:val="5"/>
          <w:w w:val="104"/>
          <w:lang w:val="ru-RU"/>
        </w:rPr>
        <w:t> год</w:t>
      </w:r>
      <w:r w:rsidR="0078295A" w:rsidRPr="00732013">
        <w:rPr>
          <w:spacing w:val="5"/>
          <w:w w:val="104"/>
          <w:lang w:val="ru-RU"/>
        </w:rPr>
        <w:t xml:space="preserve">а </w:t>
      </w:r>
      <w:r w:rsidR="00577CF4" w:rsidRPr="00732013">
        <w:rPr>
          <w:spacing w:val="5"/>
          <w:w w:val="104"/>
          <w:lang w:val="ru-RU"/>
        </w:rPr>
        <w:t xml:space="preserve">начнется осуществление </w:t>
      </w:r>
      <w:r w:rsidR="0078295A" w:rsidRPr="00732013">
        <w:rPr>
          <w:spacing w:val="5"/>
          <w:w w:val="104"/>
          <w:lang w:val="ru-RU"/>
        </w:rPr>
        <w:t>отдельн</w:t>
      </w:r>
      <w:r w:rsidR="00577CF4" w:rsidRPr="00732013">
        <w:rPr>
          <w:spacing w:val="5"/>
          <w:w w:val="104"/>
          <w:lang w:val="ru-RU"/>
        </w:rPr>
        <w:t>ой</w:t>
      </w:r>
      <w:r w:rsidR="00FB76FC" w:rsidRPr="00732013">
        <w:rPr>
          <w:spacing w:val="5"/>
          <w:w w:val="104"/>
          <w:lang w:val="ru-RU"/>
        </w:rPr>
        <w:t xml:space="preserve"> </w:t>
      </w:r>
      <w:r w:rsidR="0078295A" w:rsidRPr="00732013">
        <w:rPr>
          <w:spacing w:val="5"/>
          <w:w w:val="104"/>
          <w:lang w:val="ru-RU"/>
        </w:rPr>
        <w:t>мастер-программ</w:t>
      </w:r>
      <w:r w:rsidR="00577CF4" w:rsidRPr="00732013">
        <w:rPr>
          <w:spacing w:val="5"/>
          <w:w w:val="104"/>
          <w:lang w:val="ru-RU"/>
        </w:rPr>
        <w:t>ы</w:t>
      </w:r>
      <w:r w:rsidRPr="00732013">
        <w:rPr>
          <w:spacing w:val="5"/>
          <w:w w:val="104"/>
          <w:lang w:val="ru-RU"/>
        </w:rPr>
        <w:t xml:space="preserve"> </w:t>
      </w:r>
      <w:r w:rsidR="009F0AF0" w:rsidRPr="00732013">
        <w:rPr>
          <w:spacing w:val="5"/>
          <w:w w:val="104"/>
          <w:lang w:val="ru-RU"/>
        </w:rPr>
        <w:t>"</w:t>
      </w:r>
      <w:r w:rsidR="0078295A" w:rsidRPr="00732013">
        <w:rPr>
          <w:spacing w:val="5"/>
          <w:w w:val="104"/>
          <w:lang w:val="ru-RU"/>
        </w:rPr>
        <w:t>Гендерные исследования</w:t>
      </w:r>
      <w:r w:rsidR="009F0AF0" w:rsidRPr="00732013">
        <w:rPr>
          <w:spacing w:val="5"/>
          <w:w w:val="104"/>
          <w:lang w:val="ru-RU"/>
        </w:rPr>
        <w:t>"</w:t>
      </w:r>
      <w:r w:rsidRPr="00732013">
        <w:rPr>
          <w:spacing w:val="5"/>
          <w:w w:val="104"/>
          <w:lang w:val="ru-RU"/>
        </w:rPr>
        <w:t xml:space="preserve">. </w:t>
      </w:r>
      <w:r w:rsidR="004701DE" w:rsidRPr="00732013">
        <w:rPr>
          <w:spacing w:val="5"/>
          <w:w w:val="104"/>
          <w:lang w:val="ru-RU"/>
        </w:rPr>
        <w:t>Ежегодно около</w:t>
      </w:r>
      <w:r w:rsidRPr="00732013">
        <w:rPr>
          <w:spacing w:val="5"/>
          <w:w w:val="104"/>
          <w:lang w:val="ru-RU"/>
        </w:rPr>
        <w:t xml:space="preserve"> 300 </w:t>
      </w:r>
      <w:r w:rsidR="004701DE" w:rsidRPr="00732013">
        <w:rPr>
          <w:spacing w:val="5"/>
          <w:w w:val="104"/>
          <w:lang w:val="ru-RU"/>
        </w:rPr>
        <w:t>студентов посещают курсы по гендерным исследованиям в Вильнюсском университете</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11.</w:t>
      </w:r>
      <w:r w:rsidRPr="00732013">
        <w:rPr>
          <w:spacing w:val="5"/>
          <w:w w:val="104"/>
          <w:lang w:val="ru-RU"/>
        </w:rPr>
        <w:tab/>
      </w:r>
      <w:r w:rsidR="00702C51" w:rsidRPr="00732013">
        <w:rPr>
          <w:spacing w:val="5"/>
          <w:w w:val="104"/>
          <w:lang w:val="ru-RU"/>
        </w:rPr>
        <w:t xml:space="preserve">Одна из целей Национальной программы </w:t>
      </w:r>
      <w:r w:rsidR="00A447AF" w:rsidRPr="00732013">
        <w:rPr>
          <w:spacing w:val="5"/>
          <w:w w:val="104"/>
          <w:lang w:val="ru-RU"/>
        </w:rPr>
        <w:t>по обеспечению</w:t>
      </w:r>
      <w:r w:rsidR="00702C51" w:rsidRPr="00732013">
        <w:rPr>
          <w:spacing w:val="5"/>
          <w:w w:val="104"/>
          <w:lang w:val="ru-RU"/>
        </w:rPr>
        <w:t xml:space="preserve"> равных возможностей</w:t>
      </w:r>
      <w:r w:rsidR="00B32B6B" w:rsidRPr="00732013">
        <w:rPr>
          <w:spacing w:val="5"/>
          <w:w w:val="104"/>
          <w:lang w:val="ru-RU"/>
        </w:rPr>
        <w:t xml:space="preserve"> для мужчин и женщин на 2010–2014</w:t>
      </w:r>
      <w:r w:rsidR="008055A1" w:rsidRPr="00732013">
        <w:rPr>
          <w:spacing w:val="5"/>
          <w:w w:val="104"/>
          <w:lang w:val="ru-RU"/>
        </w:rPr>
        <w:t> год</w:t>
      </w:r>
      <w:r w:rsidR="00B32B6B" w:rsidRPr="00732013">
        <w:rPr>
          <w:spacing w:val="5"/>
          <w:w w:val="104"/>
          <w:lang w:val="ru-RU"/>
        </w:rPr>
        <w:t xml:space="preserve">ы </w:t>
      </w:r>
      <w:r w:rsidR="00577CF4" w:rsidRPr="00732013">
        <w:rPr>
          <w:spacing w:val="5"/>
          <w:w w:val="104"/>
          <w:lang w:val="ru-RU"/>
        </w:rPr>
        <w:t xml:space="preserve">– добиться того, </w:t>
      </w:r>
      <w:r w:rsidR="00D13711" w:rsidRPr="00732013">
        <w:rPr>
          <w:spacing w:val="5"/>
          <w:w w:val="104"/>
          <w:lang w:val="ru-RU"/>
        </w:rPr>
        <w:t>чтобы</w:t>
      </w:r>
      <w:r w:rsidR="00C36AAE" w:rsidRPr="00732013">
        <w:rPr>
          <w:spacing w:val="5"/>
          <w:w w:val="104"/>
          <w:lang w:val="ru-RU"/>
        </w:rPr>
        <w:t xml:space="preserve"> каждый человек, в</w:t>
      </w:r>
      <w:r w:rsidR="00577CF4" w:rsidRPr="00732013">
        <w:rPr>
          <w:spacing w:val="5"/>
          <w:w w:val="104"/>
          <w:lang w:val="ru-RU"/>
        </w:rPr>
        <w:t xml:space="preserve">ключая жителей отдаленных и сельских районов, имел </w:t>
      </w:r>
      <w:r w:rsidR="00BF2586" w:rsidRPr="00732013">
        <w:rPr>
          <w:spacing w:val="5"/>
          <w:w w:val="104"/>
          <w:lang w:val="ru-RU"/>
        </w:rPr>
        <w:t xml:space="preserve">доступ к знаниям и информации о правах </w:t>
      </w:r>
      <w:r w:rsidR="00BF2586" w:rsidRPr="00732013">
        <w:rPr>
          <w:spacing w:val="5"/>
          <w:w w:val="104"/>
        </w:rPr>
        <w:t>женщин</w:t>
      </w:r>
      <w:r w:rsidR="00BF2586" w:rsidRPr="00732013">
        <w:rPr>
          <w:spacing w:val="5"/>
          <w:w w:val="104"/>
          <w:lang w:val="ru-RU"/>
        </w:rPr>
        <w:t xml:space="preserve"> и гендерном равенстве. </w:t>
      </w:r>
      <w:r w:rsidR="00E751BD" w:rsidRPr="00732013">
        <w:rPr>
          <w:spacing w:val="5"/>
          <w:w w:val="104"/>
          <w:lang w:val="ru-RU"/>
        </w:rPr>
        <w:t>Именно поэтому</w:t>
      </w:r>
      <w:r w:rsidR="0075472C" w:rsidRPr="00732013">
        <w:rPr>
          <w:spacing w:val="5"/>
          <w:w w:val="104"/>
          <w:lang w:val="ru-RU"/>
        </w:rPr>
        <w:t xml:space="preserve"> образовательн</w:t>
      </w:r>
      <w:r w:rsidR="00C22EC9" w:rsidRPr="00732013">
        <w:rPr>
          <w:spacing w:val="5"/>
          <w:w w:val="104"/>
          <w:lang w:val="ru-RU"/>
        </w:rPr>
        <w:t>ая составляющая указанной Программы на</w:t>
      </w:r>
      <w:r w:rsidR="00EA0B35" w:rsidRPr="00732013">
        <w:rPr>
          <w:spacing w:val="5"/>
          <w:w w:val="104"/>
          <w:lang w:val="ru-RU"/>
        </w:rPr>
        <w:t xml:space="preserve">правлена </w:t>
      </w:r>
      <w:r w:rsidR="00C22EC9" w:rsidRPr="00732013">
        <w:rPr>
          <w:spacing w:val="5"/>
          <w:w w:val="104"/>
          <w:lang w:val="ru-RU"/>
        </w:rPr>
        <w:t xml:space="preserve">прежде всего на местный уровень, включая общины. </w:t>
      </w:r>
      <w:r w:rsidR="00711513" w:rsidRPr="00732013">
        <w:rPr>
          <w:spacing w:val="5"/>
          <w:w w:val="104"/>
          <w:lang w:val="ru-RU"/>
        </w:rPr>
        <w:t>Так</w:t>
      </w:r>
      <w:r w:rsidR="00C22EC9" w:rsidRPr="00732013">
        <w:rPr>
          <w:spacing w:val="5"/>
          <w:w w:val="104"/>
          <w:lang w:val="ru-RU"/>
        </w:rPr>
        <w:t>, в</w:t>
      </w:r>
      <w:r w:rsidRPr="00732013">
        <w:rPr>
          <w:spacing w:val="5"/>
          <w:w w:val="104"/>
          <w:lang w:val="ru-RU"/>
        </w:rPr>
        <w:t xml:space="preserve"> 2013</w:t>
      </w:r>
      <w:r w:rsidR="008055A1" w:rsidRPr="00732013">
        <w:rPr>
          <w:spacing w:val="5"/>
          <w:w w:val="104"/>
          <w:lang w:val="ru-RU"/>
        </w:rPr>
        <w:t> год</w:t>
      </w:r>
      <w:r w:rsidR="00F17E65" w:rsidRPr="00732013">
        <w:rPr>
          <w:spacing w:val="5"/>
          <w:w w:val="104"/>
          <w:lang w:val="ru-RU"/>
        </w:rPr>
        <w:t xml:space="preserve">у </w:t>
      </w:r>
      <w:r w:rsidR="00EA0B35" w:rsidRPr="00732013">
        <w:rPr>
          <w:spacing w:val="5"/>
          <w:w w:val="104"/>
          <w:lang w:val="ru-RU"/>
        </w:rPr>
        <w:t>М</w:t>
      </w:r>
      <w:r w:rsidR="00F17E65" w:rsidRPr="00732013">
        <w:rPr>
          <w:spacing w:val="5"/>
          <w:w w:val="104"/>
          <w:lang w:val="ru-RU"/>
        </w:rPr>
        <w:t>инистерство социальной защиты и труда приступило к реализации трехгодичного пилотного проекта</w:t>
      </w:r>
      <w:r w:rsidRPr="00732013">
        <w:rPr>
          <w:color w:val="999999"/>
          <w:spacing w:val="5"/>
          <w:w w:val="104"/>
          <w:lang w:val="ru-RU"/>
        </w:rPr>
        <w:t xml:space="preserve"> </w:t>
      </w:r>
      <w:r w:rsidR="009F0AF0" w:rsidRPr="00732013">
        <w:rPr>
          <w:spacing w:val="5"/>
          <w:w w:val="104"/>
          <w:lang w:val="ru-RU"/>
        </w:rPr>
        <w:t>"</w:t>
      </w:r>
      <w:r w:rsidR="0043457C" w:rsidRPr="00732013">
        <w:rPr>
          <w:spacing w:val="5"/>
          <w:w w:val="104"/>
          <w:lang w:val="ru-RU"/>
        </w:rPr>
        <w:t xml:space="preserve">Гендерное равенство как выгодное </w:t>
      </w:r>
      <w:r w:rsidR="001063E7" w:rsidRPr="00732013">
        <w:rPr>
          <w:spacing w:val="5"/>
          <w:w w:val="104"/>
          <w:lang w:val="ru-RU"/>
        </w:rPr>
        <w:t>капиталовложение</w:t>
      </w:r>
      <w:r w:rsidR="009F0AF0" w:rsidRPr="00732013">
        <w:rPr>
          <w:spacing w:val="5"/>
          <w:w w:val="104"/>
          <w:lang w:val="ru-RU"/>
        </w:rPr>
        <w:t>"</w:t>
      </w:r>
      <w:r w:rsidRPr="00732013">
        <w:rPr>
          <w:spacing w:val="5"/>
          <w:w w:val="104"/>
          <w:lang w:val="ru-RU"/>
        </w:rPr>
        <w:t xml:space="preserve">, </w:t>
      </w:r>
      <w:r w:rsidR="001063E7" w:rsidRPr="00732013">
        <w:rPr>
          <w:spacing w:val="5"/>
          <w:w w:val="104"/>
          <w:lang w:val="ru-RU"/>
        </w:rPr>
        <w:t>который финансируется из государственного бюджета и Социального фонда ЕС</w:t>
      </w:r>
      <w:r w:rsidRPr="00732013">
        <w:rPr>
          <w:spacing w:val="5"/>
          <w:w w:val="104"/>
          <w:lang w:val="ru-RU"/>
        </w:rPr>
        <w:t xml:space="preserve">. </w:t>
      </w:r>
      <w:r w:rsidR="007C2565" w:rsidRPr="00732013">
        <w:rPr>
          <w:spacing w:val="5"/>
          <w:w w:val="104"/>
          <w:lang w:val="ru-RU"/>
        </w:rPr>
        <w:t xml:space="preserve">Проект </w:t>
      </w:r>
      <w:r w:rsidR="00EE47D4" w:rsidRPr="00732013">
        <w:rPr>
          <w:spacing w:val="5"/>
          <w:w w:val="104"/>
          <w:lang w:val="ru-RU"/>
        </w:rPr>
        <w:t>имеет целью повыш</w:t>
      </w:r>
      <w:r w:rsidR="00EA0B35" w:rsidRPr="00732013">
        <w:rPr>
          <w:spacing w:val="5"/>
          <w:w w:val="104"/>
          <w:lang w:val="ru-RU"/>
        </w:rPr>
        <w:t xml:space="preserve">ение </w:t>
      </w:r>
      <w:r w:rsidR="00EE47D4" w:rsidRPr="00732013">
        <w:rPr>
          <w:spacing w:val="5"/>
          <w:w w:val="104"/>
          <w:lang w:val="ru-RU"/>
        </w:rPr>
        <w:t>осведомленност</w:t>
      </w:r>
      <w:r w:rsidR="00EA0B35" w:rsidRPr="00732013">
        <w:rPr>
          <w:spacing w:val="5"/>
          <w:w w:val="104"/>
          <w:lang w:val="ru-RU"/>
        </w:rPr>
        <w:t>и</w:t>
      </w:r>
      <w:r w:rsidR="007C2565" w:rsidRPr="00732013">
        <w:rPr>
          <w:spacing w:val="5"/>
          <w:w w:val="104"/>
          <w:lang w:val="ru-RU"/>
        </w:rPr>
        <w:t xml:space="preserve"> о гендерном равенстве</w:t>
      </w:r>
      <w:r w:rsidR="009138B7" w:rsidRPr="00732013">
        <w:rPr>
          <w:spacing w:val="5"/>
          <w:w w:val="104"/>
          <w:lang w:val="ru-RU"/>
        </w:rPr>
        <w:t>,</w:t>
      </w:r>
      <w:r w:rsidR="00EE47D4" w:rsidRPr="00732013">
        <w:rPr>
          <w:spacing w:val="5"/>
          <w:w w:val="104"/>
          <w:lang w:val="ru-RU"/>
        </w:rPr>
        <w:t xml:space="preserve"> и </w:t>
      </w:r>
      <w:r w:rsidR="0072776E" w:rsidRPr="00732013">
        <w:rPr>
          <w:spacing w:val="5"/>
          <w:w w:val="104"/>
          <w:lang w:val="ru-RU"/>
        </w:rPr>
        <w:t>систематическ</w:t>
      </w:r>
      <w:r w:rsidR="00EA0B35" w:rsidRPr="00732013">
        <w:rPr>
          <w:spacing w:val="5"/>
          <w:w w:val="104"/>
          <w:lang w:val="ru-RU"/>
        </w:rPr>
        <w:t>ая</w:t>
      </w:r>
      <w:r w:rsidR="00C86DBF" w:rsidRPr="00732013">
        <w:rPr>
          <w:spacing w:val="5"/>
          <w:w w:val="104"/>
          <w:lang w:val="ru-RU"/>
        </w:rPr>
        <w:t xml:space="preserve"> подготовк</w:t>
      </w:r>
      <w:r w:rsidR="00EA0B35" w:rsidRPr="00732013">
        <w:rPr>
          <w:spacing w:val="5"/>
          <w:w w:val="104"/>
          <w:lang w:val="ru-RU"/>
        </w:rPr>
        <w:t>а</w:t>
      </w:r>
      <w:r w:rsidR="00C86DBF" w:rsidRPr="00732013">
        <w:rPr>
          <w:spacing w:val="5"/>
          <w:w w:val="104"/>
          <w:lang w:val="ru-RU"/>
        </w:rPr>
        <w:t xml:space="preserve"> по вопросам гендерного равенства</w:t>
      </w:r>
      <w:r w:rsidR="009138B7" w:rsidRPr="00732013">
        <w:rPr>
          <w:spacing w:val="5"/>
          <w:w w:val="104"/>
          <w:lang w:val="ru-RU"/>
        </w:rPr>
        <w:t xml:space="preserve"> проводится</w:t>
      </w:r>
      <w:r w:rsidR="00C86DBF" w:rsidRPr="00732013">
        <w:rPr>
          <w:spacing w:val="5"/>
          <w:w w:val="104"/>
          <w:lang w:val="ru-RU"/>
        </w:rPr>
        <w:t xml:space="preserve"> на мест</w:t>
      </w:r>
      <w:r w:rsidR="0072776E" w:rsidRPr="00732013">
        <w:rPr>
          <w:spacing w:val="5"/>
          <w:w w:val="104"/>
          <w:lang w:val="ru-RU"/>
        </w:rPr>
        <w:t xml:space="preserve">ном уровне </w:t>
      </w:r>
      <w:r w:rsidR="00EA0B35" w:rsidRPr="00732013">
        <w:rPr>
          <w:spacing w:val="5"/>
          <w:w w:val="104"/>
          <w:lang w:val="ru-RU"/>
        </w:rPr>
        <w:t xml:space="preserve">в рамках каждого отдельно взятого </w:t>
      </w:r>
      <w:r w:rsidR="0072776E" w:rsidRPr="00732013">
        <w:rPr>
          <w:spacing w:val="5"/>
          <w:w w:val="104"/>
          <w:lang w:val="ru-RU"/>
        </w:rPr>
        <w:t>муниципалитет</w:t>
      </w:r>
      <w:r w:rsidR="00EA0B35" w:rsidRPr="00732013">
        <w:rPr>
          <w:spacing w:val="5"/>
          <w:w w:val="104"/>
          <w:lang w:val="ru-RU"/>
        </w:rPr>
        <w:t>а</w:t>
      </w:r>
      <w:r w:rsidRPr="00732013">
        <w:rPr>
          <w:spacing w:val="5"/>
          <w:w w:val="104"/>
          <w:lang w:val="ru-RU"/>
        </w:rPr>
        <w:t xml:space="preserve">. </w:t>
      </w:r>
      <w:r w:rsidR="00F86E98" w:rsidRPr="00732013">
        <w:rPr>
          <w:spacing w:val="5"/>
          <w:w w:val="104"/>
          <w:lang w:val="ru-RU"/>
        </w:rPr>
        <w:t>Разработан типовой учебный курс</w:t>
      </w:r>
      <w:r w:rsidRPr="00732013">
        <w:rPr>
          <w:spacing w:val="5"/>
          <w:w w:val="104"/>
          <w:lang w:val="ru-RU"/>
        </w:rPr>
        <w:t xml:space="preserve"> (27</w:t>
      </w:r>
      <w:r w:rsidR="00EA0B35" w:rsidRPr="00732013">
        <w:rPr>
          <w:spacing w:val="5"/>
          <w:w w:val="104"/>
          <w:lang w:val="ru-RU"/>
        </w:rPr>
        <w:t> </w:t>
      </w:r>
      <w:r w:rsidR="00F86E98" w:rsidRPr="00732013">
        <w:rPr>
          <w:spacing w:val="5"/>
          <w:w w:val="104"/>
          <w:lang w:val="ru-RU"/>
        </w:rPr>
        <w:t>часов</w:t>
      </w:r>
      <w:r w:rsidRPr="00732013">
        <w:rPr>
          <w:spacing w:val="5"/>
          <w:w w:val="104"/>
          <w:lang w:val="ru-RU"/>
        </w:rPr>
        <w:t>)</w:t>
      </w:r>
      <w:r w:rsidR="00F86E98" w:rsidRPr="00732013">
        <w:rPr>
          <w:spacing w:val="5"/>
          <w:w w:val="104"/>
          <w:lang w:val="ru-RU"/>
        </w:rPr>
        <w:t xml:space="preserve">, и в январе </w:t>
      </w:r>
      <w:r w:rsidR="00491F3A" w:rsidRPr="00732013">
        <w:rPr>
          <w:spacing w:val="5"/>
          <w:w w:val="104"/>
          <w:lang w:val="ru-RU"/>
        </w:rPr>
        <w:t>2014</w:t>
      </w:r>
      <w:r w:rsidR="008055A1" w:rsidRPr="00732013">
        <w:rPr>
          <w:spacing w:val="5"/>
          <w:w w:val="104"/>
          <w:lang w:val="ru-RU"/>
        </w:rPr>
        <w:t> год</w:t>
      </w:r>
      <w:r w:rsidR="00491F3A" w:rsidRPr="00732013">
        <w:rPr>
          <w:spacing w:val="5"/>
          <w:w w:val="104"/>
          <w:lang w:val="ru-RU"/>
        </w:rPr>
        <w:t>а начинаются занятия для муниципальных гражданских служащих, представителей работодателей</w:t>
      </w:r>
      <w:r w:rsidR="004B0EDF" w:rsidRPr="00732013">
        <w:rPr>
          <w:spacing w:val="5"/>
          <w:w w:val="104"/>
          <w:lang w:val="ru-RU"/>
        </w:rPr>
        <w:t xml:space="preserve">, </w:t>
      </w:r>
      <w:r w:rsidR="00491F3A" w:rsidRPr="00732013">
        <w:rPr>
          <w:spacing w:val="5"/>
          <w:w w:val="104"/>
          <w:lang w:val="ru-RU"/>
        </w:rPr>
        <w:t>профсоюзов</w:t>
      </w:r>
      <w:r w:rsidR="004B0EDF" w:rsidRPr="00732013">
        <w:rPr>
          <w:spacing w:val="5"/>
          <w:w w:val="104"/>
          <w:lang w:val="ru-RU"/>
        </w:rPr>
        <w:t xml:space="preserve"> и неправительственных организаций. Тематика учебного курса охватывает ключевые концепции гендерного равенства</w:t>
      </w:r>
      <w:r w:rsidR="00CA5AAA" w:rsidRPr="00732013">
        <w:rPr>
          <w:spacing w:val="5"/>
          <w:w w:val="104"/>
          <w:lang w:val="ru-RU"/>
        </w:rPr>
        <w:t xml:space="preserve">, </w:t>
      </w:r>
      <w:r w:rsidR="00073095" w:rsidRPr="00732013">
        <w:rPr>
          <w:spacing w:val="5"/>
          <w:w w:val="104"/>
          <w:lang w:val="ru-RU"/>
        </w:rPr>
        <w:t xml:space="preserve">законодательство о гендерном равенстве, </w:t>
      </w:r>
      <w:r w:rsidR="00CA5AAA" w:rsidRPr="00732013">
        <w:rPr>
          <w:spacing w:val="5"/>
          <w:w w:val="104"/>
          <w:lang w:val="ru-RU"/>
        </w:rPr>
        <w:t>включая законодательство ЕС и</w:t>
      </w:r>
      <w:r w:rsidR="00073095" w:rsidRPr="00732013">
        <w:rPr>
          <w:spacing w:val="5"/>
          <w:w w:val="104"/>
          <w:lang w:val="ru-RU"/>
        </w:rPr>
        <w:t xml:space="preserve"> международные договоры, в первую очередь конкретные примеры</w:t>
      </w:r>
      <w:r w:rsidR="005D23CB" w:rsidRPr="00732013">
        <w:rPr>
          <w:spacing w:val="5"/>
          <w:w w:val="104"/>
          <w:lang w:val="ru-RU"/>
        </w:rPr>
        <w:t xml:space="preserve"> КЛ</w:t>
      </w:r>
      <w:r w:rsidR="00073095" w:rsidRPr="00732013">
        <w:rPr>
          <w:spacing w:val="5"/>
          <w:w w:val="104"/>
          <w:lang w:val="ru-RU"/>
        </w:rPr>
        <w:t>ДЖ</w:t>
      </w:r>
      <w:r w:rsidR="008479B2" w:rsidRPr="00732013">
        <w:rPr>
          <w:spacing w:val="5"/>
          <w:w w:val="104"/>
          <w:lang w:val="ru-RU"/>
        </w:rPr>
        <w:t xml:space="preserve"> в отношении учета гендерной проблематики</w:t>
      </w:r>
      <w:r w:rsidR="00EA0B35" w:rsidRPr="00732013">
        <w:rPr>
          <w:spacing w:val="5"/>
          <w:w w:val="104"/>
          <w:lang w:val="ru-RU"/>
        </w:rPr>
        <w:t>,</w:t>
      </w:r>
      <w:r w:rsidR="008479B2" w:rsidRPr="00732013">
        <w:rPr>
          <w:spacing w:val="5"/>
          <w:w w:val="104"/>
          <w:lang w:val="ru-RU"/>
        </w:rPr>
        <w:t xml:space="preserve"> и т.</w:t>
      </w:r>
      <w:r w:rsidR="00EA0B35" w:rsidRPr="00732013">
        <w:rPr>
          <w:spacing w:val="5"/>
          <w:w w:val="104"/>
          <w:lang w:val="ru-RU"/>
        </w:rPr>
        <w:t> </w:t>
      </w:r>
      <w:r w:rsidR="008479B2" w:rsidRPr="00732013">
        <w:rPr>
          <w:spacing w:val="5"/>
          <w:w w:val="104"/>
          <w:lang w:val="ru-RU"/>
        </w:rPr>
        <w:t>д. Второй компонент данного проекта касается кампании по непрерывному повышению осведомленности</w:t>
      </w:r>
      <w:r w:rsidR="002C1E85" w:rsidRPr="00732013">
        <w:rPr>
          <w:spacing w:val="5"/>
          <w:w w:val="104"/>
          <w:lang w:val="ru-RU"/>
        </w:rPr>
        <w:t xml:space="preserve">, при этом </w:t>
      </w:r>
      <w:r w:rsidR="00EA0B35" w:rsidRPr="00732013">
        <w:rPr>
          <w:spacing w:val="5"/>
          <w:w w:val="104"/>
          <w:lang w:val="ru-RU"/>
        </w:rPr>
        <w:t xml:space="preserve">используются </w:t>
      </w:r>
      <w:r w:rsidR="002C1E85" w:rsidRPr="00732013">
        <w:rPr>
          <w:spacing w:val="5"/>
          <w:w w:val="104"/>
          <w:lang w:val="ru-RU"/>
        </w:rPr>
        <w:t xml:space="preserve">не только обычные медиа-ресурсы, но и </w:t>
      </w:r>
      <w:r w:rsidR="00B64652" w:rsidRPr="00732013">
        <w:rPr>
          <w:spacing w:val="5"/>
          <w:w w:val="104"/>
          <w:lang w:val="ru-RU"/>
        </w:rPr>
        <w:t>н</w:t>
      </w:r>
      <w:r w:rsidR="00EA0B35" w:rsidRPr="00732013">
        <w:rPr>
          <w:spacing w:val="5"/>
          <w:w w:val="104"/>
          <w:lang w:val="ru-RU"/>
        </w:rPr>
        <w:t xml:space="preserve">овейшие </w:t>
      </w:r>
      <w:r w:rsidR="00B64652" w:rsidRPr="00732013">
        <w:rPr>
          <w:spacing w:val="5"/>
          <w:w w:val="104"/>
          <w:lang w:val="ru-RU"/>
        </w:rPr>
        <w:t xml:space="preserve">информационные технологии, поскольку последние </w:t>
      </w:r>
      <w:r w:rsidR="00EA0B35" w:rsidRPr="00732013">
        <w:rPr>
          <w:spacing w:val="5"/>
          <w:w w:val="104"/>
          <w:lang w:val="ru-RU"/>
        </w:rPr>
        <w:t xml:space="preserve">получили </w:t>
      </w:r>
      <w:r w:rsidR="00542816" w:rsidRPr="00732013">
        <w:rPr>
          <w:spacing w:val="5"/>
          <w:w w:val="104"/>
          <w:lang w:val="ru-RU"/>
        </w:rPr>
        <w:t xml:space="preserve">в Литве </w:t>
      </w:r>
      <w:r w:rsidR="00EA0B35" w:rsidRPr="00732013">
        <w:rPr>
          <w:spacing w:val="5"/>
          <w:w w:val="104"/>
          <w:lang w:val="ru-RU"/>
        </w:rPr>
        <w:t xml:space="preserve">широкое </w:t>
      </w:r>
      <w:r w:rsidR="00542816" w:rsidRPr="00732013">
        <w:rPr>
          <w:spacing w:val="5"/>
          <w:w w:val="104"/>
          <w:lang w:val="ru-RU"/>
        </w:rPr>
        <w:t>развит</w:t>
      </w:r>
      <w:r w:rsidR="00EA0B35" w:rsidRPr="00732013">
        <w:rPr>
          <w:spacing w:val="5"/>
          <w:w w:val="104"/>
          <w:lang w:val="ru-RU"/>
        </w:rPr>
        <w:t>ие, что позвол</w:t>
      </w:r>
      <w:r w:rsidR="00542816" w:rsidRPr="00732013">
        <w:rPr>
          <w:spacing w:val="5"/>
          <w:w w:val="104"/>
          <w:lang w:val="ru-RU"/>
        </w:rPr>
        <w:t>я</w:t>
      </w:r>
      <w:r w:rsidR="00EA0B35" w:rsidRPr="00732013">
        <w:rPr>
          <w:spacing w:val="5"/>
          <w:w w:val="104"/>
          <w:lang w:val="ru-RU"/>
        </w:rPr>
        <w:t>е</w:t>
      </w:r>
      <w:r w:rsidR="00542816" w:rsidRPr="00732013">
        <w:rPr>
          <w:spacing w:val="5"/>
          <w:w w:val="104"/>
          <w:lang w:val="ru-RU"/>
        </w:rPr>
        <w:t xml:space="preserve">т </w:t>
      </w:r>
      <w:r w:rsidR="00EA0B35" w:rsidRPr="00732013">
        <w:rPr>
          <w:spacing w:val="5"/>
          <w:w w:val="104"/>
          <w:lang w:val="ru-RU"/>
        </w:rPr>
        <w:t xml:space="preserve">доносить </w:t>
      </w:r>
      <w:r w:rsidR="008117BF" w:rsidRPr="00732013">
        <w:rPr>
          <w:spacing w:val="5"/>
          <w:w w:val="104"/>
          <w:lang w:val="ru-RU"/>
        </w:rPr>
        <w:t xml:space="preserve">информацию до самых удаленных уголков страны, </w:t>
      </w:r>
      <w:r w:rsidR="00EA0B35" w:rsidRPr="00732013">
        <w:rPr>
          <w:spacing w:val="5"/>
          <w:w w:val="104"/>
          <w:lang w:val="ru-RU"/>
        </w:rPr>
        <w:t>р</w:t>
      </w:r>
      <w:r w:rsidR="008117BF" w:rsidRPr="00732013">
        <w:rPr>
          <w:spacing w:val="5"/>
          <w:w w:val="104"/>
          <w:lang w:val="ru-RU"/>
        </w:rPr>
        <w:t>а</w:t>
      </w:r>
      <w:r w:rsidR="00EA0B35" w:rsidRPr="00732013">
        <w:rPr>
          <w:spacing w:val="5"/>
          <w:w w:val="104"/>
          <w:lang w:val="ru-RU"/>
        </w:rPr>
        <w:t xml:space="preserve">вно как и </w:t>
      </w:r>
      <w:r w:rsidR="008117BF" w:rsidRPr="00732013">
        <w:rPr>
          <w:spacing w:val="5"/>
          <w:w w:val="104"/>
          <w:lang w:val="ru-RU"/>
        </w:rPr>
        <w:t>охватить же</w:t>
      </w:r>
      <w:r w:rsidR="00D7106B" w:rsidRPr="00732013">
        <w:rPr>
          <w:spacing w:val="5"/>
          <w:w w:val="104"/>
          <w:lang w:val="ru-RU"/>
        </w:rPr>
        <w:t>нщин в сельских районах, женщин</w:t>
      </w:r>
      <w:r w:rsidR="00EA0B35" w:rsidRPr="00732013">
        <w:rPr>
          <w:spacing w:val="5"/>
          <w:w w:val="104"/>
          <w:lang w:val="ru-RU"/>
        </w:rPr>
        <w:t xml:space="preserve"> из числа </w:t>
      </w:r>
      <w:r w:rsidR="008117BF" w:rsidRPr="00732013">
        <w:rPr>
          <w:spacing w:val="5"/>
          <w:w w:val="104"/>
          <w:lang w:val="ru-RU"/>
        </w:rPr>
        <w:t>рома, лиц, ищущих убежищ</w:t>
      </w:r>
      <w:r w:rsidR="00EA0B35" w:rsidRPr="00732013">
        <w:rPr>
          <w:spacing w:val="5"/>
          <w:w w:val="104"/>
          <w:lang w:val="ru-RU"/>
        </w:rPr>
        <w:t>а</w:t>
      </w:r>
      <w:r w:rsidR="008117BF" w:rsidRPr="00732013">
        <w:rPr>
          <w:spacing w:val="5"/>
          <w:w w:val="104"/>
          <w:lang w:val="ru-RU"/>
        </w:rPr>
        <w:t xml:space="preserve"> и </w:t>
      </w:r>
      <w:r w:rsidR="00EA0B35" w:rsidRPr="00732013">
        <w:rPr>
          <w:spacing w:val="5"/>
          <w:w w:val="104"/>
          <w:lang w:val="ru-RU"/>
        </w:rPr>
        <w:t>т. д.</w:t>
      </w:r>
      <w:r w:rsidR="00AE3ED8"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12.</w:t>
      </w:r>
      <w:r w:rsidRPr="00732013">
        <w:rPr>
          <w:spacing w:val="5"/>
          <w:w w:val="104"/>
          <w:lang w:val="ru-RU"/>
        </w:rPr>
        <w:tab/>
      </w:r>
      <w:r w:rsidR="00D7106B" w:rsidRPr="00732013">
        <w:rPr>
          <w:spacing w:val="5"/>
          <w:w w:val="104"/>
          <w:lang w:val="ru-RU"/>
        </w:rPr>
        <w:t xml:space="preserve">Результаты </w:t>
      </w:r>
      <w:r w:rsidR="00E86ABC" w:rsidRPr="00732013">
        <w:rPr>
          <w:spacing w:val="5"/>
          <w:w w:val="104"/>
          <w:lang w:val="ru-RU"/>
        </w:rPr>
        <w:t xml:space="preserve">осуществления </w:t>
      </w:r>
      <w:r w:rsidR="00D7106B" w:rsidRPr="00732013">
        <w:rPr>
          <w:spacing w:val="5"/>
          <w:w w:val="104"/>
          <w:lang w:val="ru-RU"/>
        </w:rPr>
        <w:t>Национальной программы по обеспечению равных возможностей для мужчин и женщин</w:t>
      </w:r>
      <w:r w:rsidR="00D7106B" w:rsidRPr="00732013">
        <w:rPr>
          <w:color w:val="0000FF"/>
          <w:spacing w:val="5"/>
          <w:w w:val="104"/>
          <w:lang w:val="ru-RU"/>
        </w:rPr>
        <w:t xml:space="preserve"> </w:t>
      </w:r>
      <w:r w:rsidR="00D7106B" w:rsidRPr="00732013">
        <w:rPr>
          <w:spacing w:val="5"/>
          <w:w w:val="104"/>
          <w:lang w:val="ru-RU"/>
        </w:rPr>
        <w:t>ежегодно оцениваются</w:t>
      </w:r>
      <w:r w:rsidR="00E66D65" w:rsidRPr="00732013">
        <w:rPr>
          <w:spacing w:val="5"/>
          <w:w w:val="104"/>
          <w:lang w:val="ru-RU"/>
        </w:rPr>
        <w:t xml:space="preserve"> по количественным критериям</w:t>
      </w:r>
      <w:r w:rsidRPr="00732013">
        <w:rPr>
          <w:spacing w:val="5"/>
          <w:w w:val="104"/>
          <w:lang w:val="ru-RU"/>
        </w:rPr>
        <w:t xml:space="preserve"> (</w:t>
      </w:r>
      <w:r w:rsidR="00E66D65" w:rsidRPr="00732013">
        <w:rPr>
          <w:spacing w:val="5"/>
          <w:w w:val="104"/>
          <w:lang w:val="ru-RU"/>
        </w:rPr>
        <w:t>число лиц, прошедших подготовку, количество проведенных занятий</w:t>
      </w:r>
      <w:r w:rsidR="00134894" w:rsidRPr="00732013">
        <w:rPr>
          <w:spacing w:val="5"/>
          <w:w w:val="104"/>
          <w:lang w:val="ru-RU"/>
        </w:rPr>
        <w:t xml:space="preserve"> и число лиц, </w:t>
      </w:r>
      <w:r w:rsidR="00E86ABC" w:rsidRPr="00732013">
        <w:rPr>
          <w:spacing w:val="5"/>
          <w:w w:val="104"/>
          <w:lang w:val="ru-RU"/>
        </w:rPr>
        <w:t>пр</w:t>
      </w:r>
      <w:r w:rsidR="00134894" w:rsidRPr="00732013">
        <w:rPr>
          <w:spacing w:val="5"/>
          <w:w w:val="104"/>
          <w:lang w:val="ru-RU"/>
        </w:rPr>
        <w:t>и</w:t>
      </w:r>
      <w:r w:rsidR="00E86ABC" w:rsidRPr="00732013">
        <w:rPr>
          <w:spacing w:val="5"/>
          <w:w w:val="104"/>
          <w:lang w:val="ru-RU"/>
        </w:rPr>
        <w:t xml:space="preserve">меняющих </w:t>
      </w:r>
      <w:r w:rsidR="00134894" w:rsidRPr="00732013">
        <w:rPr>
          <w:spacing w:val="5"/>
          <w:w w:val="104"/>
          <w:lang w:val="ru-RU"/>
        </w:rPr>
        <w:t>полученные знания</w:t>
      </w:r>
      <w:r w:rsidRPr="00732013">
        <w:rPr>
          <w:spacing w:val="5"/>
          <w:w w:val="104"/>
          <w:lang w:val="ru-RU"/>
        </w:rPr>
        <w:t xml:space="preserve">). </w:t>
      </w:r>
      <w:r w:rsidR="00134894" w:rsidRPr="00732013">
        <w:rPr>
          <w:spacing w:val="5"/>
          <w:w w:val="104"/>
          <w:lang w:val="ru-RU"/>
        </w:rPr>
        <w:t>В</w:t>
      </w:r>
      <w:r w:rsidRPr="00732013">
        <w:rPr>
          <w:spacing w:val="5"/>
          <w:w w:val="104"/>
          <w:lang w:val="ru-RU"/>
        </w:rPr>
        <w:t xml:space="preserve"> 2014</w:t>
      </w:r>
      <w:r w:rsidR="008055A1" w:rsidRPr="00732013">
        <w:rPr>
          <w:spacing w:val="5"/>
          <w:w w:val="104"/>
          <w:lang w:val="ru-RU"/>
        </w:rPr>
        <w:t> год</w:t>
      </w:r>
      <w:r w:rsidR="00134894" w:rsidRPr="00732013">
        <w:rPr>
          <w:spacing w:val="5"/>
          <w:w w:val="104"/>
          <w:lang w:val="ru-RU"/>
        </w:rPr>
        <w:t xml:space="preserve">у общую </w:t>
      </w:r>
      <w:r w:rsidR="00E86ABC" w:rsidRPr="00732013">
        <w:rPr>
          <w:spacing w:val="5"/>
          <w:w w:val="104"/>
          <w:lang w:val="ru-RU"/>
        </w:rPr>
        <w:t xml:space="preserve">сравнительную </w:t>
      </w:r>
      <w:r w:rsidR="00134894" w:rsidRPr="00732013">
        <w:rPr>
          <w:spacing w:val="5"/>
          <w:w w:val="104"/>
          <w:lang w:val="ru-RU"/>
        </w:rPr>
        <w:t>оценку воздействия Программы пров</w:t>
      </w:r>
      <w:r w:rsidR="00E86ABC" w:rsidRPr="00732013">
        <w:rPr>
          <w:spacing w:val="5"/>
          <w:w w:val="104"/>
          <w:lang w:val="ru-RU"/>
        </w:rPr>
        <w:t>е</w:t>
      </w:r>
      <w:r w:rsidR="00134894" w:rsidRPr="00732013">
        <w:rPr>
          <w:spacing w:val="5"/>
          <w:w w:val="104"/>
          <w:lang w:val="ru-RU"/>
        </w:rPr>
        <w:t>д</w:t>
      </w:r>
      <w:r w:rsidR="00E86ABC" w:rsidRPr="00732013">
        <w:rPr>
          <w:spacing w:val="5"/>
          <w:w w:val="104"/>
          <w:lang w:val="ru-RU"/>
        </w:rPr>
        <w:t>у</w:t>
      </w:r>
      <w:r w:rsidR="009B6F24" w:rsidRPr="00732013">
        <w:rPr>
          <w:spacing w:val="5"/>
          <w:w w:val="104"/>
          <w:lang w:val="ru-RU"/>
        </w:rPr>
        <w:t>т</w:t>
      </w:r>
      <w:r w:rsidR="00134894" w:rsidRPr="00732013">
        <w:rPr>
          <w:spacing w:val="5"/>
          <w:w w:val="104"/>
          <w:lang w:val="ru-RU"/>
        </w:rPr>
        <w:t xml:space="preserve"> независимые внешние эксперты. </w:t>
      </w:r>
      <w:r w:rsidR="009B6F24" w:rsidRPr="00732013">
        <w:rPr>
          <w:spacing w:val="5"/>
          <w:w w:val="104"/>
          <w:lang w:val="ru-RU"/>
        </w:rPr>
        <w:t>Достигнутые результаты и изменения будут сопоставлены с результатами оценки воздействия, проведенной в</w:t>
      </w:r>
      <w:r w:rsidRPr="00732013">
        <w:rPr>
          <w:spacing w:val="5"/>
          <w:w w:val="104"/>
          <w:lang w:val="ru-RU"/>
        </w:rPr>
        <w:t xml:space="preserve"> 2009</w:t>
      </w:r>
      <w:r w:rsidR="008055A1" w:rsidRPr="00732013">
        <w:rPr>
          <w:spacing w:val="5"/>
          <w:w w:val="104"/>
          <w:lang w:val="ru-RU"/>
        </w:rPr>
        <w:t> год</w:t>
      </w:r>
      <w:r w:rsidR="009B6F24" w:rsidRPr="00732013">
        <w:rPr>
          <w:spacing w:val="5"/>
          <w:w w:val="104"/>
          <w:lang w:val="ru-RU"/>
        </w:rPr>
        <w:t>у</w:t>
      </w:r>
      <w:r w:rsidRPr="00732013">
        <w:rPr>
          <w:spacing w:val="5"/>
          <w:w w:val="104"/>
          <w:lang w:val="ru-RU"/>
        </w:rPr>
        <w:t xml:space="preserve">. </w:t>
      </w:r>
      <w:r w:rsidR="009B6F24" w:rsidRPr="00732013">
        <w:rPr>
          <w:spacing w:val="5"/>
          <w:w w:val="104"/>
          <w:lang w:val="ru-RU"/>
        </w:rPr>
        <w:t xml:space="preserve">Выводы и рекомендации будут учтены при разработке новой </w:t>
      </w:r>
      <w:r w:rsidR="00E86ABC" w:rsidRPr="00732013">
        <w:rPr>
          <w:spacing w:val="5"/>
          <w:w w:val="104"/>
          <w:lang w:val="ru-RU"/>
        </w:rPr>
        <w:t>Н</w:t>
      </w:r>
      <w:r w:rsidR="009B6F24" w:rsidRPr="00732013">
        <w:rPr>
          <w:spacing w:val="5"/>
          <w:w w:val="104"/>
          <w:lang w:val="ru-RU"/>
        </w:rPr>
        <w:t xml:space="preserve">ациональной программы </w:t>
      </w:r>
      <w:r w:rsidR="005264EC" w:rsidRPr="00732013">
        <w:rPr>
          <w:spacing w:val="5"/>
          <w:w w:val="104"/>
          <w:lang w:val="ru-RU"/>
        </w:rPr>
        <w:t>по обеспечению равных возможностей для мужчин и женщин на 2015–</w:t>
      </w:r>
      <w:r w:rsidRPr="00732013">
        <w:rPr>
          <w:spacing w:val="5"/>
          <w:w w:val="104"/>
          <w:lang w:val="ru-RU"/>
        </w:rPr>
        <w:t>2020</w:t>
      </w:r>
      <w:r w:rsidR="008055A1" w:rsidRPr="00732013">
        <w:rPr>
          <w:spacing w:val="5"/>
          <w:w w:val="104"/>
          <w:lang w:val="ru-RU"/>
        </w:rPr>
        <w:t> год</w:t>
      </w:r>
      <w:r w:rsidR="005264EC" w:rsidRPr="00732013">
        <w:rPr>
          <w:spacing w:val="5"/>
          <w:w w:val="104"/>
          <w:lang w:val="ru-RU"/>
        </w:rPr>
        <w:t>ы</w:t>
      </w:r>
      <w:r w:rsidRPr="00732013">
        <w:rPr>
          <w:spacing w:val="5"/>
          <w:w w:val="104"/>
          <w:lang w:val="ru-RU"/>
        </w:rPr>
        <w:t xml:space="preserve">. </w:t>
      </w:r>
    </w:p>
    <w:p w:rsidR="00866E29" w:rsidRPr="00732013" w:rsidRDefault="00B84D9E" w:rsidP="00732013">
      <w:pPr>
        <w:pStyle w:val="H23G"/>
        <w:spacing w:before="0"/>
        <w:ind w:right="1267"/>
        <w:rPr>
          <w:spacing w:val="5"/>
          <w:w w:val="104"/>
        </w:rPr>
      </w:pPr>
      <w:r w:rsidRPr="00732013">
        <w:rPr>
          <w:spacing w:val="5"/>
          <w:w w:val="104"/>
        </w:rPr>
        <w:t xml:space="preserve">Ответ </w:t>
      </w:r>
      <w:r w:rsidR="005C5775" w:rsidRPr="00732013">
        <w:rPr>
          <w:spacing w:val="5"/>
          <w:w w:val="104"/>
        </w:rPr>
        <w:t>по</w:t>
      </w:r>
      <w:r w:rsidRPr="00732013">
        <w:rPr>
          <w:spacing w:val="5"/>
          <w:w w:val="104"/>
        </w:rPr>
        <w:t xml:space="preserve"> пункт</w:t>
      </w:r>
      <w:r w:rsidR="005C5775" w:rsidRPr="00732013">
        <w:rPr>
          <w:spacing w:val="5"/>
          <w:w w:val="104"/>
        </w:rPr>
        <w:t>у</w:t>
      </w:r>
      <w:r w:rsidRPr="00732013">
        <w:rPr>
          <w:spacing w:val="5"/>
          <w:w w:val="104"/>
        </w:rPr>
        <w:t xml:space="preserve"> </w:t>
      </w:r>
      <w:r w:rsidR="00866E29" w:rsidRPr="00732013">
        <w:rPr>
          <w:spacing w:val="5"/>
          <w:w w:val="104"/>
        </w:rPr>
        <w:t>2</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13.</w:t>
      </w:r>
      <w:r w:rsidRPr="00732013">
        <w:rPr>
          <w:spacing w:val="5"/>
          <w:w w:val="104"/>
          <w:lang w:val="ru-RU"/>
        </w:rPr>
        <w:tab/>
      </w:r>
      <w:r w:rsidR="005264EC" w:rsidRPr="00732013">
        <w:rPr>
          <w:spacing w:val="5"/>
          <w:w w:val="104"/>
          <w:lang w:val="ru-RU"/>
        </w:rPr>
        <w:t>В</w:t>
      </w:r>
      <w:r w:rsidRPr="00732013">
        <w:rPr>
          <w:spacing w:val="5"/>
          <w:w w:val="104"/>
          <w:lang w:val="ru-RU"/>
        </w:rPr>
        <w:t xml:space="preserve"> 2010</w:t>
      </w:r>
      <w:r w:rsidR="008055A1" w:rsidRPr="00732013">
        <w:rPr>
          <w:spacing w:val="5"/>
          <w:w w:val="104"/>
          <w:lang w:val="ru-RU"/>
        </w:rPr>
        <w:t> год</w:t>
      </w:r>
      <w:r w:rsidR="005264EC" w:rsidRPr="00732013">
        <w:rPr>
          <w:spacing w:val="5"/>
          <w:w w:val="104"/>
          <w:lang w:val="ru-RU"/>
        </w:rPr>
        <w:t>у</w:t>
      </w:r>
      <w:r w:rsidR="00100341" w:rsidRPr="00732013">
        <w:rPr>
          <w:spacing w:val="5"/>
          <w:w w:val="104"/>
          <w:lang w:val="ru-RU"/>
        </w:rPr>
        <w:t xml:space="preserve"> </w:t>
      </w:r>
      <w:r w:rsidR="00356269" w:rsidRPr="00732013">
        <w:rPr>
          <w:spacing w:val="5"/>
          <w:w w:val="104"/>
          <w:lang w:val="ru-RU"/>
        </w:rPr>
        <w:t xml:space="preserve">омбудсмен </w:t>
      </w:r>
      <w:r w:rsidR="00100341" w:rsidRPr="00732013">
        <w:rPr>
          <w:spacing w:val="5"/>
          <w:w w:val="104"/>
          <w:lang w:val="ru-RU"/>
        </w:rPr>
        <w:t>по</w:t>
      </w:r>
      <w:r w:rsidR="008E5FD3" w:rsidRPr="00732013">
        <w:rPr>
          <w:spacing w:val="5"/>
          <w:w w:val="104"/>
          <w:lang w:val="ru-RU"/>
        </w:rPr>
        <w:t xml:space="preserve"> вопросам равных возможностей рассмотрел</w:t>
      </w:r>
      <w:r w:rsidRPr="00732013">
        <w:rPr>
          <w:spacing w:val="5"/>
          <w:w w:val="104"/>
          <w:lang w:val="ru-RU"/>
        </w:rPr>
        <w:t xml:space="preserve"> 148</w:t>
      </w:r>
      <w:r w:rsidR="00E5613A" w:rsidRPr="00732013">
        <w:rPr>
          <w:spacing w:val="5"/>
          <w:w w:val="104"/>
          <w:lang w:val="en-US"/>
        </w:rPr>
        <w:t> </w:t>
      </w:r>
      <w:r w:rsidR="006B2A70" w:rsidRPr="00732013">
        <w:rPr>
          <w:spacing w:val="5"/>
          <w:w w:val="104"/>
          <w:lang w:val="ru-RU"/>
        </w:rPr>
        <w:t>жалоб</w:t>
      </w:r>
      <w:r w:rsidRPr="00732013">
        <w:rPr>
          <w:spacing w:val="5"/>
          <w:w w:val="104"/>
          <w:lang w:val="ru-RU"/>
        </w:rPr>
        <w:t xml:space="preserve">, </w:t>
      </w:r>
      <w:r w:rsidR="006B2A70" w:rsidRPr="00732013">
        <w:rPr>
          <w:spacing w:val="5"/>
          <w:w w:val="104"/>
          <w:lang w:val="ru-RU"/>
        </w:rPr>
        <w:t>в том числе 40</w:t>
      </w:r>
      <w:r w:rsidR="00E86ABC" w:rsidRPr="00732013">
        <w:rPr>
          <w:spacing w:val="5"/>
          <w:w w:val="104"/>
          <w:lang w:val="ru-RU"/>
        </w:rPr>
        <w:t> </w:t>
      </w:r>
      <w:r w:rsidR="006B2A70" w:rsidRPr="00732013">
        <w:rPr>
          <w:spacing w:val="5"/>
          <w:w w:val="104"/>
          <w:lang w:val="ru-RU"/>
        </w:rPr>
        <w:t>жалоб относительно дискриминации по признаку пола</w:t>
      </w:r>
      <w:r w:rsidRPr="00732013">
        <w:rPr>
          <w:spacing w:val="5"/>
          <w:w w:val="104"/>
          <w:lang w:val="ru-RU"/>
        </w:rPr>
        <w:t xml:space="preserve"> (25</w:t>
      </w:r>
      <w:r w:rsidR="0000713A" w:rsidRPr="00732013">
        <w:rPr>
          <w:spacing w:val="5"/>
          <w:w w:val="104"/>
          <w:lang w:val="ru-RU"/>
        </w:rPr>
        <w:t> </w:t>
      </w:r>
      <w:r w:rsidR="006B2A70" w:rsidRPr="00732013">
        <w:rPr>
          <w:spacing w:val="5"/>
          <w:w w:val="104"/>
          <w:lang w:val="ru-RU"/>
        </w:rPr>
        <w:t xml:space="preserve">процентов </w:t>
      </w:r>
      <w:r w:rsidR="0000713A" w:rsidRPr="00732013">
        <w:rPr>
          <w:spacing w:val="5"/>
          <w:w w:val="104"/>
          <w:lang w:val="ru-RU"/>
        </w:rPr>
        <w:t xml:space="preserve">от </w:t>
      </w:r>
      <w:r w:rsidR="006B2A70" w:rsidRPr="00732013">
        <w:rPr>
          <w:spacing w:val="5"/>
          <w:w w:val="104"/>
          <w:lang w:val="ru-RU"/>
        </w:rPr>
        <w:t xml:space="preserve">общего числа </w:t>
      </w:r>
      <w:r w:rsidR="008A02DE" w:rsidRPr="00732013">
        <w:rPr>
          <w:spacing w:val="5"/>
          <w:w w:val="104"/>
          <w:lang w:val="ru-RU"/>
        </w:rPr>
        <w:t>запросов</w:t>
      </w:r>
      <w:r w:rsidRPr="00732013">
        <w:rPr>
          <w:spacing w:val="5"/>
          <w:w w:val="104"/>
          <w:lang w:val="ru-RU"/>
        </w:rPr>
        <w:t xml:space="preserve">). </w:t>
      </w:r>
      <w:r w:rsidR="006B2A70" w:rsidRPr="00732013">
        <w:rPr>
          <w:spacing w:val="5"/>
          <w:w w:val="104"/>
          <w:lang w:val="ru-RU"/>
        </w:rPr>
        <w:t>В</w:t>
      </w:r>
      <w:r w:rsidRPr="00732013">
        <w:rPr>
          <w:spacing w:val="5"/>
          <w:w w:val="104"/>
          <w:lang w:val="ru-RU"/>
        </w:rPr>
        <w:t xml:space="preserve"> 2011</w:t>
      </w:r>
      <w:r w:rsidR="008055A1" w:rsidRPr="00732013">
        <w:rPr>
          <w:spacing w:val="5"/>
          <w:w w:val="104"/>
          <w:lang w:val="ru-RU"/>
        </w:rPr>
        <w:t> год</w:t>
      </w:r>
      <w:r w:rsidR="006B2A70" w:rsidRPr="00732013">
        <w:rPr>
          <w:spacing w:val="5"/>
          <w:w w:val="104"/>
          <w:lang w:val="ru-RU"/>
        </w:rPr>
        <w:t xml:space="preserve">у </w:t>
      </w:r>
      <w:r w:rsidR="00356269" w:rsidRPr="00732013">
        <w:rPr>
          <w:spacing w:val="5"/>
          <w:w w:val="104"/>
          <w:lang w:val="ru-RU"/>
        </w:rPr>
        <w:t xml:space="preserve">омбудсмен </w:t>
      </w:r>
      <w:r w:rsidR="006B2A70" w:rsidRPr="00732013">
        <w:rPr>
          <w:spacing w:val="5"/>
          <w:w w:val="104"/>
          <w:lang w:val="ru-RU"/>
        </w:rPr>
        <w:t>рассмотрел</w:t>
      </w:r>
      <w:r w:rsidRPr="00732013">
        <w:rPr>
          <w:spacing w:val="5"/>
          <w:w w:val="104"/>
          <w:lang w:val="ru-RU"/>
        </w:rPr>
        <w:t xml:space="preserve"> 157</w:t>
      </w:r>
      <w:r w:rsidR="0000713A" w:rsidRPr="00732013">
        <w:rPr>
          <w:spacing w:val="5"/>
          <w:w w:val="104"/>
          <w:lang w:val="ru-RU"/>
        </w:rPr>
        <w:t> </w:t>
      </w:r>
      <w:r w:rsidR="006B2A70" w:rsidRPr="00732013">
        <w:rPr>
          <w:spacing w:val="5"/>
          <w:w w:val="104"/>
          <w:lang w:val="ru-RU"/>
        </w:rPr>
        <w:t>жалоб</w:t>
      </w:r>
      <w:r w:rsidRPr="00732013">
        <w:rPr>
          <w:spacing w:val="5"/>
          <w:w w:val="104"/>
          <w:lang w:val="ru-RU"/>
        </w:rPr>
        <w:t>,</w:t>
      </w:r>
      <w:r w:rsidR="008A02DE" w:rsidRPr="00732013">
        <w:rPr>
          <w:spacing w:val="5"/>
          <w:w w:val="104"/>
          <w:lang w:val="ru-RU"/>
        </w:rPr>
        <w:t xml:space="preserve"> включая</w:t>
      </w:r>
      <w:r w:rsidR="009F0AF0" w:rsidRPr="00732013">
        <w:rPr>
          <w:spacing w:val="5"/>
          <w:w w:val="104"/>
          <w:lang w:val="ru-RU"/>
        </w:rPr>
        <w:t xml:space="preserve"> </w:t>
      </w:r>
      <w:r w:rsidRPr="00732013">
        <w:rPr>
          <w:spacing w:val="5"/>
          <w:w w:val="104"/>
          <w:lang w:val="ru-RU"/>
        </w:rPr>
        <w:t>38</w:t>
      </w:r>
      <w:r w:rsidR="0000713A" w:rsidRPr="00732013">
        <w:rPr>
          <w:spacing w:val="5"/>
          <w:w w:val="104"/>
          <w:lang w:val="ru-RU"/>
        </w:rPr>
        <w:t> </w:t>
      </w:r>
      <w:r w:rsidR="008A02DE" w:rsidRPr="00732013">
        <w:rPr>
          <w:spacing w:val="5"/>
          <w:w w:val="104"/>
          <w:lang w:val="ru-RU"/>
        </w:rPr>
        <w:t>жалоб</w:t>
      </w:r>
      <w:r w:rsidRPr="00732013">
        <w:rPr>
          <w:spacing w:val="5"/>
          <w:w w:val="104"/>
          <w:lang w:val="ru-RU"/>
        </w:rPr>
        <w:t xml:space="preserve"> </w:t>
      </w:r>
      <w:r w:rsidR="008A02DE" w:rsidRPr="00732013">
        <w:rPr>
          <w:spacing w:val="5"/>
          <w:w w:val="104"/>
          <w:lang w:val="ru-RU"/>
        </w:rPr>
        <w:t xml:space="preserve">и </w:t>
      </w:r>
      <w:r w:rsidR="0000713A" w:rsidRPr="00732013">
        <w:rPr>
          <w:spacing w:val="5"/>
          <w:w w:val="104"/>
          <w:lang w:val="ru-RU"/>
        </w:rPr>
        <w:t>3 </w:t>
      </w:r>
      <w:r w:rsidR="008A02DE" w:rsidRPr="00732013">
        <w:rPr>
          <w:spacing w:val="5"/>
          <w:w w:val="104"/>
          <w:lang w:val="ru-RU"/>
        </w:rPr>
        <w:t xml:space="preserve">запроса по инициативе </w:t>
      </w:r>
      <w:r w:rsidR="00356269" w:rsidRPr="00732013">
        <w:rPr>
          <w:spacing w:val="5"/>
          <w:w w:val="104"/>
          <w:lang w:val="ru-RU"/>
        </w:rPr>
        <w:t xml:space="preserve">омбудсмена </w:t>
      </w:r>
      <w:r w:rsidR="008A02DE" w:rsidRPr="00732013">
        <w:rPr>
          <w:spacing w:val="5"/>
          <w:w w:val="104"/>
          <w:lang w:val="ru-RU"/>
        </w:rPr>
        <w:t>относительно дискриминации по признаку пола</w:t>
      </w:r>
      <w:r w:rsidRPr="00732013">
        <w:rPr>
          <w:spacing w:val="5"/>
          <w:w w:val="104"/>
          <w:lang w:val="ru-RU"/>
        </w:rPr>
        <w:t xml:space="preserve"> (20</w:t>
      </w:r>
      <w:r w:rsidR="0000713A" w:rsidRPr="00732013">
        <w:rPr>
          <w:spacing w:val="5"/>
          <w:w w:val="104"/>
          <w:lang w:val="ru-RU"/>
        </w:rPr>
        <w:t> </w:t>
      </w:r>
      <w:r w:rsidR="008A02DE" w:rsidRPr="00732013">
        <w:rPr>
          <w:spacing w:val="5"/>
          <w:w w:val="104"/>
          <w:lang w:val="ru-RU"/>
        </w:rPr>
        <w:t xml:space="preserve">процентов </w:t>
      </w:r>
      <w:r w:rsidR="0000713A" w:rsidRPr="00732013">
        <w:rPr>
          <w:spacing w:val="5"/>
          <w:w w:val="104"/>
          <w:lang w:val="ru-RU"/>
        </w:rPr>
        <w:t xml:space="preserve">от </w:t>
      </w:r>
      <w:r w:rsidR="008A02DE" w:rsidRPr="00732013">
        <w:rPr>
          <w:spacing w:val="5"/>
          <w:w w:val="104"/>
          <w:lang w:val="ru-RU"/>
        </w:rPr>
        <w:t>общего числа запросов</w:t>
      </w:r>
      <w:r w:rsidRPr="00732013">
        <w:rPr>
          <w:spacing w:val="5"/>
          <w:w w:val="104"/>
          <w:lang w:val="ru-RU"/>
        </w:rPr>
        <w:t xml:space="preserve">). </w:t>
      </w:r>
      <w:r w:rsidR="008A02DE" w:rsidRPr="00732013">
        <w:rPr>
          <w:spacing w:val="5"/>
          <w:w w:val="104"/>
          <w:lang w:val="ru-RU"/>
        </w:rPr>
        <w:t>В</w:t>
      </w:r>
      <w:r w:rsidR="00E5613A" w:rsidRPr="00732013">
        <w:rPr>
          <w:spacing w:val="5"/>
          <w:w w:val="104"/>
          <w:lang w:val="en-US"/>
        </w:rPr>
        <w:t> </w:t>
      </w:r>
      <w:r w:rsidRPr="00732013">
        <w:rPr>
          <w:spacing w:val="5"/>
          <w:w w:val="104"/>
          <w:lang w:val="ru-RU"/>
        </w:rPr>
        <w:t>2012</w:t>
      </w:r>
      <w:r w:rsidR="008055A1" w:rsidRPr="00732013">
        <w:rPr>
          <w:spacing w:val="5"/>
          <w:w w:val="104"/>
          <w:lang w:val="ru-RU"/>
        </w:rPr>
        <w:t> год</w:t>
      </w:r>
      <w:r w:rsidR="008A02DE" w:rsidRPr="00732013">
        <w:rPr>
          <w:spacing w:val="5"/>
          <w:w w:val="104"/>
          <w:lang w:val="ru-RU"/>
        </w:rPr>
        <w:t>у было рассмотрено в общей сложности</w:t>
      </w:r>
      <w:r w:rsidRPr="00732013">
        <w:rPr>
          <w:spacing w:val="5"/>
          <w:w w:val="104"/>
          <w:lang w:val="ru-RU"/>
        </w:rPr>
        <w:t xml:space="preserve"> 189</w:t>
      </w:r>
      <w:r w:rsidR="0000713A" w:rsidRPr="00732013">
        <w:rPr>
          <w:spacing w:val="5"/>
          <w:w w:val="104"/>
          <w:lang w:val="ru-RU"/>
        </w:rPr>
        <w:t> </w:t>
      </w:r>
      <w:r w:rsidR="003814AC" w:rsidRPr="00732013">
        <w:rPr>
          <w:spacing w:val="5"/>
          <w:w w:val="104"/>
          <w:lang w:val="ru-RU"/>
        </w:rPr>
        <w:t>жалоб, в том числе</w:t>
      </w:r>
      <w:r w:rsidRPr="00732013">
        <w:rPr>
          <w:spacing w:val="5"/>
          <w:w w:val="104"/>
          <w:lang w:val="ru-RU"/>
        </w:rPr>
        <w:t xml:space="preserve"> 63</w:t>
      </w:r>
      <w:r w:rsidR="0000713A" w:rsidRPr="00732013">
        <w:rPr>
          <w:spacing w:val="5"/>
          <w:w w:val="104"/>
          <w:lang w:val="ru-RU"/>
        </w:rPr>
        <w:t> </w:t>
      </w:r>
      <w:r w:rsidR="003814AC" w:rsidRPr="00732013">
        <w:rPr>
          <w:spacing w:val="5"/>
          <w:w w:val="104"/>
          <w:lang w:val="ru-RU"/>
        </w:rPr>
        <w:t>жалобы относительно дискриминации по признаку пола</w:t>
      </w:r>
      <w:r w:rsidR="009F0AF0" w:rsidRPr="00732013">
        <w:rPr>
          <w:spacing w:val="5"/>
          <w:w w:val="104"/>
          <w:lang w:val="ru-RU"/>
        </w:rPr>
        <w:t xml:space="preserve"> </w:t>
      </w:r>
      <w:r w:rsidR="003814AC" w:rsidRPr="00732013">
        <w:rPr>
          <w:spacing w:val="5"/>
          <w:w w:val="104"/>
          <w:lang w:val="ru-RU"/>
        </w:rPr>
        <w:t>(31,</w:t>
      </w:r>
      <w:r w:rsidRPr="00732013">
        <w:rPr>
          <w:spacing w:val="5"/>
          <w:w w:val="104"/>
          <w:lang w:val="ru-RU"/>
        </w:rPr>
        <w:t>5</w:t>
      </w:r>
      <w:r w:rsidR="0000713A" w:rsidRPr="00732013">
        <w:rPr>
          <w:spacing w:val="5"/>
          <w:w w:val="104"/>
          <w:lang w:val="ru-RU"/>
        </w:rPr>
        <w:t> </w:t>
      </w:r>
      <w:r w:rsidR="003814AC" w:rsidRPr="00732013">
        <w:rPr>
          <w:spacing w:val="5"/>
          <w:w w:val="104"/>
          <w:lang w:val="ru-RU"/>
        </w:rPr>
        <w:t xml:space="preserve">процента </w:t>
      </w:r>
      <w:r w:rsidR="0000713A" w:rsidRPr="00732013">
        <w:rPr>
          <w:spacing w:val="5"/>
          <w:w w:val="104"/>
          <w:lang w:val="ru-RU"/>
        </w:rPr>
        <w:t xml:space="preserve">от </w:t>
      </w:r>
      <w:r w:rsidR="003814AC" w:rsidRPr="00732013">
        <w:rPr>
          <w:spacing w:val="5"/>
          <w:w w:val="104"/>
          <w:lang w:val="ru-RU"/>
        </w:rPr>
        <w:t>общего числа запросов</w:t>
      </w:r>
      <w:r w:rsidRPr="00732013">
        <w:rPr>
          <w:spacing w:val="5"/>
          <w:w w:val="104"/>
          <w:lang w:val="ru-RU"/>
        </w:rPr>
        <w:t xml:space="preserve">). </w:t>
      </w:r>
      <w:r w:rsidR="003814AC" w:rsidRPr="00732013">
        <w:rPr>
          <w:spacing w:val="5"/>
          <w:w w:val="104"/>
          <w:lang w:val="ru-RU"/>
        </w:rPr>
        <w:t>Информация о жалобах, рассмотренных в 2013</w:t>
      </w:r>
      <w:r w:rsidR="008055A1" w:rsidRPr="00732013">
        <w:rPr>
          <w:spacing w:val="5"/>
          <w:w w:val="104"/>
          <w:lang w:val="ru-RU"/>
        </w:rPr>
        <w:t> год</w:t>
      </w:r>
      <w:r w:rsidR="003814AC" w:rsidRPr="00732013">
        <w:rPr>
          <w:spacing w:val="5"/>
          <w:w w:val="104"/>
          <w:lang w:val="ru-RU"/>
        </w:rPr>
        <w:t xml:space="preserve">у, будет </w:t>
      </w:r>
      <w:r w:rsidR="0000713A" w:rsidRPr="00732013">
        <w:rPr>
          <w:spacing w:val="5"/>
          <w:w w:val="104"/>
          <w:lang w:val="ru-RU"/>
        </w:rPr>
        <w:t xml:space="preserve">представлена </w:t>
      </w:r>
      <w:r w:rsidR="003814AC" w:rsidRPr="00732013">
        <w:rPr>
          <w:spacing w:val="5"/>
          <w:w w:val="104"/>
          <w:lang w:val="ru-RU"/>
        </w:rPr>
        <w:t>в марте</w:t>
      </w:r>
      <w:r w:rsidRPr="00732013">
        <w:rPr>
          <w:spacing w:val="5"/>
          <w:w w:val="104"/>
          <w:lang w:val="ru-RU"/>
        </w:rPr>
        <w:t xml:space="preserve"> 2014</w:t>
      </w:r>
      <w:r w:rsidR="008055A1" w:rsidRPr="00732013">
        <w:rPr>
          <w:spacing w:val="5"/>
          <w:w w:val="104"/>
          <w:lang w:val="ru-RU"/>
        </w:rPr>
        <w:t> год</w:t>
      </w:r>
      <w:r w:rsidR="003814AC" w:rsidRPr="00732013">
        <w:rPr>
          <w:spacing w:val="5"/>
          <w:w w:val="104"/>
          <w:lang w:val="ru-RU"/>
        </w:rPr>
        <w:t>а</w:t>
      </w:r>
      <w:r w:rsidRPr="00732013">
        <w:rPr>
          <w:spacing w:val="5"/>
          <w:w w:val="104"/>
          <w:lang w:val="ru-RU"/>
        </w:rPr>
        <w:t xml:space="preserve">. </w:t>
      </w:r>
      <w:r w:rsidR="006F7A04" w:rsidRPr="00732013">
        <w:rPr>
          <w:spacing w:val="5"/>
          <w:w w:val="104"/>
          <w:lang w:val="ru-RU"/>
        </w:rPr>
        <w:t>Д</w:t>
      </w:r>
      <w:r w:rsidR="0000713A" w:rsidRPr="00732013">
        <w:rPr>
          <w:spacing w:val="5"/>
          <w:w w:val="104"/>
          <w:lang w:val="ru-RU"/>
        </w:rPr>
        <w:t>ез</w:t>
      </w:r>
      <w:r w:rsidR="006F7A04" w:rsidRPr="00732013">
        <w:rPr>
          <w:spacing w:val="5"/>
          <w:w w:val="104"/>
          <w:lang w:val="ru-RU"/>
        </w:rPr>
        <w:t>а</w:t>
      </w:r>
      <w:r w:rsidR="0000713A" w:rsidRPr="00732013">
        <w:rPr>
          <w:spacing w:val="5"/>
          <w:w w:val="104"/>
          <w:lang w:val="ru-RU"/>
        </w:rPr>
        <w:t xml:space="preserve">грегированные по гендерному признаку жалобы относительно </w:t>
      </w:r>
      <w:r w:rsidR="006F7A04" w:rsidRPr="00732013">
        <w:rPr>
          <w:spacing w:val="5"/>
          <w:w w:val="104"/>
          <w:lang w:val="ru-RU"/>
        </w:rPr>
        <w:t xml:space="preserve">дискриминации </w:t>
      </w:r>
      <w:r w:rsidR="0000713A" w:rsidRPr="00732013">
        <w:rPr>
          <w:spacing w:val="5"/>
          <w:w w:val="104"/>
          <w:lang w:val="ru-RU"/>
        </w:rPr>
        <w:t xml:space="preserve">на основании половой принадлежности </w:t>
      </w:r>
      <w:r w:rsidR="006F7A04" w:rsidRPr="00732013">
        <w:rPr>
          <w:spacing w:val="5"/>
          <w:w w:val="104"/>
          <w:lang w:val="ru-RU"/>
        </w:rPr>
        <w:t>представлены в Приложении</w:t>
      </w:r>
      <w:r w:rsidR="0000713A" w:rsidRPr="00732013">
        <w:rPr>
          <w:spacing w:val="5"/>
          <w:w w:val="104"/>
          <w:lang w:val="ru-RU"/>
        </w:rPr>
        <w:t> </w:t>
      </w:r>
      <w:r w:rsidRPr="00732013">
        <w:rPr>
          <w:spacing w:val="5"/>
          <w:w w:val="104"/>
          <w:lang w:val="ru-RU"/>
        </w:rPr>
        <w:t xml:space="preserve">2. </w:t>
      </w:r>
      <w:r w:rsidR="006F7A04" w:rsidRPr="00732013">
        <w:rPr>
          <w:spacing w:val="5"/>
          <w:w w:val="104"/>
          <w:lang w:val="ru-RU"/>
        </w:rPr>
        <w:t xml:space="preserve">Канцелярия </w:t>
      </w:r>
      <w:r w:rsidR="00955435" w:rsidRPr="00732013">
        <w:rPr>
          <w:spacing w:val="5"/>
          <w:w w:val="104"/>
          <w:lang w:val="ru-RU"/>
        </w:rPr>
        <w:t xml:space="preserve">Омбудсмена </w:t>
      </w:r>
      <w:r w:rsidR="009528ED" w:rsidRPr="00732013">
        <w:rPr>
          <w:spacing w:val="5"/>
          <w:w w:val="104"/>
          <w:lang w:val="ru-RU"/>
        </w:rPr>
        <w:t xml:space="preserve">по вопросам равных возможностей не </w:t>
      </w:r>
      <w:r w:rsidR="0000713A" w:rsidRPr="00732013">
        <w:rPr>
          <w:spacing w:val="5"/>
          <w:w w:val="104"/>
          <w:lang w:val="ru-RU"/>
        </w:rPr>
        <w:t xml:space="preserve">ведет сбор </w:t>
      </w:r>
      <w:r w:rsidR="009528ED" w:rsidRPr="00732013">
        <w:rPr>
          <w:spacing w:val="5"/>
          <w:w w:val="104"/>
          <w:lang w:val="ru-RU"/>
        </w:rPr>
        <w:t>сведени</w:t>
      </w:r>
      <w:r w:rsidR="0000713A" w:rsidRPr="00732013">
        <w:rPr>
          <w:spacing w:val="5"/>
          <w:w w:val="104"/>
          <w:lang w:val="ru-RU"/>
        </w:rPr>
        <w:t>й</w:t>
      </w:r>
      <w:r w:rsidR="009528ED" w:rsidRPr="00732013">
        <w:rPr>
          <w:spacing w:val="5"/>
          <w:w w:val="104"/>
          <w:lang w:val="ru-RU"/>
        </w:rPr>
        <w:t xml:space="preserve"> ни о </w:t>
      </w:r>
      <w:r w:rsidR="001570EA" w:rsidRPr="00732013">
        <w:rPr>
          <w:spacing w:val="5"/>
          <w:w w:val="104"/>
          <w:lang w:val="ru-RU"/>
        </w:rPr>
        <w:t xml:space="preserve">распределении жалоб по </w:t>
      </w:r>
      <w:r w:rsidR="009528ED" w:rsidRPr="00732013">
        <w:rPr>
          <w:spacing w:val="5"/>
          <w:w w:val="104"/>
          <w:lang w:val="ru-RU"/>
        </w:rPr>
        <w:t>региона</w:t>
      </w:r>
      <w:r w:rsidR="001570EA" w:rsidRPr="00732013">
        <w:rPr>
          <w:spacing w:val="5"/>
          <w:w w:val="104"/>
          <w:lang w:val="ru-RU"/>
        </w:rPr>
        <w:t>м</w:t>
      </w:r>
      <w:r w:rsidR="009528ED" w:rsidRPr="00732013">
        <w:rPr>
          <w:spacing w:val="5"/>
          <w:w w:val="104"/>
          <w:lang w:val="ru-RU"/>
        </w:rPr>
        <w:t>, ни о конечн</w:t>
      </w:r>
      <w:r w:rsidR="0000713A" w:rsidRPr="00732013">
        <w:rPr>
          <w:spacing w:val="5"/>
          <w:w w:val="104"/>
          <w:lang w:val="ru-RU"/>
        </w:rPr>
        <w:t>ых</w:t>
      </w:r>
      <w:r w:rsidR="009528ED" w:rsidRPr="00732013">
        <w:rPr>
          <w:spacing w:val="5"/>
          <w:w w:val="104"/>
          <w:lang w:val="ru-RU"/>
        </w:rPr>
        <w:t xml:space="preserve"> результат</w:t>
      </w:r>
      <w:r w:rsidR="0000713A" w:rsidRPr="00732013">
        <w:rPr>
          <w:spacing w:val="5"/>
          <w:w w:val="104"/>
          <w:lang w:val="ru-RU"/>
        </w:rPr>
        <w:t>ах рассмотрения</w:t>
      </w:r>
      <w:r w:rsidR="009528ED" w:rsidRPr="00732013">
        <w:rPr>
          <w:spacing w:val="5"/>
          <w:w w:val="104"/>
          <w:lang w:val="ru-RU"/>
        </w:rPr>
        <w:t xml:space="preserve"> жалоб</w:t>
      </w:r>
      <w:r w:rsidR="0000713A" w:rsidRPr="00732013">
        <w:rPr>
          <w:spacing w:val="5"/>
          <w:w w:val="104"/>
          <w:lang w:val="ru-RU"/>
        </w:rPr>
        <w:t>,</w:t>
      </w:r>
      <w:r w:rsidR="00116CCE" w:rsidRPr="00732013">
        <w:rPr>
          <w:spacing w:val="5"/>
          <w:w w:val="104"/>
          <w:lang w:val="ru-RU"/>
        </w:rPr>
        <w:t xml:space="preserve"> </w:t>
      </w:r>
      <w:r w:rsidR="0000713A" w:rsidRPr="00732013">
        <w:rPr>
          <w:spacing w:val="5"/>
          <w:w w:val="104"/>
          <w:lang w:val="ru-RU"/>
        </w:rPr>
        <w:t xml:space="preserve">касающихся </w:t>
      </w:r>
      <w:r w:rsidR="00116CCE" w:rsidRPr="00732013">
        <w:rPr>
          <w:spacing w:val="5"/>
          <w:w w:val="104"/>
          <w:lang w:val="ru-RU"/>
        </w:rPr>
        <w:t>дискриминации по признаку пола</w:t>
      </w:r>
      <w:r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14.</w:t>
      </w:r>
      <w:r w:rsidRPr="00732013">
        <w:rPr>
          <w:spacing w:val="5"/>
          <w:w w:val="104"/>
          <w:lang w:val="ru-RU"/>
        </w:rPr>
        <w:tab/>
      </w:r>
      <w:r w:rsidR="00116CCE" w:rsidRPr="00732013">
        <w:rPr>
          <w:spacing w:val="5"/>
          <w:w w:val="104"/>
          <w:lang w:val="ru-RU"/>
        </w:rPr>
        <w:t xml:space="preserve">Рекомендации Комитета </w:t>
      </w:r>
      <w:r w:rsidR="0000713A" w:rsidRPr="00732013">
        <w:rPr>
          <w:spacing w:val="5"/>
          <w:w w:val="104"/>
          <w:lang w:val="ru-RU"/>
        </w:rPr>
        <w:t xml:space="preserve">относительно </w:t>
      </w:r>
      <w:r w:rsidR="00313BC3" w:rsidRPr="00732013">
        <w:rPr>
          <w:spacing w:val="5"/>
          <w:w w:val="104"/>
          <w:lang w:val="ru-RU"/>
        </w:rPr>
        <w:t xml:space="preserve">региональных </w:t>
      </w:r>
      <w:r w:rsidR="00116CCE" w:rsidRPr="00732013">
        <w:rPr>
          <w:spacing w:val="5"/>
          <w:w w:val="104"/>
          <w:lang w:val="ru-RU"/>
        </w:rPr>
        <w:t xml:space="preserve">отделений </w:t>
      </w:r>
      <w:r w:rsidR="0000713A" w:rsidRPr="00732013">
        <w:rPr>
          <w:spacing w:val="5"/>
          <w:w w:val="104"/>
          <w:lang w:val="ru-RU"/>
        </w:rPr>
        <w:t xml:space="preserve">Управления </w:t>
      </w:r>
      <w:r w:rsidR="00356269" w:rsidRPr="00732013">
        <w:rPr>
          <w:spacing w:val="5"/>
          <w:w w:val="104"/>
          <w:lang w:val="ru-RU"/>
        </w:rPr>
        <w:t xml:space="preserve">омбудсмена </w:t>
      </w:r>
      <w:r w:rsidR="00116CCE" w:rsidRPr="00732013">
        <w:rPr>
          <w:spacing w:val="5"/>
          <w:w w:val="104"/>
          <w:lang w:val="ru-RU"/>
        </w:rPr>
        <w:t>по вопросам равных возможностей</w:t>
      </w:r>
      <w:r w:rsidR="00313BC3" w:rsidRPr="00732013">
        <w:rPr>
          <w:spacing w:val="5"/>
          <w:w w:val="104"/>
          <w:lang w:val="ru-RU"/>
        </w:rPr>
        <w:t xml:space="preserve"> были представлены Литве в 2008</w:t>
      </w:r>
      <w:r w:rsidR="008055A1" w:rsidRPr="00732013">
        <w:rPr>
          <w:spacing w:val="5"/>
          <w:w w:val="104"/>
          <w:lang w:val="ru-RU"/>
        </w:rPr>
        <w:t> год</w:t>
      </w:r>
      <w:r w:rsidR="00313BC3" w:rsidRPr="00732013">
        <w:rPr>
          <w:spacing w:val="5"/>
          <w:w w:val="104"/>
          <w:lang w:val="ru-RU"/>
        </w:rPr>
        <w:t xml:space="preserve">у накануне экономического спада. Меры по сдерживанию экономического спада включали </w:t>
      </w:r>
      <w:r w:rsidR="00BF5F6A" w:rsidRPr="00732013">
        <w:rPr>
          <w:spacing w:val="5"/>
          <w:w w:val="104"/>
          <w:lang w:val="ru-RU"/>
        </w:rPr>
        <w:t xml:space="preserve">режим жесткой экономии, </w:t>
      </w:r>
      <w:r w:rsidR="0000713A" w:rsidRPr="00732013">
        <w:rPr>
          <w:spacing w:val="5"/>
          <w:w w:val="104"/>
          <w:lang w:val="ru-RU"/>
        </w:rPr>
        <w:t xml:space="preserve">в частности </w:t>
      </w:r>
      <w:r w:rsidR="00BF5F6A" w:rsidRPr="00732013">
        <w:rPr>
          <w:spacing w:val="5"/>
          <w:w w:val="104"/>
          <w:lang w:val="ru-RU"/>
        </w:rPr>
        <w:t>в государственн</w:t>
      </w:r>
      <w:r w:rsidR="0000713A" w:rsidRPr="00732013">
        <w:rPr>
          <w:spacing w:val="5"/>
          <w:w w:val="104"/>
          <w:lang w:val="ru-RU"/>
        </w:rPr>
        <w:t>ых органах</w:t>
      </w:r>
      <w:r w:rsidR="00BF5F6A" w:rsidRPr="00732013">
        <w:rPr>
          <w:spacing w:val="5"/>
          <w:w w:val="104"/>
          <w:lang w:val="ru-RU"/>
        </w:rPr>
        <w:t xml:space="preserve">. Поэтому </w:t>
      </w:r>
      <w:r w:rsidR="00A44D29" w:rsidRPr="00732013">
        <w:rPr>
          <w:spacing w:val="5"/>
          <w:w w:val="104"/>
          <w:lang w:val="ru-RU"/>
        </w:rPr>
        <w:t>выполнени</w:t>
      </w:r>
      <w:r w:rsidR="00AD3E06" w:rsidRPr="00732013">
        <w:rPr>
          <w:spacing w:val="5"/>
          <w:w w:val="104"/>
          <w:lang w:val="ru-RU"/>
        </w:rPr>
        <w:t>е</w:t>
      </w:r>
      <w:r w:rsidR="00BF5F6A" w:rsidRPr="00732013">
        <w:rPr>
          <w:spacing w:val="5"/>
          <w:w w:val="104"/>
          <w:lang w:val="ru-RU"/>
        </w:rPr>
        <w:t xml:space="preserve"> </w:t>
      </w:r>
      <w:r w:rsidR="00A44D29" w:rsidRPr="00732013">
        <w:rPr>
          <w:spacing w:val="5"/>
          <w:w w:val="104"/>
          <w:lang w:val="ru-RU"/>
        </w:rPr>
        <w:t>рекомендаций</w:t>
      </w:r>
      <w:r w:rsidR="00BF5F6A" w:rsidRPr="00732013">
        <w:rPr>
          <w:spacing w:val="5"/>
          <w:w w:val="104"/>
          <w:lang w:val="ru-RU"/>
        </w:rPr>
        <w:t xml:space="preserve"> Комитет</w:t>
      </w:r>
      <w:r w:rsidR="00A44D29" w:rsidRPr="00732013">
        <w:rPr>
          <w:spacing w:val="5"/>
          <w:w w:val="104"/>
          <w:lang w:val="ru-RU"/>
        </w:rPr>
        <w:t>а был</w:t>
      </w:r>
      <w:r w:rsidR="00AD3E06" w:rsidRPr="00732013">
        <w:rPr>
          <w:spacing w:val="5"/>
          <w:w w:val="104"/>
          <w:lang w:val="ru-RU"/>
        </w:rPr>
        <w:t>о сосредоточено</w:t>
      </w:r>
      <w:r w:rsidR="00A44D29" w:rsidRPr="00732013">
        <w:rPr>
          <w:spacing w:val="5"/>
          <w:w w:val="104"/>
          <w:lang w:val="ru-RU"/>
        </w:rPr>
        <w:t xml:space="preserve"> на эффективно</w:t>
      </w:r>
      <w:r w:rsidR="00AD3E06" w:rsidRPr="00732013">
        <w:rPr>
          <w:spacing w:val="5"/>
          <w:w w:val="104"/>
          <w:lang w:val="ru-RU"/>
        </w:rPr>
        <w:t>м</w:t>
      </w:r>
      <w:r w:rsidR="006A041A" w:rsidRPr="00732013">
        <w:rPr>
          <w:spacing w:val="5"/>
          <w:w w:val="104"/>
          <w:lang w:val="ru-RU"/>
        </w:rPr>
        <w:t xml:space="preserve"> </w:t>
      </w:r>
      <w:r w:rsidR="0000713A" w:rsidRPr="00732013">
        <w:rPr>
          <w:spacing w:val="5"/>
          <w:w w:val="104"/>
          <w:lang w:val="ru-RU"/>
        </w:rPr>
        <w:t xml:space="preserve">применении </w:t>
      </w:r>
      <w:r w:rsidR="00BF5F6A" w:rsidRPr="00732013">
        <w:rPr>
          <w:spacing w:val="5"/>
          <w:w w:val="104"/>
          <w:lang w:val="ru-RU"/>
        </w:rPr>
        <w:t>людских и финансовых ресурсов</w:t>
      </w:r>
      <w:r w:rsidR="00A44D29" w:rsidRPr="00732013">
        <w:rPr>
          <w:spacing w:val="5"/>
          <w:w w:val="104"/>
          <w:lang w:val="ru-RU"/>
        </w:rPr>
        <w:t xml:space="preserve">, в частности на </w:t>
      </w:r>
      <w:r w:rsidR="0000713A" w:rsidRPr="00732013">
        <w:rPr>
          <w:spacing w:val="5"/>
          <w:w w:val="104"/>
          <w:lang w:val="ru-RU"/>
        </w:rPr>
        <w:t xml:space="preserve">использовании </w:t>
      </w:r>
      <w:r w:rsidR="00AD3E06" w:rsidRPr="00732013">
        <w:rPr>
          <w:spacing w:val="5"/>
          <w:w w:val="104"/>
          <w:lang w:val="ru-RU"/>
        </w:rPr>
        <w:t>информационно-коммуникационны</w:t>
      </w:r>
      <w:r w:rsidR="0000713A" w:rsidRPr="00732013">
        <w:rPr>
          <w:spacing w:val="5"/>
          <w:w w:val="104"/>
          <w:lang w:val="ru-RU"/>
        </w:rPr>
        <w:t>х</w:t>
      </w:r>
      <w:r w:rsidR="00A44D29" w:rsidRPr="00732013">
        <w:rPr>
          <w:spacing w:val="5"/>
          <w:w w:val="104"/>
          <w:lang w:val="ru-RU"/>
        </w:rPr>
        <w:t xml:space="preserve"> технологи</w:t>
      </w:r>
      <w:r w:rsidR="0000713A" w:rsidRPr="00732013">
        <w:rPr>
          <w:spacing w:val="5"/>
          <w:w w:val="104"/>
          <w:lang w:val="ru-RU"/>
        </w:rPr>
        <w:t>й</w:t>
      </w:r>
      <w:r w:rsidR="00A44D29" w:rsidRPr="00732013">
        <w:rPr>
          <w:spacing w:val="5"/>
          <w:w w:val="104"/>
          <w:lang w:val="ru-RU"/>
        </w:rPr>
        <w:t>, в первую очередь</w:t>
      </w:r>
      <w:r w:rsidR="00AD3E06" w:rsidRPr="00732013">
        <w:rPr>
          <w:spacing w:val="5"/>
          <w:w w:val="104"/>
          <w:lang w:val="ru-RU"/>
        </w:rPr>
        <w:t xml:space="preserve"> мобильны</w:t>
      </w:r>
      <w:r w:rsidR="0000713A" w:rsidRPr="00732013">
        <w:rPr>
          <w:spacing w:val="5"/>
          <w:w w:val="104"/>
          <w:lang w:val="ru-RU"/>
        </w:rPr>
        <w:t>х</w:t>
      </w:r>
      <w:r w:rsidR="00AD3E06" w:rsidRPr="00732013">
        <w:rPr>
          <w:spacing w:val="5"/>
          <w:w w:val="104"/>
          <w:lang w:val="ru-RU"/>
        </w:rPr>
        <w:t xml:space="preserve"> телефон</w:t>
      </w:r>
      <w:r w:rsidR="0000713A" w:rsidRPr="00732013">
        <w:rPr>
          <w:spacing w:val="5"/>
          <w:w w:val="104"/>
          <w:lang w:val="ru-RU"/>
        </w:rPr>
        <w:t>ов</w:t>
      </w:r>
      <w:r w:rsidR="00AD3E06" w:rsidRPr="00732013">
        <w:rPr>
          <w:spacing w:val="5"/>
          <w:w w:val="104"/>
          <w:lang w:val="ru-RU"/>
        </w:rPr>
        <w:t>, смартфон</w:t>
      </w:r>
      <w:r w:rsidR="0000713A" w:rsidRPr="00732013">
        <w:rPr>
          <w:spacing w:val="5"/>
          <w:w w:val="104"/>
          <w:lang w:val="ru-RU"/>
        </w:rPr>
        <w:t>ов</w:t>
      </w:r>
      <w:r w:rsidR="00AD3E06" w:rsidRPr="00732013">
        <w:rPr>
          <w:spacing w:val="5"/>
          <w:w w:val="104"/>
          <w:lang w:val="ru-RU"/>
        </w:rPr>
        <w:t xml:space="preserve"> и </w:t>
      </w:r>
      <w:r w:rsidR="0000713A" w:rsidRPr="00732013">
        <w:rPr>
          <w:spacing w:val="5"/>
          <w:w w:val="104"/>
          <w:lang w:val="ru-RU"/>
        </w:rPr>
        <w:t>и</w:t>
      </w:r>
      <w:r w:rsidR="00AD3E06" w:rsidRPr="00732013">
        <w:rPr>
          <w:spacing w:val="5"/>
          <w:w w:val="104"/>
          <w:lang w:val="ru-RU"/>
        </w:rPr>
        <w:t>нтернет</w:t>
      </w:r>
      <w:r w:rsidR="0000713A" w:rsidRPr="00732013">
        <w:rPr>
          <w:spacing w:val="5"/>
          <w:w w:val="104"/>
          <w:lang w:val="ru-RU"/>
        </w:rPr>
        <w:t>а</w:t>
      </w:r>
      <w:r w:rsidR="00AD3E06" w:rsidRPr="00732013">
        <w:rPr>
          <w:spacing w:val="5"/>
          <w:w w:val="104"/>
          <w:lang w:val="ru-RU"/>
        </w:rPr>
        <w:t>.</w:t>
      </w:r>
      <w:r w:rsidR="00F239D3" w:rsidRPr="00732013">
        <w:rPr>
          <w:spacing w:val="5"/>
          <w:w w:val="104"/>
          <w:lang w:val="ru-RU"/>
        </w:rPr>
        <w:t xml:space="preserve"> Высокоразвитый сектор ИКТ охватывает всю</w:t>
      </w:r>
      <w:r w:rsidR="00D1058A" w:rsidRPr="00732013">
        <w:rPr>
          <w:spacing w:val="5"/>
          <w:w w:val="104"/>
          <w:lang w:val="ru-RU"/>
        </w:rPr>
        <w:t xml:space="preserve"> территорию Литвы</w:t>
      </w:r>
      <w:r w:rsidRPr="00732013">
        <w:rPr>
          <w:spacing w:val="5"/>
          <w:w w:val="104"/>
          <w:lang w:val="ru-RU"/>
        </w:rPr>
        <w:t xml:space="preserve"> (</w:t>
      </w:r>
      <w:r w:rsidR="00F239D3" w:rsidRPr="00732013">
        <w:rPr>
          <w:spacing w:val="5"/>
          <w:w w:val="104"/>
          <w:lang w:val="ru-RU"/>
        </w:rPr>
        <w:t>см.</w:t>
      </w:r>
      <w:r w:rsidRPr="00732013">
        <w:rPr>
          <w:spacing w:val="5"/>
          <w:w w:val="104"/>
          <w:lang w:val="ru-RU"/>
        </w:rPr>
        <w:t xml:space="preserve"> </w:t>
      </w:r>
      <w:r w:rsidR="00F239D3" w:rsidRPr="00732013">
        <w:rPr>
          <w:spacing w:val="5"/>
          <w:w w:val="104"/>
          <w:lang w:val="ru-RU"/>
        </w:rPr>
        <w:t>Приложение</w:t>
      </w:r>
      <w:r w:rsidR="0000713A" w:rsidRPr="00732013">
        <w:rPr>
          <w:spacing w:val="5"/>
          <w:w w:val="104"/>
          <w:lang w:val="ru-RU"/>
        </w:rPr>
        <w:t> </w:t>
      </w:r>
      <w:r w:rsidRPr="00732013">
        <w:rPr>
          <w:spacing w:val="5"/>
          <w:w w:val="104"/>
          <w:lang w:val="ru-RU"/>
        </w:rPr>
        <w:t xml:space="preserve">3), </w:t>
      </w:r>
      <w:r w:rsidR="00D1058A" w:rsidRPr="00732013">
        <w:rPr>
          <w:spacing w:val="5"/>
          <w:w w:val="104"/>
          <w:lang w:val="ru-RU"/>
        </w:rPr>
        <w:t xml:space="preserve">поэтому Канцелярия </w:t>
      </w:r>
      <w:r w:rsidR="00955435" w:rsidRPr="00732013">
        <w:rPr>
          <w:spacing w:val="5"/>
          <w:w w:val="104"/>
          <w:lang w:val="ru-RU"/>
        </w:rPr>
        <w:t xml:space="preserve">Омбудсмена </w:t>
      </w:r>
      <w:r w:rsidR="00D1058A" w:rsidRPr="00732013">
        <w:rPr>
          <w:spacing w:val="5"/>
          <w:w w:val="104"/>
          <w:lang w:val="ru-RU"/>
        </w:rPr>
        <w:t>по вопросам равных возможностей</w:t>
      </w:r>
      <w:r w:rsidRPr="00732013">
        <w:rPr>
          <w:spacing w:val="5"/>
          <w:w w:val="104"/>
          <w:lang w:val="ru-RU"/>
        </w:rPr>
        <w:t xml:space="preserve"> </w:t>
      </w:r>
      <w:r w:rsidR="009138B7" w:rsidRPr="00732013">
        <w:rPr>
          <w:spacing w:val="5"/>
          <w:w w:val="104"/>
          <w:lang w:val="ru-RU"/>
        </w:rPr>
        <w:t xml:space="preserve">легкодоступна </w:t>
      </w:r>
      <w:r w:rsidR="0000713A" w:rsidRPr="00732013">
        <w:rPr>
          <w:spacing w:val="5"/>
          <w:w w:val="104"/>
          <w:lang w:val="ru-RU"/>
        </w:rPr>
        <w:t>для каждого человека</w:t>
      </w:r>
      <w:r w:rsidR="00D1058A" w:rsidRPr="00732013">
        <w:rPr>
          <w:spacing w:val="5"/>
          <w:w w:val="104"/>
          <w:lang w:val="ru-RU"/>
        </w:rPr>
        <w:t xml:space="preserve"> независимо от его местонахождения, возраста, </w:t>
      </w:r>
      <w:r w:rsidR="0000713A" w:rsidRPr="00732013">
        <w:rPr>
          <w:spacing w:val="5"/>
          <w:w w:val="104"/>
          <w:lang w:val="ru-RU"/>
        </w:rPr>
        <w:t xml:space="preserve">инвалидности </w:t>
      </w:r>
      <w:r w:rsidR="004D53AA" w:rsidRPr="00732013">
        <w:rPr>
          <w:spacing w:val="5"/>
          <w:w w:val="104"/>
          <w:lang w:val="ru-RU"/>
        </w:rPr>
        <w:t>и т.</w:t>
      </w:r>
      <w:r w:rsidR="0000713A" w:rsidRPr="00732013">
        <w:rPr>
          <w:spacing w:val="5"/>
          <w:w w:val="104"/>
          <w:lang w:val="ru-RU"/>
        </w:rPr>
        <w:t> </w:t>
      </w:r>
      <w:r w:rsidR="004D53AA" w:rsidRPr="00732013">
        <w:rPr>
          <w:spacing w:val="5"/>
          <w:w w:val="104"/>
          <w:lang w:val="ru-RU"/>
        </w:rPr>
        <w:t xml:space="preserve">д. </w:t>
      </w:r>
      <w:r w:rsidR="0000713A" w:rsidRPr="00732013">
        <w:rPr>
          <w:spacing w:val="5"/>
          <w:w w:val="104"/>
          <w:lang w:val="ru-RU"/>
        </w:rPr>
        <w:t xml:space="preserve">Однако в </w:t>
      </w:r>
      <w:r w:rsidR="004D53AA" w:rsidRPr="00732013">
        <w:rPr>
          <w:spacing w:val="5"/>
          <w:w w:val="104"/>
          <w:lang w:val="ru-RU"/>
        </w:rPr>
        <w:t>наиболее отдаленны</w:t>
      </w:r>
      <w:r w:rsidR="0000713A" w:rsidRPr="00732013">
        <w:rPr>
          <w:spacing w:val="5"/>
          <w:w w:val="104"/>
          <w:lang w:val="ru-RU"/>
        </w:rPr>
        <w:t>х</w:t>
      </w:r>
      <w:r w:rsidR="004D53AA" w:rsidRPr="00732013">
        <w:rPr>
          <w:spacing w:val="5"/>
          <w:w w:val="104"/>
          <w:lang w:val="ru-RU"/>
        </w:rPr>
        <w:t xml:space="preserve"> муниципалитет</w:t>
      </w:r>
      <w:r w:rsidR="0000713A" w:rsidRPr="00732013">
        <w:rPr>
          <w:spacing w:val="5"/>
          <w:w w:val="104"/>
          <w:lang w:val="ru-RU"/>
        </w:rPr>
        <w:t>ах</w:t>
      </w:r>
      <w:r w:rsidR="004D53AA" w:rsidRPr="00732013">
        <w:rPr>
          <w:spacing w:val="5"/>
          <w:w w:val="104"/>
          <w:lang w:val="ru-RU"/>
        </w:rPr>
        <w:t xml:space="preserve"> и сельски</w:t>
      </w:r>
      <w:r w:rsidR="0000713A" w:rsidRPr="00732013">
        <w:rPr>
          <w:spacing w:val="5"/>
          <w:w w:val="104"/>
          <w:lang w:val="ru-RU"/>
        </w:rPr>
        <w:t>х</w:t>
      </w:r>
      <w:r w:rsidR="004D53AA" w:rsidRPr="00732013">
        <w:rPr>
          <w:spacing w:val="5"/>
          <w:w w:val="104"/>
          <w:lang w:val="ru-RU"/>
        </w:rPr>
        <w:t xml:space="preserve"> район</w:t>
      </w:r>
      <w:r w:rsidR="0000713A" w:rsidRPr="00732013">
        <w:rPr>
          <w:spacing w:val="5"/>
          <w:w w:val="104"/>
          <w:lang w:val="ru-RU"/>
        </w:rPr>
        <w:t>ах</w:t>
      </w:r>
      <w:r w:rsidR="004D53AA" w:rsidRPr="00732013">
        <w:rPr>
          <w:spacing w:val="5"/>
          <w:w w:val="104"/>
          <w:lang w:val="ru-RU"/>
        </w:rPr>
        <w:t xml:space="preserve"> по-прежнему </w:t>
      </w:r>
      <w:r w:rsidR="0000713A" w:rsidRPr="00732013">
        <w:rPr>
          <w:spacing w:val="5"/>
          <w:w w:val="104"/>
          <w:lang w:val="ru-RU"/>
        </w:rPr>
        <w:t xml:space="preserve">ощущается </w:t>
      </w:r>
      <w:r w:rsidR="004D53AA" w:rsidRPr="00732013">
        <w:rPr>
          <w:spacing w:val="5"/>
          <w:w w:val="104"/>
          <w:lang w:val="ru-RU"/>
        </w:rPr>
        <w:t>нехватк</w:t>
      </w:r>
      <w:r w:rsidR="0000713A" w:rsidRPr="00732013">
        <w:rPr>
          <w:spacing w:val="5"/>
          <w:w w:val="104"/>
          <w:lang w:val="ru-RU"/>
        </w:rPr>
        <w:t>а</w:t>
      </w:r>
      <w:r w:rsidR="004D53AA" w:rsidRPr="00732013">
        <w:rPr>
          <w:spacing w:val="5"/>
          <w:w w:val="104"/>
          <w:lang w:val="ru-RU"/>
        </w:rPr>
        <w:t xml:space="preserve"> информации о государственных услугах, предлагаемых </w:t>
      </w:r>
      <w:r w:rsidR="00D80EAD" w:rsidRPr="00732013">
        <w:rPr>
          <w:spacing w:val="5"/>
          <w:w w:val="104"/>
          <w:lang w:val="ru-RU"/>
        </w:rPr>
        <w:t>Канцелярией</w:t>
      </w:r>
      <w:r w:rsidR="004D53AA" w:rsidRPr="00732013">
        <w:rPr>
          <w:spacing w:val="5"/>
          <w:w w:val="104"/>
          <w:lang w:val="ru-RU"/>
        </w:rPr>
        <w:t xml:space="preserve"> </w:t>
      </w:r>
      <w:r w:rsidR="00955435" w:rsidRPr="00732013">
        <w:rPr>
          <w:spacing w:val="5"/>
          <w:w w:val="104"/>
          <w:lang w:val="ru-RU"/>
        </w:rPr>
        <w:t xml:space="preserve">Омбудсмена </w:t>
      </w:r>
      <w:r w:rsidR="004D53AA" w:rsidRPr="00732013">
        <w:rPr>
          <w:spacing w:val="5"/>
          <w:w w:val="104"/>
          <w:lang w:val="ru-RU"/>
        </w:rPr>
        <w:t>по вопросам равных возможностей</w:t>
      </w:r>
      <w:r w:rsidRPr="00732013">
        <w:rPr>
          <w:spacing w:val="5"/>
          <w:w w:val="104"/>
          <w:lang w:val="ru-RU"/>
        </w:rPr>
        <w:t xml:space="preserve">. </w:t>
      </w:r>
    </w:p>
    <w:p w:rsidR="00866E29" w:rsidRPr="00732013" w:rsidRDefault="00B84D9E" w:rsidP="00732013">
      <w:pPr>
        <w:pStyle w:val="H23G"/>
        <w:spacing w:before="0"/>
        <w:ind w:right="1267"/>
        <w:rPr>
          <w:spacing w:val="5"/>
          <w:w w:val="104"/>
        </w:rPr>
      </w:pPr>
      <w:r w:rsidRPr="00732013">
        <w:rPr>
          <w:spacing w:val="5"/>
          <w:w w:val="104"/>
        </w:rPr>
        <w:t xml:space="preserve">Ответ </w:t>
      </w:r>
      <w:r w:rsidR="005C5775" w:rsidRPr="00732013">
        <w:rPr>
          <w:spacing w:val="5"/>
          <w:w w:val="104"/>
        </w:rPr>
        <w:t>по</w:t>
      </w:r>
      <w:r w:rsidRPr="00732013">
        <w:rPr>
          <w:spacing w:val="5"/>
          <w:w w:val="104"/>
        </w:rPr>
        <w:t xml:space="preserve"> пункт</w:t>
      </w:r>
      <w:r w:rsidR="005C5775" w:rsidRPr="00732013">
        <w:rPr>
          <w:spacing w:val="5"/>
          <w:w w:val="104"/>
        </w:rPr>
        <w:t>у</w:t>
      </w:r>
      <w:r w:rsidRPr="00732013">
        <w:rPr>
          <w:spacing w:val="5"/>
          <w:w w:val="104"/>
        </w:rPr>
        <w:t xml:space="preserve"> </w:t>
      </w:r>
      <w:r w:rsidR="00866E29" w:rsidRPr="00732013">
        <w:rPr>
          <w:spacing w:val="5"/>
          <w:w w:val="104"/>
        </w:rPr>
        <w:t>3</w:t>
      </w:r>
    </w:p>
    <w:p w:rsidR="00866E29" w:rsidRPr="00732013" w:rsidRDefault="00762229" w:rsidP="00732013">
      <w:pPr>
        <w:pStyle w:val="SingleTxtG"/>
        <w:spacing w:line="240" w:lineRule="exact"/>
        <w:ind w:right="1267"/>
        <w:rPr>
          <w:spacing w:val="5"/>
          <w:w w:val="104"/>
          <w:lang w:val="ru-RU"/>
        </w:rPr>
      </w:pPr>
      <w:r w:rsidRPr="00732013">
        <w:rPr>
          <w:spacing w:val="5"/>
          <w:w w:val="104"/>
          <w:lang w:val="ru-RU"/>
        </w:rPr>
        <w:t>15.</w:t>
      </w:r>
      <w:r w:rsidRPr="00732013">
        <w:rPr>
          <w:spacing w:val="5"/>
          <w:w w:val="104"/>
          <w:lang w:val="ru-RU"/>
        </w:rPr>
        <w:tab/>
        <w:t>21 сентября 2011</w:t>
      </w:r>
      <w:r w:rsidR="008055A1" w:rsidRPr="00732013">
        <w:rPr>
          <w:spacing w:val="5"/>
          <w:w w:val="104"/>
          <w:lang w:val="ru-RU"/>
        </w:rPr>
        <w:t> год</w:t>
      </w:r>
      <w:r w:rsidRPr="00732013">
        <w:rPr>
          <w:spacing w:val="5"/>
          <w:w w:val="104"/>
          <w:lang w:val="ru-RU"/>
        </w:rPr>
        <w:t xml:space="preserve">а </w:t>
      </w:r>
      <w:r w:rsidR="009138B7" w:rsidRPr="00732013">
        <w:rPr>
          <w:spacing w:val="5"/>
          <w:w w:val="104"/>
          <w:lang w:val="ru-RU"/>
        </w:rPr>
        <w:t xml:space="preserve">правление </w:t>
      </w:r>
      <w:r w:rsidR="0035767F" w:rsidRPr="00732013">
        <w:rPr>
          <w:spacing w:val="5"/>
          <w:w w:val="104"/>
          <w:lang w:val="ru-RU"/>
        </w:rPr>
        <w:t>Сейма</w:t>
      </w:r>
      <w:r w:rsidRPr="00732013">
        <w:rPr>
          <w:spacing w:val="5"/>
          <w:w w:val="104"/>
          <w:lang w:val="ru-RU"/>
        </w:rPr>
        <w:t xml:space="preserve"> принял</w:t>
      </w:r>
      <w:r w:rsidR="0035767F" w:rsidRPr="00732013">
        <w:rPr>
          <w:spacing w:val="5"/>
          <w:w w:val="104"/>
          <w:lang w:val="ru-RU"/>
        </w:rPr>
        <w:t>о</w:t>
      </w:r>
      <w:r w:rsidRPr="00732013">
        <w:rPr>
          <w:spacing w:val="5"/>
          <w:w w:val="104"/>
          <w:lang w:val="ru-RU"/>
        </w:rPr>
        <w:t xml:space="preserve"> решение </w:t>
      </w:r>
      <w:r w:rsidR="0000713A" w:rsidRPr="00732013">
        <w:rPr>
          <w:spacing w:val="5"/>
          <w:w w:val="104"/>
          <w:lang w:val="ru-RU"/>
        </w:rPr>
        <w:t xml:space="preserve">об </w:t>
      </w:r>
      <w:r w:rsidRPr="00732013">
        <w:rPr>
          <w:spacing w:val="5"/>
          <w:w w:val="104"/>
          <w:lang w:val="ru-RU"/>
        </w:rPr>
        <w:t>усовершенствова</w:t>
      </w:r>
      <w:r w:rsidR="0000713A" w:rsidRPr="00732013">
        <w:rPr>
          <w:spacing w:val="5"/>
          <w:w w:val="104"/>
          <w:lang w:val="ru-RU"/>
        </w:rPr>
        <w:t>нии</w:t>
      </w:r>
      <w:r w:rsidRPr="00732013">
        <w:rPr>
          <w:spacing w:val="5"/>
          <w:w w:val="104"/>
          <w:lang w:val="ru-RU"/>
        </w:rPr>
        <w:t xml:space="preserve"> правил процедуры </w:t>
      </w:r>
      <w:r w:rsidR="0000713A" w:rsidRPr="00732013">
        <w:rPr>
          <w:spacing w:val="5"/>
          <w:w w:val="104"/>
          <w:lang w:val="ru-RU"/>
        </w:rPr>
        <w:t>п</w:t>
      </w:r>
      <w:r w:rsidRPr="00732013">
        <w:rPr>
          <w:spacing w:val="5"/>
          <w:w w:val="104"/>
          <w:lang w:val="ru-RU"/>
        </w:rPr>
        <w:t xml:space="preserve">арламентской </w:t>
      </w:r>
      <w:r w:rsidR="0000713A" w:rsidRPr="00732013">
        <w:rPr>
          <w:spacing w:val="5"/>
          <w:w w:val="104"/>
          <w:lang w:val="ru-RU"/>
        </w:rPr>
        <w:t>К</w:t>
      </w:r>
      <w:r w:rsidRPr="00732013">
        <w:rPr>
          <w:spacing w:val="5"/>
          <w:w w:val="104"/>
          <w:lang w:val="ru-RU"/>
        </w:rPr>
        <w:t xml:space="preserve">анцелярии </w:t>
      </w:r>
      <w:r w:rsidR="00955435" w:rsidRPr="00732013">
        <w:rPr>
          <w:spacing w:val="5"/>
          <w:w w:val="104"/>
          <w:lang w:val="ru-RU"/>
        </w:rPr>
        <w:t xml:space="preserve">Омбудсмена </w:t>
      </w:r>
      <w:r w:rsidR="0000713A" w:rsidRPr="00732013">
        <w:rPr>
          <w:spacing w:val="5"/>
          <w:w w:val="104"/>
          <w:lang w:val="ru-RU"/>
        </w:rPr>
        <w:t xml:space="preserve">с целью </w:t>
      </w:r>
      <w:r w:rsidRPr="00732013">
        <w:rPr>
          <w:spacing w:val="5"/>
          <w:w w:val="104"/>
          <w:lang w:val="ru-RU"/>
        </w:rPr>
        <w:t xml:space="preserve">привести их в соответствие с требованиями к национальному правозащитному учреждению, </w:t>
      </w:r>
      <w:r w:rsidR="0000713A" w:rsidRPr="00732013">
        <w:rPr>
          <w:spacing w:val="5"/>
          <w:w w:val="104"/>
          <w:lang w:val="ru-RU"/>
        </w:rPr>
        <w:t xml:space="preserve">содержащимися </w:t>
      </w:r>
      <w:r w:rsidRPr="00732013">
        <w:rPr>
          <w:spacing w:val="5"/>
          <w:w w:val="104"/>
          <w:lang w:val="ru-RU"/>
        </w:rPr>
        <w:t>в Парижских принципах. С этой целью в парламенте была сформирована рабочая группа, которая рассмотрела</w:t>
      </w:r>
      <w:r w:rsidR="009F0AF0" w:rsidRPr="00732013">
        <w:rPr>
          <w:spacing w:val="5"/>
          <w:w w:val="104"/>
          <w:lang w:val="ru-RU"/>
        </w:rPr>
        <w:t xml:space="preserve"> </w:t>
      </w:r>
      <w:r w:rsidRPr="00732013">
        <w:rPr>
          <w:spacing w:val="5"/>
          <w:w w:val="104"/>
          <w:lang w:val="ru-RU"/>
        </w:rPr>
        <w:t>закон</w:t>
      </w:r>
      <w:r w:rsidR="002E095E" w:rsidRPr="00732013">
        <w:rPr>
          <w:spacing w:val="5"/>
          <w:w w:val="104"/>
          <w:lang w:val="ru-RU"/>
        </w:rPr>
        <w:t>опроект</w:t>
      </w:r>
      <w:r w:rsidRPr="00732013">
        <w:rPr>
          <w:spacing w:val="5"/>
          <w:w w:val="104"/>
          <w:lang w:val="ru-RU"/>
        </w:rPr>
        <w:t xml:space="preserve"> о парламентской </w:t>
      </w:r>
      <w:r w:rsidR="002E095E" w:rsidRPr="00732013">
        <w:rPr>
          <w:spacing w:val="5"/>
          <w:w w:val="104"/>
          <w:lang w:val="ru-RU"/>
        </w:rPr>
        <w:t>К</w:t>
      </w:r>
      <w:r w:rsidRPr="00732013">
        <w:rPr>
          <w:spacing w:val="5"/>
          <w:w w:val="104"/>
          <w:lang w:val="ru-RU"/>
        </w:rPr>
        <w:t xml:space="preserve">анцелярии </w:t>
      </w:r>
      <w:r w:rsidR="00955435" w:rsidRPr="00732013">
        <w:rPr>
          <w:spacing w:val="5"/>
          <w:w w:val="104"/>
          <w:lang w:val="ru-RU"/>
        </w:rPr>
        <w:t xml:space="preserve">Омбудсмена </w:t>
      </w:r>
      <w:r w:rsidRPr="00732013">
        <w:rPr>
          <w:spacing w:val="5"/>
          <w:w w:val="104"/>
          <w:lang w:val="ru-RU"/>
        </w:rPr>
        <w:t xml:space="preserve">и внесла в него ряд поправок, официально возложив функции национального правозащитного учреждения на </w:t>
      </w:r>
      <w:r w:rsidR="002E095E" w:rsidRPr="00732013">
        <w:rPr>
          <w:spacing w:val="5"/>
          <w:w w:val="104"/>
          <w:lang w:val="ru-RU"/>
        </w:rPr>
        <w:t>п</w:t>
      </w:r>
      <w:r w:rsidRPr="00732013">
        <w:rPr>
          <w:spacing w:val="5"/>
          <w:w w:val="104"/>
          <w:lang w:val="ru-RU"/>
        </w:rPr>
        <w:t xml:space="preserve">арламентскую </w:t>
      </w:r>
      <w:r w:rsidR="002E095E" w:rsidRPr="00732013">
        <w:rPr>
          <w:spacing w:val="5"/>
          <w:w w:val="104"/>
          <w:lang w:val="ru-RU"/>
        </w:rPr>
        <w:t>К</w:t>
      </w:r>
      <w:r w:rsidRPr="00732013">
        <w:rPr>
          <w:spacing w:val="5"/>
          <w:w w:val="104"/>
          <w:lang w:val="ru-RU"/>
        </w:rPr>
        <w:t xml:space="preserve">анцелярию </w:t>
      </w:r>
      <w:r w:rsidR="00955435" w:rsidRPr="00732013">
        <w:rPr>
          <w:spacing w:val="5"/>
          <w:w w:val="104"/>
          <w:lang w:val="ru-RU"/>
        </w:rPr>
        <w:t>Омбудсмена</w:t>
      </w:r>
      <w:r w:rsidRPr="00732013">
        <w:rPr>
          <w:spacing w:val="5"/>
          <w:w w:val="104"/>
          <w:lang w:val="ru-RU"/>
        </w:rPr>
        <w:t xml:space="preserve">. В </w:t>
      </w:r>
      <w:r w:rsidR="002E095E" w:rsidRPr="00732013">
        <w:rPr>
          <w:spacing w:val="5"/>
          <w:w w:val="104"/>
          <w:lang w:val="ru-RU"/>
        </w:rPr>
        <w:t xml:space="preserve">данном </w:t>
      </w:r>
      <w:r w:rsidRPr="00732013">
        <w:rPr>
          <w:spacing w:val="5"/>
          <w:w w:val="104"/>
          <w:lang w:val="ru-RU"/>
        </w:rPr>
        <w:t xml:space="preserve">законопроекте предлагается расширить функции </w:t>
      </w:r>
      <w:r w:rsidR="00356269" w:rsidRPr="00732013">
        <w:rPr>
          <w:spacing w:val="5"/>
          <w:w w:val="104"/>
          <w:lang w:val="ru-RU"/>
        </w:rPr>
        <w:t>омбудсмена</w:t>
      </w:r>
      <w:r w:rsidRPr="00732013">
        <w:rPr>
          <w:spacing w:val="5"/>
          <w:w w:val="104"/>
          <w:lang w:val="ru-RU"/>
        </w:rPr>
        <w:t>, предоставить ему бол</w:t>
      </w:r>
      <w:r w:rsidR="002E095E" w:rsidRPr="00732013">
        <w:rPr>
          <w:spacing w:val="5"/>
          <w:w w:val="104"/>
          <w:lang w:val="ru-RU"/>
        </w:rPr>
        <w:t>ьш</w:t>
      </w:r>
      <w:r w:rsidRPr="00732013">
        <w:rPr>
          <w:spacing w:val="5"/>
          <w:w w:val="104"/>
          <w:lang w:val="ru-RU"/>
        </w:rPr>
        <w:t>е полномочи</w:t>
      </w:r>
      <w:r w:rsidR="002E095E" w:rsidRPr="00732013">
        <w:rPr>
          <w:spacing w:val="5"/>
          <w:w w:val="104"/>
          <w:lang w:val="ru-RU"/>
        </w:rPr>
        <w:t>й</w:t>
      </w:r>
      <w:r w:rsidRPr="00732013">
        <w:rPr>
          <w:spacing w:val="5"/>
          <w:w w:val="104"/>
          <w:lang w:val="ru-RU"/>
        </w:rPr>
        <w:t xml:space="preserve"> и обеспечить ему б</w:t>
      </w:r>
      <w:r w:rsidR="002E095E" w:rsidRPr="00732013">
        <w:rPr>
          <w:spacing w:val="5"/>
          <w:w w:val="104"/>
          <w:lang w:val="ru-RU"/>
        </w:rPr>
        <w:t>ó</w:t>
      </w:r>
      <w:r w:rsidRPr="00732013">
        <w:rPr>
          <w:spacing w:val="5"/>
          <w:w w:val="104"/>
          <w:lang w:val="ru-RU"/>
        </w:rPr>
        <w:t>льшую независимость, с тем чтобы</w:t>
      </w:r>
      <w:r w:rsidR="009F0AF0" w:rsidRPr="00732013">
        <w:rPr>
          <w:spacing w:val="5"/>
          <w:w w:val="104"/>
          <w:lang w:val="ru-RU"/>
        </w:rPr>
        <w:t xml:space="preserve"> </w:t>
      </w:r>
      <w:r w:rsidR="002E095E" w:rsidRPr="00732013">
        <w:rPr>
          <w:spacing w:val="5"/>
          <w:w w:val="104"/>
          <w:lang w:val="ru-RU"/>
        </w:rPr>
        <w:t>п</w:t>
      </w:r>
      <w:r w:rsidR="00DE246B" w:rsidRPr="00732013">
        <w:rPr>
          <w:spacing w:val="5"/>
          <w:w w:val="104"/>
          <w:lang w:val="ru-RU"/>
        </w:rPr>
        <w:t>а</w:t>
      </w:r>
      <w:r w:rsidRPr="00732013">
        <w:rPr>
          <w:spacing w:val="5"/>
          <w:w w:val="104"/>
          <w:lang w:val="ru-RU"/>
        </w:rPr>
        <w:t xml:space="preserve">рламентская </w:t>
      </w:r>
      <w:r w:rsidR="002E095E" w:rsidRPr="00732013">
        <w:rPr>
          <w:spacing w:val="5"/>
          <w:w w:val="104"/>
          <w:lang w:val="ru-RU"/>
        </w:rPr>
        <w:t>К</w:t>
      </w:r>
      <w:r w:rsidRPr="00732013">
        <w:rPr>
          <w:spacing w:val="5"/>
          <w:w w:val="104"/>
          <w:lang w:val="ru-RU"/>
        </w:rPr>
        <w:t xml:space="preserve">анцелярия </w:t>
      </w:r>
      <w:r w:rsidR="002342C2" w:rsidRPr="00732013">
        <w:rPr>
          <w:spacing w:val="5"/>
          <w:w w:val="104"/>
          <w:lang w:val="ru-RU"/>
        </w:rPr>
        <w:t xml:space="preserve">Омбудсмена </w:t>
      </w:r>
      <w:r w:rsidRPr="00732013">
        <w:rPr>
          <w:spacing w:val="5"/>
          <w:w w:val="104"/>
          <w:lang w:val="ru-RU"/>
        </w:rPr>
        <w:t xml:space="preserve">могла </w:t>
      </w:r>
      <w:r w:rsidR="002E095E" w:rsidRPr="00732013">
        <w:rPr>
          <w:spacing w:val="5"/>
          <w:w w:val="104"/>
          <w:lang w:val="ru-RU"/>
        </w:rPr>
        <w:t xml:space="preserve">быть </w:t>
      </w:r>
      <w:r w:rsidRPr="00732013">
        <w:rPr>
          <w:spacing w:val="5"/>
          <w:w w:val="104"/>
          <w:lang w:val="ru-RU"/>
        </w:rPr>
        <w:t>независим</w:t>
      </w:r>
      <w:r w:rsidR="002E095E" w:rsidRPr="00732013">
        <w:rPr>
          <w:spacing w:val="5"/>
          <w:w w:val="104"/>
          <w:lang w:val="ru-RU"/>
        </w:rPr>
        <w:t>ым</w:t>
      </w:r>
      <w:r w:rsidRPr="00732013">
        <w:rPr>
          <w:spacing w:val="5"/>
          <w:w w:val="104"/>
          <w:lang w:val="ru-RU"/>
        </w:rPr>
        <w:t xml:space="preserve"> </w:t>
      </w:r>
      <w:r w:rsidR="00DE246B" w:rsidRPr="00732013">
        <w:rPr>
          <w:spacing w:val="5"/>
          <w:w w:val="104"/>
          <w:lang w:val="ru-RU"/>
        </w:rPr>
        <w:t>право</w:t>
      </w:r>
      <w:r w:rsidRPr="00732013">
        <w:rPr>
          <w:spacing w:val="5"/>
          <w:w w:val="104"/>
          <w:lang w:val="ru-RU"/>
        </w:rPr>
        <w:t>защитн</w:t>
      </w:r>
      <w:r w:rsidR="002E095E" w:rsidRPr="00732013">
        <w:rPr>
          <w:spacing w:val="5"/>
          <w:w w:val="104"/>
          <w:lang w:val="ru-RU"/>
        </w:rPr>
        <w:t>ым</w:t>
      </w:r>
      <w:r w:rsidRPr="00732013">
        <w:rPr>
          <w:spacing w:val="5"/>
          <w:w w:val="104"/>
          <w:lang w:val="ru-RU"/>
        </w:rPr>
        <w:t xml:space="preserve"> орган</w:t>
      </w:r>
      <w:r w:rsidR="002E095E" w:rsidRPr="00732013">
        <w:rPr>
          <w:spacing w:val="5"/>
          <w:w w:val="104"/>
          <w:lang w:val="ru-RU"/>
        </w:rPr>
        <w:t>ом</w:t>
      </w:r>
      <w:r w:rsidRPr="00732013">
        <w:rPr>
          <w:spacing w:val="5"/>
          <w:w w:val="104"/>
          <w:lang w:val="ru-RU"/>
        </w:rPr>
        <w:t>. 3</w:t>
      </w:r>
      <w:r w:rsidR="002E095E" w:rsidRPr="00732013">
        <w:rPr>
          <w:spacing w:val="5"/>
          <w:w w:val="104"/>
          <w:lang w:val="ru-RU"/>
        </w:rPr>
        <w:t> </w:t>
      </w:r>
      <w:r w:rsidRPr="00732013">
        <w:rPr>
          <w:spacing w:val="5"/>
          <w:w w:val="104"/>
          <w:lang w:val="ru-RU"/>
        </w:rPr>
        <w:t>июля 2012</w:t>
      </w:r>
      <w:r w:rsidR="008055A1" w:rsidRPr="00732013">
        <w:rPr>
          <w:spacing w:val="5"/>
          <w:w w:val="104"/>
          <w:lang w:val="ru-RU"/>
        </w:rPr>
        <w:t> год</w:t>
      </w:r>
      <w:r w:rsidRPr="00732013">
        <w:rPr>
          <w:spacing w:val="5"/>
          <w:w w:val="104"/>
          <w:lang w:val="ru-RU"/>
        </w:rPr>
        <w:t xml:space="preserve">а </w:t>
      </w:r>
      <w:r w:rsidR="002E095E" w:rsidRPr="00732013">
        <w:rPr>
          <w:spacing w:val="5"/>
          <w:w w:val="104"/>
          <w:lang w:val="ru-RU"/>
        </w:rPr>
        <w:t xml:space="preserve">этот </w:t>
      </w:r>
      <w:r w:rsidRPr="00732013">
        <w:rPr>
          <w:spacing w:val="5"/>
          <w:w w:val="104"/>
          <w:lang w:val="ru-RU"/>
        </w:rPr>
        <w:t xml:space="preserve">законопроект был представлен на рассмотрение парламента. Впоследствии в </w:t>
      </w:r>
      <w:r w:rsidR="002E095E" w:rsidRPr="00732013">
        <w:rPr>
          <w:spacing w:val="5"/>
          <w:w w:val="104"/>
          <w:lang w:val="ru-RU"/>
        </w:rPr>
        <w:t xml:space="preserve">него </w:t>
      </w:r>
      <w:r w:rsidRPr="00732013">
        <w:rPr>
          <w:spacing w:val="5"/>
          <w:w w:val="104"/>
          <w:lang w:val="ru-RU"/>
        </w:rPr>
        <w:t>вносились уточнения</w:t>
      </w:r>
      <w:r w:rsidR="002E095E" w:rsidRPr="00732013">
        <w:rPr>
          <w:spacing w:val="5"/>
          <w:w w:val="104"/>
          <w:lang w:val="ru-RU"/>
        </w:rPr>
        <w:t xml:space="preserve"> в свете</w:t>
      </w:r>
      <w:r w:rsidRPr="00732013">
        <w:rPr>
          <w:spacing w:val="5"/>
          <w:w w:val="104"/>
          <w:lang w:val="ru-RU"/>
        </w:rPr>
        <w:t xml:space="preserve"> замечани</w:t>
      </w:r>
      <w:r w:rsidR="002E095E" w:rsidRPr="00732013">
        <w:rPr>
          <w:spacing w:val="5"/>
          <w:w w:val="104"/>
          <w:lang w:val="ru-RU"/>
        </w:rPr>
        <w:t>й</w:t>
      </w:r>
      <w:r w:rsidRPr="00732013">
        <w:rPr>
          <w:spacing w:val="5"/>
          <w:w w:val="104"/>
          <w:lang w:val="ru-RU"/>
        </w:rPr>
        <w:t xml:space="preserve"> Верховного комиссара Организации Объединенных Наций по правам человека, и 24</w:t>
      </w:r>
      <w:r w:rsidR="002E095E" w:rsidRPr="00732013">
        <w:rPr>
          <w:spacing w:val="5"/>
          <w:w w:val="104"/>
          <w:lang w:val="ru-RU"/>
        </w:rPr>
        <w:t> </w:t>
      </w:r>
      <w:r w:rsidRPr="00732013">
        <w:rPr>
          <w:spacing w:val="5"/>
          <w:w w:val="104"/>
          <w:lang w:val="ru-RU"/>
        </w:rPr>
        <w:t>сентября 2012</w:t>
      </w:r>
      <w:r w:rsidR="008055A1" w:rsidRPr="00732013">
        <w:rPr>
          <w:spacing w:val="5"/>
          <w:w w:val="104"/>
          <w:lang w:val="ru-RU"/>
        </w:rPr>
        <w:t> год</w:t>
      </w:r>
      <w:r w:rsidRPr="00732013">
        <w:rPr>
          <w:spacing w:val="5"/>
          <w:w w:val="104"/>
          <w:lang w:val="ru-RU"/>
        </w:rPr>
        <w:t xml:space="preserve">а </w:t>
      </w:r>
      <w:r w:rsidR="002E095E" w:rsidRPr="00732013">
        <w:rPr>
          <w:spacing w:val="5"/>
          <w:w w:val="104"/>
          <w:lang w:val="ru-RU"/>
        </w:rPr>
        <w:t xml:space="preserve">этот </w:t>
      </w:r>
      <w:r w:rsidRPr="00732013">
        <w:rPr>
          <w:spacing w:val="5"/>
          <w:w w:val="104"/>
          <w:lang w:val="ru-RU"/>
        </w:rPr>
        <w:t xml:space="preserve">законопроект был повторно </w:t>
      </w:r>
      <w:r w:rsidR="002E095E" w:rsidRPr="00732013">
        <w:rPr>
          <w:spacing w:val="5"/>
          <w:w w:val="104"/>
          <w:lang w:val="ru-RU"/>
        </w:rPr>
        <w:t>внесен на рассмотрение</w:t>
      </w:r>
      <w:r w:rsidRPr="00732013">
        <w:rPr>
          <w:spacing w:val="5"/>
          <w:w w:val="104"/>
          <w:lang w:val="ru-RU"/>
        </w:rPr>
        <w:t>. В настоящее время парламентский Комитет по правам человека</w:t>
      </w:r>
      <w:r w:rsidRPr="00732013">
        <w:rPr>
          <w:color w:val="0000FF"/>
          <w:spacing w:val="5"/>
          <w:w w:val="104"/>
          <w:lang w:val="ru-RU"/>
        </w:rPr>
        <w:t xml:space="preserve"> </w:t>
      </w:r>
      <w:r w:rsidRPr="00732013">
        <w:rPr>
          <w:spacing w:val="5"/>
          <w:w w:val="104"/>
          <w:lang w:val="ru-RU"/>
        </w:rPr>
        <w:t xml:space="preserve">занимается </w:t>
      </w:r>
      <w:r w:rsidR="002E095E" w:rsidRPr="00732013">
        <w:rPr>
          <w:spacing w:val="5"/>
          <w:w w:val="104"/>
          <w:lang w:val="ru-RU"/>
        </w:rPr>
        <w:t xml:space="preserve">его </w:t>
      </w:r>
      <w:r w:rsidRPr="00732013">
        <w:rPr>
          <w:spacing w:val="5"/>
          <w:w w:val="104"/>
          <w:lang w:val="ru-RU"/>
        </w:rPr>
        <w:t>доработкой</w:t>
      </w:r>
      <w:r w:rsidR="009F0AF0" w:rsidRPr="00732013">
        <w:rPr>
          <w:spacing w:val="5"/>
          <w:w w:val="104"/>
          <w:lang w:val="ru-RU"/>
        </w:rPr>
        <w:t xml:space="preserve"> </w:t>
      </w:r>
      <w:r w:rsidR="002E095E" w:rsidRPr="00732013">
        <w:rPr>
          <w:spacing w:val="5"/>
          <w:w w:val="104"/>
          <w:lang w:val="ru-RU"/>
        </w:rPr>
        <w:t xml:space="preserve">с целью </w:t>
      </w:r>
      <w:r w:rsidRPr="00732013">
        <w:rPr>
          <w:spacing w:val="5"/>
          <w:w w:val="104"/>
          <w:lang w:val="ru-RU"/>
        </w:rPr>
        <w:t>обеспечить его полное соответствие Парижским принципам</w:t>
      </w:r>
      <w:r w:rsidR="00866E29" w:rsidRPr="00732013">
        <w:rPr>
          <w:spacing w:val="5"/>
          <w:w w:val="104"/>
          <w:lang w:val="ru-RU"/>
        </w:rPr>
        <w:t xml:space="preserve">. </w:t>
      </w:r>
    </w:p>
    <w:p w:rsidR="00866E29" w:rsidRPr="00732013" w:rsidRDefault="00733099" w:rsidP="00732013">
      <w:pPr>
        <w:pStyle w:val="H1"/>
        <w:spacing w:before="0" w:line="240" w:lineRule="exact"/>
        <w:ind w:right="1267"/>
        <w:rPr>
          <w:spacing w:val="5"/>
          <w:w w:val="104"/>
        </w:rPr>
      </w:pPr>
      <w:r w:rsidRPr="00732013">
        <w:rPr>
          <w:spacing w:val="5"/>
          <w:w w:val="104"/>
        </w:rPr>
        <w:t>Национальные механизмы</w:t>
      </w:r>
      <w:r w:rsidR="009F0AF0" w:rsidRPr="00732013">
        <w:rPr>
          <w:spacing w:val="5"/>
          <w:w w:val="104"/>
        </w:rPr>
        <w:t xml:space="preserve"> </w:t>
      </w:r>
      <w:r w:rsidR="002E095E" w:rsidRPr="00732013">
        <w:rPr>
          <w:spacing w:val="5"/>
          <w:w w:val="104"/>
        </w:rPr>
        <w:t>по</w:t>
      </w:r>
      <w:r w:rsidRPr="00732013">
        <w:rPr>
          <w:spacing w:val="5"/>
          <w:w w:val="104"/>
        </w:rPr>
        <w:t xml:space="preserve"> улучшени</w:t>
      </w:r>
      <w:r w:rsidR="002E095E" w:rsidRPr="00732013">
        <w:rPr>
          <w:spacing w:val="5"/>
          <w:w w:val="104"/>
        </w:rPr>
        <w:t>ю</w:t>
      </w:r>
      <w:r w:rsidRPr="00732013">
        <w:rPr>
          <w:spacing w:val="5"/>
          <w:w w:val="104"/>
        </w:rPr>
        <w:t xml:space="preserve"> положения женщин</w:t>
      </w:r>
      <w:r w:rsidR="00866E29" w:rsidRPr="00732013">
        <w:rPr>
          <w:spacing w:val="5"/>
          <w:w w:val="104"/>
        </w:rPr>
        <w:t xml:space="preserve"> </w:t>
      </w:r>
    </w:p>
    <w:p w:rsidR="00866E29" w:rsidRPr="00732013" w:rsidRDefault="00733099" w:rsidP="00732013">
      <w:pPr>
        <w:pStyle w:val="H23G"/>
        <w:spacing w:before="0"/>
        <w:ind w:right="1267"/>
        <w:rPr>
          <w:spacing w:val="5"/>
          <w:w w:val="104"/>
        </w:rPr>
      </w:pPr>
      <w:r w:rsidRPr="00732013">
        <w:rPr>
          <w:spacing w:val="5"/>
          <w:w w:val="104"/>
        </w:rPr>
        <w:t>Ответ по пункту</w:t>
      </w:r>
      <w:r w:rsidR="00866E29" w:rsidRPr="00732013">
        <w:rPr>
          <w:spacing w:val="5"/>
          <w:w w:val="104"/>
        </w:rPr>
        <w:t xml:space="preserve"> 4</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16.</w:t>
      </w:r>
      <w:r w:rsidRPr="00732013">
        <w:rPr>
          <w:spacing w:val="5"/>
          <w:w w:val="104"/>
          <w:lang w:val="ru-RU"/>
        </w:rPr>
        <w:tab/>
      </w:r>
      <w:r w:rsidR="00EF0537" w:rsidRPr="00732013">
        <w:rPr>
          <w:spacing w:val="5"/>
          <w:w w:val="104"/>
          <w:lang w:val="ru-RU"/>
        </w:rPr>
        <w:t>Эффективность институциональных механизмов</w:t>
      </w:r>
      <w:r w:rsidR="009F67EB" w:rsidRPr="00732013">
        <w:rPr>
          <w:spacing w:val="5"/>
          <w:w w:val="104"/>
          <w:lang w:val="ru-RU"/>
        </w:rPr>
        <w:t xml:space="preserve"> по обеспечению</w:t>
      </w:r>
      <w:r w:rsidR="00EF0537" w:rsidRPr="00732013">
        <w:rPr>
          <w:spacing w:val="5"/>
          <w:w w:val="104"/>
          <w:lang w:val="ru-RU"/>
        </w:rPr>
        <w:t xml:space="preserve"> гендерного равенства является решающим условием для </w:t>
      </w:r>
      <w:r w:rsidR="009F67EB" w:rsidRPr="00732013">
        <w:rPr>
          <w:spacing w:val="5"/>
          <w:w w:val="104"/>
          <w:lang w:val="ru-RU"/>
        </w:rPr>
        <w:t xml:space="preserve">его </w:t>
      </w:r>
      <w:r w:rsidR="00EF0537" w:rsidRPr="00732013">
        <w:rPr>
          <w:spacing w:val="5"/>
          <w:w w:val="104"/>
          <w:lang w:val="ru-RU"/>
        </w:rPr>
        <w:t xml:space="preserve">скорейшего </w:t>
      </w:r>
      <w:r w:rsidR="009F67EB" w:rsidRPr="00732013">
        <w:rPr>
          <w:spacing w:val="5"/>
          <w:w w:val="104"/>
          <w:lang w:val="ru-RU"/>
        </w:rPr>
        <w:t xml:space="preserve">реального </w:t>
      </w:r>
      <w:r w:rsidR="00EF0537" w:rsidRPr="00732013">
        <w:rPr>
          <w:spacing w:val="5"/>
          <w:w w:val="104"/>
          <w:lang w:val="ru-RU"/>
        </w:rPr>
        <w:t>достижения. Председательствуя в Совете Европейского союза во втором полугодии 2013</w:t>
      </w:r>
      <w:r w:rsidR="008055A1" w:rsidRPr="00732013">
        <w:rPr>
          <w:spacing w:val="5"/>
          <w:w w:val="104"/>
          <w:lang w:val="ru-RU"/>
        </w:rPr>
        <w:t> год</w:t>
      </w:r>
      <w:r w:rsidR="00EF0537" w:rsidRPr="00732013">
        <w:rPr>
          <w:spacing w:val="5"/>
          <w:w w:val="104"/>
          <w:lang w:val="ru-RU"/>
        </w:rPr>
        <w:t xml:space="preserve">а, Литва уделяла первоочередное внимание фактическому гендерному равенству и эффективности институциональных механизмов </w:t>
      </w:r>
      <w:r w:rsidR="009F67EB" w:rsidRPr="00732013">
        <w:rPr>
          <w:spacing w:val="5"/>
          <w:w w:val="104"/>
          <w:lang w:val="ru-RU"/>
        </w:rPr>
        <w:t>по его обеспечению</w:t>
      </w:r>
      <w:r w:rsidR="00EF0537" w:rsidRPr="00732013">
        <w:rPr>
          <w:spacing w:val="5"/>
          <w:w w:val="104"/>
          <w:lang w:val="ru-RU"/>
        </w:rPr>
        <w:t>. В</w:t>
      </w:r>
      <w:r w:rsidR="009F67EB" w:rsidRPr="00732013">
        <w:rPr>
          <w:spacing w:val="5"/>
          <w:w w:val="104"/>
          <w:lang w:val="ru-RU"/>
        </w:rPr>
        <w:t xml:space="preserve">о время </w:t>
      </w:r>
      <w:r w:rsidR="00EF0537" w:rsidRPr="00732013">
        <w:rPr>
          <w:spacing w:val="5"/>
          <w:w w:val="104"/>
          <w:lang w:val="ru-RU"/>
        </w:rPr>
        <w:t>председательства Литвы в Совете</w:t>
      </w:r>
      <w:r w:rsidR="009F0AF0" w:rsidRPr="00732013">
        <w:rPr>
          <w:spacing w:val="5"/>
          <w:w w:val="104"/>
          <w:lang w:val="ru-RU"/>
        </w:rPr>
        <w:t xml:space="preserve"> </w:t>
      </w:r>
      <w:r w:rsidR="00EF0537" w:rsidRPr="00732013">
        <w:rPr>
          <w:spacing w:val="5"/>
          <w:w w:val="104"/>
          <w:lang w:val="ru-RU"/>
        </w:rPr>
        <w:t xml:space="preserve">ЕС </w:t>
      </w:r>
      <w:r w:rsidR="00EF0537" w:rsidRPr="00732013">
        <w:rPr>
          <w:spacing w:val="5"/>
          <w:w w:val="104"/>
        </w:rPr>
        <w:t>были</w:t>
      </w:r>
      <w:r w:rsidR="00EF0537" w:rsidRPr="00732013">
        <w:rPr>
          <w:spacing w:val="5"/>
          <w:w w:val="104"/>
          <w:lang w:val="ru-RU"/>
        </w:rPr>
        <w:t xml:space="preserve"> приняты </w:t>
      </w:r>
      <w:r w:rsidR="009F67EB" w:rsidRPr="00732013">
        <w:rPr>
          <w:spacing w:val="5"/>
          <w:w w:val="104"/>
          <w:lang w:val="ru-RU"/>
        </w:rPr>
        <w:t xml:space="preserve">заключения </w:t>
      </w:r>
      <w:r w:rsidR="00EF0537" w:rsidRPr="00732013">
        <w:rPr>
          <w:spacing w:val="5"/>
          <w:w w:val="104"/>
          <w:lang w:val="ru-RU"/>
        </w:rPr>
        <w:t>Совета относительно эффективности институциональных механизмов для улучшения положения женщин и достижения гендерного равенства</w:t>
      </w:r>
      <w:r w:rsidR="00F34A7C" w:rsidRPr="00732013">
        <w:rPr>
          <w:rStyle w:val="FootnoteReference"/>
          <w:spacing w:val="5"/>
          <w:w w:val="104"/>
          <w:sz w:val="20"/>
        </w:rPr>
        <w:footnoteReference w:id="9"/>
      </w:r>
      <w:r w:rsidR="009F67EB" w:rsidRPr="00732013">
        <w:rPr>
          <w:spacing w:val="5"/>
          <w:w w:val="104"/>
          <w:lang w:val="ru-RU"/>
        </w:rPr>
        <w:t>.</w:t>
      </w:r>
      <w:r w:rsidR="00F34A7C" w:rsidRPr="00732013">
        <w:rPr>
          <w:spacing w:val="5"/>
          <w:w w:val="104"/>
          <w:lang w:val="ru-RU"/>
        </w:rPr>
        <w:t xml:space="preserve"> </w:t>
      </w:r>
      <w:r w:rsidR="00267E39" w:rsidRPr="00732013">
        <w:rPr>
          <w:spacing w:val="5"/>
          <w:w w:val="104"/>
          <w:lang w:val="ru-RU"/>
        </w:rPr>
        <w:t xml:space="preserve">В </w:t>
      </w:r>
      <w:r w:rsidR="009F67EB" w:rsidRPr="00732013">
        <w:rPr>
          <w:spacing w:val="5"/>
          <w:w w:val="104"/>
          <w:lang w:val="ru-RU"/>
        </w:rPr>
        <w:t>заключения</w:t>
      </w:r>
      <w:r w:rsidR="00481348" w:rsidRPr="00732013">
        <w:rPr>
          <w:spacing w:val="5"/>
          <w:w w:val="104"/>
          <w:lang w:val="ru-RU"/>
        </w:rPr>
        <w:t>х</w:t>
      </w:r>
      <w:r w:rsidR="00267E39" w:rsidRPr="00732013">
        <w:rPr>
          <w:spacing w:val="5"/>
          <w:w w:val="104"/>
          <w:lang w:val="ru-RU"/>
        </w:rPr>
        <w:t xml:space="preserve"> содержится предложение государствам-членам совершенствовать эффективность институциональных механизмов, призванных содействовать скорейшему достижению фактического равенства мужчин и женщин, таких как сотрудничество, координация, синергия </w:t>
      </w:r>
      <w:r w:rsidR="009F67EB" w:rsidRPr="00732013">
        <w:rPr>
          <w:spacing w:val="5"/>
          <w:w w:val="104"/>
          <w:lang w:val="ru-RU"/>
        </w:rPr>
        <w:t xml:space="preserve">соответствующей деятельности </w:t>
      </w:r>
      <w:r w:rsidR="00267E39" w:rsidRPr="00732013">
        <w:rPr>
          <w:spacing w:val="5"/>
          <w:w w:val="104"/>
          <w:lang w:val="ru-RU"/>
        </w:rPr>
        <w:t>на всех уровнях, мониторинг, оценка воздействия и т.</w:t>
      </w:r>
      <w:r w:rsidR="009F67EB" w:rsidRPr="00732013">
        <w:rPr>
          <w:spacing w:val="5"/>
          <w:w w:val="104"/>
          <w:lang w:val="ru-RU"/>
        </w:rPr>
        <w:t> </w:t>
      </w:r>
      <w:r w:rsidR="00267E39" w:rsidRPr="00732013">
        <w:rPr>
          <w:spacing w:val="5"/>
          <w:w w:val="104"/>
          <w:lang w:val="ru-RU"/>
        </w:rPr>
        <w:t xml:space="preserve">д. Кроме того, в </w:t>
      </w:r>
      <w:r w:rsidR="009F67EB" w:rsidRPr="00732013">
        <w:rPr>
          <w:spacing w:val="5"/>
          <w:w w:val="104"/>
          <w:lang w:val="ru-RU"/>
        </w:rPr>
        <w:t xml:space="preserve">заключениях содержится </w:t>
      </w:r>
      <w:r w:rsidR="00267E39" w:rsidRPr="00732013">
        <w:rPr>
          <w:spacing w:val="5"/>
          <w:w w:val="104"/>
          <w:lang w:val="ru-RU"/>
        </w:rPr>
        <w:t xml:space="preserve">новый показатель статистических данных в разбивке по полу, что поможет вести мониторинг </w:t>
      </w:r>
      <w:r w:rsidR="009F67EB" w:rsidRPr="00732013">
        <w:rPr>
          <w:spacing w:val="5"/>
          <w:w w:val="104"/>
          <w:lang w:val="ru-RU"/>
        </w:rPr>
        <w:t xml:space="preserve">осуществления </w:t>
      </w:r>
      <w:r w:rsidR="00267E39" w:rsidRPr="00732013">
        <w:rPr>
          <w:spacing w:val="5"/>
          <w:w w:val="104"/>
          <w:lang w:val="ru-RU"/>
        </w:rPr>
        <w:t>в такой тематической области</w:t>
      </w:r>
      <w:r w:rsidR="009138B7" w:rsidRPr="00732013">
        <w:rPr>
          <w:spacing w:val="5"/>
          <w:w w:val="104"/>
          <w:lang w:val="ru-RU"/>
        </w:rPr>
        <w:t>, как "Институциональные механизмы для улучшения положения женщин"</w:t>
      </w:r>
      <w:r w:rsidR="00267E39" w:rsidRPr="00732013">
        <w:rPr>
          <w:spacing w:val="5"/>
          <w:w w:val="104"/>
          <w:lang w:val="ru-RU"/>
        </w:rPr>
        <w:t xml:space="preserve"> Пекинской программы действий.</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17.</w:t>
      </w:r>
      <w:r w:rsidRPr="00732013">
        <w:rPr>
          <w:spacing w:val="5"/>
          <w:w w:val="104"/>
          <w:lang w:val="ru-RU"/>
        </w:rPr>
        <w:tab/>
      </w:r>
      <w:r w:rsidR="009F67EB" w:rsidRPr="00732013">
        <w:rPr>
          <w:spacing w:val="5"/>
          <w:w w:val="104"/>
          <w:lang w:val="ru-RU"/>
        </w:rPr>
        <w:t xml:space="preserve">К заключениям </w:t>
      </w:r>
      <w:r w:rsidR="00226AF9" w:rsidRPr="00732013">
        <w:rPr>
          <w:spacing w:val="5"/>
          <w:w w:val="104"/>
          <w:lang w:val="ru-RU"/>
        </w:rPr>
        <w:t xml:space="preserve">Совета </w:t>
      </w:r>
      <w:r w:rsidR="009F67EB" w:rsidRPr="00732013">
        <w:rPr>
          <w:spacing w:val="5"/>
          <w:w w:val="104"/>
          <w:lang w:val="ru-RU"/>
        </w:rPr>
        <w:t xml:space="preserve">прилагается </w:t>
      </w:r>
      <w:r w:rsidR="00226AF9" w:rsidRPr="00732013">
        <w:rPr>
          <w:spacing w:val="5"/>
          <w:w w:val="104"/>
          <w:lang w:val="ru-RU"/>
        </w:rPr>
        <w:t>компаративны</w:t>
      </w:r>
      <w:r w:rsidR="009F67EB" w:rsidRPr="00732013">
        <w:rPr>
          <w:spacing w:val="5"/>
          <w:w w:val="104"/>
          <w:lang w:val="ru-RU"/>
        </w:rPr>
        <w:t>й</w:t>
      </w:r>
      <w:r w:rsidR="00226AF9" w:rsidRPr="00732013">
        <w:rPr>
          <w:spacing w:val="5"/>
          <w:w w:val="104"/>
          <w:lang w:val="ru-RU"/>
        </w:rPr>
        <w:t xml:space="preserve"> доклад </w:t>
      </w:r>
      <w:r w:rsidR="009F0AF0" w:rsidRPr="00732013">
        <w:rPr>
          <w:spacing w:val="5"/>
          <w:w w:val="104"/>
          <w:lang w:val="ru-RU"/>
        </w:rPr>
        <w:t>"</w:t>
      </w:r>
      <w:r w:rsidR="0054716A" w:rsidRPr="00732013">
        <w:rPr>
          <w:spacing w:val="5"/>
          <w:w w:val="104"/>
          <w:lang w:val="ru-RU"/>
        </w:rPr>
        <w:t>Обзор</w:t>
      </w:r>
      <w:r w:rsidR="00226AF9" w:rsidRPr="00732013">
        <w:rPr>
          <w:spacing w:val="5"/>
          <w:w w:val="104"/>
          <w:lang w:val="ru-RU"/>
        </w:rPr>
        <w:t xml:space="preserve"> осуществления Пекинской платформы действий в государствах</w:t>
      </w:r>
      <w:r w:rsidR="009F67EB" w:rsidRPr="00732013">
        <w:rPr>
          <w:spacing w:val="5"/>
          <w:w w:val="104"/>
          <w:lang w:val="ru-RU"/>
        </w:rPr>
        <w:t xml:space="preserve"> – </w:t>
      </w:r>
      <w:r w:rsidR="00226AF9" w:rsidRPr="00732013">
        <w:rPr>
          <w:spacing w:val="5"/>
          <w:w w:val="104"/>
          <w:lang w:val="ru-RU"/>
        </w:rPr>
        <w:t>членах ЕС. Институциональные механизмы</w:t>
      </w:r>
      <w:r w:rsidR="009F0AF0" w:rsidRPr="00732013">
        <w:rPr>
          <w:spacing w:val="5"/>
          <w:w w:val="104"/>
          <w:lang w:val="ru-RU"/>
        </w:rPr>
        <w:t>"</w:t>
      </w:r>
      <w:r w:rsidR="00226AF9" w:rsidRPr="00732013">
        <w:rPr>
          <w:spacing w:val="5"/>
          <w:w w:val="104"/>
          <w:lang w:val="ru-RU"/>
        </w:rPr>
        <w:t xml:space="preserve">, который по просьбе Литвы, председательствующей в Совете, был подготовлен </w:t>
      </w:r>
      <w:r w:rsidR="00FD1A79" w:rsidRPr="00732013">
        <w:rPr>
          <w:spacing w:val="5"/>
          <w:w w:val="104"/>
          <w:lang w:val="ru-RU"/>
        </w:rPr>
        <w:t>базирующимся</w:t>
      </w:r>
      <w:r w:rsidR="00226AF9" w:rsidRPr="00732013">
        <w:rPr>
          <w:spacing w:val="5"/>
          <w:w w:val="104"/>
          <w:lang w:val="ru-RU"/>
        </w:rPr>
        <w:t xml:space="preserve"> в Вильнюсе Европейским институтом</w:t>
      </w:r>
      <w:r w:rsidR="009F0AF0" w:rsidRPr="00732013">
        <w:rPr>
          <w:spacing w:val="5"/>
          <w:w w:val="104"/>
          <w:lang w:val="ru-RU"/>
        </w:rPr>
        <w:t xml:space="preserve"> </w:t>
      </w:r>
      <w:r w:rsidR="00226AF9" w:rsidRPr="00732013">
        <w:rPr>
          <w:spacing w:val="5"/>
          <w:w w:val="104"/>
          <w:lang w:val="ru-RU"/>
        </w:rPr>
        <w:t xml:space="preserve">по вопросам гендерного равенства – единственным специализированным учреждением ЕС, занимающимся проблематикой гендерного равенства. В докладе представлена </w:t>
      </w:r>
      <w:r w:rsidR="009F67EB" w:rsidRPr="00732013">
        <w:rPr>
          <w:spacing w:val="5"/>
          <w:w w:val="104"/>
          <w:lang w:val="ru-RU"/>
        </w:rPr>
        <w:t xml:space="preserve">сравнительная </w:t>
      </w:r>
      <w:r w:rsidR="00226AF9" w:rsidRPr="00732013">
        <w:rPr>
          <w:spacing w:val="5"/>
          <w:w w:val="104"/>
          <w:lang w:val="ru-RU"/>
        </w:rPr>
        <w:t>информация по институциональным механизмам всех государств-членов, основанная на таких обще</w:t>
      </w:r>
      <w:r w:rsidR="009F67EB" w:rsidRPr="00732013">
        <w:rPr>
          <w:spacing w:val="5"/>
          <w:w w:val="104"/>
          <w:lang w:val="ru-RU"/>
        </w:rPr>
        <w:t>европей</w:t>
      </w:r>
      <w:r w:rsidR="00226AF9" w:rsidRPr="00732013">
        <w:rPr>
          <w:spacing w:val="5"/>
          <w:w w:val="104"/>
          <w:lang w:val="ru-RU"/>
        </w:rPr>
        <w:t>с</w:t>
      </w:r>
      <w:r w:rsidR="009F67EB" w:rsidRPr="00732013">
        <w:rPr>
          <w:spacing w:val="5"/>
          <w:w w:val="104"/>
          <w:lang w:val="ru-RU"/>
        </w:rPr>
        <w:t xml:space="preserve">ких </w:t>
      </w:r>
      <w:r w:rsidR="00226AF9" w:rsidRPr="00732013">
        <w:rPr>
          <w:spacing w:val="5"/>
          <w:w w:val="104"/>
          <w:lang w:val="ru-RU"/>
        </w:rPr>
        <w:t>показателях, как</w:t>
      </w:r>
      <w:r w:rsidR="009F0AF0" w:rsidRPr="00732013">
        <w:rPr>
          <w:spacing w:val="5"/>
          <w:w w:val="104"/>
          <w:lang w:val="ru-RU"/>
        </w:rPr>
        <w:t xml:space="preserve"> </w:t>
      </w:r>
      <w:r w:rsidR="00226AF9" w:rsidRPr="00732013">
        <w:rPr>
          <w:spacing w:val="5"/>
          <w:w w:val="104"/>
          <w:lang w:val="ru-RU"/>
        </w:rPr>
        <w:t>высочайшая ответственность за обеспечение гендерного равенства на правительственном уровне, людские ресурсы правительственных структур, занимающихся вопросами гендерного равенства, людские ресурсы независимых правозащитных органов, учет гендерной проблематики и</w:t>
      </w:r>
      <w:r w:rsidR="009F0AF0" w:rsidRPr="00732013">
        <w:rPr>
          <w:spacing w:val="5"/>
          <w:w w:val="104"/>
          <w:lang w:val="ru-RU"/>
        </w:rPr>
        <w:t xml:space="preserve"> </w:t>
      </w:r>
      <w:r w:rsidR="00226AF9" w:rsidRPr="00732013">
        <w:rPr>
          <w:spacing w:val="5"/>
          <w:w w:val="104"/>
          <w:lang w:val="ru-RU"/>
        </w:rPr>
        <w:t xml:space="preserve">дезагрегированные </w:t>
      </w:r>
      <w:r w:rsidR="008F1397" w:rsidRPr="00732013">
        <w:rPr>
          <w:spacing w:val="5"/>
          <w:w w:val="104"/>
          <w:lang w:val="ru-RU"/>
        </w:rPr>
        <w:t xml:space="preserve">по </w:t>
      </w:r>
      <w:r w:rsidR="009F67EB" w:rsidRPr="00732013">
        <w:rPr>
          <w:spacing w:val="5"/>
          <w:w w:val="104"/>
          <w:lang w:val="ru-RU"/>
        </w:rPr>
        <w:t>признак</w:t>
      </w:r>
      <w:r w:rsidR="008F1397" w:rsidRPr="00732013">
        <w:rPr>
          <w:spacing w:val="5"/>
          <w:w w:val="104"/>
          <w:lang w:val="ru-RU"/>
        </w:rPr>
        <w:t>у</w:t>
      </w:r>
      <w:r w:rsidR="009F67EB" w:rsidRPr="00732013">
        <w:rPr>
          <w:spacing w:val="5"/>
          <w:w w:val="104"/>
          <w:lang w:val="ru-RU"/>
        </w:rPr>
        <w:t xml:space="preserve"> </w:t>
      </w:r>
      <w:r w:rsidR="00226AF9" w:rsidRPr="00732013">
        <w:rPr>
          <w:spacing w:val="5"/>
          <w:w w:val="104"/>
          <w:lang w:val="ru-RU"/>
        </w:rPr>
        <w:t>пол</w:t>
      </w:r>
      <w:r w:rsidR="008F1397" w:rsidRPr="00732013">
        <w:rPr>
          <w:spacing w:val="5"/>
          <w:w w:val="104"/>
          <w:lang w:val="ru-RU"/>
        </w:rPr>
        <w:t>а статистические данные</w:t>
      </w:r>
      <w:r w:rsidRPr="00732013">
        <w:rPr>
          <w:spacing w:val="5"/>
          <w:w w:val="104"/>
          <w:lang w:val="ru-RU"/>
        </w:rPr>
        <w:t>.</w:t>
      </w:r>
      <w:r w:rsidR="00AE3ED8"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18.</w:t>
      </w:r>
      <w:r w:rsidRPr="00732013">
        <w:rPr>
          <w:spacing w:val="5"/>
          <w:w w:val="104"/>
          <w:lang w:val="ru-RU"/>
        </w:rPr>
        <w:tab/>
      </w:r>
      <w:r w:rsidR="00DE30DB" w:rsidRPr="00732013">
        <w:rPr>
          <w:spacing w:val="5"/>
          <w:w w:val="104"/>
          <w:lang w:val="ru-RU"/>
        </w:rPr>
        <w:t>В с</w:t>
      </w:r>
      <w:r w:rsidR="00612006" w:rsidRPr="00732013">
        <w:rPr>
          <w:spacing w:val="5"/>
          <w:w w:val="104"/>
          <w:lang w:val="ru-RU"/>
        </w:rPr>
        <w:t>тать</w:t>
      </w:r>
      <w:r w:rsidR="00DE30DB" w:rsidRPr="00732013">
        <w:rPr>
          <w:spacing w:val="5"/>
          <w:w w:val="104"/>
          <w:lang w:val="ru-RU"/>
        </w:rPr>
        <w:t>е</w:t>
      </w:r>
      <w:r w:rsidR="00612006" w:rsidRPr="00732013">
        <w:rPr>
          <w:spacing w:val="5"/>
          <w:w w:val="104"/>
          <w:lang w:val="ru-RU"/>
        </w:rPr>
        <w:t xml:space="preserve"> 3 Закона о равных возможностях женщин и мужчин</w:t>
      </w:r>
      <w:r w:rsidR="00BF04B9" w:rsidRPr="00732013">
        <w:rPr>
          <w:rStyle w:val="FootnoteReference"/>
          <w:spacing w:val="5"/>
          <w:w w:val="104"/>
          <w:sz w:val="20"/>
        </w:rPr>
        <w:footnoteReference w:id="10"/>
      </w:r>
      <w:r w:rsidRPr="00732013">
        <w:rPr>
          <w:spacing w:val="5"/>
          <w:w w:val="104"/>
          <w:lang w:val="ru-RU"/>
        </w:rPr>
        <w:t xml:space="preserve"> </w:t>
      </w:r>
      <w:r w:rsidR="00612006" w:rsidRPr="00732013">
        <w:rPr>
          <w:spacing w:val="5"/>
          <w:w w:val="104"/>
          <w:lang w:val="ru-RU"/>
        </w:rPr>
        <w:t>предусматривает</w:t>
      </w:r>
      <w:r w:rsidR="00DE30DB" w:rsidRPr="00732013">
        <w:rPr>
          <w:spacing w:val="5"/>
          <w:w w:val="104"/>
          <w:lang w:val="ru-RU"/>
        </w:rPr>
        <w:t xml:space="preserve">ся </w:t>
      </w:r>
      <w:r w:rsidR="00612006" w:rsidRPr="00732013">
        <w:rPr>
          <w:spacing w:val="5"/>
          <w:w w:val="104"/>
          <w:lang w:val="ru-RU"/>
        </w:rPr>
        <w:t xml:space="preserve">обязанность государства и муниципальных органов разрабатывать и </w:t>
      </w:r>
      <w:r w:rsidR="00DE30DB" w:rsidRPr="00732013">
        <w:rPr>
          <w:spacing w:val="5"/>
          <w:w w:val="104"/>
          <w:lang w:val="ru-RU"/>
        </w:rPr>
        <w:t xml:space="preserve">осуществлять </w:t>
      </w:r>
      <w:r w:rsidR="00612006" w:rsidRPr="00732013">
        <w:rPr>
          <w:spacing w:val="5"/>
          <w:w w:val="104"/>
          <w:lang w:val="ru-RU"/>
        </w:rPr>
        <w:t>программы, а также принимать меры для достижения равенства женщин и мужчин. 2</w:t>
      </w:r>
      <w:r w:rsidR="00DE30DB" w:rsidRPr="00732013">
        <w:rPr>
          <w:spacing w:val="5"/>
          <w:w w:val="104"/>
          <w:lang w:val="ru-RU"/>
        </w:rPr>
        <w:t> </w:t>
      </w:r>
      <w:r w:rsidR="00612006" w:rsidRPr="00732013">
        <w:rPr>
          <w:spacing w:val="5"/>
          <w:w w:val="104"/>
          <w:lang w:val="ru-RU"/>
        </w:rPr>
        <w:t>июля 2013</w:t>
      </w:r>
      <w:r w:rsidR="008055A1" w:rsidRPr="00732013">
        <w:rPr>
          <w:spacing w:val="5"/>
          <w:w w:val="104"/>
          <w:lang w:val="ru-RU"/>
        </w:rPr>
        <w:t> год</w:t>
      </w:r>
      <w:r w:rsidR="00526A2D" w:rsidRPr="00732013">
        <w:rPr>
          <w:spacing w:val="5"/>
          <w:w w:val="104"/>
          <w:lang w:val="ru-RU"/>
        </w:rPr>
        <w:t>а в Закон о равных возможностях</w:t>
      </w:r>
      <w:r w:rsidR="00612006" w:rsidRPr="00732013">
        <w:rPr>
          <w:spacing w:val="5"/>
          <w:w w:val="104"/>
          <w:lang w:val="ru-RU"/>
        </w:rPr>
        <w:t xml:space="preserve"> были внесены поправки</w:t>
      </w:r>
      <w:r w:rsidR="00BF04B9" w:rsidRPr="00732013">
        <w:rPr>
          <w:rStyle w:val="FootnoteReference"/>
          <w:spacing w:val="5"/>
          <w:w w:val="104"/>
          <w:sz w:val="20"/>
        </w:rPr>
        <w:footnoteReference w:id="11"/>
      </w:r>
      <w:r w:rsidR="00DE30DB" w:rsidRPr="00732013">
        <w:rPr>
          <w:spacing w:val="5"/>
          <w:w w:val="104"/>
          <w:lang w:val="ru-RU"/>
        </w:rPr>
        <w:t>,</w:t>
      </w:r>
      <w:r w:rsidRPr="00732013">
        <w:rPr>
          <w:spacing w:val="5"/>
          <w:w w:val="104"/>
          <w:lang w:val="ru-RU"/>
        </w:rPr>
        <w:t xml:space="preserve"> </w:t>
      </w:r>
      <w:r w:rsidR="00F47AD7" w:rsidRPr="00732013">
        <w:rPr>
          <w:spacing w:val="5"/>
          <w:w w:val="104"/>
          <w:lang w:val="ru-RU"/>
        </w:rPr>
        <w:t xml:space="preserve">предусматривающие конкретный механизм </w:t>
      </w:r>
      <w:r w:rsidR="00DE30DB" w:rsidRPr="00732013">
        <w:rPr>
          <w:spacing w:val="5"/>
          <w:w w:val="104"/>
        </w:rPr>
        <w:t>осуществл</w:t>
      </w:r>
      <w:r w:rsidR="00F47AD7" w:rsidRPr="00732013">
        <w:rPr>
          <w:spacing w:val="5"/>
          <w:w w:val="104"/>
        </w:rPr>
        <w:t>ения</w:t>
      </w:r>
      <w:r w:rsidR="00F47AD7" w:rsidRPr="00732013">
        <w:rPr>
          <w:spacing w:val="5"/>
          <w:w w:val="104"/>
          <w:lang w:val="ru-RU"/>
        </w:rPr>
        <w:t xml:space="preserve"> статьи</w:t>
      </w:r>
      <w:r w:rsidR="00DE30DB" w:rsidRPr="00732013">
        <w:rPr>
          <w:spacing w:val="5"/>
          <w:w w:val="104"/>
          <w:lang w:val="ru-RU"/>
        </w:rPr>
        <w:t> </w:t>
      </w:r>
      <w:r w:rsidR="00F47AD7" w:rsidRPr="00732013">
        <w:rPr>
          <w:spacing w:val="5"/>
          <w:w w:val="104"/>
          <w:lang w:val="ru-RU"/>
        </w:rPr>
        <w:t>3</w:t>
      </w:r>
      <w:r w:rsidRPr="00732013">
        <w:rPr>
          <w:spacing w:val="5"/>
          <w:w w:val="104"/>
          <w:lang w:val="ru-RU"/>
        </w:rPr>
        <w:t>.</w:t>
      </w:r>
      <w:r w:rsidR="00AE3ED8" w:rsidRPr="00732013">
        <w:rPr>
          <w:spacing w:val="5"/>
          <w:w w:val="104"/>
          <w:lang w:val="ru-RU"/>
        </w:rPr>
        <w:t xml:space="preserve"> </w:t>
      </w:r>
      <w:r w:rsidR="00F47AD7" w:rsidRPr="00732013">
        <w:rPr>
          <w:spacing w:val="5"/>
          <w:w w:val="104"/>
          <w:lang w:val="ru-RU"/>
        </w:rPr>
        <w:t xml:space="preserve">Закон с внесенными </w:t>
      </w:r>
      <w:r w:rsidR="00C847D6" w:rsidRPr="00732013">
        <w:rPr>
          <w:spacing w:val="5"/>
          <w:w w:val="104"/>
          <w:lang w:val="ru-RU"/>
        </w:rPr>
        <w:t xml:space="preserve">в него </w:t>
      </w:r>
      <w:r w:rsidR="00F47AD7" w:rsidRPr="00732013">
        <w:rPr>
          <w:spacing w:val="5"/>
          <w:w w:val="104"/>
          <w:lang w:val="ru-RU"/>
        </w:rPr>
        <w:t>поправками устанавливает обязанность государственн</w:t>
      </w:r>
      <w:r w:rsidR="00DE30DB" w:rsidRPr="00732013">
        <w:rPr>
          <w:spacing w:val="5"/>
          <w:w w:val="104"/>
          <w:lang w:val="ru-RU"/>
        </w:rPr>
        <w:t xml:space="preserve">ых органов </w:t>
      </w:r>
      <w:r w:rsidR="00C847D6" w:rsidRPr="00732013">
        <w:rPr>
          <w:spacing w:val="5"/>
          <w:w w:val="104"/>
          <w:lang w:val="ru-RU"/>
        </w:rPr>
        <w:t>включать меры</w:t>
      </w:r>
      <w:r w:rsidR="00553383" w:rsidRPr="00732013">
        <w:rPr>
          <w:spacing w:val="5"/>
          <w:w w:val="104"/>
          <w:lang w:val="ru-RU"/>
        </w:rPr>
        <w:t xml:space="preserve"> по достижению равноправия мужчин и женщин в документы стратегического планирования.</w:t>
      </w:r>
      <w:r w:rsidR="00BD6E1A" w:rsidRPr="00732013">
        <w:rPr>
          <w:spacing w:val="5"/>
          <w:w w:val="104"/>
          <w:lang w:val="ru-RU"/>
        </w:rPr>
        <w:t xml:space="preserve"> Что касается муниципальных органов, то они включают меры по достижению равноправия мужчин и женщин в муниципальный план стратегического развития и/или </w:t>
      </w:r>
      <w:r w:rsidR="00F818AC" w:rsidRPr="00732013">
        <w:rPr>
          <w:spacing w:val="5"/>
          <w:w w:val="104"/>
          <w:lang w:val="ru-RU"/>
        </w:rPr>
        <w:t>муниципальные планы стратегических действий</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19.</w:t>
      </w:r>
      <w:r w:rsidRPr="00732013">
        <w:rPr>
          <w:spacing w:val="5"/>
          <w:w w:val="104"/>
          <w:lang w:val="ru-RU"/>
        </w:rPr>
        <w:tab/>
      </w:r>
      <w:r w:rsidR="00174995" w:rsidRPr="00732013">
        <w:rPr>
          <w:spacing w:val="5"/>
          <w:w w:val="104"/>
          <w:lang w:val="ru-RU"/>
        </w:rPr>
        <w:t>Для того чтобы добиваться надлежащего осуществления, с 2013</w:t>
      </w:r>
      <w:r w:rsidR="008055A1" w:rsidRPr="00732013">
        <w:rPr>
          <w:spacing w:val="5"/>
          <w:w w:val="104"/>
          <w:lang w:val="ru-RU"/>
        </w:rPr>
        <w:t> год</w:t>
      </w:r>
      <w:r w:rsidR="00174995" w:rsidRPr="00732013">
        <w:rPr>
          <w:spacing w:val="5"/>
          <w:w w:val="104"/>
          <w:lang w:val="ru-RU"/>
        </w:rPr>
        <w:t>а по</w:t>
      </w:r>
      <w:r w:rsidR="004C76DF" w:rsidRPr="00732013">
        <w:rPr>
          <w:spacing w:val="5"/>
          <w:w w:val="104"/>
          <w:lang w:val="ru-RU"/>
        </w:rPr>
        <w:t>дготовка сотрудников муниципалитетов проводится в рамках Программы</w:t>
      </w:r>
      <w:r w:rsidR="00DE30DB" w:rsidRPr="00732013">
        <w:rPr>
          <w:spacing w:val="5"/>
          <w:w w:val="104"/>
          <w:lang w:val="ru-RU"/>
        </w:rPr>
        <w:t>, посвященной тому</w:t>
      </w:r>
      <w:r w:rsidR="00474555" w:rsidRPr="00732013">
        <w:rPr>
          <w:spacing w:val="5"/>
          <w:w w:val="104"/>
          <w:lang w:val="ru-RU"/>
        </w:rPr>
        <w:t xml:space="preserve">, как </w:t>
      </w:r>
      <w:r w:rsidR="00DE30DB" w:rsidRPr="00732013">
        <w:rPr>
          <w:spacing w:val="5"/>
          <w:w w:val="104"/>
          <w:lang w:val="ru-RU"/>
        </w:rPr>
        <w:t xml:space="preserve">интегрировать </w:t>
      </w:r>
      <w:r w:rsidR="00C36550" w:rsidRPr="00732013">
        <w:rPr>
          <w:spacing w:val="5"/>
          <w:w w:val="104"/>
          <w:lang w:val="ru-RU"/>
        </w:rPr>
        <w:t>гендерн</w:t>
      </w:r>
      <w:r w:rsidR="00DE30DB" w:rsidRPr="00732013">
        <w:rPr>
          <w:spacing w:val="5"/>
          <w:w w:val="104"/>
          <w:lang w:val="ru-RU"/>
        </w:rPr>
        <w:t>ые</w:t>
      </w:r>
      <w:r w:rsidR="00C36550" w:rsidRPr="00732013">
        <w:rPr>
          <w:spacing w:val="5"/>
          <w:w w:val="104"/>
          <w:lang w:val="ru-RU"/>
        </w:rPr>
        <w:t xml:space="preserve"> </w:t>
      </w:r>
      <w:r w:rsidR="00DE30DB" w:rsidRPr="00732013">
        <w:rPr>
          <w:spacing w:val="5"/>
          <w:w w:val="104"/>
          <w:lang w:val="ru-RU"/>
        </w:rPr>
        <w:t>ас</w:t>
      </w:r>
      <w:r w:rsidR="00C36550" w:rsidRPr="00732013">
        <w:rPr>
          <w:spacing w:val="5"/>
          <w:w w:val="104"/>
          <w:lang w:val="ru-RU"/>
        </w:rPr>
        <w:t>пект</w:t>
      </w:r>
      <w:r w:rsidR="00DE30DB" w:rsidRPr="00732013">
        <w:rPr>
          <w:spacing w:val="5"/>
          <w:w w:val="104"/>
          <w:lang w:val="ru-RU"/>
        </w:rPr>
        <w:t>ы</w:t>
      </w:r>
      <w:r w:rsidR="00C36550" w:rsidRPr="00732013">
        <w:rPr>
          <w:spacing w:val="5"/>
          <w:w w:val="104"/>
          <w:lang w:val="ru-RU"/>
        </w:rPr>
        <w:t xml:space="preserve"> и какие конкретные меры </w:t>
      </w:r>
      <w:r w:rsidR="00DE30DB" w:rsidRPr="00732013">
        <w:rPr>
          <w:spacing w:val="5"/>
          <w:w w:val="104"/>
          <w:lang w:val="ru-RU"/>
        </w:rPr>
        <w:t xml:space="preserve">следует </w:t>
      </w:r>
      <w:r w:rsidR="00C36550" w:rsidRPr="00732013">
        <w:rPr>
          <w:spacing w:val="5"/>
          <w:w w:val="104"/>
          <w:lang w:val="ru-RU"/>
        </w:rPr>
        <w:t>принимать муниципалитетам</w:t>
      </w:r>
      <w:r w:rsidR="00E73EC3" w:rsidRPr="00732013">
        <w:rPr>
          <w:spacing w:val="5"/>
          <w:w w:val="104"/>
          <w:lang w:val="ru-RU"/>
        </w:rPr>
        <w:t xml:space="preserve">, а также </w:t>
      </w:r>
      <w:r w:rsidR="00DE30DB" w:rsidRPr="00732013">
        <w:rPr>
          <w:spacing w:val="5"/>
          <w:w w:val="104"/>
          <w:lang w:val="ru-RU"/>
        </w:rPr>
        <w:t xml:space="preserve">говорится </w:t>
      </w:r>
      <w:r w:rsidR="00E73EC3" w:rsidRPr="00732013">
        <w:rPr>
          <w:spacing w:val="5"/>
          <w:w w:val="104"/>
          <w:lang w:val="ru-RU"/>
        </w:rPr>
        <w:t xml:space="preserve">о преимуществах и совокупной выгоде этих мер для </w:t>
      </w:r>
      <w:r w:rsidR="008A726E" w:rsidRPr="00732013">
        <w:rPr>
          <w:spacing w:val="5"/>
          <w:w w:val="104"/>
          <w:lang w:val="ru-RU"/>
        </w:rPr>
        <w:t>резидентов и общин муниципалитетов.</w:t>
      </w:r>
      <w:r w:rsidR="00C36550" w:rsidRPr="00732013">
        <w:rPr>
          <w:spacing w:val="5"/>
          <w:w w:val="104"/>
          <w:lang w:val="ru-RU"/>
        </w:rPr>
        <w:t xml:space="preserve"> </w:t>
      </w:r>
      <w:r w:rsidR="008A726E" w:rsidRPr="00732013">
        <w:rPr>
          <w:spacing w:val="5"/>
          <w:w w:val="104"/>
          <w:lang w:val="ru-RU"/>
        </w:rPr>
        <w:t>Учебные занятия проводит Фонд социальных инноваций</w:t>
      </w:r>
      <w:r w:rsidR="007A154A" w:rsidRPr="00732013">
        <w:rPr>
          <w:spacing w:val="5"/>
          <w:w w:val="104"/>
          <w:lang w:val="ru-RU"/>
        </w:rPr>
        <w:t>,</w:t>
      </w:r>
      <w:r w:rsidR="008A726E" w:rsidRPr="00732013">
        <w:rPr>
          <w:spacing w:val="5"/>
          <w:w w:val="104"/>
          <w:lang w:val="ru-RU"/>
        </w:rPr>
        <w:t xml:space="preserve"> финансир</w:t>
      </w:r>
      <w:r w:rsidR="007A154A" w:rsidRPr="00732013">
        <w:rPr>
          <w:spacing w:val="5"/>
          <w:w w:val="104"/>
          <w:lang w:val="ru-RU"/>
        </w:rPr>
        <w:t>уемый</w:t>
      </w:r>
      <w:r w:rsidR="008A726E" w:rsidRPr="00732013">
        <w:rPr>
          <w:spacing w:val="5"/>
          <w:w w:val="104"/>
          <w:lang w:val="ru-RU"/>
        </w:rPr>
        <w:t xml:space="preserve"> </w:t>
      </w:r>
      <w:r w:rsidR="007A154A" w:rsidRPr="00732013">
        <w:rPr>
          <w:spacing w:val="5"/>
          <w:w w:val="104"/>
          <w:lang w:val="ru-RU"/>
        </w:rPr>
        <w:t>М</w:t>
      </w:r>
      <w:r w:rsidR="008A726E" w:rsidRPr="00732013">
        <w:rPr>
          <w:spacing w:val="5"/>
          <w:w w:val="104"/>
          <w:lang w:val="ru-RU"/>
        </w:rPr>
        <w:t>инистерств</w:t>
      </w:r>
      <w:r w:rsidR="007A154A" w:rsidRPr="00732013">
        <w:rPr>
          <w:spacing w:val="5"/>
          <w:w w:val="104"/>
          <w:lang w:val="ru-RU"/>
        </w:rPr>
        <w:t>ом</w:t>
      </w:r>
      <w:r w:rsidR="008A726E" w:rsidRPr="00732013">
        <w:rPr>
          <w:spacing w:val="5"/>
          <w:w w:val="104"/>
          <w:lang w:val="ru-RU"/>
        </w:rPr>
        <w:t xml:space="preserve"> социальной защиты и труда. </w:t>
      </w:r>
      <w:r w:rsidR="007A154A" w:rsidRPr="00732013">
        <w:rPr>
          <w:spacing w:val="5"/>
          <w:w w:val="104"/>
          <w:lang w:val="ru-RU"/>
        </w:rPr>
        <w:t>К</w:t>
      </w:r>
      <w:r w:rsidR="008A726E" w:rsidRPr="00732013">
        <w:rPr>
          <w:spacing w:val="5"/>
          <w:w w:val="104"/>
          <w:lang w:val="ru-RU"/>
        </w:rPr>
        <w:t xml:space="preserve"> настояще</w:t>
      </w:r>
      <w:r w:rsidR="007A154A" w:rsidRPr="00732013">
        <w:rPr>
          <w:spacing w:val="5"/>
          <w:w w:val="104"/>
          <w:lang w:val="ru-RU"/>
        </w:rPr>
        <w:t>му</w:t>
      </w:r>
      <w:r w:rsidR="008A726E" w:rsidRPr="00732013">
        <w:rPr>
          <w:spacing w:val="5"/>
          <w:w w:val="104"/>
          <w:lang w:val="ru-RU"/>
        </w:rPr>
        <w:t xml:space="preserve"> времени подготовк</w:t>
      </w:r>
      <w:r w:rsidR="007A154A" w:rsidRPr="00732013">
        <w:rPr>
          <w:spacing w:val="5"/>
          <w:w w:val="104"/>
          <w:lang w:val="ru-RU"/>
        </w:rPr>
        <w:t>у</w:t>
      </w:r>
      <w:r w:rsidR="008A726E" w:rsidRPr="00732013">
        <w:rPr>
          <w:spacing w:val="5"/>
          <w:w w:val="104"/>
          <w:lang w:val="ru-RU"/>
        </w:rPr>
        <w:t xml:space="preserve"> прошли 150</w:t>
      </w:r>
      <w:r w:rsidR="007A154A" w:rsidRPr="00732013">
        <w:rPr>
          <w:spacing w:val="5"/>
          <w:w w:val="104"/>
          <w:lang w:val="ru-RU"/>
        </w:rPr>
        <w:t> </w:t>
      </w:r>
      <w:r w:rsidR="00D36DFA" w:rsidRPr="00732013">
        <w:rPr>
          <w:spacing w:val="5"/>
          <w:w w:val="104"/>
          <w:lang w:val="ru-RU"/>
        </w:rPr>
        <w:t xml:space="preserve">сотрудников муниципалитетов и представителей неправительственных организаций. Кроме того, цели </w:t>
      </w:r>
      <w:r w:rsidR="007A154A" w:rsidRPr="00732013">
        <w:rPr>
          <w:spacing w:val="5"/>
          <w:w w:val="104"/>
          <w:lang w:val="ru-RU"/>
        </w:rPr>
        <w:t xml:space="preserve">данного </w:t>
      </w:r>
      <w:r w:rsidR="00D36DFA" w:rsidRPr="00732013">
        <w:rPr>
          <w:spacing w:val="5"/>
          <w:w w:val="104"/>
          <w:lang w:val="ru-RU"/>
        </w:rPr>
        <w:t>пилотного проекта, указанные в пункте</w:t>
      </w:r>
      <w:r w:rsidR="007A154A" w:rsidRPr="00732013">
        <w:rPr>
          <w:spacing w:val="5"/>
          <w:w w:val="104"/>
          <w:lang w:val="ru-RU"/>
        </w:rPr>
        <w:t> </w:t>
      </w:r>
      <w:r w:rsidR="00D36DFA" w:rsidRPr="00732013">
        <w:rPr>
          <w:spacing w:val="5"/>
          <w:w w:val="104"/>
          <w:lang w:val="ru-RU"/>
        </w:rPr>
        <w:t>11, включают</w:t>
      </w:r>
      <w:r w:rsidR="000830A8" w:rsidRPr="00732013">
        <w:rPr>
          <w:spacing w:val="5"/>
          <w:w w:val="104"/>
          <w:lang w:val="ru-RU"/>
        </w:rPr>
        <w:t xml:space="preserve"> содействие устойчивой деятельности муниципалитетов по обеспечению гендерного равенства</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20.</w:t>
      </w:r>
      <w:r w:rsidRPr="00732013">
        <w:rPr>
          <w:spacing w:val="5"/>
          <w:w w:val="104"/>
          <w:lang w:val="ru-RU"/>
        </w:rPr>
        <w:tab/>
      </w:r>
      <w:r w:rsidR="004844B6" w:rsidRPr="00732013">
        <w:rPr>
          <w:spacing w:val="5"/>
          <w:w w:val="104"/>
          <w:lang w:val="ru-RU"/>
        </w:rPr>
        <w:t xml:space="preserve">В ходе </w:t>
      </w:r>
      <w:r w:rsidR="004435A3" w:rsidRPr="00732013">
        <w:rPr>
          <w:spacing w:val="5"/>
          <w:w w:val="104"/>
          <w:lang w:val="ru-RU"/>
        </w:rPr>
        <w:t>осуществл</w:t>
      </w:r>
      <w:r w:rsidR="004844B6" w:rsidRPr="00732013">
        <w:rPr>
          <w:spacing w:val="5"/>
          <w:w w:val="104"/>
          <w:lang w:val="ru-RU"/>
        </w:rPr>
        <w:t>ения</w:t>
      </w:r>
      <w:r w:rsidR="004435A3" w:rsidRPr="00732013">
        <w:rPr>
          <w:spacing w:val="5"/>
          <w:w w:val="104"/>
          <w:lang w:val="ru-RU"/>
        </w:rPr>
        <w:t xml:space="preserve"> </w:t>
      </w:r>
      <w:r w:rsidR="004844B6" w:rsidRPr="00732013">
        <w:rPr>
          <w:spacing w:val="5"/>
          <w:w w:val="104"/>
          <w:lang w:val="ru-RU"/>
        </w:rPr>
        <w:t>финансируемого</w:t>
      </w:r>
      <w:r w:rsidR="00B0326D" w:rsidRPr="00732013">
        <w:rPr>
          <w:spacing w:val="5"/>
          <w:w w:val="104"/>
          <w:lang w:val="ru-RU"/>
        </w:rPr>
        <w:t xml:space="preserve"> </w:t>
      </w:r>
      <w:r w:rsidR="009C78C0" w:rsidRPr="00732013">
        <w:rPr>
          <w:spacing w:val="5"/>
          <w:w w:val="104"/>
          <w:lang w:val="ru-RU"/>
        </w:rPr>
        <w:t>М</w:t>
      </w:r>
      <w:r w:rsidR="00B0326D" w:rsidRPr="00732013">
        <w:rPr>
          <w:spacing w:val="5"/>
          <w:w w:val="104"/>
          <w:lang w:val="ru-RU"/>
        </w:rPr>
        <w:t xml:space="preserve">инистерством социальной защиты и труда </w:t>
      </w:r>
      <w:r w:rsidR="004435A3" w:rsidRPr="00732013">
        <w:rPr>
          <w:spacing w:val="5"/>
          <w:w w:val="104"/>
          <w:lang w:val="ru-RU"/>
        </w:rPr>
        <w:t>проект</w:t>
      </w:r>
      <w:r w:rsidR="004844B6" w:rsidRPr="00732013">
        <w:rPr>
          <w:spacing w:val="5"/>
          <w:w w:val="104"/>
          <w:lang w:val="ru-RU"/>
        </w:rPr>
        <w:t>а, призванного повысить</w:t>
      </w:r>
      <w:r w:rsidR="0005728E" w:rsidRPr="00732013">
        <w:rPr>
          <w:spacing w:val="5"/>
          <w:w w:val="104"/>
          <w:lang w:val="ru-RU"/>
        </w:rPr>
        <w:t xml:space="preserve"> </w:t>
      </w:r>
      <w:r w:rsidR="004844B6" w:rsidRPr="00732013">
        <w:rPr>
          <w:spacing w:val="5"/>
          <w:w w:val="104"/>
          <w:lang w:val="ru-RU"/>
        </w:rPr>
        <w:t>эффективность</w:t>
      </w:r>
      <w:r w:rsidR="0005728E" w:rsidRPr="00732013">
        <w:rPr>
          <w:spacing w:val="5"/>
          <w:w w:val="104"/>
          <w:lang w:val="ru-RU"/>
        </w:rPr>
        <w:t xml:space="preserve"> институциональных механизмов на национальном и местном уровнях, </w:t>
      </w:r>
      <w:r w:rsidR="004844B6" w:rsidRPr="00732013">
        <w:rPr>
          <w:spacing w:val="5"/>
          <w:w w:val="104"/>
          <w:lang w:val="ru-RU"/>
        </w:rPr>
        <w:t xml:space="preserve">Фонд социальных инноваций </w:t>
      </w:r>
      <w:r w:rsidR="0005728E" w:rsidRPr="00732013">
        <w:rPr>
          <w:spacing w:val="5"/>
          <w:w w:val="104"/>
          <w:lang w:val="ru-RU"/>
        </w:rPr>
        <w:t xml:space="preserve">провел </w:t>
      </w:r>
      <w:r w:rsidR="001D3FA7" w:rsidRPr="00732013">
        <w:rPr>
          <w:spacing w:val="5"/>
          <w:w w:val="104"/>
          <w:lang w:val="ru-RU"/>
        </w:rPr>
        <w:t>обзор</w:t>
      </w:r>
      <w:r w:rsidR="0005728E" w:rsidRPr="00732013">
        <w:rPr>
          <w:spacing w:val="5"/>
          <w:w w:val="104"/>
          <w:lang w:val="ru-RU"/>
        </w:rPr>
        <w:t xml:space="preserve"> </w:t>
      </w:r>
      <w:r w:rsidR="009C78C0" w:rsidRPr="00732013">
        <w:rPr>
          <w:spacing w:val="5"/>
          <w:w w:val="104"/>
          <w:lang w:val="ru-RU"/>
        </w:rPr>
        <w:t xml:space="preserve">деятельности </w:t>
      </w:r>
      <w:r w:rsidR="0005728E" w:rsidRPr="00732013">
        <w:rPr>
          <w:spacing w:val="5"/>
          <w:w w:val="104"/>
          <w:lang w:val="ru-RU"/>
        </w:rPr>
        <w:t>национальных и муниципальных органов власти</w:t>
      </w:r>
      <w:r w:rsidR="004844B6" w:rsidRPr="00732013">
        <w:rPr>
          <w:spacing w:val="5"/>
          <w:w w:val="104"/>
          <w:lang w:val="ru-RU"/>
        </w:rPr>
        <w:t xml:space="preserve"> и женских организаций</w:t>
      </w:r>
      <w:r w:rsidR="001D3FA7" w:rsidRPr="00732013">
        <w:rPr>
          <w:spacing w:val="5"/>
          <w:w w:val="104"/>
          <w:lang w:val="ru-RU"/>
        </w:rPr>
        <w:t xml:space="preserve"> и представил выводы и рекомендации относительно улучшения эффективно</w:t>
      </w:r>
      <w:r w:rsidR="009C78C0" w:rsidRPr="00732013">
        <w:rPr>
          <w:spacing w:val="5"/>
          <w:w w:val="104"/>
          <w:lang w:val="ru-RU"/>
        </w:rPr>
        <w:t>сти</w:t>
      </w:r>
      <w:r w:rsidR="001D3FA7" w:rsidRPr="00732013">
        <w:rPr>
          <w:spacing w:val="5"/>
          <w:w w:val="104"/>
          <w:lang w:val="ru-RU"/>
        </w:rPr>
        <w:t xml:space="preserve"> сотрудничества на всех уровнях, а также указал ряд конкретных мер, которые </w:t>
      </w:r>
      <w:r w:rsidR="009C78C0" w:rsidRPr="00732013">
        <w:rPr>
          <w:spacing w:val="5"/>
          <w:w w:val="104"/>
          <w:lang w:val="ru-RU"/>
        </w:rPr>
        <w:t>следуе</w:t>
      </w:r>
      <w:r w:rsidR="001D3FA7" w:rsidRPr="00732013">
        <w:rPr>
          <w:spacing w:val="5"/>
          <w:w w:val="104"/>
          <w:lang w:val="ru-RU"/>
        </w:rPr>
        <w:t xml:space="preserve">т принять на уровне местного самоуправления. </w:t>
      </w:r>
      <w:r w:rsidR="008F02C3" w:rsidRPr="00732013">
        <w:rPr>
          <w:spacing w:val="5"/>
          <w:w w:val="104"/>
          <w:lang w:val="ru-RU"/>
        </w:rPr>
        <w:t xml:space="preserve">Фонд выявил отсутствие </w:t>
      </w:r>
      <w:r w:rsidR="00952289" w:rsidRPr="00732013">
        <w:rPr>
          <w:spacing w:val="5"/>
          <w:w w:val="104"/>
          <w:lang w:val="ru-RU"/>
        </w:rPr>
        <w:t>инструмент</w:t>
      </w:r>
      <w:r w:rsidR="009C78C0" w:rsidRPr="00732013">
        <w:rPr>
          <w:spacing w:val="5"/>
          <w:w w:val="104"/>
          <w:lang w:val="ru-RU"/>
        </w:rPr>
        <w:t>ов</w:t>
      </w:r>
      <w:r w:rsidR="001665A3" w:rsidRPr="00732013">
        <w:rPr>
          <w:spacing w:val="5"/>
          <w:w w:val="104"/>
          <w:lang w:val="ru-RU"/>
        </w:rPr>
        <w:t xml:space="preserve"> для </w:t>
      </w:r>
      <w:r w:rsidR="009C78C0" w:rsidRPr="00732013">
        <w:rPr>
          <w:spacing w:val="5"/>
          <w:w w:val="104"/>
          <w:lang w:val="ru-RU"/>
        </w:rPr>
        <w:t xml:space="preserve">интегрирования </w:t>
      </w:r>
      <w:r w:rsidR="001665A3" w:rsidRPr="00732013">
        <w:rPr>
          <w:spacing w:val="5"/>
          <w:w w:val="104"/>
          <w:lang w:val="ru-RU"/>
        </w:rPr>
        <w:t>гендерного аспекта, не</w:t>
      </w:r>
      <w:r w:rsidR="005258E0" w:rsidRPr="00732013">
        <w:rPr>
          <w:spacing w:val="5"/>
          <w:w w:val="104"/>
          <w:lang w:val="ru-RU"/>
        </w:rPr>
        <w:t xml:space="preserve">хватку </w:t>
      </w:r>
      <w:r w:rsidR="001665A3" w:rsidRPr="00732013">
        <w:rPr>
          <w:spacing w:val="5"/>
          <w:w w:val="104"/>
          <w:lang w:val="ru-RU"/>
        </w:rPr>
        <w:t>информации о</w:t>
      </w:r>
      <w:r w:rsidR="005258E0" w:rsidRPr="00732013">
        <w:rPr>
          <w:spacing w:val="5"/>
          <w:w w:val="104"/>
          <w:lang w:val="ru-RU"/>
        </w:rPr>
        <w:t xml:space="preserve"> мерах, которые </w:t>
      </w:r>
      <w:r w:rsidR="009C78C0" w:rsidRPr="00732013">
        <w:rPr>
          <w:spacing w:val="5"/>
          <w:w w:val="104"/>
          <w:lang w:val="ru-RU"/>
        </w:rPr>
        <w:t xml:space="preserve">надлежит </w:t>
      </w:r>
      <w:r w:rsidR="005258E0" w:rsidRPr="00732013">
        <w:rPr>
          <w:spacing w:val="5"/>
          <w:w w:val="104"/>
          <w:lang w:val="ru-RU"/>
        </w:rPr>
        <w:t>включать в стратегические муниципальные планы</w:t>
      </w:r>
      <w:r w:rsidR="0055655E" w:rsidRPr="00732013">
        <w:rPr>
          <w:spacing w:val="5"/>
          <w:w w:val="104"/>
          <w:lang w:val="ru-RU"/>
        </w:rPr>
        <w:t>,</w:t>
      </w:r>
      <w:r w:rsidR="005258E0" w:rsidRPr="00732013">
        <w:rPr>
          <w:spacing w:val="5"/>
          <w:w w:val="104"/>
          <w:lang w:val="ru-RU"/>
        </w:rPr>
        <w:t xml:space="preserve"> и недостаток знаний</w:t>
      </w:r>
      <w:r w:rsidR="0055655E" w:rsidRPr="00732013">
        <w:rPr>
          <w:spacing w:val="5"/>
          <w:w w:val="104"/>
          <w:lang w:val="ru-RU"/>
        </w:rPr>
        <w:t xml:space="preserve"> </w:t>
      </w:r>
      <w:r w:rsidR="009C78C0" w:rsidRPr="00732013">
        <w:rPr>
          <w:spacing w:val="5"/>
          <w:w w:val="104"/>
          <w:lang w:val="ru-RU"/>
        </w:rPr>
        <w:t xml:space="preserve">на муниципальном уровне </w:t>
      </w:r>
      <w:r w:rsidR="0055655E" w:rsidRPr="00732013">
        <w:rPr>
          <w:spacing w:val="5"/>
          <w:w w:val="104"/>
          <w:lang w:val="ru-RU"/>
        </w:rPr>
        <w:t xml:space="preserve">о преимуществах </w:t>
      </w:r>
      <w:r w:rsidR="00CA56EA" w:rsidRPr="00732013">
        <w:rPr>
          <w:spacing w:val="5"/>
          <w:w w:val="104"/>
          <w:lang w:val="ru-RU"/>
        </w:rPr>
        <w:t xml:space="preserve">и совокупной выгоде </w:t>
      </w:r>
      <w:r w:rsidR="0055655E" w:rsidRPr="00732013">
        <w:rPr>
          <w:spacing w:val="5"/>
          <w:w w:val="104"/>
          <w:lang w:val="ru-RU"/>
        </w:rPr>
        <w:t>гендерного равенства</w:t>
      </w:r>
      <w:r w:rsidR="00CA56EA" w:rsidRPr="00732013">
        <w:rPr>
          <w:spacing w:val="5"/>
          <w:w w:val="104"/>
          <w:lang w:val="ru-RU"/>
        </w:rPr>
        <w:t xml:space="preserve">. Вышеупомянутые </w:t>
      </w:r>
      <w:r w:rsidR="009C78C0" w:rsidRPr="00732013">
        <w:rPr>
          <w:spacing w:val="5"/>
          <w:w w:val="104"/>
          <w:lang w:val="ru-RU"/>
        </w:rPr>
        <w:t xml:space="preserve">заключения </w:t>
      </w:r>
      <w:r w:rsidR="00CA56EA" w:rsidRPr="00732013">
        <w:rPr>
          <w:spacing w:val="5"/>
          <w:w w:val="104"/>
          <w:lang w:val="ru-RU"/>
        </w:rPr>
        <w:t>и рекомендации</w:t>
      </w:r>
      <w:r w:rsidR="009C78C0" w:rsidRPr="00732013">
        <w:rPr>
          <w:spacing w:val="5"/>
          <w:w w:val="104"/>
          <w:lang w:val="ru-RU"/>
        </w:rPr>
        <w:t xml:space="preserve"> </w:t>
      </w:r>
      <w:r w:rsidR="00CA56EA" w:rsidRPr="00732013">
        <w:rPr>
          <w:spacing w:val="5"/>
          <w:w w:val="104"/>
          <w:lang w:val="ru-RU"/>
        </w:rPr>
        <w:t>К</w:t>
      </w:r>
      <w:r w:rsidR="00507151" w:rsidRPr="00732013">
        <w:rPr>
          <w:spacing w:val="5"/>
          <w:w w:val="104"/>
          <w:lang w:val="ru-RU"/>
        </w:rPr>
        <w:t>омитет</w:t>
      </w:r>
      <w:r w:rsidR="009C78C0" w:rsidRPr="00732013">
        <w:rPr>
          <w:spacing w:val="5"/>
          <w:w w:val="104"/>
          <w:lang w:val="ru-RU"/>
        </w:rPr>
        <w:t>а</w:t>
      </w:r>
      <w:r w:rsidR="00507151" w:rsidRPr="00732013">
        <w:rPr>
          <w:spacing w:val="5"/>
          <w:w w:val="104"/>
          <w:lang w:val="ru-RU"/>
        </w:rPr>
        <w:t xml:space="preserve"> по ликвидации дискриминации в отношении женщин будут учтены при разработке новой Национальной программы по вопросам гендерного равенства </w:t>
      </w:r>
      <w:r w:rsidR="00EC3C95" w:rsidRPr="00732013">
        <w:rPr>
          <w:spacing w:val="5"/>
          <w:w w:val="104"/>
          <w:lang w:val="ru-RU"/>
        </w:rPr>
        <w:t>женщин и мужчин на</w:t>
      </w:r>
      <w:r w:rsidRPr="00732013">
        <w:rPr>
          <w:spacing w:val="5"/>
          <w:w w:val="104"/>
          <w:lang w:val="ru-RU"/>
        </w:rPr>
        <w:t xml:space="preserve"> </w:t>
      </w:r>
      <w:r w:rsidR="00EC3C95" w:rsidRPr="00732013">
        <w:rPr>
          <w:spacing w:val="5"/>
          <w:w w:val="104"/>
          <w:lang w:val="ru-RU"/>
        </w:rPr>
        <w:t>2015–</w:t>
      </w:r>
      <w:r w:rsidRPr="00732013">
        <w:rPr>
          <w:spacing w:val="5"/>
          <w:w w:val="104"/>
          <w:lang w:val="ru-RU"/>
        </w:rPr>
        <w:t>2020</w:t>
      </w:r>
      <w:r w:rsidR="008055A1" w:rsidRPr="00732013">
        <w:rPr>
          <w:spacing w:val="5"/>
          <w:w w:val="104"/>
          <w:lang w:val="ru-RU"/>
        </w:rPr>
        <w:t> год</w:t>
      </w:r>
      <w:r w:rsidR="00EC3C95" w:rsidRPr="00732013">
        <w:rPr>
          <w:spacing w:val="5"/>
          <w:w w:val="104"/>
          <w:lang w:val="ru-RU"/>
        </w:rPr>
        <w:t>ы</w:t>
      </w:r>
      <w:r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21.</w:t>
      </w:r>
      <w:r w:rsidRPr="00732013">
        <w:rPr>
          <w:spacing w:val="5"/>
          <w:w w:val="104"/>
          <w:lang w:val="ru-RU"/>
        </w:rPr>
        <w:tab/>
      </w:r>
      <w:r w:rsidR="00EC3C95" w:rsidRPr="00732013">
        <w:rPr>
          <w:spacing w:val="5"/>
          <w:w w:val="104"/>
          <w:lang w:val="ru-RU"/>
        </w:rPr>
        <w:t xml:space="preserve">Отдел по вопросам гендерного равенства в </w:t>
      </w:r>
      <w:r w:rsidR="009C78C0" w:rsidRPr="00732013">
        <w:rPr>
          <w:spacing w:val="5"/>
          <w:w w:val="104"/>
          <w:lang w:val="ru-RU"/>
        </w:rPr>
        <w:t>М</w:t>
      </w:r>
      <w:r w:rsidR="00EC3C95" w:rsidRPr="00732013">
        <w:rPr>
          <w:spacing w:val="5"/>
          <w:w w:val="104"/>
          <w:lang w:val="ru-RU"/>
        </w:rPr>
        <w:t xml:space="preserve">инистерстве социальной защиты и труда </w:t>
      </w:r>
      <w:r w:rsidR="009C78C0" w:rsidRPr="00732013">
        <w:rPr>
          <w:spacing w:val="5"/>
          <w:w w:val="104"/>
          <w:lang w:val="ru-RU"/>
        </w:rPr>
        <w:t xml:space="preserve">состоит из </w:t>
      </w:r>
      <w:r w:rsidR="00EC3C95" w:rsidRPr="00732013">
        <w:rPr>
          <w:spacing w:val="5"/>
          <w:w w:val="104"/>
          <w:lang w:val="ru-RU"/>
        </w:rPr>
        <w:t xml:space="preserve">трех </w:t>
      </w:r>
      <w:r w:rsidR="00EC3C95" w:rsidRPr="00732013">
        <w:rPr>
          <w:spacing w:val="5"/>
          <w:w w:val="104"/>
        </w:rPr>
        <w:t>сотрудников</w:t>
      </w:r>
      <w:r w:rsidR="00EC3C95" w:rsidRPr="00732013">
        <w:rPr>
          <w:spacing w:val="5"/>
          <w:w w:val="104"/>
          <w:lang w:val="ru-RU"/>
        </w:rPr>
        <w:t>.</w:t>
      </w:r>
      <w:r w:rsidR="005B18E4" w:rsidRPr="00732013">
        <w:rPr>
          <w:spacing w:val="5"/>
          <w:w w:val="104"/>
          <w:lang w:val="ru-RU"/>
        </w:rPr>
        <w:t xml:space="preserve"> Структурные подразделения министерств не имеют целевого бюджета. </w:t>
      </w:r>
      <w:r w:rsidR="009C78C0" w:rsidRPr="00732013">
        <w:rPr>
          <w:spacing w:val="5"/>
          <w:w w:val="104"/>
          <w:lang w:val="ru-RU"/>
        </w:rPr>
        <w:t xml:space="preserve">В силу этого </w:t>
      </w:r>
      <w:r w:rsidR="005B18E4" w:rsidRPr="00732013">
        <w:rPr>
          <w:spacing w:val="5"/>
          <w:w w:val="104"/>
          <w:lang w:val="ru-RU"/>
        </w:rPr>
        <w:t>нет точной информации</w:t>
      </w:r>
      <w:r w:rsidR="000012E8" w:rsidRPr="00732013">
        <w:rPr>
          <w:spacing w:val="5"/>
          <w:w w:val="104"/>
          <w:lang w:val="ru-RU"/>
        </w:rPr>
        <w:t xml:space="preserve"> об имеющихся финансовых ресурсах. Отдел занимает главенствующее иерархическое положение и подотчетен непосредственно заместителю министра, отвечающему за вопросы гендерного равенства</w:t>
      </w:r>
      <w:r w:rsidR="008E76FD" w:rsidRPr="00732013">
        <w:rPr>
          <w:spacing w:val="5"/>
          <w:w w:val="104"/>
          <w:lang w:val="ru-RU"/>
        </w:rPr>
        <w:t xml:space="preserve">, и полностью </w:t>
      </w:r>
      <w:r w:rsidR="009C78C0" w:rsidRPr="00732013">
        <w:rPr>
          <w:spacing w:val="5"/>
          <w:w w:val="104"/>
          <w:lang w:val="ru-RU"/>
        </w:rPr>
        <w:t>соответству</w:t>
      </w:r>
      <w:r w:rsidR="008E76FD" w:rsidRPr="00732013">
        <w:rPr>
          <w:spacing w:val="5"/>
          <w:w w:val="104"/>
          <w:lang w:val="ru-RU"/>
        </w:rPr>
        <w:t>ет требованиям ЕС к институциональным механизмам</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22.</w:t>
      </w:r>
      <w:r w:rsidRPr="00732013">
        <w:rPr>
          <w:spacing w:val="5"/>
          <w:w w:val="104"/>
          <w:lang w:val="ru-RU"/>
        </w:rPr>
        <w:tab/>
      </w:r>
      <w:r w:rsidR="00CB6632" w:rsidRPr="00732013">
        <w:rPr>
          <w:spacing w:val="5"/>
          <w:w w:val="104"/>
          <w:lang w:val="ru-RU"/>
        </w:rPr>
        <w:t>В каждом министерств</w:t>
      </w:r>
      <w:r w:rsidR="00313D9A" w:rsidRPr="00732013">
        <w:rPr>
          <w:spacing w:val="5"/>
          <w:w w:val="104"/>
          <w:lang w:val="ru-RU"/>
        </w:rPr>
        <w:t>е</w:t>
      </w:r>
      <w:r w:rsidR="00CB6632" w:rsidRPr="00732013">
        <w:rPr>
          <w:spacing w:val="5"/>
          <w:w w:val="104"/>
          <w:lang w:val="ru-RU"/>
        </w:rPr>
        <w:t xml:space="preserve"> имеется один или два сотрудника, </w:t>
      </w:r>
      <w:r w:rsidR="00725B01" w:rsidRPr="00732013">
        <w:rPr>
          <w:spacing w:val="5"/>
          <w:w w:val="104"/>
          <w:lang w:val="ru-RU"/>
        </w:rPr>
        <w:t>назначенные</w:t>
      </w:r>
      <w:r w:rsidR="00CB6632" w:rsidRPr="00732013">
        <w:rPr>
          <w:spacing w:val="5"/>
          <w:w w:val="104"/>
          <w:lang w:val="ru-RU"/>
        </w:rPr>
        <w:t xml:space="preserve"> координаторами</w:t>
      </w:r>
      <w:r w:rsidR="00725B01" w:rsidRPr="00732013">
        <w:rPr>
          <w:spacing w:val="5"/>
          <w:w w:val="104"/>
          <w:lang w:val="ru-RU"/>
        </w:rPr>
        <w:t xml:space="preserve"> по гендерным вопросам и </w:t>
      </w:r>
      <w:r w:rsidR="00725B01" w:rsidRPr="00732013">
        <w:rPr>
          <w:spacing w:val="5"/>
          <w:w w:val="104"/>
        </w:rPr>
        <w:t>являющиеся</w:t>
      </w:r>
      <w:r w:rsidR="00725B01" w:rsidRPr="00732013">
        <w:rPr>
          <w:spacing w:val="5"/>
          <w:w w:val="104"/>
          <w:lang w:val="ru-RU"/>
        </w:rPr>
        <w:t xml:space="preserve"> членами Комиссии по вопросам равенства женщин и мужчин</w:t>
      </w:r>
      <w:r w:rsidRPr="00732013">
        <w:rPr>
          <w:spacing w:val="5"/>
          <w:w w:val="104"/>
          <w:lang w:val="ru-RU"/>
        </w:rPr>
        <w:t xml:space="preserve">. </w:t>
      </w:r>
      <w:r w:rsidR="0018038C" w:rsidRPr="00732013">
        <w:rPr>
          <w:spacing w:val="5"/>
          <w:w w:val="104"/>
          <w:lang w:val="ru-RU"/>
        </w:rPr>
        <w:t>И</w:t>
      </w:r>
      <w:r w:rsidR="00313D9A" w:rsidRPr="00732013">
        <w:rPr>
          <w:spacing w:val="5"/>
          <w:w w:val="104"/>
          <w:lang w:val="ru-RU"/>
        </w:rPr>
        <w:t xml:space="preserve">м предлагается </w:t>
      </w:r>
      <w:r w:rsidR="0018038C" w:rsidRPr="00732013">
        <w:rPr>
          <w:spacing w:val="5"/>
          <w:w w:val="104"/>
          <w:lang w:val="ru-RU"/>
        </w:rPr>
        <w:t xml:space="preserve">принимать участие в </w:t>
      </w:r>
      <w:r w:rsidR="00313D9A" w:rsidRPr="00732013">
        <w:rPr>
          <w:spacing w:val="5"/>
          <w:w w:val="104"/>
          <w:lang w:val="ru-RU"/>
        </w:rPr>
        <w:t xml:space="preserve">систематической профессиональной </w:t>
      </w:r>
      <w:r w:rsidR="0018038C" w:rsidRPr="00732013">
        <w:rPr>
          <w:spacing w:val="5"/>
          <w:w w:val="104"/>
          <w:lang w:val="ru-RU"/>
        </w:rPr>
        <w:t>подготовке. Так, в октябре</w:t>
      </w:r>
      <w:r w:rsidRPr="00732013">
        <w:rPr>
          <w:spacing w:val="5"/>
          <w:w w:val="104"/>
          <w:lang w:val="ru-RU"/>
        </w:rPr>
        <w:t xml:space="preserve"> 2013</w:t>
      </w:r>
      <w:r w:rsidR="008055A1" w:rsidRPr="00732013">
        <w:rPr>
          <w:spacing w:val="5"/>
          <w:w w:val="104"/>
          <w:lang w:val="ru-RU"/>
        </w:rPr>
        <w:t> год</w:t>
      </w:r>
      <w:r w:rsidR="0018038C" w:rsidRPr="00732013">
        <w:rPr>
          <w:spacing w:val="5"/>
          <w:w w:val="104"/>
          <w:lang w:val="ru-RU"/>
        </w:rPr>
        <w:t>а</w:t>
      </w:r>
      <w:r w:rsidR="00601ECC" w:rsidRPr="00732013">
        <w:rPr>
          <w:spacing w:val="5"/>
          <w:w w:val="104"/>
          <w:lang w:val="ru-RU"/>
        </w:rPr>
        <w:t xml:space="preserve"> </w:t>
      </w:r>
      <w:r w:rsidR="00526A2D" w:rsidRPr="00732013">
        <w:rPr>
          <w:spacing w:val="5"/>
          <w:w w:val="104"/>
          <w:lang w:val="ru-RU"/>
        </w:rPr>
        <w:t xml:space="preserve">Женский </w:t>
      </w:r>
      <w:r w:rsidR="00464FF9" w:rsidRPr="00732013">
        <w:rPr>
          <w:spacing w:val="5"/>
          <w:w w:val="104"/>
          <w:lang w:val="ru-RU"/>
        </w:rPr>
        <w:t>и</w:t>
      </w:r>
      <w:r w:rsidR="00601ECC" w:rsidRPr="00732013">
        <w:rPr>
          <w:spacing w:val="5"/>
          <w:w w:val="104"/>
          <w:lang w:val="ru-RU"/>
        </w:rPr>
        <w:t xml:space="preserve">нформационный центр совместно с Канцелярией </w:t>
      </w:r>
      <w:r w:rsidR="002342C2" w:rsidRPr="00732013">
        <w:rPr>
          <w:spacing w:val="5"/>
          <w:w w:val="104"/>
          <w:lang w:val="ru-RU"/>
        </w:rPr>
        <w:t xml:space="preserve">Омбудсмена </w:t>
      </w:r>
      <w:r w:rsidR="00601ECC" w:rsidRPr="00732013">
        <w:rPr>
          <w:spacing w:val="5"/>
          <w:w w:val="104"/>
          <w:lang w:val="ru-RU"/>
        </w:rPr>
        <w:t xml:space="preserve">по вопросам </w:t>
      </w:r>
      <w:r w:rsidR="00AB0E4D" w:rsidRPr="00732013">
        <w:rPr>
          <w:spacing w:val="5"/>
          <w:w w:val="104"/>
          <w:lang w:val="ru-RU"/>
        </w:rPr>
        <w:t>равных возможностей и Центр</w:t>
      </w:r>
      <w:r w:rsidR="00824ED4" w:rsidRPr="00732013">
        <w:rPr>
          <w:spacing w:val="5"/>
          <w:w w:val="104"/>
          <w:lang w:val="ru-RU"/>
        </w:rPr>
        <w:t>ом</w:t>
      </w:r>
      <w:r w:rsidR="00AB0E4D" w:rsidRPr="00732013">
        <w:rPr>
          <w:spacing w:val="5"/>
          <w:w w:val="104"/>
          <w:lang w:val="ru-RU"/>
        </w:rPr>
        <w:t xml:space="preserve"> гендерных исследований Ш</w:t>
      </w:r>
      <w:r w:rsidR="00824ED4" w:rsidRPr="00732013">
        <w:rPr>
          <w:spacing w:val="5"/>
          <w:w w:val="104"/>
          <w:lang w:val="ru-RU"/>
        </w:rPr>
        <w:t>я</w:t>
      </w:r>
      <w:r w:rsidR="00AB0E4D" w:rsidRPr="00732013">
        <w:rPr>
          <w:spacing w:val="5"/>
          <w:w w:val="104"/>
          <w:lang w:val="ru-RU"/>
        </w:rPr>
        <w:t>уляйского университета</w:t>
      </w:r>
      <w:r w:rsidR="006101FD" w:rsidRPr="00732013">
        <w:rPr>
          <w:spacing w:val="5"/>
          <w:w w:val="104"/>
          <w:lang w:val="ru-RU"/>
        </w:rPr>
        <w:t xml:space="preserve"> провели трехдневные</w:t>
      </w:r>
      <w:r w:rsidR="00AB0E4D" w:rsidRPr="00732013">
        <w:rPr>
          <w:spacing w:val="5"/>
          <w:w w:val="104"/>
          <w:lang w:val="ru-RU"/>
        </w:rPr>
        <w:t xml:space="preserve"> </w:t>
      </w:r>
      <w:r w:rsidR="006101FD" w:rsidRPr="00732013">
        <w:rPr>
          <w:spacing w:val="5"/>
          <w:w w:val="104"/>
          <w:lang w:val="ru-RU"/>
        </w:rPr>
        <w:t>учебные занятия</w:t>
      </w:r>
      <w:r w:rsidR="00AB0E4D" w:rsidRPr="00732013">
        <w:rPr>
          <w:spacing w:val="5"/>
          <w:w w:val="104"/>
          <w:lang w:val="ru-RU"/>
        </w:rPr>
        <w:t xml:space="preserve"> для</w:t>
      </w:r>
      <w:r w:rsidR="006101FD" w:rsidRPr="00732013">
        <w:rPr>
          <w:spacing w:val="5"/>
          <w:w w:val="104"/>
          <w:lang w:val="ru-RU"/>
        </w:rPr>
        <w:t xml:space="preserve"> членов Комиссии по вопросам равных возможностей женщин и мужчин. </w:t>
      </w:r>
      <w:r w:rsidR="00CF19EC" w:rsidRPr="00732013">
        <w:rPr>
          <w:spacing w:val="5"/>
          <w:w w:val="104"/>
          <w:lang w:val="ru-RU"/>
        </w:rPr>
        <w:t>Изучались такие темы, как</w:t>
      </w:r>
      <w:r w:rsidR="006101FD" w:rsidRPr="00732013">
        <w:rPr>
          <w:spacing w:val="5"/>
          <w:w w:val="104"/>
          <w:lang w:val="ru-RU"/>
        </w:rPr>
        <w:t xml:space="preserve"> </w:t>
      </w:r>
      <w:r w:rsidR="009F0AF0" w:rsidRPr="00732013">
        <w:rPr>
          <w:spacing w:val="5"/>
          <w:w w:val="104"/>
          <w:lang w:val="ru-RU"/>
        </w:rPr>
        <w:t>"</w:t>
      </w:r>
      <w:r w:rsidR="009336C0" w:rsidRPr="00732013">
        <w:rPr>
          <w:spacing w:val="5"/>
          <w:w w:val="104"/>
          <w:lang w:val="ru-RU"/>
        </w:rPr>
        <w:t xml:space="preserve">Представленность мужчин и женщин в литовских </w:t>
      </w:r>
      <w:r w:rsidR="00F93C08" w:rsidRPr="00732013">
        <w:rPr>
          <w:spacing w:val="5"/>
          <w:w w:val="104"/>
          <w:lang w:val="ru-RU"/>
        </w:rPr>
        <w:t>СМИ</w:t>
      </w:r>
      <w:r w:rsidR="009336C0" w:rsidRPr="00732013">
        <w:rPr>
          <w:spacing w:val="5"/>
          <w:w w:val="104"/>
          <w:lang w:val="ru-RU"/>
        </w:rPr>
        <w:t xml:space="preserve"> и литературе: исторический и современный контексты</w:t>
      </w:r>
      <w:r w:rsidR="009F0AF0" w:rsidRPr="00732013">
        <w:rPr>
          <w:spacing w:val="5"/>
          <w:w w:val="104"/>
          <w:lang w:val="ru-RU"/>
        </w:rPr>
        <w:t>"</w:t>
      </w:r>
      <w:r w:rsidRPr="00732013">
        <w:rPr>
          <w:spacing w:val="5"/>
          <w:w w:val="104"/>
          <w:lang w:val="ru-RU"/>
        </w:rPr>
        <w:t xml:space="preserve">, </w:t>
      </w:r>
      <w:r w:rsidR="009F0AF0" w:rsidRPr="00732013">
        <w:rPr>
          <w:spacing w:val="5"/>
          <w:w w:val="104"/>
          <w:lang w:val="ru-RU"/>
        </w:rPr>
        <w:t>"</w:t>
      </w:r>
      <w:r w:rsidR="00CF19EC" w:rsidRPr="00732013">
        <w:rPr>
          <w:spacing w:val="5"/>
          <w:w w:val="104"/>
          <w:lang w:val="ru-RU"/>
        </w:rPr>
        <w:t xml:space="preserve">Равное обращение с мужчинами и женщинами в </w:t>
      </w:r>
      <w:r w:rsidR="00F93C08" w:rsidRPr="00732013">
        <w:rPr>
          <w:spacing w:val="5"/>
          <w:w w:val="104"/>
          <w:lang w:val="ru-RU"/>
        </w:rPr>
        <w:t>каждом</w:t>
      </w:r>
      <w:r w:rsidR="00CF19EC" w:rsidRPr="00732013">
        <w:rPr>
          <w:spacing w:val="5"/>
          <w:w w:val="104"/>
          <w:lang w:val="ru-RU"/>
        </w:rPr>
        <w:t xml:space="preserve"> виде деятельности</w:t>
      </w:r>
      <w:r w:rsidR="009F0AF0" w:rsidRPr="00732013">
        <w:rPr>
          <w:spacing w:val="5"/>
          <w:w w:val="104"/>
          <w:lang w:val="ru-RU"/>
        </w:rPr>
        <w:t>"</w:t>
      </w:r>
      <w:r w:rsidR="00CF19EC" w:rsidRPr="00732013">
        <w:rPr>
          <w:spacing w:val="5"/>
          <w:w w:val="104"/>
          <w:lang w:val="ru-RU"/>
        </w:rPr>
        <w:t xml:space="preserve"> и </w:t>
      </w:r>
      <w:r w:rsidR="00824ED4" w:rsidRPr="00732013">
        <w:rPr>
          <w:spacing w:val="5"/>
          <w:w w:val="104"/>
          <w:lang w:val="ru-RU"/>
        </w:rPr>
        <w:t>т. </w:t>
      </w:r>
      <w:r w:rsidR="00CF19EC" w:rsidRPr="00732013">
        <w:rPr>
          <w:spacing w:val="5"/>
          <w:w w:val="104"/>
          <w:lang w:val="ru-RU"/>
        </w:rPr>
        <w:t>д.</w:t>
      </w:r>
      <w:r w:rsidRPr="00732013">
        <w:rPr>
          <w:spacing w:val="5"/>
          <w:w w:val="104"/>
          <w:lang w:val="ru-RU"/>
        </w:rPr>
        <w:t xml:space="preserve"> 13</w:t>
      </w:r>
      <w:r w:rsidR="00824ED4" w:rsidRPr="00732013">
        <w:rPr>
          <w:spacing w:val="5"/>
          <w:w w:val="104"/>
          <w:lang w:val="ru-RU"/>
        </w:rPr>
        <w:t> </w:t>
      </w:r>
      <w:r w:rsidR="00CF19EC" w:rsidRPr="00732013">
        <w:rPr>
          <w:spacing w:val="5"/>
          <w:w w:val="104"/>
          <w:lang w:val="ru-RU"/>
        </w:rPr>
        <w:t>сентября</w:t>
      </w:r>
      <w:r w:rsidRPr="00732013">
        <w:rPr>
          <w:spacing w:val="5"/>
          <w:w w:val="104"/>
          <w:lang w:val="ru-RU"/>
        </w:rPr>
        <w:t xml:space="preserve"> 2013</w:t>
      </w:r>
      <w:r w:rsidR="008055A1" w:rsidRPr="00732013">
        <w:rPr>
          <w:spacing w:val="5"/>
          <w:w w:val="104"/>
          <w:lang w:val="ru-RU"/>
        </w:rPr>
        <w:t> год</w:t>
      </w:r>
      <w:r w:rsidR="00CF19EC" w:rsidRPr="00732013">
        <w:rPr>
          <w:spacing w:val="5"/>
          <w:w w:val="104"/>
          <w:lang w:val="ru-RU"/>
        </w:rPr>
        <w:t>а члены Комиссии принимали участие</w:t>
      </w:r>
      <w:r w:rsidR="00470777" w:rsidRPr="00732013">
        <w:rPr>
          <w:spacing w:val="5"/>
          <w:w w:val="104"/>
          <w:lang w:val="ru-RU"/>
        </w:rPr>
        <w:t xml:space="preserve"> в Конференции высокого уровня под эгидой президента Литвы на тему</w:t>
      </w:r>
      <w:r w:rsidRPr="00732013">
        <w:rPr>
          <w:spacing w:val="5"/>
          <w:w w:val="104"/>
          <w:lang w:val="ru-RU"/>
        </w:rPr>
        <w:t xml:space="preserve"> </w:t>
      </w:r>
      <w:r w:rsidR="00824ED4" w:rsidRPr="00732013">
        <w:rPr>
          <w:spacing w:val="5"/>
          <w:w w:val="104"/>
          <w:lang w:val="ru-RU"/>
        </w:rPr>
        <w:t>«</w:t>
      </w:r>
      <w:r w:rsidR="00470777" w:rsidRPr="00732013">
        <w:rPr>
          <w:spacing w:val="5"/>
          <w:w w:val="104"/>
          <w:lang w:val="ru-RU"/>
        </w:rPr>
        <w:t>Фактическое гендерное равенство как вклад в</w:t>
      </w:r>
      <w:r w:rsidR="001E1E9F" w:rsidRPr="00732013">
        <w:rPr>
          <w:spacing w:val="5"/>
          <w:w w:val="104"/>
          <w:lang w:val="ru-RU"/>
        </w:rPr>
        <w:t xml:space="preserve"> </w:t>
      </w:r>
      <w:r w:rsidR="009F0AF0" w:rsidRPr="00732013">
        <w:rPr>
          <w:spacing w:val="5"/>
          <w:w w:val="104"/>
          <w:lang w:val="ru-RU"/>
        </w:rPr>
        <w:t>"</w:t>
      </w:r>
      <w:r w:rsidR="001E1E9F" w:rsidRPr="00732013">
        <w:rPr>
          <w:spacing w:val="5"/>
          <w:w w:val="104"/>
          <w:lang w:val="ru-RU"/>
        </w:rPr>
        <w:t>Европа</w:t>
      </w:r>
      <w:r w:rsidR="00F93C08" w:rsidRPr="00732013">
        <w:rPr>
          <w:spacing w:val="5"/>
          <w:w w:val="104"/>
          <w:lang w:val="ru-RU"/>
        </w:rPr>
        <w:t>-</w:t>
      </w:r>
      <w:r w:rsidRPr="00732013">
        <w:rPr>
          <w:spacing w:val="5"/>
          <w:w w:val="104"/>
          <w:lang w:val="ru-RU"/>
        </w:rPr>
        <w:t>2020</w:t>
      </w:r>
      <w:r w:rsidR="009F0AF0" w:rsidRPr="00732013">
        <w:rPr>
          <w:spacing w:val="5"/>
          <w:w w:val="104"/>
          <w:lang w:val="ru-RU"/>
        </w:rPr>
        <w:t>"</w:t>
      </w:r>
      <w:r w:rsidRPr="00732013">
        <w:rPr>
          <w:spacing w:val="5"/>
          <w:w w:val="104"/>
          <w:lang w:val="ru-RU"/>
        </w:rPr>
        <w:t xml:space="preserve">: </w:t>
      </w:r>
      <w:r w:rsidR="001E1E9F" w:rsidRPr="00732013">
        <w:rPr>
          <w:spacing w:val="5"/>
          <w:w w:val="104"/>
          <w:lang w:val="ru-RU"/>
        </w:rPr>
        <w:t>эффективность институциональных механизмов</w:t>
      </w:r>
      <w:r w:rsidR="00824ED4" w:rsidRPr="00732013">
        <w:rPr>
          <w:spacing w:val="5"/>
          <w:w w:val="104"/>
          <w:lang w:val="ru-RU"/>
        </w:rPr>
        <w:t>»</w:t>
      </w:r>
      <w:r w:rsidRPr="00732013">
        <w:rPr>
          <w:spacing w:val="5"/>
          <w:w w:val="104"/>
          <w:lang w:val="ru-RU"/>
        </w:rPr>
        <w:t xml:space="preserve">, </w:t>
      </w:r>
      <w:r w:rsidR="007A5CE9" w:rsidRPr="00732013">
        <w:rPr>
          <w:spacing w:val="5"/>
          <w:w w:val="104"/>
          <w:lang w:val="ru-RU"/>
        </w:rPr>
        <w:t>состоявшейся в Вильнюсе, а 20–22</w:t>
      </w:r>
      <w:r w:rsidR="009B24A3" w:rsidRPr="00732013">
        <w:rPr>
          <w:spacing w:val="5"/>
          <w:w w:val="104"/>
          <w:lang w:val="ru-RU"/>
        </w:rPr>
        <w:t> </w:t>
      </w:r>
      <w:r w:rsidR="007A5CE9" w:rsidRPr="00732013">
        <w:rPr>
          <w:spacing w:val="5"/>
          <w:w w:val="104"/>
          <w:lang w:val="ru-RU"/>
        </w:rPr>
        <w:t>ноября они</w:t>
      </w:r>
      <w:r w:rsidR="00F93C08" w:rsidRPr="00732013">
        <w:rPr>
          <w:spacing w:val="5"/>
          <w:w w:val="104"/>
          <w:lang w:val="ru-RU"/>
        </w:rPr>
        <w:t xml:space="preserve"> участвовали в</w:t>
      </w:r>
      <w:r w:rsidR="00A16611" w:rsidRPr="00732013">
        <w:rPr>
          <w:spacing w:val="5"/>
          <w:w w:val="104"/>
          <w:lang w:val="ru-RU"/>
        </w:rPr>
        <w:t xml:space="preserve"> Конференции высокого уровня под эгидой президента Литвы на тему</w:t>
      </w:r>
      <w:r w:rsidRPr="00732013">
        <w:rPr>
          <w:spacing w:val="5"/>
          <w:w w:val="104"/>
          <w:lang w:val="ru-RU"/>
        </w:rPr>
        <w:t xml:space="preserve"> </w:t>
      </w:r>
      <w:r w:rsidR="009F0AF0" w:rsidRPr="00732013">
        <w:rPr>
          <w:spacing w:val="5"/>
          <w:w w:val="104"/>
          <w:lang w:val="ru-RU"/>
        </w:rPr>
        <w:t>"</w:t>
      </w:r>
      <w:r w:rsidR="00DA11C8" w:rsidRPr="00732013">
        <w:rPr>
          <w:spacing w:val="5"/>
          <w:w w:val="104"/>
          <w:lang w:val="ru-RU"/>
        </w:rPr>
        <w:t>Структурные изменения, содействующие</w:t>
      </w:r>
      <w:r w:rsidR="00F874EF" w:rsidRPr="00732013">
        <w:rPr>
          <w:spacing w:val="5"/>
          <w:w w:val="104"/>
          <w:lang w:val="ru-RU"/>
        </w:rPr>
        <w:t xml:space="preserve"> гендерному равенству в научных учреждениях</w:t>
      </w:r>
      <w:r w:rsidR="009F0AF0" w:rsidRPr="00732013">
        <w:rPr>
          <w:spacing w:val="5"/>
          <w:w w:val="104"/>
          <w:lang w:val="ru-RU"/>
        </w:rPr>
        <w:t>"</w:t>
      </w:r>
      <w:r w:rsidRPr="00732013">
        <w:rPr>
          <w:spacing w:val="5"/>
          <w:w w:val="104"/>
          <w:lang w:val="ru-RU"/>
        </w:rPr>
        <w:t xml:space="preserve">, </w:t>
      </w:r>
      <w:r w:rsidR="00F874EF" w:rsidRPr="00732013">
        <w:rPr>
          <w:spacing w:val="5"/>
          <w:w w:val="104"/>
          <w:lang w:val="ru-RU"/>
        </w:rPr>
        <w:t>состоявшейся в Виль</w:t>
      </w:r>
      <w:r w:rsidR="00947B71" w:rsidRPr="00732013">
        <w:rPr>
          <w:spacing w:val="5"/>
          <w:w w:val="104"/>
          <w:lang w:val="ru-RU"/>
        </w:rPr>
        <w:t xml:space="preserve">нюсе, </w:t>
      </w:r>
      <w:r w:rsidR="00F93C08" w:rsidRPr="00732013">
        <w:rPr>
          <w:spacing w:val="5"/>
          <w:w w:val="104"/>
          <w:lang w:val="ru-RU"/>
        </w:rPr>
        <w:t>и других</w:t>
      </w:r>
      <w:r w:rsidR="00947B71" w:rsidRPr="00732013">
        <w:rPr>
          <w:spacing w:val="5"/>
          <w:w w:val="104"/>
          <w:lang w:val="ru-RU"/>
        </w:rPr>
        <w:t xml:space="preserve"> мероприятия</w:t>
      </w:r>
      <w:r w:rsidR="00F93C08" w:rsidRPr="00732013">
        <w:rPr>
          <w:spacing w:val="5"/>
          <w:w w:val="104"/>
          <w:lang w:val="ru-RU"/>
        </w:rPr>
        <w:t>х</w:t>
      </w:r>
      <w:r w:rsidR="00947B71" w:rsidRPr="00732013">
        <w:rPr>
          <w:spacing w:val="5"/>
          <w:w w:val="104"/>
          <w:lang w:val="ru-RU"/>
        </w:rPr>
        <w:t xml:space="preserve"> по вопросам гендерного равенства</w:t>
      </w:r>
      <w:r w:rsidRPr="00732013">
        <w:rPr>
          <w:spacing w:val="5"/>
          <w:w w:val="104"/>
          <w:lang w:val="ru-RU"/>
        </w:rPr>
        <w:t>.</w:t>
      </w:r>
      <w:r w:rsidR="00AE3ED8" w:rsidRPr="00732013">
        <w:rPr>
          <w:spacing w:val="5"/>
          <w:w w:val="104"/>
          <w:lang w:val="ru-RU"/>
        </w:rPr>
        <w:t xml:space="preserve"> </w:t>
      </w:r>
    </w:p>
    <w:p w:rsidR="00866E29" w:rsidRPr="00732013" w:rsidRDefault="005A3EA7" w:rsidP="00732013">
      <w:pPr>
        <w:pStyle w:val="H23G"/>
        <w:spacing w:before="0"/>
        <w:ind w:right="1267"/>
        <w:rPr>
          <w:spacing w:val="5"/>
          <w:w w:val="104"/>
          <w:lang w:val="en-US"/>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пункту</w:t>
      </w:r>
      <w:r w:rsidR="00866E29" w:rsidRPr="00732013">
        <w:rPr>
          <w:spacing w:val="5"/>
          <w:w w:val="104"/>
          <w:lang w:val="en-US"/>
        </w:rPr>
        <w:t xml:space="preserve"> 5</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23.</w:t>
      </w:r>
      <w:r w:rsidRPr="00732013">
        <w:rPr>
          <w:spacing w:val="5"/>
          <w:w w:val="104"/>
          <w:lang w:val="ru-RU"/>
        </w:rPr>
        <w:tab/>
      </w:r>
      <w:r w:rsidR="00CC5F39" w:rsidRPr="00732013">
        <w:rPr>
          <w:spacing w:val="5"/>
          <w:w w:val="104"/>
          <w:lang w:val="ru-RU"/>
        </w:rPr>
        <w:t>Большинство м</w:t>
      </w:r>
      <w:r w:rsidR="006C1DB4" w:rsidRPr="00732013">
        <w:rPr>
          <w:spacing w:val="5"/>
          <w:w w:val="104"/>
          <w:lang w:val="ru-RU"/>
        </w:rPr>
        <w:t>ер, принимаемы</w:t>
      </w:r>
      <w:r w:rsidR="00CC5F39" w:rsidRPr="00732013">
        <w:rPr>
          <w:spacing w:val="5"/>
          <w:w w:val="104"/>
          <w:lang w:val="ru-RU"/>
        </w:rPr>
        <w:t>х</w:t>
      </w:r>
      <w:r w:rsidR="006C1DB4" w:rsidRPr="00732013">
        <w:rPr>
          <w:spacing w:val="5"/>
          <w:w w:val="104"/>
          <w:lang w:val="ru-RU"/>
        </w:rPr>
        <w:t xml:space="preserve"> в рамках </w:t>
      </w:r>
      <w:r w:rsidR="00CC5F39" w:rsidRPr="00732013">
        <w:rPr>
          <w:spacing w:val="5"/>
          <w:w w:val="104"/>
          <w:lang w:val="ru-RU"/>
        </w:rPr>
        <w:t xml:space="preserve">данной </w:t>
      </w:r>
      <w:r w:rsidR="006C1DB4" w:rsidRPr="00732013">
        <w:rPr>
          <w:spacing w:val="5"/>
          <w:w w:val="104"/>
          <w:lang w:val="ru-RU"/>
        </w:rPr>
        <w:t xml:space="preserve">Программы, носят постоянный характер, </w:t>
      </w:r>
      <w:r w:rsidR="00CC5F39" w:rsidRPr="00732013">
        <w:rPr>
          <w:spacing w:val="5"/>
          <w:w w:val="104"/>
          <w:lang w:val="ru-RU"/>
        </w:rPr>
        <w:t xml:space="preserve">в частности </w:t>
      </w:r>
      <w:r w:rsidR="00ED091D" w:rsidRPr="00732013">
        <w:rPr>
          <w:spacing w:val="5"/>
          <w:w w:val="104"/>
          <w:lang w:val="ru-RU"/>
        </w:rPr>
        <w:t>меры в сфере</w:t>
      </w:r>
      <w:r w:rsidR="006C1DB4" w:rsidRPr="00732013">
        <w:rPr>
          <w:spacing w:val="5"/>
          <w:w w:val="104"/>
          <w:lang w:val="ru-RU"/>
        </w:rPr>
        <w:t xml:space="preserve"> образова</w:t>
      </w:r>
      <w:r w:rsidR="00ED091D" w:rsidRPr="00732013">
        <w:rPr>
          <w:spacing w:val="5"/>
          <w:w w:val="104"/>
          <w:lang w:val="ru-RU"/>
        </w:rPr>
        <w:t>ния, поскольку для достижения устойчивых результатов требуется больше времени. Ежегодно публикуется общедоступный доклад о</w:t>
      </w:r>
      <w:r w:rsidR="00E74F0B" w:rsidRPr="00732013">
        <w:rPr>
          <w:spacing w:val="5"/>
          <w:w w:val="104"/>
          <w:lang w:val="ru-RU"/>
        </w:rPr>
        <w:t>б осуществлении программных мер</w:t>
      </w:r>
      <w:r w:rsidR="00BF04B9" w:rsidRPr="00732013">
        <w:rPr>
          <w:rStyle w:val="FootnoteReference"/>
          <w:spacing w:val="5"/>
          <w:w w:val="104"/>
          <w:sz w:val="20"/>
        </w:rPr>
        <w:footnoteReference w:id="12"/>
      </w:r>
      <w:r w:rsidRPr="00732013">
        <w:rPr>
          <w:spacing w:val="5"/>
          <w:w w:val="104"/>
          <w:lang w:val="ru-RU"/>
        </w:rPr>
        <w:t xml:space="preserve">, </w:t>
      </w:r>
      <w:r w:rsidR="00CC5F39" w:rsidRPr="00732013">
        <w:rPr>
          <w:spacing w:val="5"/>
          <w:w w:val="104"/>
          <w:lang w:val="ru-RU"/>
        </w:rPr>
        <w:t xml:space="preserve">в котором </w:t>
      </w:r>
      <w:r w:rsidR="00E74F0B" w:rsidRPr="00732013">
        <w:rPr>
          <w:spacing w:val="5"/>
          <w:w w:val="104"/>
          <w:lang w:val="ru-RU"/>
        </w:rPr>
        <w:t xml:space="preserve">содержатся </w:t>
      </w:r>
      <w:r w:rsidR="00E74F0B" w:rsidRPr="00732013">
        <w:rPr>
          <w:spacing w:val="5"/>
          <w:w w:val="104"/>
        </w:rPr>
        <w:t>конкретные</w:t>
      </w:r>
      <w:r w:rsidR="00E74F0B" w:rsidRPr="00732013">
        <w:rPr>
          <w:spacing w:val="5"/>
          <w:w w:val="104"/>
          <w:lang w:val="ru-RU"/>
        </w:rPr>
        <w:t xml:space="preserve"> данные, основанные на количественных </w:t>
      </w:r>
      <w:r w:rsidR="00A3550F" w:rsidRPr="00732013">
        <w:rPr>
          <w:spacing w:val="5"/>
          <w:w w:val="104"/>
          <w:lang w:val="ru-RU"/>
        </w:rPr>
        <w:t>показателях</w:t>
      </w:r>
      <w:r w:rsidR="00E74F0B" w:rsidRPr="00732013">
        <w:rPr>
          <w:spacing w:val="5"/>
          <w:w w:val="104"/>
          <w:lang w:val="ru-RU"/>
        </w:rPr>
        <w:t xml:space="preserve">: </w:t>
      </w:r>
      <w:r w:rsidR="00A3550F" w:rsidRPr="00732013">
        <w:rPr>
          <w:spacing w:val="5"/>
          <w:w w:val="104"/>
          <w:lang w:val="ru-RU"/>
        </w:rPr>
        <w:t>числе семинаров, учебных занятий и прочих проведенных мероприяти</w:t>
      </w:r>
      <w:r w:rsidR="00CC5F39" w:rsidRPr="00732013">
        <w:rPr>
          <w:spacing w:val="5"/>
          <w:w w:val="104"/>
          <w:lang w:val="ru-RU"/>
        </w:rPr>
        <w:t>ях</w:t>
      </w:r>
      <w:r w:rsidR="00A72365" w:rsidRPr="00732013">
        <w:rPr>
          <w:spacing w:val="5"/>
          <w:w w:val="104"/>
          <w:lang w:val="ru-RU"/>
        </w:rPr>
        <w:t xml:space="preserve"> с указанием численности служащих, посещавших семинары, учебные занятия и прочие мероприятия по повышению квалификации.</w:t>
      </w:r>
      <w:r w:rsidR="005E1FAC" w:rsidRPr="00732013">
        <w:rPr>
          <w:spacing w:val="5"/>
          <w:w w:val="104"/>
          <w:lang w:val="ru-RU"/>
        </w:rPr>
        <w:t xml:space="preserve"> К</w:t>
      </w:r>
      <w:r w:rsidR="00A32944" w:rsidRPr="00732013">
        <w:rPr>
          <w:spacing w:val="5"/>
          <w:w w:val="104"/>
          <w:lang w:val="ru-RU"/>
        </w:rPr>
        <w:t>роме того, оценка включает численность</w:t>
      </w:r>
      <w:r w:rsidR="005E1FAC" w:rsidRPr="00732013">
        <w:rPr>
          <w:spacing w:val="5"/>
          <w:w w:val="104"/>
          <w:lang w:val="ru-RU"/>
        </w:rPr>
        <w:t xml:space="preserve"> </w:t>
      </w:r>
      <w:r w:rsidR="00A32944" w:rsidRPr="00732013">
        <w:rPr>
          <w:spacing w:val="5"/>
          <w:w w:val="104"/>
          <w:lang w:val="ru-RU"/>
        </w:rPr>
        <w:t>тех</w:t>
      </w:r>
      <w:r w:rsidR="005E1FAC" w:rsidRPr="00732013">
        <w:rPr>
          <w:spacing w:val="5"/>
          <w:w w:val="104"/>
          <w:lang w:val="ru-RU"/>
        </w:rPr>
        <w:t xml:space="preserve">, </w:t>
      </w:r>
      <w:r w:rsidR="00A32944" w:rsidRPr="00732013">
        <w:rPr>
          <w:spacing w:val="5"/>
          <w:w w:val="104"/>
          <w:lang w:val="ru-RU"/>
        </w:rPr>
        <w:t xml:space="preserve">кто </w:t>
      </w:r>
      <w:r w:rsidR="005E1FAC" w:rsidRPr="00732013">
        <w:rPr>
          <w:spacing w:val="5"/>
          <w:w w:val="104"/>
          <w:lang w:val="ru-RU"/>
        </w:rPr>
        <w:t>использу</w:t>
      </w:r>
      <w:r w:rsidR="00A32944" w:rsidRPr="00732013">
        <w:rPr>
          <w:spacing w:val="5"/>
          <w:w w:val="104"/>
          <w:lang w:val="ru-RU"/>
        </w:rPr>
        <w:t>ет приобретенные</w:t>
      </w:r>
      <w:r w:rsidR="005E1FAC" w:rsidRPr="00732013">
        <w:rPr>
          <w:spacing w:val="5"/>
          <w:w w:val="104"/>
          <w:lang w:val="ru-RU"/>
        </w:rPr>
        <w:t xml:space="preserve"> знания на практике, </w:t>
      </w:r>
      <w:r w:rsidR="00A32944" w:rsidRPr="00732013">
        <w:rPr>
          <w:spacing w:val="5"/>
          <w:w w:val="104"/>
          <w:lang w:val="ru-RU"/>
        </w:rPr>
        <w:t>и тех</w:t>
      </w:r>
      <w:r w:rsidR="005E1FAC" w:rsidRPr="00732013">
        <w:rPr>
          <w:spacing w:val="5"/>
          <w:w w:val="104"/>
          <w:lang w:val="ru-RU"/>
        </w:rPr>
        <w:t>,</w:t>
      </w:r>
      <w:r w:rsidR="00A32944" w:rsidRPr="00732013">
        <w:rPr>
          <w:spacing w:val="5"/>
          <w:w w:val="104"/>
          <w:lang w:val="ru-RU"/>
        </w:rPr>
        <w:t xml:space="preserve"> кто</w:t>
      </w:r>
      <w:r w:rsidR="008A610A" w:rsidRPr="00732013">
        <w:rPr>
          <w:spacing w:val="5"/>
          <w:w w:val="104"/>
          <w:lang w:val="ru-RU"/>
        </w:rPr>
        <w:t xml:space="preserve"> получил</w:t>
      </w:r>
      <w:r w:rsidR="005E1FAC" w:rsidRPr="00732013">
        <w:rPr>
          <w:spacing w:val="5"/>
          <w:w w:val="104"/>
          <w:lang w:val="ru-RU"/>
        </w:rPr>
        <w:t xml:space="preserve"> информацию</w:t>
      </w:r>
      <w:r w:rsidRPr="00732013">
        <w:rPr>
          <w:spacing w:val="5"/>
          <w:w w:val="104"/>
          <w:lang w:val="ru-RU"/>
        </w:rPr>
        <w:t xml:space="preserve">. </w:t>
      </w:r>
      <w:r w:rsidR="005E1FAC" w:rsidRPr="00732013">
        <w:rPr>
          <w:spacing w:val="5"/>
          <w:w w:val="104"/>
          <w:lang w:val="ru-RU"/>
        </w:rPr>
        <w:t>В</w:t>
      </w:r>
      <w:r w:rsidRPr="00732013">
        <w:rPr>
          <w:spacing w:val="5"/>
          <w:w w:val="104"/>
          <w:lang w:val="ru-RU"/>
        </w:rPr>
        <w:t xml:space="preserve"> 2012</w:t>
      </w:r>
      <w:r w:rsidR="008055A1" w:rsidRPr="00732013">
        <w:rPr>
          <w:spacing w:val="5"/>
          <w:w w:val="104"/>
          <w:lang w:val="ru-RU"/>
        </w:rPr>
        <w:t> год</w:t>
      </w:r>
      <w:r w:rsidR="00A32944" w:rsidRPr="00732013">
        <w:rPr>
          <w:spacing w:val="5"/>
          <w:w w:val="104"/>
          <w:lang w:val="ru-RU"/>
        </w:rPr>
        <w:t>у было проведено</w:t>
      </w:r>
      <w:r w:rsidRPr="00732013">
        <w:rPr>
          <w:spacing w:val="5"/>
          <w:w w:val="104"/>
          <w:lang w:val="ru-RU"/>
        </w:rPr>
        <w:t xml:space="preserve"> 12</w:t>
      </w:r>
      <w:r w:rsidR="00CC5F39" w:rsidRPr="00732013">
        <w:rPr>
          <w:spacing w:val="5"/>
          <w:w w:val="104"/>
          <w:lang w:val="ru-RU"/>
        </w:rPr>
        <w:t> </w:t>
      </w:r>
      <w:r w:rsidR="00A32944" w:rsidRPr="00732013">
        <w:rPr>
          <w:spacing w:val="5"/>
          <w:w w:val="104"/>
          <w:lang w:val="ru-RU"/>
        </w:rPr>
        <w:t>семинаров и других</w:t>
      </w:r>
      <w:r w:rsidR="008A610A" w:rsidRPr="00732013">
        <w:rPr>
          <w:spacing w:val="5"/>
          <w:w w:val="104"/>
          <w:lang w:val="ru-RU"/>
        </w:rPr>
        <w:t xml:space="preserve"> мероприятий по вопросам равенства мужчин и женщин, на которых </w:t>
      </w:r>
      <w:r w:rsidR="003116A0" w:rsidRPr="00732013">
        <w:rPr>
          <w:spacing w:val="5"/>
          <w:w w:val="104"/>
          <w:lang w:val="ru-RU"/>
        </w:rPr>
        <w:t>обучение</w:t>
      </w:r>
      <w:r w:rsidR="008A610A" w:rsidRPr="00732013">
        <w:rPr>
          <w:spacing w:val="5"/>
          <w:w w:val="104"/>
          <w:lang w:val="ru-RU"/>
        </w:rPr>
        <w:t xml:space="preserve"> прошли 340</w:t>
      </w:r>
      <w:r w:rsidR="00CC5F39" w:rsidRPr="00732013">
        <w:rPr>
          <w:spacing w:val="5"/>
          <w:w w:val="104"/>
          <w:lang w:val="ru-RU"/>
        </w:rPr>
        <w:t> </w:t>
      </w:r>
      <w:r w:rsidR="008A610A" w:rsidRPr="00732013">
        <w:rPr>
          <w:spacing w:val="5"/>
          <w:w w:val="104"/>
          <w:lang w:val="ru-RU"/>
        </w:rPr>
        <w:t>человек. В</w:t>
      </w:r>
      <w:r w:rsidR="00CC5F39" w:rsidRPr="00732013">
        <w:rPr>
          <w:spacing w:val="5"/>
          <w:w w:val="104"/>
          <w:lang w:val="ru-RU"/>
        </w:rPr>
        <w:t> </w:t>
      </w:r>
      <w:r w:rsidR="008A610A" w:rsidRPr="00732013">
        <w:rPr>
          <w:spacing w:val="5"/>
          <w:w w:val="104"/>
          <w:lang w:val="ru-RU"/>
        </w:rPr>
        <w:t>первом квартале 2013</w:t>
      </w:r>
      <w:r w:rsidR="008055A1" w:rsidRPr="00732013">
        <w:rPr>
          <w:spacing w:val="5"/>
          <w:w w:val="104"/>
          <w:lang w:val="ru-RU"/>
        </w:rPr>
        <w:t> год</w:t>
      </w:r>
      <w:r w:rsidR="008A610A" w:rsidRPr="00732013">
        <w:rPr>
          <w:spacing w:val="5"/>
          <w:w w:val="104"/>
          <w:lang w:val="ru-RU"/>
        </w:rPr>
        <w:t xml:space="preserve">а </w:t>
      </w:r>
      <w:r w:rsidR="003116A0" w:rsidRPr="00732013">
        <w:rPr>
          <w:spacing w:val="5"/>
          <w:w w:val="104"/>
          <w:lang w:val="ru-RU"/>
        </w:rPr>
        <w:t>состоялось</w:t>
      </w:r>
      <w:r w:rsidRPr="00732013">
        <w:rPr>
          <w:spacing w:val="5"/>
          <w:w w:val="104"/>
          <w:lang w:val="ru-RU"/>
        </w:rPr>
        <w:t xml:space="preserve"> 11</w:t>
      </w:r>
      <w:r w:rsidR="00CC5F39" w:rsidRPr="00732013">
        <w:rPr>
          <w:spacing w:val="5"/>
          <w:w w:val="104"/>
          <w:lang w:val="ru-RU"/>
        </w:rPr>
        <w:t> </w:t>
      </w:r>
      <w:r w:rsidR="003116A0" w:rsidRPr="00732013">
        <w:rPr>
          <w:spacing w:val="5"/>
          <w:w w:val="104"/>
          <w:lang w:val="ru-RU"/>
        </w:rPr>
        <w:t xml:space="preserve">учебных и </w:t>
      </w:r>
      <w:r w:rsidR="00CC5F39" w:rsidRPr="00732013">
        <w:rPr>
          <w:spacing w:val="5"/>
          <w:w w:val="104"/>
          <w:lang w:val="ru-RU"/>
        </w:rPr>
        <w:t>друг</w:t>
      </w:r>
      <w:r w:rsidR="003116A0" w:rsidRPr="00732013">
        <w:rPr>
          <w:spacing w:val="5"/>
          <w:w w:val="104"/>
          <w:lang w:val="ru-RU"/>
        </w:rPr>
        <w:t xml:space="preserve">их мероприятий, на которых </w:t>
      </w:r>
      <w:r w:rsidR="00CC5F39" w:rsidRPr="00732013">
        <w:rPr>
          <w:spacing w:val="5"/>
          <w:w w:val="104"/>
          <w:lang w:val="ru-RU"/>
        </w:rPr>
        <w:t xml:space="preserve">подготовку прошли </w:t>
      </w:r>
      <w:r w:rsidRPr="00732013">
        <w:rPr>
          <w:spacing w:val="5"/>
          <w:w w:val="104"/>
          <w:lang w:val="ru-RU"/>
        </w:rPr>
        <w:t>346</w:t>
      </w:r>
      <w:r w:rsidR="00CC5F39" w:rsidRPr="00732013">
        <w:rPr>
          <w:spacing w:val="5"/>
          <w:w w:val="104"/>
          <w:lang w:val="ru-RU"/>
        </w:rPr>
        <w:t> </w:t>
      </w:r>
      <w:r w:rsidR="003116A0" w:rsidRPr="00732013">
        <w:rPr>
          <w:spacing w:val="5"/>
          <w:w w:val="104"/>
          <w:lang w:val="ru-RU"/>
        </w:rPr>
        <w:t>человек</w:t>
      </w:r>
      <w:r w:rsidRPr="00732013">
        <w:rPr>
          <w:spacing w:val="5"/>
          <w:w w:val="104"/>
          <w:lang w:val="ru-RU"/>
        </w:rPr>
        <w:t xml:space="preserve">. </w:t>
      </w:r>
      <w:r w:rsidR="00CC5F39" w:rsidRPr="00732013">
        <w:rPr>
          <w:spacing w:val="5"/>
          <w:w w:val="104"/>
          <w:lang w:val="ru-RU"/>
        </w:rPr>
        <w:t xml:space="preserve">Такого рода </w:t>
      </w:r>
      <w:r w:rsidR="00927A4F" w:rsidRPr="00732013">
        <w:rPr>
          <w:spacing w:val="5"/>
          <w:w w:val="104"/>
          <w:lang w:val="ru-RU"/>
        </w:rPr>
        <w:t>обучение</w:t>
      </w:r>
      <w:r w:rsidR="00CC5F39" w:rsidRPr="00732013">
        <w:rPr>
          <w:spacing w:val="5"/>
          <w:w w:val="104"/>
          <w:lang w:val="ru-RU"/>
        </w:rPr>
        <w:t>м</w:t>
      </w:r>
      <w:r w:rsidR="00927A4F" w:rsidRPr="00732013">
        <w:rPr>
          <w:spacing w:val="5"/>
          <w:w w:val="104"/>
          <w:lang w:val="ru-RU"/>
        </w:rPr>
        <w:t xml:space="preserve"> охватыва</w:t>
      </w:r>
      <w:r w:rsidR="00CC5F39" w:rsidRPr="00732013">
        <w:rPr>
          <w:spacing w:val="5"/>
          <w:w w:val="104"/>
          <w:lang w:val="ru-RU"/>
        </w:rPr>
        <w:t>ю</w:t>
      </w:r>
      <w:r w:rsidR="00927A4F" w:rsidRPr="00732013">
        <w:rPr>
          <w:spacing w:val="5"/>
          <w:w w:val="104"/>
          <w:lang w:val="ru-RU"/>
        </w:rPr>
        <w:t>т</w:t>
      </w:r>
      <w:r w:rsidR="00CC5F39" w:rsidRPr="00732013">
        <w:rPr>
          <w:spacing w:val="5"/>
          <w:w w:val="104"/>
          <w:lang w:val="ru-RU"/>
        </w:rPr>
        <w:t>ся</w:t>
      </w:r>
      <w:r w:rsidR="00927A4F" w:rsidRPr="00732013">
        <w:rPr>
          <w:spacing w:val="5"/>
          <w:w w:val="104"/>
          <w:lang w:val="ru-RU"/>
        </w:rPr>
        <w:t xml:space="preserve"> различные группы л</w:t>
      </w:r>
      <w:r w:rsidR="00CC5F39" w:rsidRPr="00732013">
        <w:rPr>
          <w:spacing w:val="5"/>
          <w:w w:val="104"/>
          <w:lang w:val="ru-RU"/>
        </w:rPr>
        <w:t xml:space="preserve">юдей, включая </w:t>
      </w:r>
      <w:r w:rsidR="00927A4F" w:rsidRPr="00732013">
        <w:rPr>
          <w:spacing w:val="5"/>
          <w:w w:val="104"/>
          <w:lang w:val="ru-RU"/>
        </w:rPr>
        <w:t xml:space="preserve">сотрудников государственных и муниципальных органов, персонал образовательных учреждений, </w:t>
      </w:r>
      <w:r w:rsidR="00CC5F39" w:rsidRPr="00732013">
        <w:rPr>
          <w:spacing w:val="5"/>
          <w:w w:val="104"/>
          <w:lang w:val="ru-RU"/>
        </w:rPr>
        <w:t xml:space="preserve">представителей </w:t>
      </w:r>
      <w:r w:rsidR="00CD3EF5" w:rsidRPr="00732013">
        <w:rPr>
          <w:spacing w:val="5"/>
          <w:w w:val="104"/>
          <w:lang w:val="ru-RU"/>
        </w:rPr>
        <w:t>СМИ</w:t>
      </w:r>
      <w:r w:rsidR="00927A4F" w:rsidRPr="00732013">
        <w:rPr>
          <w:spacing w:val="5"/>
          <w:w w:val="104"/>
          <w:lang w:val="ru-RU"/>
        </w:rPr>
        <w:t>, неправительственных организаций (НПО), социальных партнеров</w:t>
      </w:r>
      <w:r w:rsidR="00277E3F" w:rsidRPr="00732013">
        <w:rPr>
          <w:spacing w:val="5"/>
          <w:w w:val="104"/>
          <w:lang w:val="ru-RU"/>
        </w:rPr>
        <w:t>, членов сельских общин, учителей, лиц, стремящихся получить независимую профессию, пожилых людей и т.</w:t>
      </w:r>
      <w:r w:rsidR="00CC5F39" w:rsidRPr="00732013">
        <w:rPr>
          <w:spacing w:val="5"/>
          <w:w w:val="104"/>
          <w:lang w:val="ru-RU"/>
        </w:rPr>
        <w:t> </w:t>
      </w:r>
      <w:r w:rsidR="00277E3F" w:rsidRPr="00732013">
        <w:rPr>
          <w:spacing w:val="5"/>
          <w:w w:val="104"/>
          <w:lang w:val="ru-RU"/>
        </w:rPr>
        <w:t>д</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24.</w:t>
      </w:r>
      <w:r w:rsidRPr="00732013">
        <w:rPr>
          <w:spacing w:val="5"/>
          <w:w w:val="104"/>
          <w:lang w:val="ru-RU"/>
        </w:rPr>
        <w:tab/>
      </w:r>
      <w:r w:rsidR="009B2B87" w:rsidRPr="00732013">
        <w:rPr>
          <w:spacing w:val="5"/>
          <w:w w:val="104"/>
          <w:lang w:val="ru-RU"/>
        </w:rPr>
        <w:t xml:space="preserve">Качественные изменения в положении мужчин и женщин, равно как и </w:t>
      </w:r>
      <w:r w:rsidR="00EE5580" w:rsidRPr="00732013">
        <w:rPr>
          <w:spacing w:val="5"/>
          <w:w w:val="104"/>
          <w:lang w:val="ru-RU"/>
        </w:rPr>
        <w:t>подвижки в соответствующих областях Программы будут рассматриваться</w:t>
      </w:r>
      <w:r w:rsidR="009F0AF0" w:rsidRPr="00732013">
        <w:rPr>
          <w:spacing w:val="5"/>
          <w:w w:val="104"/>
          <w:lang w:val="ru-RU"/>
        </w:rPr>
        <w:t xml:space="preserve"> </w:t>
      </w:r>
      <w:r w:rsidR="00EE5580" w:rsidRPr="00732013">
        <w:rPr>
          <w:spacing w:val="5"/>
          <w:w w:val="104"/>
          <w:lang w:val="ru-RU"/>
        </w:rPr>
        <w:t>в</w:t>
      </w:r>
      <w:r w:rsidRPr="00732013">
        <w:rPr>
          <w:spacing w:val="5"/>
          <w:w w:val="104"/>
          <w:lang w:val="ru-RU"/>
        </w:rPr>
        <w:t xml:space="preserve"> 2014</w:t>
      </w:r>
      <w:r w:rsidR="008055A1" w:rsidRPr="00732013">
        <w:rPr>
          <w:spacing w:val="5"/>
          <w:w w:val="104"/>
          <w:lang w:val="ru-RU"/>
        </w:rPr>
        <w:t> год</w:t>
      </w:r>
      <w:r w:rsidR="00EE5580" w:rsidRPr="00732013">
        <w:rPr>
          <w:spacing w:val="5"/>
          <w:w w:val="104"/>
          <w:lang w:val="ru-RU"/>
        </w:rPr>
        <w:t xml:space="preserve">у в рамках расширенной </w:t>
      </w:r>
      <w:r w:rsidR="001674CB" w:rsidRPr="00732013">
        <w:rPr>
          <w:spacing w:val="5"/>
          <w:w w:val="104"/>
          <w:lang w:val="ru-RU"/>
        </w:rPr>
        <w:t>сравн</w:t>
      </w:r>
      <w:r w:rsidR="00EE5580" w:rsidRPr="00732013">
        <w:rPr>
          <w:spacing w:val="5"/>
          <w:w w:val="104"/>
          <w:lang w:val="ru-RU"/>
        </w:rPr>
        <w:t>и</w:t>
      </w:r>
      <w:r w:rsidR="001674CB" w:rsidRPr="00732013">
        <w:rPr>
          <w:spacing w:val="5"/>
          <w:w w:val="104"/>
          <w:lang w:val="ru-RU"/>
        </w:rPr>
        <w:t>тель</w:t>
      </w:r>
      <w:r w:rsidR="00EE5580" w:rsidRPr="00732013">
        <w:rPr>
          <w:spacing w:val="5"/>
          <w:w w:val="104"/>
          <w:lang w:val="ru-RU"/>
        </w:rPr>
        <w:t>ной оценки воздействия Программы.</w:t>
      </w:r>
      <w:r w:rsidR="002409A0" w:rsidRPr="00732013">
        <w:rPr>
          <w:spacing w:val="5"/>
          <w:w w:val="104"/>
          <w:lang w:val="ru-RU"/>
        </w:rPr>
        <w:t xml:space="preserve"> Данную оценку будут проводить независимые эксперты. Выводы и рекомендации, сделанные в ходе оценки воздействия, будут учтены при разработке новой</w:t>
      </w:r>
      <w:r w:rsidR="00D10BAF" w:rsidRPr="00732013">
        <w:rPr>
          <w:spacing w:val="5"/>
          <w:w w:val="104"/>
          <w:lang w:val="ru-RU"/>
        </w:rPr>
        <w:t xml:space="preserve"> Национальной программы по вопросам гендерного равенства </w:t>
      </w:r>
      <w:r w:rsidR="009138B7" w:rsidRPr="00732013">
        <w:rPr>
          <w:spacing w:val="5"/>
          <w:w w:val="104"/>
          <w:lang w:val="ru-RU"/>
        </w:rPr>
        <w:t xml:space="preserve">мужчин </w:t>
      </w:r>
      <w:r w:rsidR="00D10BAF" w:rsidRPr="00732013">
        <w:rPr>
          <w:spacing w:val="5"/>
          <w:w w:val="104"/>
          <w:lang w:val="ru-RU"/>
        </w:rPr>
        <w:t xml:space="preserve">и </w:t>
      </w:r>
      <w:r w:rsidR="009138B7" w:rsidRPr="00732013">
        <w:rPr>
          <w:spacing w:val="5"/>
          <w:w w:val="104"/>
          <w:lang w:val="ru-RU"/>
        </w:rPr>
        <w:t>женщин</w:t>
      </w:r>
      <w:r w:rsidR="009138B7" w:rsidRPr="00732013" w:rsidDel="009138B7">
        <w:rPr>
          <w:spacing w:val="5"/>
          <w:w w:val="104"/>
          <w:lang w:val="ru-RU"/>
        </w:rPr>
        <w:t xml:space="preserve"> </w:t>
      </w:r>
      <w:r w:rsidR="00D10BAF" w:rsidRPr="00732013">
        <w:rPr>
          <w:spacing w:val="5"/>
          <w:w w:val="104"/>
          <w:lang w:val="ru-RU"/>
        </w:rPr>
        <w:t>на 2015–2020</w:t>
      </w:r>
      <w:r w:rsidR="008055A1" w:rsidRPr="00732013">
        <w:rPr>
          <w:spacing w:val="5"/>
          <w:w w:val="104"/>
          <w:lang w:val="ru-RU"/>
        </w:rPr>
        <w:t> год</w:t>
      </w:r>
      <w:r w:rsidR="00D10BAF" w:rsidRPr="00732013">
        <w:rPr>
          <w:spacing w:val="5"/>
          <w:w w:val="104"/>
          <w:lang w:val="ru-RU"/>
        </w:rPr>
        <w:t>ы</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25.</w:t>
      </w:r>
      <w:r w:rsidRPr="00732013">
        <w:rPr>
          <w:spacing w:val="5"/>
          <w:w w:val="104"/>
          <w:lang w:val="ru-RU"/>
        </w:rPr>
        <w:tab/>
      </w:r>
      <w:r w:rsidR="00D10BAF" w:rsidRPr="00732013">
        <w:rPr>
          <w:spacing w:val="5"/>
          <w:w w:val="104"/>
          <w:lang w:val="ru-RU"/>
        </w:rPr>
        <w:t>Ввиду того что за осуществление Программы отвечают все министерства, выделение людских ресурсов не планируется</w:t>
      </w:r>
      <w:r w:rsidRPr="00732013">
        <w:rPr>
          <w:spacing w:val="5"/>
          <w:w w:val="104"/>
          <w:lang w:val="ru-RU"/>
        </w:rPr>
        <w:t xml:space="preserve">. </w:t>
      </w:r>
      <w:r w:rsidR="00EC2523" w:rsidRPr="00732013">
        <w:rPr>
          <w:spacing w:val="5"/>
          <w:w w:val="104"/>
          <w:lang w:val="ru-RU"/>
        </w:rPr>
        <w:t xml:space="preserve">Государственные бюджетные ассигнования на </w:t>
      </w:r>
      <w:r w:rsidR="00EC2523" w:rsidRPr="00732013">
        <w:rPr>
          <w:spacing w:val="5"/>
          <w:w w:val="104"/>
        </w:rPr>
        <w:t>осуществление</w:t>
      </w:r>
      <w:r w:rsidR="00EC2523" w:rsidRPr="00732013">
        <w:rPr>
          <w:spacing w:val="5"/>
          <w:w w:val="104"/>
          <w:lang w:val="ru-RU"/>
        </w:rPr>
        <w:t xml:space="preserve"> мер в рамках Программы за пятилетний период</w:t>
      </w:r>
      <w:r w:rsidRPr="00732013">
        <w:rPr>
          <w:spacing w:val="5"/>
          <w:w w:val="104"/>
          <w:lang w:val="ru-RU"/>
        </w:rPr>
        <w:t xml:space="preserve"> (2010–2014</w:t>
      </w:r>
      <w:r w:rsidR="008055A1" w:rsidRPr="00732013">
        <w:rPr>
          <w:spacing w:val="5"/>
          <w:w w:val="104"/>
          <w:lang w:val="ru-RU"/>
        </w:rPr>
        <w:t> год</w:t>
      </w:r>
      <w:r w:rsidR="003C0BB6" w:rsidRPr="00732013">
        <w:rPr>
          <w:spacing w:val="5"/>
          <w:w w:val="104"/>
          <w:lang w:val="ru-RU"/>
        </w:rPr>
        <w:t>ы</w:t>
      </w:r>
      <w:r w:rsidRPr="00732013">
        <w:rPr>
          <w:spacing w:val="5"/>
          <w:w w:val="104"/>
          <w:lang w:val="ru-RU"/>
        </w:rPr>
        <w:t xml:space="preserve">) </w:t>
      </w:r>
      <w:r w:rsidR="003C0BB6" w:rsidRPr="00732013">
        <w:rPr>
          <w:spacing w:val="5"/>
          <w:w w:val="104"/>
          <w:lang w:val="ru-RU"/>
        </w:rPr>
        <w:t xml:space="preserve">составили </w:t>
      </w:r>
      <w:r w:rsidR="002378D8" w:rsidRPr="00732013">
        <w:rPr>
          <w:spacing w:val="5"/>
          <w:w w:val="104"/>
          <w:lang w:val="ru-RU"/>
        </w:rPr>
        <w:t>929 </w:t>
      </w:r>
      <w:r w:rsidR="001674CB" w:rsidRPr="00732013">
        <w:rPr>
          <w:spacing w:val="5"/>
          <w:w w:val="104"/>
          <w:lang w:val="ru-RU"/>
        </w:rPr>
        <w:t>тыс.</w:t>
      </w:r>
      <w:r w:rsidR="002378D8" w:rsidRPr="00732013">
        <w:rPr>
          <w:spacing w:val="5"/>
          <w:w w:val="104"/>
          <w:lang w:val="ru-RU"/>
        </w:rPr>
        <w:t xml:space="preserve"> литовских литов</w:t>
      </w:r>
      <w:r w:rsidRPr="00732013">
        <w:rPr>
          <w:spacing w:val="5"/>
          <w:w w:val="104"/>
          <w:lang w:val="ru-RU"/>
        </w:rPr>
        <w:t xml:space="preserve">, </w:t>
      </w:r>
      <w:r w:rsidR="002378D8" w:rsidRPr="00732013">
        <w:rPr>
          <w:spacing w:val="5"/>
          <w:w w:val="104"/>
          <w:lang w:val="ru-RU"/>
        </w:rPr>
        <w:t>в том числе</w:t>
      </w:r>
      <w:r w:rsidRPr="00732013">
        <w:rPr>
          <w:spacing w:val="5"/>
          <w:w w:val="104"/>
          <w:lang w:val="ru-RU"/>
        </w:rPr>
        <w:t xml:space="preserve"> </w:t>
      </w:r>
      <w:r w:rsidR="002378D8" w:rsidRPr="00732013">
        <w:rPr>
          <w:spacing w:val="5"/>
          <w:w w:val="104"/>
          <w:lang w:val="ru-RU"/>
        </w:rPr>
        <w:t>в 2010</w:t>
      </w:r>
      <w:r w:rsidR="008055A1" w:rsidRPr="00732013">
        <w:rPr>
          <w:spacing w:val="5"/>
          <w:w w:val="104"/>
          <w:lang w:val="ru-RU"/>
        </w:rPr>
        <w:t> год</w:t>
      </w:r>
      <w:r w:rsidR="002378D8" w:rsidRPr="00732013">
        <w:rPr>
          <w:spacing w:val="5"/>
          <w:w w:val="104"/>
          <w:lang w:val="ru-RU"/>
        </w:rPr>
        <w:t>у – 53 </w:t>
      </w:r>
      <w:r w:rsidR="001674CB" w:rsidRPr="00732013">
        <w:rPr>
          <w:spacing w:val="5"/>
          <w:w w:val="104"/>
          <w:lang w:val="ru-RU"/>
        </w:rPr>
        <w:t>тыс.</w:t>
      </w:r>
      <w:r w:rsidR="002378D8" w:rsidRPr="00732013">
        <w:rPr>
          <w:spacing w:val="5"/>
          <w:w w:val="104"/>
          <w:lang w:val="ru-RU"/>
        </w:rPr>
        <w:t xml:space="preserve"> литовских литов</w:t>
      </w:r>
      <w:r w:rsidR="00E432C8" w:rsidRPr="00732013">
        <w:rPr>
          <w:spacing w:val="5"/>
          <w:w w:val="104"/>
          <w:lang w:val="ru-RU"/>
        </w:rPr>
        <w:t>,</w:t>
      </w:r>
      <w:r w:rsidRPr="00732013">
        <w:rPr>
          <w:spacing w:val="5"/>
          <w:w w:val="104"/>
          <w:lang w:val="ru-RU"/>
        </w:rPr>
        <w:t xml:space="preserve"> </w:t>
      </w:r>
      <w:r w:rsidR="002378D8" w:rsidRPr="00732013">
        <w:rPr>
          <w:spacing w:val="5"/>
          <w:w w:val="104"/>
          <w:lang w:val="ru-RU"/>
        </w:rPr>
        <w:t>в</w:t>
      </w:r>
      <w:r w:rsidRPr="00732013">
        <w:rPr>
          <w:spacing w:val="5"/>
          <w:w w:val="104"/>
          <w:lang w:val="ru-RU"/>
        </w:rPr>
        <w:t xml:space="preserve"> 2011</w:t>
      </w:r>
      <w:r w:rsidR="008055A1" w:rsidRPr="00732013">
        <w:rPr>
          <w:spacing w:val="5"/>
          <w:w w:val="104"/>
          <w:lang w:val="ru-RU"/>
        </w:rPr>
        <w:t> год</w:t>
      </w:r>
      <w:r w:rsidR="002378D8" w:rsidRPr="00732013">
        <w:rPr>
          <w:spacing w:val="5"/>
          <w:w w:val="104"/>
          <w:lang w:val="ru-RU"/>
        </w:rPr>
        <w:t>у – 184</w:t>
      </w:r>
      <w:r w:rsidR="001674CB" w:rsidRPr="00732013">
        <w:rPr>
          <w:spacing w:val="5"/>
          <w:w w:val="104"/>
          <w:lang w:val="ru-RU"/>
        </w:rPr>
        <w:t> тыс.</w:t>
      </w:r>
      <w:r w:rsidR="00E432C8" w:rsidRPr="00732013">
        <w:rPr>
          <w:spacing w:val="5"/>
          <w:w w:val="104"/>
          <w:lang w:val="ru-RU"/>
        </w:rPr>
        <w:t>,</w:t>
      </w:r>
      <w:r w:rsidRPr="00732013">
        <w:rPr>
          <w:spacing w:val="5"/>
          <w:w w:val="104"/>
          <w:lang w:val="ru-RU"/>
        </w:rPr>
        <w:t xml:space="preserve"> </w:t>
      </w:r>
      <w:r w:rsidR="002378D8" w:rsidRPr="00732013">
        <w:rPr>
          <w:spacing w:val="5"/>
          <w:w w:val="104"/>
          <w:lang w:val="ru-RU"/>
        </w:rPr>
        <w:t>в</w:t>
      </w:r>
      <w:r w:rsidRPr="00732013">
        <w:rPr>
          <w:spacing w:val="5"/>
          <w:w w:val="104"/>
          <w:lang w:val="ru-RU"/>
        </w:rPr>
        <w:t xml:space="preserve"> 2012</w:t>
      </w:r>
      <w:r w:rsidR="008055A1" w:rsidRPr="00732013">
        <w:rPr>
          <w:spacing w:val="5"/>
          <w:w w:val="104"/>
          <w:lang w:val="ru-RU"/>
        </w:rPr>
        <w:t> год</w:t>
      </w:r>
      <w:r w:rsidR="002378D8" w:rsidRPr="00732013">
        <w:rPr>
          <w:spacing w:val="5"/>
          <w:w w:val="104"/>
          <w:lang w:val="ru-RU"/>
        </w:rPr>
        <w:t>у – 239 </w:t>
      </w:r>
      <w:r w:rsidR="001674CB" w:rsidRPr="00732013">
        <w:rPr>
          <w:spacing w:val="5"/>
          <w:w w:val="104"/>
          <w:lang w:val="ru-RU"/>
        </w:rPr>
        <w:t>тыс.</w:t>
      </w:r>
      <w:r w:rsidR="00E432C8" w:rsidRPr="00732013">
        <w:rPr>
          <w:spacing w:val="5"/>
          <w:w w:val="104"/>
          <w:lang w:val="ru-RU"/>
        </w:rPr>
        <w:t>,</w:t>
      </w:r>
      <w:r w:rsidRPr="00732013">
        <w:rPr>
          <w:spacing w:val="5"/>
          <w:w w:val="104"/>
          <w:lang w:val="ru-RU"/>
        </w:rPr>
        <w:t xml:space="preserve"> </w:t>
      </w:r>
      <w:r w:rsidR="002378D8" w:rsidRPr="00732013">
        <w:rPr>
          <w:spacing w:val="5"/>
          <w:w w:val="104"/>
          <w:lang w:val="ru-RU"/>
        </w:rPr>
        <w:t>в</w:t>
      </w:r>
      <w:r w:rsidRPr="00732013">
        <w:rPr>
          <w:spacing w:val="5"/>
          <w:w w:val="104"/>
          <w:lang w:val="ru-RU"/>
        </w:rPr>
        <w:t xml:space="preserve"> 2013</w:t>
      </w:r>
      <w:r w:rsidR="008055A1" w:rsidRPr="00732013">
        <w:rPr>
          <w:spacing w:val="5"/>
          <w:w w:val="104"/>
          <w:lang w:val="ru-RU"/>
        </w:rPr>
        <w:t> год</w:t>
      </w:r>
      <w:r w:rsidR="002378D8" w:rsidRPr="00732013">
        <w:rPr>
          <w:spacing w:val="5"/>
          <w:w w:val="104"/>
          <w:lang w:val="ru-RU"/>
        </w:rPr>
        <w:t>у – 216 </w:t>
      </w:r>
      <w:r w:rsidR="001674CB" w:rsidRPr="00732013">
        <w:rPr>
          <w:spacing w:val="5"/>
          <w:w w:val="104"/>
          <w:lang w:val="ru-RU"/>
        </w:rPr>
        <w:t>тыс.</w:t>
      </w:r>
      <w:r w:rsidR="002378D8" w:rsidRPr="00732013">
        <w:rPr>
          <w:spacing w:val="5"/>
          <w:w w:val="104"/>
          <w:lang w:val="ru-RU"/>
        </w:rPr>
        <w:t xml:space="preserve"> </w:t>
      </w:r>
      <w:r w:rsidR="00E432C8" w:rsidRPr="00732013">
        <w:rPr>
          <w:spacing w:val="5"/>
          <w:w w:val="104"/>
          <w:lang w:val="ru-RU"/>
        </w:rPr>
        <w:t>и в</w:t>
      </w:r>
      <w:r w:rsidRPr="00732013">
        <w:rPr>
          <w:spacing w:val="5"/>
          <w:w w:val="104"/>
          <w:lang w:val="ru-RU"/>
        </w:rPr>
        <w:t xml:space="preserve"> 2014</w:t>
      </w:r>
      <w:r w:rsidR="008055A1" w:rsidRPr="00732013">
        <w:rPr>
          <w:spacing w:val="5"/>
          <w:w w:val="104"/>
          <w:lang w:val="ru-RU"/>
        </w:rPr>
        <w:t> год</w:t>
      </w:r>
      <w:r w:rsidR="00E432C8" w:rsidRPr="00732013">
        <w:rPr>
          <w:spacing w:val="5"/>
          <w:w w:val="104"/>
          <w:lang w:val="ru-RU"/>
        </w:rPr>
        <w:t>у – 236</w:t>
      </w:r>
      <w:r w:rsidR="001674CB" w:rsidRPr="00732013">
        <w:rPr>
          <w:spacing w:val="5"/>
          <w:w w:val="104"/>
          <w:lang w:val="ru-RU"/>
        </w:rPr>
        <w:t> тыс.</w:t>
      </w:r>
      <w:r w:rsidR="00E432C8" w:rsidRPr="00732013">
        <w:rPr>
          <w:spacing w:val="5"/>
          <w:w w:val="104"/>
          <w:lang w:val="ru-RU"/>
        </w:rPr>
        <w:t xml:space="preserve"> литовских литов</w:t>
      </w:r>
      <w:r w:rsidRPr="00732013">
        <w:rPr>
          <w:spacing w:val="5"/>
          <w:w w:val="104"/>
          <w:lang w:val="ru-RU"/>
        </w:rPr>
        <w:t>.</w:t>
      </w:r>
    </w:p>
    <w:p w:rsidR="00866E29" w:rsidRPr="00732013" w:rsidRDefault="00E432C8" w:rsidP="00732013">
      <w:pPr>
        <w:pStyle w:val="H1"/>
        <w:spacing w:before="0" w:line="240" w:lineRule="exact"/>
        <w:ind w:right="1267"/>
        <w:rPr>
          <w:spacing w:val="5"/>
          <w:w w:val="104"/>
        </w:rPr>
      </w:pPr>
      <w:r w:rsidRPr="00732013">
        <w:rPr>
          <w:spacing w:val="5"/>
          <w:w w:val="104"/>
        </w:rPr>
        <w:t>Временные специальные меры</w:t>
      </w:r>
    </w:p>
    <w:p w:rsidR="00866E29" w:rsidRPr="00732013" w:rsidRDefault="00E432C8" w:rsidP="00732013">
      <w:pPr>
        <w:pStyle w:val="H23G"/>
        <w:spacing w:before="0"/>
        <w:ind w:right="1267"/>
        <w:rPr>
          <w:spacing w:val="5"/>
          <w:w w:val="104"/>
          <w:lang w:val="en-US"/>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пункту</w:t>
      </w:r>
      <w:r w:rsidR="00866E29" w:rsidRPr="00732013">
        <w:rPr>
          <w:spacing w:val="5"/>
          <w:w w:val="104"/>
          <w:lang w:val="en-US"/>
        </w:rPr>
        <w:t xml:space="preserve"> 6</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26.</w:t>
      </w:r>
      <w:r w:rsidRPr="00732013">
        <w:rPr>
          <w:spacing w:val="5"/>
          <w:w w:val="104"/>
          <w:lang w:val="ru-RU"/>
        </w:rPr>
        <w:tab/>
      </w:r>
      <w:r w:rsidR="00A728E3" w:rsidRPr="00732013">
        <w:rPr>
          <w:spacing w:val="5"/>
          <w:w w:val="104"/>
          <w:lang w:val="ru-RU"/>
        </w:rPr>
        <w:t>В</w:t>
      </w:r>
      <w:r w:rsidR="00BF775D" w:rsidRPr="00732013">
        <w:rPr>
          <w:spacing w:val="5"/>
          <w:w w:val="104"/>
          <w:lang w:val="ru-RU"/>
        </w:rPr>
        <w:t xml:space="preserve"> ходе осуществления мер в рамках программы Канцелярия </w:t>
      </w:r>
      <w:r w:rsidR="002342C2" w:rsidRPr="00732013">
        <w:rPr>
          <w:spacing w:val="5"/>
          <w:w w:val="104"/>
          <w:lang w:val="ru-RU"/>
        </w:rPr>
        <w:t xml:space="preserve">Омбудсмена </w:t>
      </w:r>
      <w:r w:rsidR="00BF775D" w:rsidRPr="00732013">
        <w:rPr>
          <w:spacing w:val="5"/>
          <w:w w:val="104"/>
          <w:lang w:val="ru-RU"/>
        </w:rPr>
        <w:t>по вопросам равных возможностей разработала и в 2012</w:t>
      </w:r>
      <w:r w:rsidR="008055A1" w:rsidRPr="00732013">
        <w:rPr>
          <w:spacing w:val="5"/>
          <w:w w:val="104"/>
          <w:lang w:val="ru-RU"/>
        </w:rPr>
        <w:t> год</w:t>
      </w:r>
      <w:r w:rsidR="00BF775D" w:rsidRPr="00732013">
        <w:rPr>
          <w:spacing w:val="5"/>
          <w:w w:val="104"/>
          <w:lang w:val="ru-RU"/>
        </w:rPr>
        <w:t>у опубликовала рекомендации по применению временных специальных мер</w:t>
      </w:r>
      <w:r w:rsidR="00BF04B9" w:rsidRPr="00732013">
        <w:rPr>
          <w:rStyle w:val="FootnoteReference"/>
          <w:spacing w:val="5"/>
          <w:w w:val="104"/>
          <w:sz w:val="20"/>
        </w:rPr>
        <w:footnoteReference w:id="13"/>
      </w:r>
      <w:r w:rsidR="00091C1A" w:rsidRPr="00732013">
        <w:rPr>
          <w:spacing w:val="5"/>
          <w:w w:val="104"/>
          <w:lang w:val="ru-RU"/>
        </w:rPr>
        <w:t>.</w:t>
      </w:r>
      <w:r w:rsidRPr="00732013">
        <w:rPr>
          <w:spacing w:val="5"/>
          <w:w w:val="104"/>
          <w:lang w:val="ru-RU"/>
        </w:rPr>
        <w:t xml:space="preserve"> </w:t>
      </w:r>
      <w:r w:rsidR="005B3DD1" w:rsidRPr="00732013">
        <w:rPr>
          <w:spacing w:val="5"/>
          <w:w w:val="104"/>
          <w:lang w:val="ru-RU"/>
        </w:rPr>
        <w:t xml:space="preserve">В </w:t>
      </w:r>
      <w:r w:rsidR="00091C1A" w:rsidRPr="00732013">
        <w:rPr>
          <w:spacing w:val="5"/>
          <w:w w:val="104"/>
          <w:lang w:val="ru-RU"/>
        </w:rPr>
        <w:t xml:space="preserve">данной </w:t>
      </w:r>
      <w:r w:rsidR="005B3DD1" w:rsidRPr="00732013">
        <w:rPr>
          <w:spacing w:val="5"/>
          <w:w w:val="104"/>
          <w:lang w:val="ru-RU"/>
        </w:rPr>
        <w:t xml:space="preserve">публикации </w:t>
      </w:r>
      <w:r w:rsidR="00A728E3" w:rsidRPr="00732013">
        <w:rPr>
          <w:spacing w:val="5"/>
          <w:w w:val="104"/>
          <w:lang w:val="ru-RU"/>
        </w:rPr>
        <w:t>представлены</w:t>
      </w:r>
      <w:r w:rsidR="005B3DD1" w:rsidRPr="00732013">
        <w:rPr>
          <w:spacing w:val="5"/>
          <w:w w:val="104"/>
          <w:lang w:val="ru-RU"/>
        </w:rPr>
        <w:t xml:space="preserve"> общие понятия, даны примеры применения</w:t>
      </w:r>
      <w:r w:rsidR="00A728E3" w:rsidRPr="00732013">
        <w:rPr>
          <w:spacing w:val="5"/>
          <w:w w:val="104"/>
          <w:lang w:val="ru-RU"/>
        </w:rPr>
        <w:t xml:space="preserve"> временных специальных мер и изложены </w:t>
      </w:r>
      <w:r w:rsidR="002C409B" w:rsidRPr="00732013">
        <w:rPr>
          <w:spacing w:val="5"/>
          <w:w w:val="104"/>
          <w:lang w:val="ru-RU"/>
        </w:rPr>
        <w:t xml:space="preserve">способы применения данного </w:t>
      </w:r>
      <w:r w:rsidR="002C409B" w:rsidRPr="00732013">
        <w:rPr>
          <w:spacing w:val="5"/>
          <w:w w:val="104"/>
        </w:rPr>
        <w:t>инструмента</w:t>
      </w:r>
      <w:r w:rsidR="002C409B" w:rsidRPr="00732013">
        <w:rPr>
          <w:spacing w:val="5"/>
          <w:w w:val="104"/>
          <w:lang w:val="ru-RU"/>
        </w:rPr>
        <w:t xml:space="preserve"> для содействия гендерному равенству в Литве. </w:t>
      </w:r>
      <w:r w:rsidR="00091C1A" w:rsidRPr="00732013">
        <w:rPr>
          <w:spacing w:val="5"/>
          <w:w w:val="104"/>
          <w:lang w:val="ru-RU"/>
        </w:rPr>
        <w:t xml:space="preserve">Как вышеупомянутые </w:t>
      </w:r>
      <w:r w:rsidR="002C409B" w:rsidRPr="00732013">
        <w:rPr>
          <w:spacing w:val="5"/>
          <w:w w:val="104"/>
          <w:lang w:val="ru-RU"/>
        </w:rPr>
        <w:t>рекомендации</w:t>
      </w:r>
      <w:r w:rsidR="00091C1A" w:rsidRPr="00732013">
        <w:rPr>
          <w:spacing w:val="5"/>
          <w:w w:val="104"/>
          <w:lang w:val="ru-RU"/>
        </w:rPr>
        <w:t>, так</w:t>
      </w:r>
      <w:r w:rsidR="002C409B" w:rsidRPr="00732013">
        <w:rPr>
          <w:spacing w:val="5"/>
          <w:w w:val="104"/>
          <w:lang w:val="ru-RU"/>
        </w:rPr>
        <w:t xml:space="preserve"> и конкретные особенности их применения </w:t>
      </w:r>
      <w:r w:rsidR="00C2286C" w:rsidRPr="00732013">
        <w:rPr>
          <w:spacing w:val="5"/>
          <w:w w:val="104"/>
          <w:lang w:val="ru-RU"/>
        </w:rPr>
        <w:t>обсуждаются в ходе учебных занятий,</w:t>
      </w:r>
      <w:r w:rsidR="00091C1A" w:rsidRPr="00732013">
        <w:rPr>
          <w:spacing w:val="5"/>
          <w:w w:val="104"/>
          <w:lang w:val="ru-RU"/>
        </w:rPr>
        <w:t xml:space="preserve"> о которых говорится </w:t>
      </w:r>
      <w:r w:rsidR="00C2286C" w:rsidRPr="00732013">
        <w:rPr>
          <w:spacing w:val="5"/>
          <w:w w:val="104"/>
          <w:lang w:val="ru-RU"/>
        </w:rPr>
        <w:t>в пункте</w:t>
      </w:r>
      <w:r w:rsidR="00091C1A" w:rsidRPr="00732013">
        <w:rPr>
          <w:spacing w:val="5"/>
          <w:w w:val="104"/>
          <w:lang w:val="ru-RU"/>
        </w:rPr>
        <w:t> </w:t>
      </w:r>
      <w:r w:rsidR="00C2286C" w:rsidRPr="00732013">
        <w:rPr>
          <w:spacing w:val="5"/>
          <w:w w:val="104"/>
          <w:lang w:val="ru-RU"/>
        </w:rPr>
        <w:t>22,</w:t>
      </w:r>
      <w:r w:rsidR="00D07690" w:rsidRPr="00732013">
        <w:rPr>
          <w:spacing w:val="5"/>
          <w:w w:val="104"/>
          <w:lang w:val="ru-RU"/>
        </w:rPr>
        <w:t xml:space="preserve"> при участии сотрудников муниципалитетов и социальных партнеров</w:t>
      </w:r>
      <w:r w:rsidRPr="00732013">
        <w:rPr>
          <w:spacing w:val="5"/>
          <w:w w:val="104"/>
          <w:lang w:val="ru-RU"/>
        </w:rPr>
        <w:t>.</w:t>
      </w:r>
    </w:p>
    <w:p w:rsidR="00866E29" w:rsidRPr="00732013" w:rsidRDefault="00866E29" w:rsidP="00732013">
      <w:pPr>
        <w:pStyle w:val="SingleTxtG"/>
        <w:spacing w:line="240" w:lineRule="exact"/>
        <w:ind w:right="1267"/>
        <w:rPr>
          <w:b/>
          <w:bCs/>
          <w:spacing w:val="5"/>
          <w:w w:val="104"/>
          <w:lang w:val="ru-RU"/>
        </w:rPr>
      </w:pPr>
      <w:r w:rsidRPr="00732013">
        <w:rPr>
          <w:spacing w:val="5"/>
          <w:w w:val="104"/>
          <w:lang w:val="ru-RU"/>
        </w:rPr>
        <w:t>27.</w:t>
      </w:r>
      <w:r w:rsidRPr="00732013">
        <w:rPr>
          <w:spacing w:val="5"/>
          <w:w w:val="104"/>
          <w:lang w:val="ru-RU"/>
        </w:rPr>
        <w:tab/>
      </w:r>
      <w:r w:rsidR="00741BCD" w:rsidRPr="00732013">
        <w:rPr>
          <w:spacing w:val="5"/>
          <w:w w:val="104"/>
          <w:lang w:val="ru-RU"/>
        </w:rPr>
        <w:t xml:space="preserve">Еще одним приоритетом во время председательства Литвы в Совете ЕС </w:t>
      </w:r>
      <w:r w:rsidR="00480197" w:rsidRPr="00732013">
        <w:rPr>
          <w:spacing w:val="5"/>
          <w:w w:val="104"/>
          <w:lang w:val="ru-RU"/>
        </w:rPr>
        <w:t>стал</w:t>
      </w:r>
      <w:r w:rsidR="00741BCD" w:rsidRPr="00732013">
        <w:rPr>
          <w:spacing w:val="5"/>
          <w:w w:val="104"/>
          <w:lang w:val="ru-RU"/>
        </w:rPr>
        <w:t xml:space="preserve"> г</w:t>
      </w:r>
      <w:r w:rsidR="00480197" w:rsidRPr="00732013">
        <w:rPr>
          <w:spacing w:val="5"/>
          <w:w w:val="104"/>
          <w:lang w:val="ru-RU"/>
        </w:rPr>
        <w:t xml:space="preserve">ендерный </w:t>
      </w:r>
      <w:r w:rsidR="00F55DB1" w:rsidRPr="00732013">
        <w:rPr>
          <w:spacing w:val="5"/>
          <w:w w:val="104"/>
          <w:lang w:val="ru-RU"/>
        </w:rPr>
        <w:t>баланс на уровне принятия экономических решений</w:t>
      </w:r>
      <w:r w:rsidR="00741BCD" w:rsidRPr="00732013">
        <w:rPr>
          <w:spacing w:val="5"/>
          <w:w w:val="104"/>
          <w:lang w:val="ru-RU"/>
        </w:rPr>
        <w:t xml:space="preserve">. В период </w:t>
      </w:r>
      <w:r w:rsidR="00091C1A" w:rsidRPr="00732013">
        <w:rPr>
          <w:spacing w:val="5"/>
          <w:w w:val="104"/>
          <w:lang w:val="ru-RU"/>
        </w:rPr>
        <w:t xml:space="preserve">своего </w:t>
      </w:r>
      <w:r w:rsidR="00741BCD" w:rsidRPr="00732013">
        <w:rPr>
          <w:spacing w:val="5"/>
          <w:w w:val="104"/>
          <w:lang w:val="ru-RU"/>
        </w:rPr>
        <w:t>председательства Литва предприняла активные шаги к установлению временных специальных мер</w:t>
      </w:r>
      <w:r w:rsidR="00D755BC" w:rsidRPr="00732013">
        <w:rPr>
          <w:spacing w:val="5"/>
          <w:w w:val="104"/>
          <w:lang w:val="ru-RU"/>
        </w:rPr>
        <w:t xml:space="preserve"> в сфере</w:t>
      </w:r>
      <w:r w:rsidR="00B82B35" w:rsidRPr="00732013">
        <w:rPr>
          <w:spacing w:val="5"/>
          <w:w w:val="104"/>
          <w:lang w:val="ru-RU"/>
        </w:rPr>
        <w:t xml:space="preserve"> принятия экономических решений </w:t>
      </w:r>
      <w:r w:rsidR="00091C1A" w:rsidRPr="00732013">
        <w:rPr>
          <w:spacing w:val="5"/>
          <w:w w:val="104"/>
          <w:lang w:val="ru-RU"/>
        </w:rPr>
        <w:t xml:space="preserve">в соответствии с </w:t>
      </w:r>
      <w:r w:rsidR="00B82B35" w:rsidRPr="00732013">
        <w:rPr>
          <w:spacing w:val="5"/>
          <w:w w:val="104"/>
          <w:lang w:val="ru-RU"/>
        </w:rPr>
        <w:t>законодательств</w:t>
      </w:r>
      <w:r w:rsidR="00091C1A" w:rsidRPr="00732013">
        <w:rPr>
          <w:spacing w:val="5"/>
          <w:w w:val="104"/>
          <w:lang w:val="ru-RU"/>
        </w:rPr>
        <w:t>ом</w:t>
      </w:r>
      <w:r w:rsidR="00B82B35" w:rsidRPr="00732013">
        <w:rPr>
          <w:spacing w:val="5"/>
          <w:w w:val="104"/>
          <w:lang w:val="ru-RU"/>
        </w:rPr>
        <w:t xml:space="preserve"> ЕС, стремясь добиться прогресса в переговорах по</w:t>
      </w:r>
      <w:r w:rsidR="00A37370" w:rsidRPr="00732013">
        <w:rPr>
          <w:spacing w:val="5"/>
          <w:w w:val="104"/>
          <w:lang w:val="ru-RU"/>
        </w:rPr>
        <w:t xml:space="preserve"> проекту директивы Европейского парламента</w:t>
      </w:r>
      <w:r w:rsidR="0063012E" w:rsidRPr="00732013">
        <w:rPr>
          <w:spacing w:val="5"/>
          <w:w w:val="104"/>
          <w:lang w:val="ru-RU"/>
        </w:rPr>
        <w:t xml:space="preserve"> и Совета </w:t>
      </w:r>
      <w:r w:rsidR="00091C1A" w:rsidRPr="00732013">
        <w:rPr>
          <w:spacing w:val="5"/>
          <w:w w:val="104"/>
          <w:lang w:val="ru-RU"/>
        </w:rPr>
        <w:t xml:space="preserve">Европы </w:t>
      </w:r>
      <w:r w:rsidR="0063012E" w:rsidRPr="00732013">
        <w:rPr>
          <w:spacing w:val="5"/>
          <w:w w:val="104"/>
          <w:lang w:val="ru-RU"/>
        </w:rPr>
        <w:t>об улучшении</w:t>
      </w:r>
      <w:r w:rsidR="00480197" w:rsidRPr="00732013">
        <w:rPr>
          <w:spacing w:val="5"/>
          <w:w w:val="104"/>
          <w:lang w:val="ru-RU"/>
        </w:rPr>
        <w:t xml:space="preserve"> гендерного</w:t>
      </w:r>
      <w:r w:rsidR="0063012E" w:rsidRPr="00732013">
        <w:rPr>
          <w:spacing w:val="5"/>
          <w:w w:val="104"/>
          <w:lang w:val="ru-RU"/>
        </w:rPr>
        <w:t xml:space="preserve"> </w:t>
      </w:r>
      <w:r w:rsidR="00480197" w:rsidRPr="00732013">
        <w:rPr>
          <w:spacing w:val="5"/>
          <w:w w:val="104"/>
          <w:lang w:val="ru-RU"/>
        </w:rPr>
        <w:t xml:space="preserve">баланса среди </w:t>
      </w:r>
      <w:r w:rsidR="004543A9" w:rsidRPr="00732013">
        <w:rPr>
          <w:spacing w:val="5"/>
          <w:w w:val="104"/>
          <w:lang w:val="ru-RU"/>
        </w:rPr>
        <w:t xml:space="preserve">неисполнительных </w:t>
      </w:r>
      <w:r w:rsidR="00480197" w:rsidRPr="00732013">
        <w:rPr>
          <w:spacing w:val="5"/>
          <w:w w:val="104"/>
          <w:lang w:val="ru-RU"/>
        </w:rPr>
        <w:t xml:space="preserve">директоров </w:t>
      </w:r>
      <w:r w:rsidR="006A1969" w:rsidRPr="00732013">
        <w:rPr>
          <w:spacing w:val="5"/>
          <w:w w:val="104"/>
          <w:lang w:val="ru-RU"/>
        </w:rPr>
        <w:t xml:space="preserve">в компаниях, зарегистрированных на фондовой бирже, и </w:t>
      </w:r>
      <w:r w:rsidR="004543A9" w:rsidRPr="00732013">
        <w:rPr>
          <w:spacing w:val="5"/>
          <w:w w:val="104"/>
          <w:lang w:val="ru-RU"/>
        </w:rPr>
        <w:t xml:space="preserve">о </w:t>
      </w:r>
      <w:r w:rsidR="006A1969" w:rsidRPr="00732013">
        <w:rPr>
          <w:spacing w:val="5"/>
          <w:w w:val="104"/>
          <w:lang w:val="ru-RU"/>
        </w:rPr>
        <w:t>соп</w:t>
      </w:r>
      <w:r w:rsidR="004543A9" w:rsidRPr="00732013">
        <w:rPr>
          <w:spacing w:val="5"/>
          <w:w w:val="104"/>
          <w:lang w:val="ru-RU"/>
        </w:rPr>
        <w:t xml:space="preserve">утствующих </w:t>
      </w:r>
      <w:r w:rsidR="006A1969" w:rsidRPr="00732013">
        <w:rPr>
          <w:spacing w:val="5"/>
          <w:w w:val="104"/>
          <w:lang w:val="ru-RU"/>
        </w:rPr>
        <w:t>мерах</w:t>
      </w:r>
      <w:r w:rsidRPr="00732013">
        <w:rPr>
          <w:spacing w:val="5"/>
          <w:w w:val="104"/>
          <w:lang w:val="ru-RU"/>
        </w:rPr>
        <w:t xml:space="preserve">. </w:t>
      </w:r>
      <w:r w:rsidR="004543A9" w:rsidRPr="00732013">
        <w:rPr>
          <w:spacing w:val="5"/>
          <w:w w:val="104"/>
          <w:lang w:val="ru-RU"/>
        </w:rPr>
        <w:t>Данный п</w:t>
      </w:r>
      <w:r w:rsidR="006A1969" w:rsidRPr="00732013">
        <w:rPr>
          <w:spacing w:val="5"/>
          <w:w w:val="104"/>
          <w:lang w:val="ru-RU"/>
        </w:rPr>
        <w:t xml:space="preserve">роект директивы призван </w:t>
      </w:r>
      <w:r w:rsidR="004C3130" w:rsidRPr="00732013">
        <w:rPr>
          <w:spacing w:val="5"/>
          <w:w w:val="104"/>
          <w:lang w:val="ru-RU"/>
        </w:rPr>
        <w:t xml:space="preserve">гарантировать принятие </w:t>
      </w:r>
      <w:r w:rsidR="006A1969" w:rsidRPr="00732013">
        <w:rPr>
          <w:spacing w:val="5"/>
          <w:w w:val="104"/>
          <w:lang w:val="ru-RU"/>
        </w:rPr>
        <w:t>все</w:t>
      </w:r>
      <w:r w:rsidR="004C3130" w:rsidRPr="00732013">
        <w:rPr>
          <w:spacing w:val="5"/>
          <w:w w:val="104"/>
          <w:lang w:val="ru-RU"/>
        </w:rPr>
        <w:t>ми</w:t>
      </w:r>
      <w:r w:rsidR="006A1969" w:rsidRPr="00732013">
        <w:rPr>
          <w:spacing w:val="5"/>
          <w:w w:val="104"/>
          <w:lang w:val="ru-RU"/>
        </w:rPr>
        <w:t xml:space="preserve"> государства</w:t>
      </w:r>
      <w:r w:rsidR="004C3130" w:rsidRPr="00732013">
        <w:rPr>
          <w:spacing w:val="5"/>
          <w:w w:val="104"/>
          <w:lang w:val="ru-RU"/>
        </w:rPr>
        <w:t>ми</w:t>
      </w:r>
      <w:r w:rsidR="006A1969" w:rsidRPr="00732013">
        <w:rPr>
          <w:spacing w:val="5"/>
          <w:w w:val="104"/>
          <w:lang w:val="ru-RU"/>
        </w:rPr>
        <w:t>-</w:t>
      </w:r>
      <w:r w:rsidR="004C3130" w:rsidRPr="00732013">
        <w:rPr>
          <w:spacing w:val="5"/>
          <w:w w:val="104"/>
          <w:lang w:val="ru-RU"/>
        </w:rPr>
        <w:t>членами</w:t>
      </w:r>
      <w:r w:rsidR="006A1969" w:rsidRPr="00732013">
        <w:rPr>
          <w:spacing w:val="5"/>
          <w:w w:val="104"/>
          <w:lang w:val="ru-RU"/>
        </w:rPr>
        <w:t xml:space="preserve"> </w:t>
      </w:r>
      <w:r w:rsidR="004C3130" w:rsidRPr="00732013">
        <w:rPr>
          <w:spacing w:val="5"/>
          <w:w w:val="104"/>
          <w:lang w:val="ru-RU"/>
        </w:rPr>
        <w:t>мер по обеспечению гендерного баланса в советах директоров к 2020</w:t>
      </w:r>
      <w:r w:rsidR="008055A1" w:rsidRPr="00732013">
        <w:rPr>
          <w:spacing w:val="5"/>
          <w:w w:val="104"/>
          <w:lang w:val="ru-RU"/>
        </w:rPr>
        <w:t> год</w:t>
      </w:r>
      <w:r w:rsidR="004C3130" w:rsidRPr="00732013">
        <w:rPr>
          <w:spacing w:val="5"/>
          <w:w w:val="104"/>
          <w:lang w:val="ru-RU"/>
        </w:rPr>
        <w:t>у</w:t>
      </w:r>
      <w:r w:rsidR="004543A9" w:rsidRPr="00732013">
        <w:rPr>
          <w:spacing w:val="5"/>
          <w:w w:val="104"/>
          <w:lang w:val="ru-RU"/>
        </w:rPr>
        <w:t xml:space="preserve">, а именно </w:t>
      </w:r>
      <w:r w:rsidRPr="00732013">
        <w:rPr>
          <w:spacing w:val="5"/>
          <w:w w:val="104"/>
          <w:lang w:val="ru-RU"/>
        </w:rPr>
        <w:t>40</w:t>
      </w:r>
      <w:r w:rsidR="004543A9" w:rsidRPr="00732013">
        <w:rPr>
          <w:spacing w:val="5"/>
          <w:w w:val="104"/>
          <w:lang w:val="ru-RU"/>
        </w:rPr>
        <w:t xml:space="preserve"> процентов женщин – неисполнительных директоров </w:t>
      </w:r>
      <w:r w:rsidR="00797398" w:rsidRPr="00732013">
        <w:rPr>
          <w:spacing w:val="5"/>
          <w:w w:val="104"/>
          <w:lang w:val="ru-RU"/>
        </w:rPr>
        <w:t>или по крайней мере 33</w:t>
      </w:r>
      <w:r w:rsidR="004543A9" w:rsidRPr="00732013">
        <w:rPr>
          <w:spacing w:val="5"/>
          <w:w w:val="104"/>
          <w:lang w:val="ru-RU"/>
        </w:rPr>
        <w:t> </w:t>
      </w:r>
      <w:r w:rsidR="009138B7" w:rsidRPr="00732013">
        <w:rPr>
          <w:spacing w:val="5"/>
          <w:w w:val="104"/>
          <w:lang w:val="ru-RU"/>
        </w:rPr>
        <w:t xml:space="preserve">процента </w:t>
      </w:r>
      <w:r w:rsidR="00797398" w:rsidRPr="00732013">
        <w:rPr>
          <w:spacing w:val="5"/>
          <w:w w:val="104"/>
          <w:lang w:val="ru-RU"/>
        </w:rPr>
        <w:t xml:space="preserve">женщин на должностях </w:t>
      </w:r>
      <w:r w:rsidR="004543A9" w:rsidRPr="00732013">
        <w:rPr>
          <w:spacing w:val="5"/>
          <w:w w:val="104"/>
          <w:lang w:val="ru-RU"/>
        </w:rPr>
        <w:t xml:space="preserve">как </w:t>
      </w:r>
      <w:r w:rsidR="00797398" w:rsidRPr="00732013">
        <w:rPr>
          <w:spacing w:val="5"/>
          <w:w w:val="104"/>
          <w:lang w:val="ru-RU"/>
        </w:rPr>
        <w:t>исполнительных</w:t>
      </w:r>
      <w:r w:rsidR="004543A9" w:rsidRPr="00732013">
        <w:rPr>
          <w:spacing w:val="5"/>
          <w:w w:val="104"/>
          <w:lang w:val="ru-RU"/>
        </w:rPr>
        <w:t>, так</w:t>
      </w:r>
      <w:r w:rsidR="00797398" w:rsidRPr="00732013">
        <w:rPr>
          <w:spacing w:val="5"/>
          <w:w w:val="104"/>
          <w:lang w:val="ru-RU"/>
        </w:rPr>
        <w:t xml:space="preserve"> и</w:t>
      </w:r>
      <w:r w:rsidR="004543A9" w:rsidRPr="00732013">
        <w:rPr>
          <w:spacing w:val="5"/>
          <w:w w:val="104"/>
          <w:lang w:val="ru-RU"/>
        </w:rPr>
        <w:t xml:space="preserve"> не</w:t>
      </w:r>
      <w:r w:rsidR="00797398" w:rsidRPr="00732013">
        <w:rPr>
          <w:spacing w:val="5"/>
          <w:w w:val="104"/>
          <w:lang w:val="ru-RU"/>
        </w:rPr>
        <w:t>исполнительны</w:t>
      </w:r>
      <w:r w:rsidR="004543A9" w:rsidRPr="00732013">
        <w:rPr>
          <w:spacing w:val="5"/>
          <w:w w:val="104"/>
          <w:lang w:val="ru-RU"/>
        </w:rPr>
        <w:t>х</w:t>
      </w:r>
      <w:r w:rsidRPr="00732013">
        <w:rPr>
          <w:spacing w:val="5"/>
          <w:w w:val="104"/>
          <w:lang w:val="ru-RU"/>
        </w:rPr>
        <w:t xml:space="preserve">. </w:t>
      </w:r>
      <w:r w:rsidR="00797398" w:rsidRPr="00732013">
        <w:rPr>
          <w:spacing w:val="5"/>
          <w:w w:val="104"/>
          <w:lang w:val="ru-RU"/>
        </w:rPr>
        <w:t xml:space="preserve">После принятия </w:t>
      </w:r>
      <w:r w:rsidR="004543A9" w:rsidRPr="00732013">
        <w:rPr>
          <w:spacing w:val="5"/>
          <w:w w:val="104"/>
          <w:lang w:val="ru-RU"/>
        </w:rPr>
        <w:t xml:space="preserve">данного </w:t>
      </w:r>
      <w:r w:rsidR="00797398" w:rsidRPr="00732013">
        <w:rPr>
          <w:spacing w:val="5"/>
          <w:w w:val="104"/>
          <w:lang w:val="ru-RU"/>
        </w:rPr>
        <w:t>проекта директивы</w:t>
      </w:r>
      <w:r w:rsidR="006627BA" w:rsidRPr="00732013">
        <w:rPr>
          <w:spacing w:val="5"/>
          <w:w w:val="104"/>
          <w:lang w:val="ru-RU"/>
        </w:rPr>
        <w:t xml:space="preserve"> временные специальные меры станут обязательными для всех государств-членов</w:t>
      </w:r>
      <w:r w:rsidRPr="00732013">
        <w:rPr>
          <w:spacing w:val="5"/>
          <w:w w:val="104"/>
          <w:lang w:val="ru-RU"/>
        </w:rPr>
        <w:t xml:space="preserve">. </w:t>
      </w:r>
    </w:p>
    <w:p w:rsidR="00866E29" w:rsidRPr="00732013" w:rsidRDefault="006A1C44" w:rsidP="00732013">
      <w:pPr>
        <w:pStyle w:val="H1"/>
        <w:spacing w:before="0" w:line="240" w:lineRule="exact"/>
        <w:ind w:right="1267"/>
        <w:rPr>
          <w:spacing w:val="5"/>
          <w:w w:val="104"/>
        </w:rPr>
      </w:pPr>
      <w:r w:rsidRPr="00732013">
        <w:rPr>
          <w:spacing w:val="5"/>
          <w:w w:val="104"/>
        </w:rPr>
        <w:t>Стереотипы</w:t>
      </w:r>
    </w:p>
    <w:p w:rsidR="00866E29" w:rsidRPr="00732013" w:rsidRDefault="002D2253" w:rsidP="00732013">
      <w:pPr>
        <w:pStyle w:val="H23G"/>
        <w:spacing w:before="0"/>
        <w:ind w:right="1267"/>
        <w:rPr>
          <w:spacing w:val="5"/>
          <w:w w:val="104"/>
        </w:rPr>
      </w:pPr>
      <w:r w:rsidRPr="00732013">
        <w:rPr>
          <w:spacing w:val="5"/>
          <w:w w:val="104"/>
        </w:rPr>
        <w:t xml:space="preserve">Ответ по пункту </w:t>
      </w:r>
      <w:r w:rsidR="00866E29" w:rsidRPr="00732013">
        <w:rPr>
          <w:spacing w:val="5"/>
          <w:w w:val="104"/>
        </w:rPr>
        <w:t>7</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28.</w:t>
      </w:r>
      <w:r w:rsidRPr="00732013">
        <w:rPr>
          <w:spacing w:val="5"/>
          <w:w w:val="104"/>
          <w:lang w:val="ru-RU"/>
        </w:rPr>
        <w:tab/>
      </w:r>
      <w:r w:rsidR="004543A9" w:rsidRPr="00732013">
        <w:rPr>
          <w:spacing w:val="5"/>
          <w:w w:val="104"/>
          <w:lang w:val="ru-RU"/>
        </w:rPr>
        <w:t>В</w:t>
      </w:r>
      <w:r w:rsidR="00897749" w:rsidRPr="00732013">
        <w:rPr>
          <w:spacing w:val="5"/>
          <w:w w:val="104"/>
          <w:lang w:val="ru-RU"/>
        </w:rPr>
        <w:t xml:space="preserve"> соответствии с рекомендациями Комитета</w:t>
      </w:r>
      <w:r w:rsidR="004543A9" w:rsidRPr="00732013">
        <w:rPr>
          <w:spacing w:val="5"/>
          <w:w w:val="104"/>
          <w:lang w:val="ru-RU"/>
        </w:rPr>
        <w:t xml:space="preserve"> изменение гендерных стереотипов было и остается долгосрочной целью данной Программы</w:t>
      </w:r>
      <w:r w:rsidR="00897749" w:rsidRPr="00732013">
        <w:rPr>
          <w:spacing w:val="5"/>
          <w:w w:val="104"/>
          <w:lang w:val="ru-RU"/>
        </w:rPr>
        <w:t xml:space="preserve">. Изменение стереотипных </w:t>
      </w:r>
      <w:r w:rsidR="00766B54" w:rsidRPr="00732013">
        <w:rPr>
          <w:spacing w:val="5"/>
          <w:w w:val="104"/>
          <w:lang w:val="ru-RU"/>
        </w:rPr>
        <w:t xml:space="preserve">представлений о </w:t>
      </w:r>
      <w:r w:rsidR="00E82F01" w:rsidRPr="00732013">
        <w:rPr>
          <w:spacing w:val="5"/>
          <w:w w:val="104"/>
          <w:lang w:val="ru-RU"/>
        </w:rPr>
        <w:t xml:space="preserve">роли мужчин и роли женщин в экономической </w:t>
      </w:r>
      <w:r w:rsidR="004543A9" w:rsidRPr="00732013">
        <w:rPr>
          <w:spacing w:val="5"/>
          <w:w w:val="104"/>
          <w:lang w:val="ru-RU"/>
        </w:rPr>
        <w:t xml:space="preserve">жизни </w:t>
      </w:r>
      <w:r w:rsidR="00B031A1" w:rsidRPr="00732013">
        <w:rPr>
          <w:spacing w:val="5"/>
          <w:w w:val="104"/>
          <w:lang w:val="ru-RU"/>
        </w:rPr>
        <w:t xml:space="preserve">страны </w:t>
      </w:r>
      <w:r w:rsidR="004543A9" w:rsidRPr="00732013">
        <w:rPr>
          <w:spacing w:val="5"/>
          <w:w w:val="104"/>
          <w:lang w:val="ru-RU"/>
        </w:rPr>
        <w:t xml:space="preserve">является </w:t>
      </w:r>
      <w:r w:rsidR="00B031A1" w:rsidRPr="00732013">
        <w:rPr>
          <w:spacing w:val="5"/>
          <w:w w:val="104"/>
          <w:lang w:val="ru-RU"/>
        </w:rPr>
        <w:t>одной из конкретных задач Программы на 2005–</w:t>
      </w:r>
      <w:r w:rsidRPr="00732013">
        <w:rPr>
          <w:spacing w:val="5"/>
          <w:w w:val="104"/>
          <w:lang w:val="ru-RU"/>
        </w:rPr>
        <w:t>2009</w:t>
      </w:r>
      <w:r w:rsidR="008055A1" w:rsidRPr="00732013">
        <w:rPr>
          <w:spacing w:val="5"/>
          <w:w w:val="104"/>
          <w:lang w:val="ru-RU"/>
        </w:rPr>
        <w:t> год</w:t>
      </w:r>
      <w:r w:rsidR="00B031A1" w:rsidRPr="00732013">
        <w:rPr>
          <w:spacing w:val="5"/>
          <w:w w:val="104"/>
          <w:lang w:val="ru-RU"/>
        </w:rPr>
        <w:t>ы</w:t>
      </w:r>
      <w:r w:rsidR="00BF04B9" w:rsidRPr="00732013">
        <w:rPr>
          <w:rStyle w:val="FootnoteReference"/>
          <w:spacing w:val="5"/>
          <w:w w:val="104"/>
          <w:sz w:val="20"/>
        </w:rPr>
        <w:footnoteReference w:id="14"/>
      </w:r>
      <w:r w:rsidR="004543A9" w:rsidRPr="00732013">
        <w:rPr>
          <w:spacing w:val="5"/>
          <w:w w:val="104"/>
          <w:lang w:val="ru-RU"/>
        </w:rPr>
        <w:t>,</w:t>
      </w:r>
      <w:r w:rsidRPr="00732013">
        <w:rPr>
          <w:spacing w:val="5"/>
          <w:w w:val="104"/>
          <w:lang w:val="ru-RU"/>
        </w:rPr>
        <w:t xml:space="preserve"> </w:t>
      </w:r>
      <w:r w:rsidR="00B031A1" w:rsidRPr="00732013">
        <w:rPr>
          <w:spacing w:val="5"/>
          <w:w w:val="104"/>
          <w:lang w:val="ru-RU"/>
        </w:rPr>
        <w:t xml:space="preserve">и </w:t>
      </w:r>
      <w:r w:rsidR="00B031A1" w:rsidRPr="00732013">
        <w:rPr>
          <w:spacing w:val="5"/>
          <w:w w:val="104"/>
        </w:rPr>
        <w:t>этому</w:t>
      </w:r>
      <w:r w:rsidR="00B031A1" w:rsidRPr="00732013">
        <w:rPr>
          <w:spacing w:val="5"/>
          <w:w w:val="104"/>
          <w:lang w:val="ru-RU"/>
        </w:rPr>
        <w:t xml:space="preserve"> изменению способствовали</w:t>
      </w:r>
      <w:r w:rsidR="004543A9" w:rsidRPr="00732013">
        <w:rPr>
          <w:spacing w:val="5"/>
          <w:w w:val="104"/>
          <w:lang w:val="ru-RU"/>
        </w:rPr>
        <w:t xml:space="preserve"> многочисленные </w:t>
      </w:r>
      <w:r w:rsidR="00B031A1" w:rsidRPr="00732013">
        <w:rPr>
          <w:spacing w:val="5"/>
          <w:w w:val="104"/>
          <w:lang w:val="ru-RU"/>
        </w:rPr>
        <w:t xml:space="preserve">меры образовательного, информационного и </w:t>
      </w:r>
      <w:r w:rsidR="004543A9" w:rsidRPr="00732013">
        <w:rPr>
          <w:spacing w:val="5"/>
          <w:w w:val="104"/>
          <w:lang w:val="ru-RU"/>
        </w:rPr>
        <w:t>пр</w:t>
      </w:r>
      <w:r w:rsidR="00BE086F" w:rsidRPr="00732013">
        <w:rPr>
          <w:spacing w:val="5"/>
          <w:w w:val="104"/>
          <w:lang w:val="ru-RU"/>
        </w:rPr>
        <w:t>о</w:t>
      </w:r>
      <w:r w:rsidR="004543A9" w:rsidRPr="00732013">
        <w:rPr>
          <w:spacing w:val="5"/>
          <w:w w:val="104"/>
          <w:lang w:val="ru-RU"/>
        </w:rPr>
        <w:t xml:space="preserve">светительского </w:t>
      </w:r>
      <w:r w:rsidR="00BE086F" w:rsidRPr="00732013">
        <w:rPr>
          <w:spacing w:val="5"/>
          <w:w w:val="104"/>
          <w:lang w:val="ru-RU"/>
        </w:rPr>
        <w:t>характера, как явствует из проведенной в 2009</w:t>
      </w:r>
      <w:r w:rsidR="008055A1" w:rsidRPr="00732013">
        <w:rPr>
          <w:spacing w:val="5"/>
          <w:w w:val="104"/>
          <w:lang w:val="ru-RU"/>
        </w:rPr>
        <w:t> год</w:t>
      </w:r>
      <w:r w:rsidR="00BE086F" w:rsidRPr="00732013">
        <w:rPr>
          <w:spacing w:val="5"/>
          <w:w w:val="104"/>
          <w:lang w:val="ru-RU"/>
        </w:rPr>
        <w:t>у оценки воздействия Программы</w:t>
      </w:r>
      <w:r w:rsidR="00BF04B9" w:rsidRPr="00732013">
        <w:rPr>
          <w:rStyle w:val="FootnoteReference"/>
          <w:spacing w:val="5"/>
          <w:w w:val="104"/>
          <w:sz w:val="20"/>
        </w:rPr>
        <w:footnoteReference w:id="15"/>
      </w:r>
      <w:r w:rsidR="004543A9" w:rsidRPr="00732013">
        <w:rPr>
          <w:spacing w:val="5"/>
          <w:w w:val="104"/>
          <w:lang w:val="ru-RU"/>
        </w:rPr>
        <w:t>.</w:t>
      </w:r>
      <w:r w:rsidRPr="00732013">
        <w:rPr>
          <w:spacing w:val="5"/>
          <w:w w:val="104"/>
          <w:lang w:val="ru-RU"/>
        </w:rPr>
        <w:t xml:space="preserve"> </w:t>
      </w:r>
      <w:r w:rsidR="00BE086F" w:rsidRPr="00732013">
        <w:rPr>
          <w:spacing w:val="5"/>
          <w:w w:val="104"/>
          <w:lang w:val="ru-RU"/>
        </w:rPr>
        <w:t>Новая программа</w:t>
      </w:r>
      <w:r w:rsidR="004543A9" w:rsidRPr="00732013">
        <w:rPr>
          <w:spacing w:val="5"/>
          <w:w w:val="104"/>
          <w:lang w:val="ru-RU"/>
        </w:rPr>
        <w:t xml:space="preserve"> </w:t>
      </w:r>
      <w:r w:rsidR="00B94259" w:rsidRPr="00732013">
        <w:rPr>
          <w:spacing w:val="5"/>
          <w:w w:val="104"/>
          <w:lang w:val="ru-RU"/>
        </w:rPr>
        <w:t xml:space="preserve">на </w:t>
      </w:r>
      <w:r w:rsidR="00BE086F" w:rsidRPr="00732013">
        <w:rPr>
          <w:spacing w:val="5"/>
          <w:w w:val="104"/>
          <w:lang w:val="ru-RU"/>
        </w:rPr>
        <w:t>2010–</w:t>
      </w:r>
      <w:r w:rsidRPr="00732013">
        <w:rPr>
          <w:spacing w:val="5"/>
          <w:w w:val="104"/>
          <w:lang w:val="ru-RU"/>
        </w:rPr>
        <w:t>2014</w:t>
      </w:r>
      <w:r w:rsidR="008055A1" w:rsidRPr="00732013">
        <w:rPr>
          <w:spacing w:val="5"/>
          <w:w w:val="104"/>
          <w:lang w:val="ru-RU"/>
        </w:rPr>
        <w:t> год</w:t>
      </w:r>
      <w:r w:rsidR="004543A9" w:rsidRPr="00732013">
        <w:rPr>
          <w:spacing w:val="5"/>
          <w:w w:val="104"/>
          <w:lang w:val="ru-RU"/>
        </w:rPr>
        <w:t>ы</w:t>
      </w:r>
      <w:r w:rsidR="00B94259" w:rsidRPr="00732013">
        <w:rPr>
          <w:spacing w:val="5"/>
          <w:w w:val="104"/>
          <w:lang w:val="ru-RU"/>
        </w:rPr>
        <w:t xml:space="preserve"> </w:t>
      </w:r>
      <w:r w:rsidR="00093E1B" w:rsidRPr="00732013">
        <w:rPr>
          <w:spacing w:val="5"/>
          <w:w w:val="104"/>
          <w:lang w:val="ru-RU"/>
        </w:rPr>
        <w:t>включает задачу поощрения равного обращения с женщинами и мужчинами во всех сферах</w:t>
      </w:r>
      <w:r w:rsidR="004543A9" w:rsidRPr="00732013">
        <w:rPr>
          <w:spacing w:val="5"/>
          <w:w w:val="104"/>
          <w:lang w:val="ru-RU"/>
        </w:rPr>
        <w:t>,</w:t>
      </w:r>
      <w:r w:rsidR="00EB2BCC" w:rsidRPr="00732013">
        <w:rPr>
          <w:spacing w:val="5"/>
          <w:w w:val="104"/>
          <w:lang w:val="ru-RU"/>
        </w:rPr>
        <w:t xml:space="preserve"> </w:t>
      </w:r>
      <w:r w:rsidR="004543A9" w:rsidRPr="00732013">
        <w:rPr>
          <w:spacing w:val="5"/>
          <w:w w:val="104"/>
          <w:lang w:val="ru-RU"/>
        </w:rPr>
        <w:t xml:space="preserve">при этом о </w:t>
      </w:r>
      <w:r w:rsidR="00EB2BCC" w:rsidRPr="00732013">
        <w:rPr>
          <w:spacing w:val="5"/>
          <w:w w:val="104"/>
          <w:lang w:val="ru-RU"/>
        </w:rPr>
        <w:t>борьб</w:t>
      </w:r>
      <w:r w:rsidR="004543A9" w:rsidRPr="00732013">
        <w:rPr>
          <w:spacing w:val="5"/>
          <w:w w:val="104"/>
          <w:lang w:val="ru-RU"/>
        </w:rPr>
        <w:t>е</w:t>
      </w:r>
      <w:r w:rsidR="00EB2BCC" w:rsidRPr="00732013">
        <w:rPr>
          <w:spacing w:val="5"/>
          <w:w w:val="104"/>
          <w:lang w:val="ru-RU"/>
        </w:rPr>
        <w:t xml:space="preserve"> с гендерными стереотипами</w:t>
      </w:r>
      <w:r w:rsidR="004543A9" w:rsidRPr="00732013">
        <w:rPr>
          <w:spacing w:val="5"/>
          <w:w w:val="104"/>
          <w:lang w:val="ru-RU"/>
        </w:rPr>
        <w:t xml:space="preserve"> говорится в более позитивной форме</w:t>
      </w:r>
      <w:r w:rsidR="00EB2BCC" w:rsidRPr="00732013">
        <w:rPr>
          <w:spacing w:val="5"/>
          <w:w w:val="104"/>
          <w:lang w:val="ru-RU"/>
        </w:rPr>
        <w:t xml:space="preserve">. Равному обращению с мужчинами </w:t>
      </w:r>
      <w:r w:rsidR="000D4643" w:rsidRPr="00732013">
        <w:rPr>
          <w:spacing w:val="5"/>
          <w:w w:val="104"/>
          <w:lang w:val="ru-RU"/>
        </w:rPr>
        <w:t xml:space="preserve">и женщинами </w:t>
      </w:r>
      <w:r w:rsidR="00EB2BCC" w:rsidRPr="00732013">
        <w:rPr>
          <w:spacing w:val="5"/>
          <w:w w:val="104"/>
          <w:lang w:val="ru-RU"/>
        </w:rPr>
        <w:t xml:space="preserve">также способствуют </w:t>
      </w:r>
      <w:r w:rsidR="007206A4" w:rsidRPr="00732013">
        <w:rPr>
          <w:spacing w:val="5"/>
          <w:w w:val="104"/>
          <w:lang w:val="ru-RU"/>
        </w:rPr>
        <w:t xml:space="preserve">другие меры, предусматриваемые Программой. Изменение стереотипных подходов </w:t>
      </w:r>
      <w:r w:rsidR="000D4643" w:rsidRPr="00732013">
        <w:rPr>
          <w:spacing w:val="5"/>
          <w:w w:val="104"/>
          <w:lang w:val="ru-RU"/>
        </w:rPr>
        <w:t xml:space="preserve">остается </w:t>
      </w:r>
      <w:r w:rsidR="007206A4" w:rsidRPr="00732013">
        <w:rPr>
          <w:spacing w:val="5"/>
          <w:w w:val="104"/>
          <w:lang w:val="ru-RU"/>
        </w:rPr>
        <w:t xml:space="preserve">основной темой большинства </w:t>
      </w:r>
      <w:r w:rsidR="0044309B" w:rsidRPr="00732013">
        <w:rPr>
          <w:spacing w:val="5"/>
          <w:w w:val="104"/>
          <w:lang w:val="ru-RU"/>
        </w:rPr>
        <w:t xml:space="preserve">учебных и </w:t>
      </w:r>
      <w:r w:rsidR="000D4643" w:rsidRPr="00732013">
        <w:rPr>
          <w:spacing w:val="5"/>
          <w:w w:val="104"/>
          <w:lang w:val="ru-RU"/>
        </w:rPr>
        <w:t>други</w:t>
      </w:r>
      <w:r w:rsidR="0044309B" w:rsidRPr="00732013">
        <w:rPr>
          <w:spacing w:val="5"/>
          <w:w w:val="104"/>
          <w:lang w:val="ru-RU"/>
        </w:rPr>
        <w:t>х мероприятий в ходе осуществления программных мер</w:t>
      </w:r>
      <w:r w:rsidR="000D4643" w:rsidRPr="00732013">
        <w:rPr>
          <w:spacing w:val="5"/>
          <w:w w:val="104"/>
          <w:lang w:val="ru-RU"/>
        </w:rPr>
        <w:t>,</w:t>
      </w:r>
      <w:r w:rsidR="0044309B" w:rsidRPr="00732013">
        <w:rPr>
          <w:spacing w:val="5"/>
          <w:w w:val="104"/>
          <w:lang w:val="ru-RU"/>
        </w:rPr>
        <w:t xml:space="preserve"> охватыва</w:t>
      </w:r>
      <w:r w:rsidR="000D4643" w:rsidRPr="00732013">
        <w:rPr>
          <w:spacing w:val="5"/>
          <w:w w:val="104"/>
          <w:lang w:val="ru-RU"/>
        </w:rPr>
        <w:t>ющих</w:t>
      </w:r>
      <w:r w:rsidR="0044309B" w:rsidRPr="00732013">
        <w:rPr>
          <w:spacing w:val="5"/>
          <w:w w:val="104"/>
          <w:lang w:val="ru-RU"/>
        </w:rPr>
        <w:t xml:space="preserve"> разные целевые группы, включая представителей </w:t>
      </w:r>
      <w:r w:rsidR="006D4841" w:rsidRPr="00732013">
        <w:rPr>
          <w:spacing w:val="5"/>
          <w:w w:val="104"/>
          <w:lang w:val="ru-RU"/>
        </w:rPr>
        <w:t>СМИ</w:t>
      </w:r>
      <w:r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29.</w:t>
      </w:r>
      <w:r w:rsidRPr="00732013">
        <w:rPr>
          <w:spacing w:val="5"/>
          <w:w w:val="104"/>
          <w:lang w:val="ru-RU"/>
        </w:rPr>
        <w:tab/>
      </w:r>
      <w:r w:rsidR="006D4841" w:rsidRPr="00732013">
        <w:rPr>
          <w:spacing w:val="5"/>
          <w:w w:val="104"/>
          <w:lang w:val="ru-RU"/>
        </w:rPr>
        <w:t xml:space="preserve">Тема женщин и СМИ </w:t>
      </w:r>
      <w:r w:rsidR="000D4643" w:rsidRPr="00732013">
        <w:rPr>
          <w:spacing w:val="5"/>
          <w:w w:val="104"/>
          <w:lang w:val="ru-RU"/>
        </w:rPr>
        <w:t>бы</w:t>
      </w:r>
      <w:r w:rsidR="006D4841" w:rsidRPr="00732013">
        <w:rPr>
          <w:spacing w:val="5"/>
          <w:w w:val="104"/>
          <w:lang w:val="ru-RU"/>
        </w:rPr>
        <w:t>ла приоритетн</w:t>
      </w:r>
      <w:r w:rsidR="000D4643" w:rsidRPr="00732013">
        <w:rPr>
          <w:spacing w:val="5"/>
          <w:w w:val="104"/>
          <w:lang w:val="ru-RU"/>
        </w:rPr>
        <w:t>ой</w:t>
      </w:r>
      <w:r w:rsidR="003C6198" w:rsidRPr="00732013">
        <w:rPr>
          <w:spacing w:val="5"/>
          <w:w w:val="104"/>
          <w:lang w:val="ru-RU"/>
        </w:rPr>
        <w:t>, когда в 2012</w:t>
      </w:r>
      <w:r w:rsidR="008055A1" w:rsidRPr="00732013">
        <w:rPr>
          <w:spacing w:val="5"/>
          <w:w w:val="104"/>
          <w:lang w:val="ru-RU"/>
        </w:rPr>
        <w:t> год</w:t>
      </w:r>
      <w:r w:rsidR="003C6198" w:rsidRPr="00732013">
        <w:rPr>
          <w:spacing w:val="5"/>
          <w:w w:val="104"/>
          <w:lang w:val="ru-RU"/>
        </w:rPr>
        <w:t>у Лит</w:t>
      </w:r>
      <w:r w:rsidR="00F6074E" w:rsidRPr="00732013">
        <w:rPr>
          <w:spacing w:val="5"/>
          <w:w w:val="104"/>
          <w:lang w:val="ru-RU"/>
        </w:rPr>
        <w:t>ва выступала координатором сотрудничества</w:t>
      </w:r>
      <w:r w:rsidR="003C6198" w:rsidRPr="00732013">
        <w:rPr>
          <w:spacing w:val="5"/>
          <w:w w:val="104"/>
          <w:lang w:val="ru-RU"/>
        </w:rPr>
        <w:t xml:space="preserve"> </w:t>
      </w:r>
      <w:r w:rsidR="000D4643" w:rsidRPr="00732013">
        <w:rPr>
          <w:spacing w:val="5"/>
          <w:w w:val="104"/>
          <w:lang w:val="ru-RU"/>
        </w:rPr>
        <w:t xml:space="preserve">североевропейских </w:t>
      </w:r>
      <w:r w:rsidR="003C6198" w:rsidRPr="00732013">
        <w:rPr>
          <w:spacing w:val="5"/>
          <w:w w:val="104"/>
          <w:lang w:val="ru-RU"/>
        </w:rPr>
        <w:t>и балтийских стран.</w:t>
      </w:r>
      <w:r w:rsidRPr="00732013">
        <w:rPr>
          <w:spacing w:val="5"/>
          <w:w w:val="104"/>
          <w:lang w:val="ru-RU"/>
        </w:rPr>
        <w:t xml:space="preserve"> 23</w:t>
      </w:r>
      <w:r w:rsidR="000D4643" w:rsidRPr="00732013">
        <w:rPr>
          <w:spacing w:val="5"/>
          <w:w w:val="104"/>
          <w:lang w:val="ru-RU"/>
        </w:rPr>
        <w:t> </w:t>
      </w:r>
      <w:r w:rsidR="00116764" w:rsidRPr="00732013">
        <w:rPr>
          <w:spacing w:val="5"/>
          <w:w w:val="104"/>
          <w:lang w:val="ru-RU"/>
        </w:rPr>
        <w:t>мая</w:t>
      </w:r>
      <w:r w:rsidRPr="00732013">
        <w:rPr>
          <w:spacing w:val="5"/>
          <w:w w:val="104"/>
          <w:lang w:val="ru-RU"/>
        </w:rPr>
        <w:t xml:space="preserve"> 2012</w:t>
      </w:r>
      <w:r w:rsidR="008055A1" w:rsidRPr="00732013">
        <w:rPr>
          <w:spacing w:val="5"/>
          <w:w w:val="104"/>
          <w:lang w:val="ru-RU"/>
        </w:rPr>
        <w:t> год</w:t>
      </w:r>
      <w:r w:rsidR="00116764" w:rsidRPr="00732013">
        <w:rPr>
          <w:spacing w:val="5"/>
          <w:w w:val="104"/>
          <w:lang w:val="ru-RU"/>
        </w:rPr>
        <w:t xml:space="preserve">а в Вильнюсе </w:t>
      </w:r>
      <w:r w:rsidR="0017286D" w:rsidRPr="00732013">
        <w:rPr>
          <w:spacing w:val="5"/>
          <w:w w:val="104"/>
          <w:lang w:val="ru-RU"/>
        </w:rPr>
        <w:t>состоялась</w:t>
      </w:r>
      <w:r w:rsidR="00116764" w:rsidRPr="00732013">
        <w:rPr>
          <w:spacing w:val="5"/>
          <w:w w:val="104"/>
          <w:lang w:val="ru-RU"/>
        </w:rPr>
        <w:t xml:space="preserve"> Конференция </w:t>
      </w:r>
      <w:r w:rsidR="00B47469" w:rsidRPr="00732013">
        <w:rPr>
          <w:spacing w:val="5"/>
          <w:w w:val="104"/>
          <w:lang w:val="ru-RU"/>
        </w:rPr>
        <w:t xml:space="preserve">стран Северной Европы и Балтии </w:t>
      </w:r>
      <w:r w:rsidR="000D4643" w:rsidRPr="00732013">
        <w:rPr>
          <w:spacing w:val="5"/>
          <w:w w:val="104"/>
        </w:rPr>
        <w:t>на</w:t>
      </w:r>
      <w:r w:rsidR="000D4643" w:rsidRPr="00732013">
        <w:rPr>
          <w:spacing w:val="5"/>
          <w:w w:val="104"/>
          <w:lang w:val="ru-RU"/>
        </w:rPr>
        <w:t xml:space="preserve"> тему "Гендер </w:t>
      </w:r>
      <w:r w:rsidR="00116764" w:rsidRPr="00732013">
        <w:rPr>
          <w:spacing w:val="5"/>
          <w:w w:val="104"/>
          <w:lang w:val="ru-RU"/>
        </w:rPr>
        <w:t>и СМИ</w:t>
      </w:r>
      <w:r w:rsidR="000D4643" w:rsidRPr="00732013">
        <w:rPr>
          <w:spacing w:val="5"/>
          <w:w w:val="104"/>
          <w:lang w:val="ru-RU"/>
        </w:rPr>
        <w:t xml:space="preserve">", на которой обсуждались </w:t>
      </w:r>
      <w:r w:rsidR="0017286D" w:rsidRPr="00732013">
        <w:rPr>
          <w:spacing w:val="5"/>
          <w:w w:val="104"/>
          <w:lang w:val="ru-RU"/>
        </w:rPr>
        <w:t xml:space="preserve">такие </w:t>
      </w:r>
      <w:r w:rsidR="000D4643" w:rsidRPr="00732013">
        <w:rPr>
          <w:spacing w:val="5"/>
          <w:w w:val="104"/>
          <w:lang w:val="ru-RU"/>
        </w:rPr>
        <w:t>вопрос</w:t>
      </w:r>
      <w:r w:rsidR="0017286D" w:rsidRPr="00732013">
        <w:rPr>
          <w:spacing w:val="5"/>
          <w:w w:val="104"/>
          <w:lang w:val="ru-RU"/>
        </w:rPr>
        <w:t xml:space="preserve">ы, как </w:t>
      </w:r>
      <w:r w:rsidR="000D4643" w:rsidRPr="00732013">
        <w:rPr>
          <w:spacing w:val="5"/>
          <w:w w:val="104"/>
          <w:lang w:val="ru-RU"/>
        </w:rPr>
        <w:t>образ</w:t>
      </w:r>
      <w:r w:rsidR="0017286D" w:rsidRPr="00732013">
        <w:rPr>
          <w:spacing w:val="5"/>
          <w:w w:val="104"/>
          <w:lang w:val="ru-RU"/>
        </w:rPr>
        <w:t xml:space="preserve"> женщин в СМИ, включая текстовое и визуальное выражение</w:t>
      </w:r>
      <w:r w:rsidR="0049667F" w:rsidRPr="00732013">
        <w:rPr>
          <w:spacing w:val="5"/>
          <w:w w:val="104"/>
          <w:lang w:val="ru-RU"/>
        </w:rPr>
        <w:t xml:space="preserve">, а также гендерный баланс в структурах СМИ. </w:t>
      </w:r>
      <w:r w:rsidR="000D4643" w:rsidRPr="00732013">
        <w:rPr>
          <w:spacing w:val="5"/>
          <w:w w:val="104"/>
          <w:lang w:val="ru-RU"/>
        </w:rPr>
        <w:t>Это м</w:t>
      </w:r>
      <w:r w:rsidR="0049667F" w:rsidRPr="00732013">
        <w:rPr>
          <w:spacing w:val="5"/>
          <w:w w:val="104"/>
          <w:lang w:val="ru-RU"/>
        </w:rPr>
        <w:t xml:space="preserve">ероприятие собрало </w:t>
      </w:r>
      <w:r w:rsidR="002142BC" w:rsidRPr="00732013">
        <w:rPr>
          <w:spacing w:val="5"/>
          <w:w w:val="104"/>
          <w:lang w:val="ru-RU"/>
        </w:rPr>
        <w:t xml:space="preserve">специалистов </w:t>
      </w:r>
      <w:r w:rsidR="0049667F" w:rsidRPr="00732013">
        <w:rPr>
          <w:spacing w:val="5"/>
          <w:w w:val="104"/>
          <w:lang w:val="ru-RU"/>
        </w:rPr>
        <w:t>медиа-</w:t>
      </w:r>
      <w:r w:rsidR="002142BC" w:rsidRPr="00732013">
        <w:rPr>
          <w:spacing w:val="5"/>
          <w:w w:val="104"/>
          <w:lang w:val="ru-RU"/>
        </w:rPr>
        <w:t>сообщества</w:t>
      </w:r>
      <w:r w:rsidR="00B47469" w:rsidRPr="00732013">
        <w:rPr>
          <w:spacing w:val="5"/>
          <w:w w:val="104"/>
          <w:lang w:val="ru-RU"/>
        </w:rPr>
        <w:t xml:space="preserve">, журналистов, издателей журналов, </w:t>
      </w:r>
      <w:r w:rsidR="000D4643" w:rsidRPr="00732013">
        <w:rPr>
          <w:spacing w:val="5"/>
          <w:w w:val="104"/>
          <w:lang w:val="ru-RU"/>
        </w:rPr>
        <w:t>представителей</w:t>
      </w:r>
      <w:r w:rsidR="00B47469" w:rsidRPr="00732013">
        <w:rPr>
          <w:spacing w:val="5"/>
          <w:w w:val="104"/>
          <w:lang w:val="ru-RU"/>
        </w:rPr>
        <w:t xml:space="preserve"> </w:t>
      </w:r>
      <w:r w:rsidR="002142BC" w:rsidRPr="00732013">
        <w:rPr>
          <w:spacing w:val="5"/>
          <w:w w:val="104"/>
          <w:lang w:val="ru-RU"/>
        </w:rPr>
        <w:t>Л</w:t>
      </w:r>
      <w:r w:rsidR="00B47469" w:rsidRPr="00732013">
        <w:rPr>
          <w:spacing w:val="5"/>
          <w:w w:val="104"/>
          <w:lang w:val="ru-RU"/>
        </w:rPr>
        <w:t xml:space="preserve">итовского отделения Совета министров </w:t>
      </w:r>
      <w:r w:rsidR="000D4643" w:rsidRPr="00732013">
        <w:rPr>
          <w:spacing w:val="5"/>
          <w:w w:val="104"/>
          <w:lang w:val="ru-RU"/>
        </w:rPr>
        <w:t xml:space="preserve">стран </w:t>
      </w:r>
      <w:r w:rsidR="007A2D4B" w:rsidRPr="00732013">
        <w:rPr>
          <w:spacing w:val="5"/>
          <w:w w:val="104"/>
          <w:lang w:val="ru-RU"/>
        </w:rPr>
        <w:t>С</w:t>
      </w:r>
      <w:r w:rsidR="00B47469" w:rsidRPr="00732013">
        <w:rPr>
          <w:spacing w:val="5"/>
          <w:w w:val="104"/>
          <w:lang w:val="ru-RU"/>
        </w:rPr>
        <w:t>еверн</w:t>
      </w:r>
      <w:r w:rsidR="000D4643" w:rsidRPr="00732013">
        <w:rPr>
          <w:spacing w:val="5"/>
          <w:w w:val="104"/>
          <w:lang w:val="ru-RU"/>
        </w:rPr>
        <w:t>ой Европы</w:t>
      </w:r>
      <w:r w:rsidR="004934FB" w:rsidRPr="00732013">
        <w:rPr>
          <w:spacing w:val="5"/>
          <w:w w:val="104"/>
          <w:lang w:val="ru-RU"/>
        </w:rPr>
        <w:t>, представителей</w:t>
      </w:r>
      <w:r w:rsidR="002142BC" w:rsidRPr="00732013">
        <w:rPr>
          <w:spacing w:val="5"/>
          <w:w w:val="104"/>
          <w:lang w:val="ru-RU"/>
        </w:rPr>
        <w:t xml:space="preserve"> Европейского института </w:t>
      </w:r>
      <w:r w:rsidR="0066053A" w:rsidRPr="00732013">
        <w:rPr>
          <w:spacing w:val="5"/>
          <w:w w:val="104"/>
          <w:lang w:val="ru-RU"/>
        </w:rPr>
        <w:t>по вопросам гендерного равенства</w:t>
      </w:r>
      <w:r w:rsidR="00CD7B14" w:rsidRPr="00732013">
        <w:rPr>
          <w:spacing w:val="5"/>
          <w:w w:val="104"/>
          <w:lang w:val="ru-RU"/>
        </w:rPr>
        <w:t>, членов Рабочей группы по гендерному равенству в странах Северной Европы и Балтии</w:t>
      </w:r>
      <w:r w:rsidR="00395B4D" w:rsidRPr="00732013">
        <w:rPr>
          <w:spacing w:val="5"/>
          <w:w w:val="104"/>
          <w:lang w:val="ru-RU"/>
        </w:rPr>
        <w:t xml:space="preserve"> и ряд других участников</w:t>
      </w:r>
      <w:r w:rsidR="00AE3ED8" w:rsidRPr="00732013">
        <w:rPr>
          <w:spacing w:val="5"/>
          <w:w w:val="104"/>
          <w:lang w:val="ru-RU"/>
        </w:rPr>
        <w:t xml:space="preserve"> </w:t>
      </w:r>
      <w:r w:rsidRPr="00732013">
        <w:rPr>
          <w:spacing w:val="5"/>
          <w:w w:val="104"/>
          <w:lang w:val="ru-RU"/>
        </w:rPr>
        <w:t>(</w:t>
      </w:r>
      <w:r w:rsidR="00CD7B14" w:rsidRPr="00732013">
        <w:rPr>
          <w:spacing w:val="5"/>
          <w:w w:val="104"/>
          <w:lang w:val="ru-RU"/>
        </w:rPr>
        <w:t>в</w:t>
      </w:r>
      <w:r w:rsidR="002D49DD" w:rsidRPr="00732013">
        <w:rPr>
          <w:spacing w:val="5"/>
          <w:w w:val="104"/>
          <w:lang w:val="ru-RU"/>
        </w:rPr>
        <w:t xml:space="preserve">сего </w:t>
      </w:r>
      <w:r w:rsidRPr="00732013">
        <w:rPr>
          <w:spacing w:val="5"/>
          <w:w w:val="104"/>
          <w:lang w:val="ru-RU"/>
        </w:rPr>
        <w:t>31</w:t>
      </w:r>
      <w:r w:rsidR="002D49DD" w:rsidRPr="00732013">
        <w:rPr>
          <w:spacing w:val="5"/>
          <w:w w:val="104"/>
          <w:lang w:val="ru-RU"/>
        </w:rPr>
        <w:t> </w:t>
      </w:r>
      <w:r w:rsidR="00CD7B14" w:rsidRPr="00732013">
        <w:rPr>
          <w:spacing w:val="5"/>
          <w:w w:val="104"/>
          <w:lang w:val="ru-RU"/>
        </w:rPr>
        <w:t>человек</w:t>
      </w:r>
      <w:r w:rsidRPr="00732013">
        <w:rPr>
          <w:spacing w:val="5"/>
          <w:w w:val="104"/>
          <w:lang w:val="ru-RU"/>
        </w:rPr>
        <w:t xml:space="preserve">). </w:t>
      </w:r>
      <w:r w:rsidR="00587C63" w:rsidRPr="00732013">
        <w:rPr>
          <w:spacing w:val="5"/>
          <w:w w:val="104"/>
          <w:lang w:val="ru-RU"/>
        </w:rPr>
        <w:t xml:space="preserve">Общедоступная информация </w:t>
      </w:r>
      <w:r w:rsidR="003A6520" w:rsidRPr="00732013">
        <w:rPr>
          <w:spacing w:val="5"/>
          <w:w w:val="104"/>
          <w:lang w:val="ru-RU"/>
        </w:rPr>
        <w:t>размещена</w:t>
      </w:r>
      <w:r w:rsidR="00587C63" w:rsidRPr="00732013">
        <w:rPr>
          <w:spacing w:val="5"/>
          <w:w w:val="104"/>
          <w:lang w:val="ru-RU"/>
        </w:rPr>
        <w:t xml:space="preserve"> на </w:t>
      </w:r>
      <w:r w:rsidR="00AE06D0" w:rsidRPr="00732013">
        <w:rPr>
          <w:spacing w:val="5"/>
          <w:w w:val="104"/>
          <w:lang w:val="ru-RU"/>
        </w:rPr>
        <w:t>и</w:t>
      </w:r>
      <w:r w:rsidR="00587C63" w:rsidRPr="00732013">
        <w:rPr>
          <w:spacing w:val="5"/>
          <w:w w:val="104"/>
          <w:lang w:val="ru-RU"/>
        </w:rPr>
        <w:t>нформационном портале</w:t>
      </w:r>
      <w:r w:rsidR="003A6520" w:rsidRPr="00732013">
        <w:rPr>
          <w:spacing w:val="5"/>
          <w:w w:val="104"/>
          <w:lang w:val="ru-RU"/>
        </w:rPr>
        <w:t xml:space="preserve"> </w:t>
      </w:r>
      <w:r w:rsidR="002D49DD" w:rsidRPr="00732013">
        <w:rPr>
          <w:spacing w:val="5"/>
          <w:w w:val="104"/>
          <w:lang w:val="ru-RU"/>
        </w:rPr>
        <w:t xml:space="preserve">для женщин </w:t>
      </w:r>
      <w:r w:rsidR="003A6520" w:rsidRPr="00732013">
        <w:rPr>
          <w:spacing w:val="5"/>
          <w:w w:val="104"/>
          <w:lang w:val="ru-RU"/>
        </w:rPr>
        <w:t>(</w:t>
      </w:r>
      <w:hyperlink r:id="rId16" w:history="1">
        <w:r w:rsidRPr="00732013">
          <w:rPr>
            <w:spacing w:val="5"/>
            <w:w w:val="104"/>
          </w:rPr>
          <w:t>www</w:t>
        </w:r>
        <w:r w:rsidRPr="00732013">
          <w:rPr>
            <w:spacing w:val="5"/>
            <w:w w:val="104"/>
            <w:lang w:val="ru-RU"/>
          </w:rPr>
          <w:t>.</w:t>
        </w:r>
        <w:r w:rsidRPr="00732013">
          <w:rPr>
            <w:spacing w:val="5"/>
            <w:w w:val="104"/>
          </w:rPr>
          <w:t>lygus</w:t>
        </w:r>
        <w:r w:rsidRPr="00732013">
          <w:rPr>
            <w:spacing w:val="5"/>
            <w:w w:val="104"/>
            <w:lang w:val="ru-RU"/>
          </w:rPr>
          <w:t>.</w:t>
        </w:r>
        <w:r w:rsidRPr="00732013">
          <w:rPr>
            <w:spacing w:val="5"/>
            <w:w w:val="104"/>
          </w:rPr>
          <w:t>lt</w:t>
        </w:r>
      </w:hyperlink>
      <w:r w:rsidR="003A6520" w:rsidRPr="00732013">
        <w:rPr>
          <w:spacing w:val="5"/>
          <w:w w:val="104"/>
          <w:lang w:val="ru-RU"/>
        </w:rPr>
        <w:t xml:space="preserve">), поддерживаемом </w:t>
      </w:r>
      <w:r w:rsidR="002D49DD" w:rsidRPr="00732013">
        <w:rPr>
          <w:spacing w:val="5"/>
          <w:w w:val="104"/>
          <w:lang w:val="ru-RU"/>
        </w:rPr>
        <w:t>М</w:t>
      </w:r>
      <w:r w:rsidR="003A6520" w:rsidRPr="00732013">
        <w:rPr>
          <w:spacing w:val="5"/>
          <w:w w:val="104"/>
          <w:lang w:val="ru-RU"/>
        </w:rPr>
        <w:t xml:space="preserve">инистерством социальной защиты и труда, а также на </w:t>
      </w:r>
      <w:r w:rsidR="000A2926" w:rsidRPr="00732013">
        <w:rPr>
          <w:spacing w:val="5"/>
          <w:w w:val="104"/>
          <w:lang w:val="ru-RU"/>
        </w:rPr>
        <w:t xml:space="preserve">социальной </w:t>
      </w:r>
      <w:r w:rsidR="003A6520" w:rsidRPr="00732013">
        <w:rPr>
          <w:spacing w:val="5"/>
          <w:w w:val="104"/>
          <w:lang w:val="ru-RU"/>
        </w:rPr>
        <w:t xml:space="preserve">страничке </w:t>
      </w:r>
      <w:r w:rsidR="00A17406" w:rsidRPr="00732013">
        <w:rPr>
          <w:spacing w:val="5"/>
          <w:w w:val="104"/>
          <w:lang w:val="ru-RU"/>
        </w:rPr>
        <w:t xml:space="preserve">Женского информационного </w:t>
      </w:r>
      <w:r w:rsidR="003A6520" w:rsidRPr="00732013">
        <w:rPr>
          <w:spacing w:val="5"/>
          <w:w w:val="104"/>
          <w:lang w:val="ru-RU"/>
        </w:rPr>
        <w:t>центра</w:t>
      </w:r>
      <w:r w:rsidR="000A2926" w:rsidRPr="00732013">
        <w:rPr>
          <w:color w:val="FF00FF"/>
          <w:spacing w:val="5"/>
          <w:w w:val="104"/>
          <w:lang w:val="ru-RU"/>
        </w:rPr>
        <w:t xml:space="preserve"> </w:t>
      </w:r>
      <w:r w:rsidR="000A2926" w:rsidRPr="00732013">
        <w:rPr>
          <w:spacing w:val="5"/>
          <w:w w:val="104"/>
          <w:lang w:val="ru-RU"/>
        </w:rPr>
        <w:t xml:space="preserve">в социальной сети </w:t>
      </w:r>
      <w:r w:rsidRPr="00732013">
        <w:rPr>
          <w:spacing w:val="5"/>
          <w:w w:val="104"/>
        </w:rPr>
        <w:t>Facebook</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30.</w:t>
      </w:r>
      <w:r w:rsidRPr="00732013">
        <w:rPr>
          <w:spacing w:val="5"/>
          <w:w w:val="104"/>
          <w:lang w:val="ru-RU"/>
        </w:rPr>
        <w:tab/>
      </w:r>
      <w:r w:rsidR="00095F2A" w:rsidRPr="00732013">
        <w:rPr>
          <w:spacing w:val="5"/>
          <w:w w:val="104"/>
          <w:lang w:val="ru-RU"/>
        </w:rPr>
        <w:t xml:space="preserve">В рамках </w:t>
      </w:r>
      <w:r w:rsidR="00795F3C" w:rsidRPr="00732013">
        <w:rPr>
          <w:spacing w:val="5"/>
          <w:w w:val="104"/>
          <w:lang w:val="ru-RU"/>
        </w:rPr>
        <w:t>осуществления</w:t>
      </w:r>
      <w:r w:rsidR="00095F2A" w:rsidRPr="00732013">
        <w:rPr>
          <w:spacing w:val="5"/>
          <w:w w:val="104"/>
          <w:lang w:val="ru-RU"/>
        </w:rPr>
        <w:t xml:space="preserve"> предусмотренной Программой меры</w:t>
      </w:r>
      <w:r w:rsidR="00795F3C" w:rsidRPr="00732013">
        <w:rPr>
          <w:spacing w:val="5"/>
          <w:w w:val="104"/>
          <w:lang w:val="ru-RU"/>
        </w:rPr>
        <w:t xml:space="preserve"> под названием</w:t>
      </w:r>
      <w:r w:rsidRPr="00732013">
        <w:rPr>
          <w:spacing w:val="5"/>
          <w:w w:val="104"/>
          <w:lang w:val="ru-RU"/>
        </w:rPr>
        <w:t xml:space="preserve"> </w:t>
      </w:r>
      <w:r w:rsidR="005948B5" w:rsidRPr="00732013">
        <w:rPr>
          <w:spacing w:val="5"/>
          <w:w w:val="104"/>
          <w:lang w:val="ru-RU"/>
        </w:rPr>
        <w:t>«</w:t>
      </w:r>
      <w:r w:rsidR="00795F3C" w:rsidRPr="00732013">
        <w:rPr>
          <w:spacing w:val="5"/>
          <w:w w:val="104"/>
          <w:lang w:val="ru-RU"/>
        </w:rPr>
        <w:t xml:space="preserve">Подготовка и проведение учебного курса на тему </w:t>
      </w:r>
      <w:r w:rsidR="009F0AF0" w:rsidRPr="00732013">
        <w:rPr>
          <w:spacing w:val="5"/>
          <w:w w:val="104"/>
          <w:lang w:val="ru-RU"/>
        </w:rPr>
        <w:t>"</w:t>
      </w:r>
      <w:r w:rsidR="00795F3C" w:rsidRPr="00732013">
        <w:rPr>
          <w:spacing w:val="5"/>
          <w:w w:val="104"/>
          <w:lang w:val="ru-RU"/>
        </w:rPr>
        <w:t>Представленность мужчин и женщин в литовских СМИ и литературе</w:t>
      </w:r>
      <w:r w:rsidR="00212CED" w:rsidRPr="00732013">
        <w:rPr>
          <w:spacing w:val="5"/>
          <w:w w:val="104"/>
          <w:lang w:val="ru-RU"/>
        </w:rPr>
        <w:t>: исторический и современный контексты</w:t>
      </w:r>
      <w:r w:rsidR="005948B5" w:rsidRPr="00732013">
        <w:rPr>
          <w:spacing w:val="5"/>
          <w:w w:val="104"/>
          <w:lang w:val="ru-RU"/>
        </w:rPr>
        <w:t>"»</w:t>
      </w:r>
      <w:r w:rsidR="00BF04B9" w:rsidRPr="00732013">
        <w:rPr>
          <w:rStyle w:val="FootnoteReference"/>
          <w:spacing w:val="5"/>
          <w:w w:val="104"/>
          <w:sz w:val="20"/>
        </w:rPr>
        <w:footnoteReference w:id="16"/>
      </w:r>
      <w:r w:rsidRPr="00732013">
        <w:rPr>
          <w:spacing w:val="5"/>
          <w:w w:val="104"/>
          <w:lang w:val="ru-RU"/>
        </w:rPr>
        <w:t xml:space="preserve"> </w:t>
      </w:r>
      <w:r w:rsidR="00A25FA3" w:rsidRPr="00732013">
        <w:rPr>
          <w:spacing w:val="5"/>
          <w:w w:val="104"/>
          <w:lang w:val="ru-RU"/>
        </w:rPr>
        <w:t xml:space="preserve">был разработан типовой учебный курс, </w:t>
      </w:r>
      <w:r w:rsidR="00CB3F85" w:rsidRPr="00732013">
        <w:rPr>
          <w:spacing w:val="5"/>
          <w:w w:val="104"/>
          <w:lang w:val="ru-RU"/>
        </w:rPr>
        <w:t xml:space="preserve">цель которого </w:t>
      </w:r>
      <w:r w:rsidR="004D276F" w:rsidRPr="00732013">
        <w:rPr>
          <w:spacing w:val="5"/>
          <w:w w:val="104"/>
          <w:lang w:val="ru-RU"/>
        </w:rPr>
        <w:t>–</w:t>
      </w:r>
      <w:r w:rsidR="00A25FA3" w:rsidRPr="00732013">
        <w:rPr>
          <w:spacing w:val="5"/>
          <w:w w:val="104"/>
          <w:lang w:val="ru-RU"/>
        </w:rPr>
        <w:t xml:space="preserve"> </w:t>
      </w:r>
      <w:r w:rsidR="009A4F60" w:rsidRPr="00732013">
        <w:rPr>
          <w:spacing w:val="5"/>
          <w:w w:val="104"/>
          <w:lang w:val="ru-RU"/>
        </w:rPr>
        <w:t xml:space="preserve">помочь слушателям </w:t>
      </w:r>
      <w:r w:rsidR="009A4F60" w:rsidRPr="00732013">
        <w:rPr>
          <w:spacing w:val="5"/>
          <w:w w:val="104"/>
        </w:rPr>
        <w:t>применять</w:t>
      </w:r>
      <w:r w:rsidR="009A4F60" w:rsidRPr="00732013">
        <w:rPr>
          <w:spacing w:val="5"/>
          <w:w w:val="104"/>
          <w:lang w:val="ru-RU"/>
        </w:rPr>
        <w:t xml:space="preserve"> на практике</w:t>
      </w:r>
      <w:r w:rsidR="00A25FA3" w:rsidRPr="00732013">
        <w:rPr>
          <w:spacing w:val="5"/>
          <w:w w:val="104"/>
          <w:lang w:val="ru-RU"/>
        </w:rPr>
        <w:t xml:space="preserve"> </w:t>
      </w:r>
      <w:r w:rsidR="009A4F60" w:rsidRPr="00732013">
        <w:rPr>
          <w:spacing w:val="5"/>
          <w:w w:val="104"/>
          <w:lang w:val="ru-RU"/>
        </w:rPr>
        <w:t>полученные</w:t>
      </w:r>
      <w:r w:rsidR="00C21F4D" w:rsidRPr="00732013">
        <w:rPr>
          <w:spacing w:val="5"/>
          <w:w w:val="104"/>
          <w:lang w:val="ru-RU"/>
        </w:rPr>
        <w:t xml:space="preserve"> </w:t>
      </w:r>
      <w:r w:rsidR="009A4F60" w:rsidRPr="00732013">
        <w:rPr>
          <w:spacing w:val="5"/>
          <w:w w:val="104"/>
          <w:lang w:val="ru-RU"/>
        </w:rPr>
        <w:t>знания</w:t>
      </w:r>
      <w:r w:rsidR="00C21F4D" w:rsidRPr="00732013">
        <w:rPr>
          <w:spacing w:val="5"/>
          <w:w w:val="104"/>
          <w:lang w:val="ru-RU"/>
        </w:rPr>
        <w:t xml:space="preserve"> о борьбе с гендерными стереотипами в СМИ</w:t>
      </w:r>
      <w:r w:rsidR="005F22FC" w:rsidRPr="00732013">
        <w:rPr>
          <w:spacing w:val="5"/>
          <w:w w:val="104"/>
          <w:lang w:val="ru-RU"/>
        </w:rPr>
        <w:t xml:space="preserve">, о </w:t>
      </w:r>
      <w:r w:rsidR="00354024" w:rsidRPr="00732013">
        <w:rPr>
          <w:spacing w:val="5"/>
          <w:w w:val="104"/>
          <w:lang w:val="ru-RU"/>
        </w:rPr>
        <w:t>несовпадении</w:t>
      </w:r>
      <w:r w:rsidR="005F22FC" w:rsidRPr="00732013">
        <w:rPr>
          <w:spacing w:val="5"/>
          <w:w w:val="104"/>
          <w:lang w:val="ru-RU"/>
        </w:rPr>
        <w:t xml:space="preserve"> в подходах</w:t>
      </w:r>
      <w:r w:rsidR="002276A5" w:rsidRPr="00732013">
        <w:rPr>
          <w:spacing w:val="5"/>
          <w:w w:val="104"/>
          <w:lang w:val="ru-RU"/>
        </w:rPr>
        <w:t xml:space="preserve"> </w:t>
      </w:r>
      <w:r w:rsidR="005F22FC" w:rsidRPr="00732013">
        <w:rPr>
          <w:spacing w:val="5"/>
          <w:w w:val="104"/>
          <w:lang w:val="ru-RU"/>
        </w:rPr>
        <w:t>общенациональных и региональных</w:t>
      </w:r>
      <w:r w:rsidR="002276A5" w:rsidRPr="00732013">
        <w:rPr>
          <w:spacing w:val="5"/>
          <w:w w:val="104"/>
          <w:lang w:val="ru-RU"/>
        </w:rPr>
        <w:t xml:space="preserve"> СМИ</w:t>
      </w:r>
      <w:r w:rsidR="009C5CCE" w:rsidRPr="00732013">
        <w:rPr>
          <w:spacing w:val="5"/>
          <w:w w:val="104"/>
          <w:lang w:val="ru-RU"/>
        </w:rPr>
        <w:t xml:space="preserve"> в Литве и</w:t>
      </w:r>
      <w:r w:rsidR="00354024" w:rsidRPr="00732013">
        <w:rPr>
          <w:spacing w:val="5"/>
          <w:w w:val="104"/>
          <w:lang w:val="ru-RU"/>
        </w:rPr>
        <w:t xml:space="preserve"> о</w:t>
      </w:r>
      <w:r w:rsidR="009C5CCE" w:rsidRPr="00732013">
        <w:rPr>
          <w:spacing w:val="5"/>
          <w:w w:val="104"/>
          <w:lang w:val="ru-RU"/>
        </w:rPr>
        <w:t xml:space="preserve"> возможных путях скорейшего достижения фактического </w:t>
      </w:r>
      <w:r w:rsidR="00CB3F85" w:rsidRPr="00732013">
        <w:rPr>
          <w:spacing w:val="5"/>
          <w:w w:val="104"/>
          <w:lang w:val="ru-RU"/>
        </w:rPr>
        <w:t xml:space="preserve">гендерного </w:t>
      </w:r>
      <w:r w:rsidR="009C5CCE" w:rsidRPr="00732013">
        <w:rPr>
          <w:spacing w:val="5"/>
          <w:w w:val="104"/>
          <w:lang w:val="ru-RU"/>
        </w:rPr>
        <w:t>равенства.</w:t>
      </w:r>
      <w:r w:rsidR="00CB3F85" w:rsidRPr="00732013">
        <w:rPr>
          <w:spacing w:val="5"/>
          <w:w w:val="104"/>
          <w:lang w:val="ru-RU"/>
        </w:rPr>
        <w:t xml:space="preserve"> Первый учебный семинар состоялся в октябре</w:t>
      </w:r>
      <w:r w:rsidR="00712501" w:rsidRPr="00732013">
        <w:rPr>
          <w:spacing w:val="5"/>
          <w:w w:val="104"/>
          <w:lang w:val="ru-RU"/>
        </w:rPr>
        <w:t xml:space="preserve"> </w:t>
      </w:r>
      <w:r w:rsidRPr="00732013">
        <w:rPr>
          <w:spacing w:val="5"/>
          <w:w w:val="104"/>
          <w:lang w:val="ru-RU"/>
        </w:rPr>
        <w:t>2013</w:t>
      </w:r>
      <w:r w:rsidR="008055A1" w:rsidRPr="00732013">
        <w:rPr>
          <w:spacing w:val="5"/>
          <w:w w:val="104"/>
          <w:lang w:val="en-US"/>
        </w:rPr>
        <w:t> </w:t>
      </w:r>
      <w:r w:rsidR="008055A1" w:rsidRPr="00732013">
        <w:rPr>
          <w:spacing w:val="5"/>
          <w:w w:val="104"/>
          <w:lang w:val="ru-RU"/>
        </w:rPr>
        <w:t>год</w:t>
      </w:r>
      <w:r w:rsidR="00CB3F85" w:rsidRPr="00732013">
        <w:rPr>
          <w:spacing w:val="5"/>
          <w:w w:val="104"/>
          <w:lang w:val="ru-RU"/>
        </w:rPr>
        <w:t>а</w:t>
      </w:r>
      <w:r w:rsidRPr="00732013">
        <w:rPr>
          <w:spacing w:val="5"/>
          <w:w w:val="104"/>
          <w:lang w:val="ru-RU"/>
        </w:rPr>
        <w:t>.</w:t>
      </w:r>
      <w:r w:rsidR="00AE3ED8"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31.</w:t>
      </w:r>
      <w:r w:rsidRPr="00732013">
        <w:rPr>
          <w:spacing w:val="5"/>
          <w:w w:val="104"/>
          <w:lang w:val="ru-RU"/>
        </w:rPr>
        <w:tab/>
      </w:r>
      <w:r w:rsidR="00CB3F85" w:rsidRPr="00732013">
        <w:rPr>
          <w:spacing w:val="5"/>
          <w:w w:val="104"/>
          <w:lang w:val="ru-RU"/>
        </w:rPr>
        <w:t xml:space="preserve">Комитет </w:t>
      </w:r>
      <w:r w:rsidR="00B92806" w:rsidRPr="00732013">
        <w:rPr>
          <w:spacing w:val="5"/>
          <w:w w:val="104"/>
          <w:lang w:val="ru-RU"/>
        </w:rPr>
        <w:t>просил</w:t>
      </w:r>
      <w:r w:rsidR="00CB3F85" w:rsidRPr="00732013">
        <w:rPr>
          <w:spacing w:val="5"/>
          <w:w w:val="104"/>
          <w:lang w:val="ru-RU"/>
        </w:rPr>
        <w:t xml:space="preserve"> пред</w:t>
      </w:r>
      <w:r w:rsidR="00C84D94" w:rsidRPr="00732013">
        <w:rPr>
          <w:spacing w:val="5"/>
          <w:w w:val="104"/>
          <w:lang w:val="ru-RU"/>
        </w:rPr>
        <w:t>о</w:t>
      </w:r>
      <w:r w:rsidR="00CB3F85" w:rsidRPr="00732013">
        <w:rPr>
          <w:spacing w:val="5"/>
          <w:w w:val="104"/>
          <w:lang w:val="ru-RU"/>
        </w:rPr>
        <w:t xml:space="preserve">ставить </w:t>
      </w:r>
      <w:r w:rsidR="00C84D94" w:rsidRPr="00732013">
        <w:rPr>
          <w:spacing w:val="5"/>
          <w:w w:val="104"/>
          <w:lang w:val="ru-RU"/>
        </w:rPr>
        <w:t>более подробные сведения</w:t>
      </w:r>
      <w:r w:rsidR="00CB3F85" w:rsidRPr="00732013">
        <w:rPr>
          <w:spacing w:val="5"/>
          <w:w w:val="104"/>
          <w:lang w:val="ru-RU"/>
        </w:rPr>
        <w:t xml:space="preserve"> о такой мере, как</w:t>
      </w:r>
      <w:r w:rsidR="00AE3ED8" w:rsidRPr="00732013">
        <w:rPr>
          <w:color w:val="999999"/>
          <w:spacing w:val="5"/>
          <w:w w:val="104"/>
          <w:lang w:val="ru-RU"/>
        </w:rPr>
        <w:t xml:space="preserve"> </w:t>
      </w:r>
      <w:r w:rsidR="009F0AF0" w:rsidRPr="00732013">
        <w:rPr>
          <w:spacing w:val="5"/>
          <w:w w:val="104"/>
          <w:lang w:val="ru-RU"/>
        </w:rPr>
        <w:t>"</w:t>
      </w:r>
      <w:r w:rsidR="000224DB" w:rsidRPr="00732013">
        <w:rPr>
          <w:spacing w:val="5"/>
          <w:w w:val="104"/>
          <w:lang w:val="ru-RU"/>
        </w:rPr>
        <w:t>Организация учебных курсов для представителей СМИ</w:t>
      </w:r>
      <w:r w:rsidR="00F10182" w:rsidRPr="00732013">
        <w:rPr>
          <w:spacing w:val="5"/>
          <w:w w:val="104"/>
          <w:lang w:val="ru-RU"/>
        </w:rPr>
        <w:t xml:space="preserve"> в целях формирования </w:t>
      </w:r>
      <w:r w:rsidR="00AB7691" w:rsidRPr="00732013">
        <w:rPr>
          <w:spacing w:val="5"/>
          <w:w w:val="104"/>
          <w:lang w:val="ru-RU"/>
        </w:rPr>
        <w:t xml:space="preserve">непредвзятого </w:t>
      </w:r>
      <w:r w:rsidR="00F10182" w:rsidRPr="00732013">
        <w:rPr>
          <w:spacing w:val="5"/>
          <w:w w:val="104"/>
          <w:lang w:val="ru-RU"/>
        </w:rPr>
        <w:t>и свободного от дискриминации образа мужчин и женщин</w:t>
      </w:r>
      <w:r w:rsidR="009F0AF0" w:rsidRPr="00732013">
        <w:rPr>
          <w:spacing w:val="5"/>
          <w:w w:val="104"/>
          <w:lang w:val="ru-RU"/>
        </w:rPr>
        <w:t xml:space="preserve"> </w:t>
      </w:r>
      <w:r w:rsidR="00ED1E18" w:rsidRPr="00732013">
        <w:rPr>
          <w:spacing w:val="5"/>
          <w:w w:val="104"/>
          <w:lang w:val="ru-RU"/>
        </w:rPr>
        <w:t>в СМИ</w:t>
      </w:r>
      <w:r w:rsidR="009F0AF0" w:rsidRPr="00732013">
        <w:rPr>
          <w:spacing w:val="5"/>
          <w:w w:val="104"/>
          <w:lang w:val="ru-RU"/>
        </w:rPr>
        <w:t>"</w:t>
      </w:r>
      <w:r w:rsidRPr="00732013">
        <w:rPr>
          <w:spacing w:val="5"/>
          <w:w w:val="104"/>
          <w:lang w:val="ru-RU"/>
        </w:rPr>
        <w:t xml:space="preserve">. </w:t>
      </w:r>
      <w:r w:rsidR="00B92806" w:rsidRPr="00732013">
        <w:rPr>
          <w:spacing w:val="5"/>
          <w:w w:val="104"/>
          <w:lang w:val="ru-RU"/>
        </w:rPr>
        <w:t>В</w:t>
      </w:r>
      <w:r w:rsidR="00E5613A" w:rsidRPr="00732013">
        <w:rPr>
          <w:spacing w:val="5"/>
          <w:w w:val="104"/>
          <w:lang w:val="en-US"/>
        </w:rPr>
        <w:t> </w:t>
      </w:r>
      <w:r w:rsidR="00B92806" w:rsidRPr="00732013">
        <w:rPr>
          <w:spacing w:val="5"/>
          <w:w w:val="104"/>
          <w:lang w:val="ru-RU"/>
        </w:rPr>
        <w:t xml:space="preserve">ходе осуществления данной меры Канцелярия </w:t>
      </w:r>
      <w:r w:rsidR="002342C2" w:rsidRPr="00732013">
        <w:rPr>
          <w:spacing w:val="5"/>
          <w:w w:val="104"/>
          <w:lang w:val="ru-RU"/>
        </w:rPr>
        <w:t xml:space="preserve">Омбудсмена </w:t>
      </w:r>
      <w:r w:rsidR="00AF38B8" w:rsidRPr="00732013">
        <w:rPr>
          <w:spacing w:val="5"/>
          <w:w w:val="104"/>
          <w:lang w:val="ru-RU"/>
        </w:rPr>
        <w:t>по вопросам равных возможностей организовала семинар на тему</w:t>
      </w:r>
      <w:r w:rsidRPr="00732013">
        <w:rPr>
          <w:spacing w:val="5"/>
          <w:w w:val="104"/>
          <w:lang w:val="ru-RU"/>
        </w:rPr>
        <w:t xml:space="preserve"> </w:t>
      </w:r>
      <w:r w:rsidR="009F0AF0" w:rsidRPr="00732013">
        <w:rPr>
          <w:spacing w:val="5"/>
          <w:w w:val="104"/>
          <w:lang w:val="ru-RU"/>
        </w:rPr>
        <w:t>"</w:t>
      </w:r>
      <w:r w:rsidR="00AF38B8" w:rsidRPr="00732013">
        <w:rPr>
          <w:spacing w:val="5"/>
          <w:w w:val="104"/>
          <w:lang w:val="ru-RU"/>
        </w:rPr>
        <w:t>Воздействие СМИ на осведомленность о дискриминации и личная ответственность журналиста</w:t>
      </w:r>
      <w:r w:rsidR="009F0AF0" w:rsidRPr="00732013">
        <w:rPr>
          <w:spacing w:val="5"/>
          <w:w w:val="104"/>
          <w:lang w:val="ru-RU"/>
        </w:rPr>
        <w:t>"</w:t>
      </w:r>
      <w:r w:rsidRPr="00732013">
        <w:rPr>
          <w:spacing w:val="5"/>
          <w:w w:val="104"/>
          <w:lang w:val="ru-RU"/>
        </w:rPr>
        <w:t xml:space="preserve"> </w:t>
      </w:r>
      <w:r w:rsidR="00B86BB2" w:rsidRPr="00732013">
        <w:rPr>
          <w:spacing w:val="5"/>
          <w:w w:val="104"/>
          <w:lang w:val="ru-RU"/>
        </w:rPr>
        <w:t>для представителей медиа-сообщества Западной и Северной Литвы</w:t>
      </w:r>
      <w:r w:rsidR="00030B53" w:rsidRPr="00732013">
        <w:rPr>
          <w:spacing w:val="5"/>
          <w:w w:val="104"/>
          <w:lang w:val="ru-RU"/>
        </w:rPr>
        <w:t>, состоявшийся 28</w:t>
      </w:r>
      <w:r w:rsidR="00AB7691" w:rsidRPr="00732013">
        <w:rPr>
          <w:spacing w:val="5"/>
          <w:w w:val="104"/>
          <w:lang w:val="ru-RU"/>
        </w:rPr>
        <w:t> </w:t>
      </w:r>
      <w:r w:rsidR="00030B53" w:rsidRPr="00732013">
        <w:rPr>
          <w:spacing w:val="5"/>
          <w:w w:val="104"/>
          <w:lang w:val="ru-RU"/>
        </w:rPr>
        <w:t>ноября 2012</w:t>
      </w:r>
      <w:r w:rsidR="008055A1" w:rsidRPr="00732013">
        <w:rPr>
          <w:spacing w:val="5"/>
          <w:w w:val="104"/>
          <w:lang w:val="ru-RU"/>
        </w:rPr>
        <w:t> год</w:t>
      </w:r>
      <w:r w:rsidR="00030B53" w:rsidRPr="00732013">
        <w:rPr>
          <w:spacing w:val="5"/>
          <w:w w:val="104"/>
          <w:lang w:val="ru-RU"/>
        </w:rPr>
        <w:t>а в Клайпеде.</w:t>
      </w:r>
      <w:r w:rsidR="00C9035B" w:rsidRPr="00732013">
        <w:rPr>
          <w:spacing w:val="5"/>
          <w:w w:val="104"/>
          <w:lang w:val="ru-RU"/>
        </w:rPr>
        <w:t xml:space="preserve"> 19–</w:t>
      </w:r>
      <w:r w:rsidRPr="00732013">
        <w:rPr>
          <w:spacing w:val="5"/>
          <w:w w:val="104"/>
          <w:lang w:val="ru-RU"/>
        </w:rPr>
        <w:t>20</w:t>
      </w:r>
      <w:r w:rsidR="00AB7691" w:rsidRPr="00732013">
        <w:rPr>
          <w:spacing w:val="5"/>
          <w:w w:val="104"/>
          <w:lang w:val="ru-RU"/>
        </w:rPr>
        <w:t> </w:t>
      </w:r>
      <w:r w:rsidR="00C9035B" w:rsidRPr="00732013">
        <w:rPr>
          <w:spacing w:val="5"/>
          <w:w w:val="104"/>
          <w:lang w:val="ru-RU"/>
        </w:rPr>
        <w:t>декабря</w:t>
      </w:r>
      <w:r w:rsidRPr="00732013">
        <w:rPr>
          <w:spacing w:val="5"/>
          <w:w w:val="104"/>
          <w:lang w:val="ru-RU"/>
        </w:rPr>
        <w:t xml:space="preserve"> 2013</w:t>
      </w:r>
      <w:r w:rsidR="008055A1" w:rsidRPr="00732013">
        <w:rPr>
          <w:spacing w:val="5"/>
          <w:w w:val="104"/>
          <w:lang w:val="ru-RU"/>
        </w:rPr>
        <w:t> год</w:t>
      </w:r>
      <w:r w:rsidR="00C9035B" w:rsidRPr="00732013">
        <w:rPr>
          <w:spacing w:val="5"/>
          <w:w w:val="104"/>
          <w:lang w:val="ru-RU"/>
        </w:rPr>
        <w:t xml:space="preserve">а Канцелярия </w:t>
      </w:r>
      <w:r w:rsidR="002342C2" w:rsidRPr="00732013">
        <w:rPr>
          <w:spacing w:val="5"/>
          <w:w w:val="104"/>
          <w:lang w:val="ru-RU"/>
        </w:rPr>
        <w:t xml:space="preserve">Омбудсмена </w:t>
      </w:r>
      <w:r w:rsidR="00C9035B" w:rsidRPr="00732013">
        <w:rPr>
          <w:spacing w:val="5"/>
          <w:w w:val="104"/>
          <w:lang w:val="ru-RU"/>
        </w:rPr>
        <w:t>организовала учебны</w:t>
      </w:r>
      <w:r w:rsidR="003C79E4" w:rsidRPr="00732013">
        <w:rPr>
          <w:spacing w:val="5"/>
          <w:w w:val="104"/>
          <w:lang w:val="ru-RU"/>
        </w:rPr>
        <w:t xml:space="preserve">й семинар </w:t>
      </w:r>
      <w:r w:rsidR="00C9035B" w:rsidRPr="00732013">
        <w:rPr>
          <w:spacing w:val="5"/>
          <w:w w:val="104"/>
          <w:lang w:val="ru-RU"/>
        </w:rPr>
        <w:t>для представителей региональных СМИ на тему</w:t>
      </w:r>
      <w:r w:rsidRPr="00732013">
        <w:rPr>
          <w:spacing w:val="5"/>
          <w:w w:val="104"/>
          <w:lang w:val="ru-RU"/>
        </w:rPr>
        <w:t xml:space="preserve"> </w:t>
      </w:r>
      <w:r w:rsidR="009F0AF0" w:rsidRPr="00732013">
        <w:rPr>
          <w:spacing w:val="5"/>
          <w:w w:val="104"/>
          <w:lang w:val="ru-RU"/>
        </w:rPr>
        <w:t>"</w:t>
      </w:r>
      <w:r w:rsidR="003C79E4" w:rsidRPr="00732013">
        <w:rPr>
          <w:spacing w:val="5"/>
          <w:w w:val="104"/>
          <w:lang w:val="ru-RU"/>
        </w:rPr>
        <w:t>Дилемма гендерной дискриминации: роль СМИ</w:t>
      </w:r>
      <w:r w:rsidR="009F0AF0" w:rsidRPr="00732013">
        <w:rPr>
          <w:spacing w:val="5"/>
          <w:w w:val="104"/>
          <w:lang w:val="ru-RU"/>
        </w:rPr>
        <w:t>"</w:t>
      </w:r>
      <w:r w:rsidRPr="00732013">
        <w:rPr>
          <w:spacing w:val="5"/>
          <w:w w:val="104"/>
          <w:lang w:val="ru-RU"/>
        </w:rPr>
        <w:t xml:space="preserve">. </w:t>
      </w:r>
      <w:r w:rsidR="003C79E4" w:rsidRPr="00732013">
        <w:rPr>
          <w:spacing w:val="5"/>
          <w:w w:val="104"/>
          <w:lang w:val="ru-RU"/>
        </w:rPr>
        <w:t xml:space="preserve">Семинар стал первым </w:t>
      </w:r>
      <w:r w:rsidR="0025271B" w:rsidRPr="00732013">
        <w:rPr>
          <w:spacing w:val="5"/>
          <w:w w:val="104"/>
          <w:lang w:val="ru-RU"/>
        </w:rPr>
        <w:t xml:space="preserve">этапом </w:t>
      </w:r>
      <w:r w:rsidR="000601D6" w:rsidRPr="00732013">
        <w:rPr>
          <w:spacing w:val="5"/>
          <w:w w:val="104"/>
          <w:lang w:val="ru-RU"/>
        </w:rPr>
        <w:t>комплексной</w:t>
      </w:r>
      <w:r w:rsidR="0025271B" w:rsidRPr="00732013">
        <w:rPr>
          <w:spacing w:val="5"/>
          <w:w w:val="104"/>
          <w:lang w:val="ru-RU"/>
        </w:rPr>
        <w:t xml:space="preserve"> </w:t>
      </w:r>
      <w:r w:rsidR="000601D6" w:rsidRPr="00732013">
        <w:rPr>
          <w:spacing w:val="5"/>
          <w:w w:val="104"/>
          <w:lang w:val="ru-RU"/>
        </w:rPr>
        <w:t>подгото</w:t>
      </w:r>
      <w:r w:rsidR="00E827D0" w:rsidRPr="00732013">
        <w:rPr>
          <w:spacing w:val="5"/>
          <w:w w:val="104"/>
          <w:lang w:val="ru-RU"/>
        </w:rPr>
        <w:t>в</w:t>
      </w:r>
      <w:r w:rsidR="000601D6" w:rsidRPr="00732013">
        <w:rPr>
          <w:spacing w:val="5"/>
          <w:w w:val="104"/>
          <w:lang w:val="ru-RU"/>
        </w:rPr>
        <w:t>ки</w:t>
      </w:r>
      <w:r w:rsidR="0025271B" w:rsidRPr="00732013">
        <w:rPr>
          <w:spacing w:val="5"/>
          <w:w w:val="104"/>
          <w:lang w:val="ru-RU"/>
        </w:rPr>
        <w:t>, призванн</w:t>
      </w:r>
      <w:r w:rsidR="00E827D0" w:rsidRPr="00732013">
        <w:rPr>
          <w:spacing w:val="5"/>
          <w:w w:val="104"/>
          <w:lang w:val="ru-RU"/>
        </w:rPr>
        <w:t>ой</w:t>
      </w:r>
      <w:r w:rsidR="0025271B" w:rsidRPr="00732013">
        <w:rPr>
          <w:spacing w:val="5"/>
          <w:w w:val="104"/>
          <w:lang w:val="ru-RU"/>
        </w:rPr>
        <w:t xml:space="preserve"> повысить осведомленность</w:t>
      </w:r>
      <w:r w:rsidR="00E827D0" w:rsidRPr="00732013">
        <w:rPr>
          <w:spacing w:val="5"/>
          <w:w w:val="104"/>
          <w:lang w:val="ru-RU"/>
        </w:rPr>
        <w:t xml:space="preserve">, предоставить знания и содействовать </w:t>
      </w:r>
      <w:r w:rsidR="00091341" w:rsidRPr="00732013">
        <w:rPr>
          <w:spacing w:val="5"/>
          <w:w w:val="104"/>
          <w:lang w:val="ru-RU"/>
        </w:rPr>
        <w:t xml:space="preserve">актуализации </w:t>
      </w:r>
      <w:r w:rsidR="00AB7691" w:rsidRPr="00732013">
        <w:rPr>
          <w:spacing w:val="5"/>
          <w:w w:val="104"/>
          <w:lang w:val="ru-RU"/>
        </w:rPr>
        <w:t xml:space="preserve">гендерной тематики </w:t>
      </w:r>
      <w:r w:rsidR="00091341" w:rsidRPr="00732013">
        <w:rPr>
          <w:spacing w:val="5"/>
          <w:w w:val="104"/>
          <w:lang w:val="ru-RU"/>
        </w:rPr>
        <w:t>в СМИ</w:t>
      </w:r>
      <w:r w:rsidRPr="00732013">
        <w:rPr>
          <w:spacing w:val="5"/>
          <w:w w:val="104"/>
          <w:lang w:val="ru-RU"/>
        </w:rPr>
        <w:t>.</w:t>
      </w:r>
      <w:r w:rsidR="00A92EFB" w:rsidRPr="00732013">
        <w:rPr>
          <w:spacing w:val="5"/>
          <w:w w:val="104"/>
          <w:lang w:val="ru-RU"/>
        </w:rPr>
        <w:t xml:space="preserve"> Были представлены и обсуждены такие темы, как</w:t>
      </w:r>
      <w:r w:rsidRPr="00732013">
        <w:rPr>
          <w:spacing w:val="5"/>
          <w:w w:val="104"/>
          <w:lang w:val="ru-RU"/>
        </w:rPr>
        <w:t xml:space="preserve"> </w:t>
      </w:r>
      <w:r w:rsidR="009F0AF0" w:rsidRPr="00732013">
        <w:rPr>
          <w:spacing w:val="5"/>
          <w:w w:val="104"/>
          <w:lang w:val="ru-RU"/>
        </w:rPr>
        <w:t>"</w:t>
      </w:r>
      <w:r w:rsidR="00705803" w:rsidRPr="00732013">
        <w:rPr>
          <w:spacing w:val="5"/>
          <w:w w:val="104"/>
          <w:lang w:val="ru-RU"/>
        </w:rPr>
        <w:t>Регулирование положений о равных возможностях мужчин и женщин в ЕС и Литве</w:t>
      </w:r>
      <w:r w:rsidR="00AB7691" w:rsidRPr="00732013">
        <w:rPr>
          <w:spacing w:val="5"/>
          <w:w w:val="104"/>
          <w:lang w:val="ru-RU"/>
        </w:rPr>
        <w:t>:</w:t>
      </w:r>
      <w:r w:rsidR="00705803" w:rsidRPr="00732013">
        <w:rPr>
          <w:spacing w:val="5"/>
          <w:w w:val="104"/>
          <w:lang w:val="ru-RU"/>
        </w:rPr>
        <w:t xml:space="preserve"> </w:t>
      </w:r>
      <w:r w:rsidR="00AB7691" w:rsidRPr="00732013">
        <w:rPr>
          <w:spacing w:val="5"/>
          <w:w w:val="104"/>
          <w:lang w:val="ru-RU"/>
        </w:rPr>
        <w:t>п</w:t>
      </w:r>
      <w:r w:rsidR="00705803" w:rsidRPr="00732013">
        <w:rPr>
          <w:spacing w:val="5"/>
          <w:w w:val="104"/>
          <w:lang w:val="ru-RU"/>
        </w:rPr>
        <w:t>равовые аспекты</w:t>
      </w:r>
      <w:r w:rsidR="009F0AF0" w:rsidRPr="00732013">
        <w:rPr>
          <w:spacing w:val="5"/>
          <w:w w:val="104"/>
          <w:lang w:val="ru-RU"/>
        </w:rPr>
        <w:t>"</w:t>
      </w:r>
      <w:r w:rsidRPr="00732013">
        <w:rPr>
          <w:spacing w:val="5"/>
          <w:w w:val="104"/>
          <w:lang w:val="ru-RU"/>
        </w:rPr>
        <w:t xml:space="preserve">, </w:t>
      </w:r>
      <w:r w:rsidR="009F0AF0" w:rsidRPr="00732013">
        <w:rPr>
          <w:spacing w:val="5"/>
          <w:w w:val="104"/>
          <w:lang w:val="ru-RU"/>
        </w:rPr>
        <w:t>"</w:t>
      </w:r>
      <w:r w:rsidR="00CD4080" w:rsidRPr="00732013">
        <w:rPr>
          <w:spacing w:val="5"/>
          <w:w w:val="104"/>
          <w:lang w:val="ru-RU"/>
        </w:rPr>
        <w:t>Механизмы</w:t>
      </w:r>
      <w:r w:rsidR="002D1ED0" w:rsidRPr="00732013">
        <w:rPr>
          <w:spacing w:val="5"/>
          <w:w w:val="104"/>
          <w:lang w:val="ru-RU"/>
        </w:rPr>
        <w:t xml:space="preserve"> формирования, поддержки</w:t>
      </w:r>
      <w:r w:rsidR="000C446D" w:rsidRPr="00732013">
        <w:rPr>
          <w:spacing w:val="5"/>
          <w:w w:val="104"/>
          <w:lang w:val="ru-RU"/>
        </w:rPr>
        <w:t xml:space="preserve"> и изменения дискриминационной системы</w:t>
      </w:r>
      <w:r w:rsidR="009F0AF0" w:rsidRPr="00732013">
        <w:rPr>
          <w:spacing w:val="5"/>
          <w:w w:val="104"/>
          <w:lang w:val="ru-RU"/>
        </w:rPr>
        <w:t>"</w:t>
      </w:r>
      <w:r w:rsidRPr="00732013">
        <w:rPr>
          <w:spacing w:val="5"/>
          <w:w w:val="104"/>
          <w:lang w:val="ru-RU"/>
        </w:rPr>
        <w:t xml:space="preserve">, </w:t>
      </w:r>
      <w:r w:rsidR="009F0AF0" w:rsidRPr="00732013">
        <w:rPr>
          <w:spacing w:val="5"/>
          <w:w w:val="104"/>
          <w:lang w:val="ru-RU"/>
        </w:rPr>
        <w:t>"</w:t>
      </w:r>
      <w:r w:rsidR="00EE7E0A" w:rsidRPr="00732013">
        <w:rPr>
          <w:spacing w:val="5"/>
          <w:w w:val="104"/>
          <w:lang w:val="ru-RU"/>
        </w:rPr>
        <w:t>Образы женственности и мужественности в СМИ</w:t>
      </w:r>
      <w:r w:rsidR="009F0AF0" w:rsidRPr="00732013">
        <w:rPr>
          <w:spacing w:val="5"/>
          <w:w w:val="104"/>
          <w:lang w:val="ru-RU"/>
        </w:rPr>
        <w:t>"</w:t>
      </w:r>
      <w:r w:rsidR="00A24E9A" w:rsidRPr="00732013">
        <w:rPr>
          <w:spacing w:val="5"/>
          <w:w w:val="104"/>
          <w:lang w:val="ru-RU"/>
        </w:rPr>
        <w:t xml:space="preserve">, </w:t>
      </w:r>
      <w:r w:rsidR="009F0AF0" w:rsidRPr="00732013">
        <w:rPr>
          <w:spacing w:val="5"/>
          <w:w w:val="104"/>
          <w:lang w:val="ru-RU"/>
        </w:rPr>
        <w:t>"</w:t>
      </w:r>
      <w:r w:rsidR="00A24E9A" w:rsidRPr="00732013">
        <w:rPr>
          <w:spacing w:val="5"/>
          <w:w w:val="104"/>
          <w:lang w:val="ru-RU"/>
        </w:rPr>
        <w:t xml:space="preserve">Разрушение </w:t>
      </w:r>
      <w:r w:rsidR="00AB7691" w:rsidRPr="00732013">
        <w:rPr>
          <w:spacing w:val="5"/>
          <w:w w:val="104"/>
          <w:lang w:val="ru-RU"/>
        </w:rPr>
        <w:t>сложивши</w:t>
      </w:r>
      <w:r w:rsidR="00CD4080" w:rsidRPr="00732013">
        <w:rPr>
          <w:spacing w:val="5"/>
          <w:w w:val="104"/>
          <w:lang w:val="ru-RU"/>
        </w:rPr>
        <w:t>х</w:t>
      </w:r>
      <w:r w:rsidR="00AB7691" w:rsidRPr="00732013">
        <w:rPr>
          <w:spacing w:val="5"/>
          <w:w w:val="104"/>
          <w:lang w:val="ru-RU"/>
        </w:rPr>
        <w:t>ся</w:t>
      </w:r>
      <w:r w:rsidR="00A24E9A" w:rsidRPr="00732013">
        <w:rPr>
          <w:spacing w:val="5"/>
          <w:w w:val="104"/>
          <w:lang w:val="ru-RU"/>
        </w:rPr>
        <w:t xml:space="preserve"> вербальных и визуальных гендерных стереотипов</w:t>
      </w:r>
      <w:r w:rsidR="009F0AF0" w:rsidRPr="00732013">
        <w:rPr>
          <w:spacing w:val="5"/>
          <w:w w:val="104"/>
          <w:lang w:val="ru-RU"/>
        </w:rPr>
        <w:t>"</w:t>
      </w:r>
      <w:r w:rsidRPr="00732013">
        <w:rPr>
          <w:spacing w:val="5"/>
          <w:w w:val="104"/>
          <w:lang w:val="ru-RU"/>
        </w:rPr>
        <w:t xml:space="preserve">. </w:t>
      </w:r>
      <w:r w:rsidR="00CF41EC" w:rsidRPr="00732013">
        <w:rPr>
          <w:spacing w:val="5"/>
          <w:w w:val="104"/>
          <w:lang w:val="ru-RU"/>
        </w:rPr>
        <w:t xml:space="preserve">Участники обсудили </w:t>
      </w:r>
      <w:r w:rsidR="00AB7691" w:rsidRPr="00732013">
        <w:rPr>
          <w:spacing w:val="5"/>
          <w:w w:val="104"/>
          <w:lang w:val="ru-RU"/>
        </w:rPr>
        <w:t xml:space="preserve">выражение </w:t>
      </w:r>
      <w:r w:rsidR="009F0AF0" w:rsidRPr="00732013">
        <w:rPr>
          <w:spacing w:val="5"/>
          <w:w w:val="104"/>
          <w:lang w:val="ru-RU"/>
        </w:rPr>
        <w:t>"</w:t>
      </w:r>
      <w:r w:rsidR="00113044" w:rsidRPr="00732013">
        <w:rPr>
          <w:spacing w:val="5"/>
          <w:w w:val="104"/>
          <w:lang w:val="ru-RU"/>
        </w:rPr>
        <w:t>гендерные роли</w:t>
      </w:r>
      <w:r w:rsidR="009F0AF0" w:rsidRPr="00732013">
        <w:rPr>
          <w:spacing w:val="5"/>
          <w:w w:val="104"/>
          <w:lang w:val="ru-RU"/>
        </w:rPr>
        <w:t xml:space="preserve">" </w:t>
      </w:r>
      <w:r w:rsidR="00113044" w:rsidRPr="00732013">
        <w:rPr>
          <w:spacing w:val="5"/>
          <w:w w:val="104"/>
          <w:lang w:val="ru-RU"/>
        </w:rPr>
        <w:t>и его значение</w:t>
      </w:r>
      <w:r w:rsidR="0047102A" w:rsidRPr="00732013">
        <w:rPr>
          <w:spacing w:val="5"/>
          <w:w w:val="104"/>
          <w:lang w:val="ru-RU"/>
        </w:rPr>
        <w:t xml:space="preserve"> в современном контексте, а также проанализировали визуальный материал в прессе</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32.</w:t>
      </w:r>
      <w:r w:rsidRPr="00732013">
        <w:rPr>
          <w:spacing w:val="5"/>
          <w:w w:val="104"/>
          <w:lang w:val="ru-RU"/>
        </w:rPr>
        <w:tab/>
      </w:r>
      <w:r w:rsidR="00C90F16" w:rsidRPr="00732013">
        <w:rPr>
          <w:spacing w:val="5"/>
          <w:w w:val="104"/>
          <w:lang w:val="ru-RU"/>
        </w:rPr>
        <w:t>Предусмотренные Программой долгосрочные и постоянные меры</w:t>
      </w:r>
      <w:r w:rsidR="007174CA" w:rsidRPr="00732013">
        <w:rPr>
          <w:spacing w:val="5"/>
          <w:w w:val="104"/>
          <w:lang w:val="ru-RU"/>
        </w:rPr>
        <w:t xml:space="preserve">, в том числе по повышению осведомленности, </w:t>
      </w:r>
      <w:r w:rsidR="00AB7691" w:rsidRPr="00732013">
        <w:rPr>
          <w:spacing w:val="5"/>
          <w:w w:val="104"/>
          <w:lang w:val="ru-RU"/>
        </w:rPr>
        <w:t xml:space="preserve">адресованные </w:t>
      </w:r>
      <w:r w:rsidR="007174CA" w:rsidRPr="00732013">
        <w:rPr>
          <w:spacing w:val="5"/>
          <w:w w:val="104"/>
          <w:lang w:val="ru-RU"/>
        </w:rPr>
        <w:t xml:space="preserve">СМИ, </w:t>
      </w:r>
      <w:r w:rsidR="004E4D43" w:rsidRPr="00732013">
        <w:rPr>
          <w:spacing w:val="5"/>
          <w:w w:val="104"/>
          <w:lang w:val="ru-RU"/>
        </w:rPr>
        <w:t>дают</w:t>
      </w:r>
      <w:r w:rsidR="007174CA" w:rsidRPr="00732013">
        <w:rPr>
          <w:spacing w:val="5"/>
          <w:w w:val="104"/>
          <w:lang w:val="ru-RU"/>
        </w:rPr>
        <w:t xml:space="preserve"> положительные результаты</w:t>
      </w:r>
      <w:r w:rsidR="003B4343" w:rsidRPr="00732013">
        <w:rPr>
          <w:spacing w:val="5"/>
          <w:w w:val="104"/>
          <w:lang w:val="ru-RU"/>
        </w:rPr>
        <w:t xml:space="preserve">, </w:t>
      </w:r>
      <w:r w:rsidR="00AB7691" w:rsidRPr="00732013">
        <w:rPr>
          <w:spacing w:val="5"/>
          <w:w w:val="104"/>
          <w:lang w:val="ru-RU"/>
        </w:rPr>
        <w:t>что продемонстрировала</w:t>
      </w:r>
      <w:r w:rsidR="003B4343" w:rsidRPr="00732013">
        <w:rPr>
          <w:spacing w:val="5"/>
          <w:w w:val="104"/>
          <w:lang w:val="ru-RU"/>
        </w:rPr>
        <w:t xml:space="preserve"> проведенная в 2009</w:t>
      </w:r>
      <w:r w:rsidR="008055A1" w:rsidRPr="00732013">
        <w:rPr>
          <w:spacing w:val="5"/>
          <w:w w:val="104"/>
          <w:lang w:val="ru-RU"/>
        </w:rPr>
        <w:t> год</w:t>
      </w:r>
      <w:r w:rsidR="003B4343" w:rsidRPr="00732013">
        <w:rPr>
          <w:spacing w:val="5"/>
          <w:w w:val="104"/>
          <w:lang w:val="ru-RU"/>
        </w:rPr>
        <w:t>у</w:t>
      </w:r>
      <w:r w:rsidR="00D938DF" w:rsidRPr="00732013">
        <w:rPr>
          <w:spacing w:val="5"/>
          <w:w w:val="104"/>
          <w:lang w:val="ru-RU"/>
        </w:rPr>
        <w:t xml:space="preserve"> всесторонняя оценка </w:t>
      </w:r>
      <w:r w:rsidR="00D938DF" w:rsidRPr="00732013">
        <w:rPr>
          <w:spacing w:val="5"/>
          <w:w w:val="104"/>
        </w:rPr>
        <w:t>воздействия</w:t>
      </w:r>
      <w:r w:rsidR="00D938DF" w:rsidRPr="00732013">
        <w:rPr>
          <w:spacing w:val="5"/>
          <w:w w:val="104"/>
          <w:lang w:val="ru-RU"/>
        </w:rPr>
        <w:t xml:space="preserve"> Программы. Изменения в стереотипных подходах будут также оцениваться</w:t>
      </w:r>
      <w:r w:rsidR="00554CDA" w:rsidRPr="00732013">
        <w:rPr>
          <w:spacing w:val="5"/>
          <w:w w:val="104"/>
          <w:lang w:val="ru-RU"/>
        </w:rPr>
        <w:t xml:space="preserve"> при следующей </w:t>
      </w:r>
      <w:r w:rsidR="00AB7691" w:rsidRPr="00732013">
        <w:rPr>
          <w:spacing w:val="5"/>
          <w:w w:val="104"/>
          <w:lang w:val="ru-RU"/>
        </w:rPr>
        <w:t xml:space="preserve">сравнительной </w:t>
      </w:r>
      <w:r w:rsidR="00554CDA" w:rsidRPr="00732013">
        <w:rPr>
          <w:spacing w:val="5"/>
          <w:w w:val="104"/>
          <w:lang w:val="ru-RU"/>
        </w:rPr>
        <w:t>оценке воздействия Программы на</w:t>
      </w:r>
      <w:r w:rsidRPr="00732013">
        <w:rPr>
          <w:spacing w:val="5"/>
          <w:w w:val="104"/>
          <w:lang w:val="ru-RU"/>
        </w:rPr>
        <w:t xml:space="preserve"> 2010–2014</w:t>
      </w:r>
      <w:r w:rsidR="008055A1" w:rsidRPr="00732013">
        <w:rPr>
          <w:spacing w:val="5"/>
          <w:w w:val="104"/>
          <w:lang w:val="ru-RU"/>
        </w:rPr>
        <w:t> год</w:t>
      </w:r>
      <w:r w:rsidR="00554CDA" w:rsidRPr="00732013">
        <w:rPr>
          <w:spacing w:val="5"/>
          <w:w w:val="104"/>
          <w:lang w:val="ru-RU"/>
        </w:rPr>
        <w:t>ы, которая запланирована на</w:t>
      </w:r>
      <w:r w:rsidRPr="00732013">
        <w:rPr>
          <w:spacing w:val="5"/>
          <w:w w:val="104"/>
          <w:lang w:val="ru-RU"/>
        </w:rPr>
        <w:t xml:space="preserve"> 2014</w:t>
      </w:r>
      <w:r w:rsidR="008055A1" w:rsidRPr="00732013">
        <w:rPr>
          <w:spacing w:val="5"/>
          <w:w w:val="104"/>
          <w:lang w:val="ru-RU"/>
        </w:rPr>
        <w:t> год</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33.</w:t>
      </w:r>
      <w:r w:rsidRPr="00732013">
        <w:rPr>
          <w:spacing w:val="5"/>
          <w:w w:val="104"/>
          <w:lang w:val="ru-RU"/>
        </w:rPr>
        <w:tab/>
      </w:r>
      <w:r w:rsidR="00681928" w:rsidRPr="00732013">
        <w:rPr>
          <w:spacing w:val="5"/>
          <w:w w:val="104"/>
          <w:lang w:val="ru-RU"/>
        </w:rPr>
        <w:t>Еще одним примером</w:t>
      </w:r>
      <w:r w:rsidRPr="00732013">
        <w:rPr>
          <w:spacing w:val="5"/>
          <w:w w:val="104"/>
          <w:lang w:val="ru-RU"/>
        </w:rPr>
        <w:t xml:space="preserve"> (</w:t>
      </w:r>
      <w:r w:rsidR="00681928" w:rsidRPr="00732013">
        <w:rPr>
          <w:spacing w:val="5"/>
          <w:w w:val="104"/>
          <w:lang w:val="ru-RU"/>
        </w:rPr>
        <w:t>см.</w:t>
      </w:r>
      <w:r w:rsidRPr="00732013">
        <w:rPr>
          <w:spacing w:val="5"/>
          <w:w w:val="104"/>
          <w:lang w:val="ru-RU"/>
        </w:rPr>
        <w:t xml:space="preserve"> </w:t>
      </w:r>
      <w:r w:rsidR="00681928" w:rsidRPr="00732013">
        <w:rPr>
          <w:spacing w:val="5"/>
          <w:w w:val="104"/>
          <w:lang w:val="ru-RU"/>
        </w:rPr>
        <w:t>Приложение</w:t>
      </w:r>
      <w:r w:rsidR="00AB7691" w:rsidRPr="00732013">
        <w:rPr>
          <w:spacing w:val="5"/>
          <w:w w:val="104"/>
          <w:lang w:val="ru-RU"/>
        </w:rPr>
        <w:t> </w:t>
      </w:r>
      <w:r w:rsidRPr="00732013">
        <w:rPr>
          <w:spacing w:val="5"/>
          <w:w w:val="104"/>
          <w:lang w:val="ru-RU"/>
        </w:rPr>
        <w:t xml:space="preserve">1) </w:t>
      </w:r>
      <w:r w:rsidR="00681928" w:rsidRPr="00732013">
        <w:rPr>
          <w:spacing w:val="5"/>
          <w:w w:val="104"/>
          <w:lang w:val="ru-RU"/>
        </w:rPr>
        <w:t>является подготовка сотрудников традиционно</w:t>
      </w:r>
      <w:r w:rsidRPr="00732013">
        <w:rPr>
          <w:spacing w:val="5"/>
          <w:w w:val="104"/>
          <w:lang w:val="ru-RU"/>
        </w:rPr>
        <w:t xml:space="preserve"> </w:t>
      </w:r>
      <w:r w:rsidR="009F0AF0" w:rsidRPr="00732013">
        <w:rPr>
          <w:spacing w:val="5"/>
          <w:w w:val="104"/>
          <w:lang w:val="ru-RU"/>
        </w:rPr>
        <w:t>"</w:t>
      </w:r>
      <w:r w:rsidR="00681928" w:rsidRPr="00732013">
        <w:rPr>
          <w:spacing w:val="5"/>
          <w:w w:val="104"/>
          <w:lang w:val="ru-RU"/>
        </w:rPr>
        <w:t>мужских</w:t>
      </w:r>
      <w:r w:rsidR="009F0AF0" w:rsidRPr="00732013">
        <w:rPr>
          <w:spacing w:val="5"/>
          <w:w w:val="104"/>
          <w:lang w:val="ru-RU"/>
        </w:rPr>
        <w:t>"</w:t>
      </w:r>
      <w:r w:rsidRPr="00732013">
        <w:rPr>
          <w:spacing w:val="5"/>
          <w:w w:val="104"/>
          <w:lang w:val="ru-RU"/>
        </w:rPr>
        <w:t xml:space="preserve"> </w:t>
      </w:r>
      <w:r w:rsidR="00681928" w:rsidRPr="00732013">
        <w:rPr>
          <w:spacing w:val="5"/>
          <w:w w:val="104"/>
          <w:lang w:val="ru-RU"/>
        </w:rPr>
        <w:t>компаний</w:t>
      </w:r>
      <w:r w:rsidRPr="00732013">
        <w:rPr>
          <w:spacing w:val="5"/>
          <w:w w:val="104"/>
          <w:lang w:val="ru-RU"/>
        </w:rPr>
        <w:t xml:space="preserve"> (</w:t>
      </w:r>
      <w:r w:rsidR="00AB7691" w:rsidRPr="00732013">
        <w:rPr>
          <w:spacing w:val="5"/>
          <w:w w:val="104"/>
          <w:lang w:val="ru-RU"/>
        </w:rPr>
        <w:t>таких</w:t>
      </w:r>
      <w:r w:rsidR="00681928" w:rsidRPr="00732013">
        <w:rPr>
          <w:spacing w:val="5"/>
          <w:w w:val="104"/>
          <w:lang w:val="ru-RU"/>
        </w:rPr>
        <w:t xml:space="preserve"> </w:t>
      </w:r>
      <w:r w:rsidR="00AB7691" w:rsidRPr="00732013">
        <w:rPr>
          <w:spacing w:val="5"/>
          <w:w w:val="104"/>
          <w:lang w:val="ru-RU"/>
        </w:rPr>
        <w:t xml:space="preserve">как </w:t>
      </w:r>
      <w:r w:rsidR="00E02323" w:rsidRPr="00732013">
        <w:rPr>
          <w:spacing w:val="5"/>
          <w:w w:val="104"/>
          <w:lang w:val="ru-RU"/>
        </w:rPr>
        <w:t>Литовск</w:t>
      </w:r>
      <w:r w:rsidR="00405437" w:rsidRPr="00732013">
        <w:rPr>
          <w:spacing w:val="5"/>
          <w:w w:val="104"/>
          <w:lang w:val="ru-RU"/>
        </w:rPr>
        <w:t>ая администрация безопасности на море</w:t>
      </w:r>
      <w:r w:rsidRPr="00732013">
        <w:rPr>
          <w:spacing w:val="5"/>
          <w:w w:val="104"/>
          <w:lang w:val="ru-RU"/>
        </w:rPr>
        <w:t xml:space="preserve">, </w:t>
      </w:r>
      <w:r w:rsidR="00A93152" w:rsidRPr="00732013">
        <w:rPr>
          <w:spacing w:val="5"/>
          <w:w w:val="104"/>
          <w:lang w:val="ru-RU"/>
        </w:rPr>
        <w:t>АО</w:t>
      </w:r>
      <w:r w:rsidRPr="00732013">
        <w:rPr>
          <w:spacing w:val="5"/>
          <w:w w:val="104"/>
          <w:lang w:val="ru-RU"/>
        </w:rPr>
        <w:t xml:space="preserve"> </w:t>
      </w:r>
      <w:r w:rsidR="009F0AF0" w:rsidRPr="00732013">
        <w:rPr>
          <w:spacing w:val="5"/>
          <w:w w:val="104"/>
          <w:lang w:val="ru-RU"/>
        </w:rPr>
        <w:t>"</w:t>
      </w:r>
      <w:r w:rsidRPr="00732013">
        <w:rPr>
          <w:spacing w:val="5"/>
          <w:w w:val="104"/>
        </w:rPr>
        <w:t>Lietuvos</w:t>
      </w:r>
      <w:r w:rsidRPr="00732013">
        <w:rPr>
          <w:spacing w:val="5"/>
          <w:w w:val="104"/>
          <w:lang w:val="ru-RU"/>
        </w:rPr>
        <w:t xml:space="preserve"> </w:t>
      </w:r>
      <w:r w:rsidRPr="00732013">
        <w:rPr>
          <w:spacing w:val="5"/>
          <w:w w:val="104"/>
        </w:rPr>
        <w:t>Gele</w:t>
      </w:r>
      <w:r w:rsidRPr="00732013">
        <w:rPr>
          <w:spacing w:val="5"/>
          <w:w w:val="104"/>
          <w:lang w:val="ru-RU"/>
        </w:rPr>
        <w:t>ž</w:t>
      </w:r>
      <w:r w:rsidRPr="00732013">
        <w:rPr>
          <w:spacing w:val="5"/>
          <w:w w:val="104"/>
        </w:rPr>
        <w:t>inkeliai</w:t>
      </w:r>
      <w:r w:rsidR="009F0AF0" w:rsidRPr="00732013">
        <w:rPr>
          <w:spacing w:val="5"/>
          <w:w w:val="104"/>
          <w:lang w:val="ru-RU"/>
        </w:rPr>
        <w:t>"</w:t>
      </w:r>
      <w:r w:rsidRPr="00732013">
        <w:rPr>
          <w:spacing w:val="5"/>
          <w:w w:val="104"/>
          <w:lang w:val="ru-RU"/>
        </w:rPr>
        <w:t xml:space="preserve">, </w:t>
      </w:r>
      <w:r w:rsidR="006D2C70" w:rsidRPr="00732013">
        <w:rPr>
          <w:spacing w:val="5"/>
          <w:w w:val="104"/>
          <w:lang w:val="ru-RU"/>
        </w:rPr>
        <w:t>Клайпедский государственный морской порт</w:t>
      </w:r>
      <w:r w:rsidR="00A93152" w:rsidRPr="00732013">
        <w:rPr>
          <w:spacing w:val="5"/>
          <w:w w:val="104"/>
          <w:lang w:val="ru-RU"/>
        </w:rPr>
        <w:t xml:space="preserve"> и ряд других</w:t>
      </w:r>
      <w:r w:rsidRPr="00732013">
        <w:rPr>
          <w:spacing w:val="5"/>
          <w:w w:val="104"/>
          <w:lang w:val="ru-RU"/>
        </w:rPr>
        <w:t>).</w:t>
      </w:r>
      <w:r w:rsidR="00A93152" w:rsidRPr="00732013">
        <w:rPr>
          <w:spacing w:val="5"/>
          <w:w w:val="104"/>
          <w:lang w:val="ru-RU"/>
        </w:rPr>
        <w:t xml:space="preserve"> </w:t>
      </w:r>
      <w:r w:rsidR="0050686C" w:rsidRPr="00732013">
        <w:rPr>
          <w:spacing w:val="5"/>
          <w:w w:val="104"/>
          <w:lang w:val="ru-RU"/>
        </w:rPr>
        <w:t>Полученные в ходе занятий знания содействуют формированию нестереотипных подходов, равному обращению</w:t>
      </w:r>
      <w:r w:rsidR="00AB7691" w:rsidRPr="00732013">
        <w:rPr>
          <w:spacing w:val="5"/>
          <w:w w:val="104"/>
          <w:lang w:val="ru-RU"/>
        </w:rPr>
        <w:t>,</w:t>
      </w:r>
      <w:r w:rsidR="0050686C" w:rsidRPr="00732013">
        <w:rPr>
          <w:spacing w:val="5"/>
          <w:w w:val="104"/>
          <w:lang w:val="ru-RU"/>
        </w:rPr>
        <w:t xml:space="preserve"> </w:t>
      </w:r>
      <w:r w:rsidR="00AB7691" w:rsidRPr="00732013">
        <w:rPr>
          <w:spacing w:val="5"/>
          <w:w w:val="104"/>
          <w:lang w:val="ru-RU"/>
        </w:rPr>
        <w:t>а</w:t>
      </w:r>
      <w:r w:rsidR="0050686C" w:rsidRPr="00732013">
        <w:rPr>
          <w:spacing w:val="5"/>
          <w:w w:val="104"/>
          <w:lang w:val="ru-RU"/>
        </w:rPr>
        <w:t xml:space="preserve"> особенно</w:t>
      </w:r>
      <w:r w:rsidR="00AB7691" w:rsidRPr="00732013">
        <w:rPr>
          <w:spacing w:val="5"/>
          <w:w w:val="104"/>
          <w:lang w:val="ru-RU"/>
        </w:rPr>
        <w:t xml:space="preserve"> – </w:t>
      </w:r>
      <w:r w:rsidR="0050686C" w:rsidRPr="00732013">
        <w:rPr>
          <w:spacing w:val="5"/>
          <w:w w:val="104"/>
          <w:lang w:val="ru-RU"/>
        </w:rPr>
        <w:t>изменению стереотипов в отношении к женщинам и девочкам</w:t>
      </w:r>
      <w:r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34.</w:t>
      </w:r>
      <w:r w:rsidRPr="00732013">
        <w:rPr>
          <w:spacing w:val="5"/>
          <w:w w:val="104"/>
          <w:lang w:val="ru-RU"/>
        </w:rPr>
        <w:tab/>
      </w:r>
      <w:r w:rsidR="005709AA" w:rsidRPr="00732013">
        <w:rPr>
          <w:spacing w:val="5"/>
          <w:w w:val="104"/>
          <w:lang w:val="ru-RU"/>
        </w:rPr>
        <w:t xml:space="preserve">Комитет просил представить дополнительную информацию о подготовке консультантов в </w:t>
      </w:r>
      <w:r w:rsidR="00123DBF" w:rsidRPr="00732013">
        <w:rPr>
          <w:spacing w:val="5"/>
          <w:w w:val="104"/>
          <w:lang w:val="ru-RU"/>
        </w:rPr>
        <w:t>местных</w:t>
      </w:r>
      <w:r w:rsidR="005709AA" w:rsidRPr="00732013">
        <w:rPr>
          <w:spacing w:val="5"/>
          <w:w w:val="104"/>
          <w:lang w:val="ru-RU"/>
        </w:rPr>
        <w:t xml:space="preserve"> </w:t>
      </w:r>
      <w:r w:rsidR="00123DBF" w:rsidRPr="00732013">
        <w:rPr>
          <w:spacing w:val="5"/>
          <w:w w:val="104"/>
          <w:lang w:val="ru-RU"/>
        </w:rPr>
        <w:t>биржах труда</w:t>
      </w:r>
      <w:r w:rsidRPr="00732013">
        <w:rPr>
          <w:spacing w:val="5"/>
          <w:w w:val="104"/>
          <w:lang w:val="ru-RU"/>
        </w:rPr>
        <w:t xml:space="preserve">. </w:t>
      </w:r>
      <w:r w:rsidR="002763A2" w:rsidRPr="00732013">
        <w:rPr>
          <w:spacing w:val="5"/>
          <w:w w:val="104"/>
          <w:lang w:val="ru-RU"/>
        </w:rPr>
        <w:t>В т</w:t>
      </w:r>
      <w:r w:rsidR="00CD1BEC" w:rsidRPr="00732013">
        <w:rPr>
          <w:spacing w:val="5"/>
          <w:w w:val="104"/>
          <w:lang w:val="ru-RU"/>
        </w:rPr>
        <w:t>аки</w:t>
      </w:r>
      <w:r w:rsidR="002763A2" w:rsidRPr="00732013">
        <w:rPr>
          <w:spacing w:val="5"/>
          <w:w w:val="104"/>
          <w:lang w:val="ru-RU"/>
        </w:rPr>
        <w:t>х</w:t>
      </w:r>
      <w:r w:rsidR="00123DBF" w:rsidRPr="00732013">
        <w:rPr>
          <w:spacing w:val="5"/>
          <w:w w:val="104"/>
          <w:lang w:val="ru-RU"/>
        </w:rPr>
        <w:t xml:space="preserve"> </w:t>
      </w:r>
      <w:r w:rsidR="00CD1BEC" w:rsidRPr="00732013">
        <w:rPr>
          <w:spacing w:val="5"/>
          <w:w w:val="104"/>
          <w:lang w:val="ru-RU"/>
        </w:rPr>
        <w:t>семинара</w:t>
      </w:r>
      <w:r w:rsidR="002763A2" w:rsidRPr="00732013">
        <w:rPr>
          <w:spacing w:val="5"/>
          <w:w w:val="104"/>
          <w:lang w:val="ru-RU"/>
        </w:rPr>
        <w:t>х</w:t>
      </w:r>
      <w:r w:rsidR="00123DBF" w:rsidRPr="00732013">
        <w:rPr>
          <w:spacing w:val="5"/>
          <w:w w:val="104"/>
          <w:lang w:val="ru-RU"/>
        </w:rPr>
        <w:t xml:space="preserve"> в </w:t>
      </w:r>
      <w:r w:rsidRPr="00732013">
        <w:rPr>
          <w:spacing w:val="5"/>
          <w:w w:val="104"/>
          <w:lang w:val="ru-RU"/>
        </w:rPr>
        <w:t>2012</w:t>
      </w:r>
      <w:r w:rsidR="008055A1" w:rsidRPr="00732013">
        <w:rPr>
          <w:spacing w:val="5"/>
          <w:w w:val="104"/>
          <w:lang w:val="ru-RU"/>
        </w:rPr>
        <w:t> год</w:t>
      </w:r>
      <w:r w:rsidR="00123DBF" w:rsidRPr="00732013">
        <w:rPr>
          <w:spacing w:val="5"/>
          <w:w w:val="104"/>
          <w:lang w:val="ru-RU"/>
        </w:rPr>
        <w:t>у</w:t>
      </w:r>
      <w:r w:rsidR="00CD1BEC" w:rsidRPr="00732013">
        <w:rPr>
          <w:spacing w:val="5"/>
          <w:w w:val="104"/>
          <w:lang w:val="ru-RU"/>
        </w:rPr>
        <w:t xml:space="preserve"> </w:t>
      </w:r>
      <w:r w:rsidR="002763A2" w:rsidRPr="00732013">
        <w:rPr>
          <w:spacing w:val="5"/>
          <w:w w:val="104"/>
          <w:lang w:val="ru-RU"/>
        </w:rPr>
        <w:t xml:space="preserve">участвовали </w:t>
      </w:r>
      <w:r w:rsidRPr="00732013">
        <w:rPr>
          <w:spacing w:val="5"/>
          <w:w w:val="104"/>
          <w:lang w:val="ru-RU"/>
        </w:rPr>
        <w:t>44</w:t>
      </w:r>
      <w:r w:rsidR="002763A2" w:rsidRPr="00732013">
        <w:rPr>
          <w:spacing w:val="5"/>
          <w:w w:val="104"/>
          <w:lang w:val="ru-RU"/>
        </w:rPr>
        <w:t> </w:t>
      </w:r>
      <w:r w:rsidR="00CD1BEC" w:rsidRPr="00732013">
        <w:rPr>
          <w:spacing w:val="5"/>
          <w:w w:val="104"/>
          <w:lang w:val="ru-RU"/>
        </w:rPr>
        <w:t>консультанта</w:t>
      </w:r>
      <w:r w:rsidRPr="00732013">
        <w:rPr>
          <w:spacing w:val="5"/>
          <w:w w:val="104"/>
          <w:lang w:val="ru-RU"/>
        </w:rPr>
        <w:t xml:space="preserve"> (</w:t>
      </w:r>
      <w:r w:rsidR="00CD1BEC" w:rsidRPr="00732013">
        <w:rPr>
          <w:spacing w:val="5"/>
          <w:w w:val="104"/>
          <w:lang w:val="ru-RU"/>
        </w:rPr>
        <w:t>из них</w:t>
      </w:r>
      <w:r w:rsidR="00AE3ED8" w:rsidRPr="00732013">
        <w:rPr>
          <w:spacing w:val="5"/>
          <w:w w:val="104"/>
          <w:lang w:val="ru-RU"/>
        </w:rPr>
        <w:t xml:space="preserve"> </w:t>
      </w:r>
      <w:r w:rsidRPr="00732013">
        <w:rPr>
          <w:spacing w:val="5"/>
          <w:w w:val="104"/>
          <w:lang w:val="ru-RU"/>
        </w:rPr>
        <w:t>41</w:t>
      </w:r>
      <w:r w:rsidR="002763A2" w:rsidRPr="00732013">
        <w:rPr>
          <w:spacing w:val="5"/>
          <w:w w:val="104"/>
          <w:lang w:val="ru-RU"/>
        </w:rPr>
        <w:t> </w:t>
      </w:r>
      <w:r w:rsidR="00CD1BEC" w:rsidRPr="00732013">
        <w:rPr>
          <w:spacing w:val="5"/>
          <w:w w:val="104"/>
          <w:lang w:val="ru-RU"/>
        </w:rPr>
        <w:t>женщина</w:t>
      </w:r>
      <w:r w:rsidRPr="00732013">
        <w:rPr>
          <w:spacing w:val="5"/>
          <w:w w:val="104"/>
          <w:lang w:val="ru-RU"/>
        </w:rPr>
        <w:t xml:space="preserve">) </w:t>
      </w:r>
      <w:r w:rsidR="00CD1BEC" w:rsidRPr="00732013">
        <w:rPr>
          <w:spacing w:val="5"/>
          <w:w w:val="104"/>
          <w:lang w:val="ru-RU"/>
        </w:rPr>
        <w:t>из местных бирж труда</w:t>
      </w:r>
      <w:r w:rsidR="005A658F" w:rsidRPr="00732013">
        <w:rPr>
          <w:spacing w:val="5"/>
          <w:w w:val="104"/>
          <w:lang w:val="ru-RU"/>
        </w:rPr>
        <w:t xml:space="preserve">, работающих </w:t>
      </w:r>
      <w:r w:rsidR="005A658F" w:rsidRPr="00732013">
        <w:rPr>
          <w:spacing w:val="5"/>
          <w:w w:val="104"/>
        </w:rPr>
        <w:t>непосредственно</w:t>
      </w:r>
      <w:r w:rsidR="005A658F" w:rsidRPr="00732013">
        <w:rPr>
          <w:spacing w:val="5"/>
          <w:w w:val="104"/>
          <w:lang w:val="ru-RU"/>
        </w:rPr>
        <w:t xml:space="preserve"> с клиентами</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35.</w:t>
      </w:r>
      <w:r w:rsidRPr="00732013">
        <w:rPr>
          <w:spacing w:val="5"/>
          <w:w w:val="104"/>
          <w:lang w:val="ru-RU"/>
        </w:rPr>
        <w:tab/>
      </w:r>
      <w:r w:rsidR="005A658F" w:rsidRPr="00732013">
        <w:rPr>
          <w:spacing w:val="5"/>
          <w:w w:val="104"/>
          <w:lang w:val="ru-RU"/>
        </w:rPr>
        <w:t>Закон о равных возможност</w:t>
      </w:r>
      <w:r w:rsidR="00D106ED" w:rsidRPr="00732013">
        <w:rPr>
          <w:spacing w:val="5"/>
          <w:w w:val="104"/>
          <w:lang w:val="ru-RU"/>
        </w:rPr>
        <w:t>ях</w:t>
      </w:r>
      <w:r w:rsidR="005A658F" w:rsidRPr="00732013">
        <w:rPr>
          <w:spacing w:val="5"/>
          <w:w w:val="104"/>
          <w:lang w:val="ru-RU"/>
        </w:rPr>
        <w:t xml:space="preserve"> для женщин и мужчин</w:t>
      </w:r>
      <w:r w:rsidR="00D106ED" w:rsidRPr="00732013">
        <w:rPr>
          <w:spacing w:val="5"/>
          <w:w w:val="104"/>
          <w:lang w:val="ru-RU"/>
        </w:rPr>
        <w:t xml:space="preserve"> не регламентирует </w:t>
      </w:r>
      <w:r w:rsidR="004F5B33" w:rsidRPr="00732013">
        <w:rPr>
          <w:spacing w:val="5"/>
          <w:w w:val="104"/>
          <w:lang w:val="ru-RU"/>
        </w:rPr>
        <w:t>семейную и частную жизнь, поэтому Программа не применяется к сфере семейной и частной жизни, как отмечено в пункте</w:t>
      </w:r>
      <w:r w:rsidR="002763A2" w:rsidRPr="00732013">
        <w:rPr>
          <w:spacing w:val="5"/>
          <w:w w:val="104"/>
          <w:lang w:val="ru-RU"/>
        </w:rPr>
        <w:t> </w:t>
      </w:r>
      <w:r w:rsidR="004F5B33" w:rsidRPr="00732013">
        <w:rPr>
          <w:spacing w:val="5"/>
          <w:w w:val="104"/>
          <w:lang w:val="ru-RU"/>
        </w:rPr>
        <w:t xml:space="preserve">47 доклада. </w:t>
      </w:r>
      <w:r w:rsidR="009B7072" w:rsidRPr="00732013">
        <w:rPr>
          <w:spacing w:val="5"/>
          <w:w w:val="104"/>
          <w:lang w:val="ru-RU"/>
        </w:rPr>
        <w:t xml:space="preserve">Тем не менее </w:t>
      </w:r>
      <w:r w:rsidR="00C02C0E" w:rsidRPr="00732013">
        <w:rPr>
          <w:spacing w:val="5"/>
          <w:w w:val="104"/>
          <w:lang w:val="ru-RU"/>
        </w:rPr>
        <w:t xml:space="preserve">систематическое и долгосрочное поощрение равного обращения с женщинами и мужчинами </w:t>
      </w:r>
      <w:r w:rsidR="001D74F2" w:rsidRPr="00732013">
        <w:rPr>
          <w:spacing w:val="5"/>
          <w:w w:val="104"/>
          <w:lang w:val="ru-RU"/>
        </w:rPr>
        <w:t xml:space="preserve">посредством информационно-просветительских, образовательных и учебных </w:t>
      </w:r>
      <w:r w:rsidR="009138B7" w:rsidRPr="00732013">
        <w:rPr>
          <w:spacing w:val="5"/>
          <w:w w:val="104"/>
          <w:lang w:val="ru-RU"/>
        </w:rPr>
        <w:t xml:space="preserve">мероприятий </w:t>
      </w:r>
      <w:r w:rsidR="001D74F2" w:rsidRPr="00732013">
        <w:rPr>
          <w:spacing w:val="5"/>
          <w:w w:val="104"/>
          <w:lang w:val="ru-RU"/>
        </w:rPr>
        <w:t>позволяет женщинам и мужчинам сделать</w:t>
      </w:r>
      <w:r w:rsidR="00BB3517" w:rsidRPr="00732013">
        <w:rPr>
          <w:spacing w:val="5"/>
          <w:w w:val="104"/>
          <w:lang w:val="ru-RU"/>
        </w:rPr>
        <w:t xml:space="preserve"> вполне обоснованный выбор модели поведения</w:t>
      </w:r>
      <w:r w:rsidR="002F05E7" w:rsidRPr="00732013">
        <w:rPr>
          <w:spacing w:val="5"/>
          <w:w w:val="104"/>
          <w:lang w:val="ru-RU"/>
        </w:rPr>
        <w:t xml:space="preserve">, основанной на гендерном равенстве, </w:t>
      </w:r>
      <w:r w:rsidR="00A43A26" w:rsidRPr="00732013">
        <w:rPr>
          <w:spacing w:val="5"/>
          <w:w w:val="104"/>
          <w:lang w:val="ru-RU"/>
        </w:rPr>
        <w:t xml:space="preserve">в любой жизненной ситуации. Реализуемая Программа </w:t>
      </w:r>
      <w:r w:rsidR="00F77675" w:rsidRPr="00732013">
        <w:rPr>
          <w:spacing w:val="5"/>
          <w:w w:val="104"/>
          <w:lang w:val="ru-RU"/>
        </w:rPr>
        <w:t>целиком посвящена тому, чтобы на деле обеспечить равенство мужчин и женщин</w:t>
      </w:r>
      <w:r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36.</w:t>
      </w:r>
      <w:r w:rsidRPr="00732013">
        <w:rPr>
          <w:spacing w:val="5"/>
          <w:w w:val="104"/>
          <w:lang w:val="ru-RU"/>
        </w:rPr>
        <w:tab/>
      </w:r>
      <w:r w:rsidR="005B3A62" w:rsidRPr="00732013">
        <w:rPr>
          <w:spacing w:val="5"/>
          <w:w w:val="104"/>
          <w:lang w:val="ru-RU"/>
        </w:rPr>
        <w:t>От авторов</w:t>
      </w:r>
      <w:r w:rsidR="00A51E9A" w:rsidRPr="00732013">
        <w:rPr>
          <w:spacing w:val="5"/>
          <w:w w:val="104"/>
          <w:lang w:val="ru-RU"/>
        </w:rPr>
        <w:t xml:space="preserve">, </w:t>
      </w:r>
      <w:r w:rsidR="005B3A62" w:rsidRPr="00732013">
        <w:rPr>
          <w:spacing w:val="5"/>
          <w:w w:val="104"/>
          <w:lang w:val="ru-RU"/>
        </w:rPr>
        <w:t>распространителей</w:t>
      </w:r>
      <w:r w:rsidR="00A51E9A" w:rsidRPr="00732013">
        <w:rPr>
          <w:spacing w:val="5"/>
          <w:w w:val="104"/>
          <w:lang w:val="ru-RU"/>
        </w:rPr>
        <w:t xml:space="preserve"> публичной информации, </w:t>
      </w:r>
      <w:r w:rsidR="005B3A62" w:rsidRPr="00732013">
        <w:rPr>
          <w:spacing w:val="5"/>
          <w:w w:val="104"/>
          <w:lang w:val="ru-RU"/>
        </w:rPr>
        <w:t>журналистов</w:t>
      </w:r>
      <w:r w:rsidR="00A51E9A" w:rsidRPr="00732013">
        <w:rPr>
          <w:spacing w:val="5"/>
          <w:w w:val="104"/>
          <w:lang w:val="ru-RU"/>
        </w:rPr>
        <w:t xml:space="preserve"> и </w:t>
      </w:r>
      <w:r w:rsidR="005B3A62" w:rsidRPr="00732013">
        <w:rPr>
          <w:spacing w:val="5"/>
          <w:w w:val="104"/>
          <w:lang w:val="ru-RU"/>
        </w:rPr>
        <w:t>издателей</w:t>
      </w:r>
      <w:r w:rsidR="00A51E9A" w:rsidRPr="00732013">
        <w:rPr>
          <w:spacing w:val="5"/>
          <w:w w:val="104"/>
          <w:lang w:val="ru-RU"/>
        </w:rPr>
        <w:t xml:space="preserve"> </w:t>
      </w:r>
      <w:r w:rsidR="00797CAE" w:rsidRPr="00732013">
        <w:rPr>
          <w:spacing w:val="5"/>
          <w:w w:val="104"/>
          <w:lang w:val="ru-RU"/>
        </w:rPr>
        <w:t>требуется</w:t>
      </w:r>
      <w:r w:rsidR="00A51E9A" w:rsidRPr="00732013">
        <w:rPr>
          <w:spacing w:val="5"/>
          <w:w w:val="104"/>
          <w:lang w:val="ru-RU"/>
        </w:rPr>
        <w:t xml:space="preserve"> </w:t>
      </w:r>
      <w:r w:rsidR="005B3A62" w:rsidRPr="00732013">
        <w:rPr>
          <w:spacing w:val="5"/>
          <w:w w:val="104"/>
          <w:lang w:val="ru-RU"/>
        </w:rPr>
        <w:t>соблюдение</w:t>
      </w:r>
      <w:r w:rsidR="00797CAE" w:rsidRPr="00732013">
        <w:rPr>
          <w:spacing w:val="5"/>
          <w:w w:val="104"/>
          <w:lang w:val="ru-RU"/>
        </w:rPr>
        <w:t xml:space="preserve"> Констит</w:t>
      </w:r>
      <w:r w:rsidR="005B3A62" w:rsidRPr="00732013">
        <w:rPr>
          <w:spacing w:val="5"/>
          <w:w w:val="104"/>
          <w:lang w:val="ru-RU"/>
        </w:rPr>
        <w:t>уции</w:t>
      </w:r>
      <w:r w:rsidR="00797CAE" w:rsidRPr="00732013">
        <w:rPr>
          <w:spacing w:val="5"/>
          <w:w w:val="104"/>
          <w:lang w:val="ru-RU"/>
        </w:rPr>
        <w:t xml:space="preserve"> и </w:t>
      </w:r>
      <w:r w:rsidR="005B3A62" w:rsidRPr="00732013">
        <w:rPr>
          <w:spacing w:val="5"/>
          <w:w w:val="104"/>
          <w:lang w:val="ru-RU"/>
        </w:rPr>
        <w:t>законодательства</w:t>
      </w:r>
      <w:r w:rsidR="00797CAE" w:rsidRPr="00732013">
        <w:rPr>
          <w:spacing w:val="5"/>
          <w:w w:val="104"/>
          <w:lang w:val="ru-RU"/>
        </w:rPr>
        <w:t xml:space="preserve">, </w:t>
      </w:r>
      <w:r w:rsidR="005B3A62" w:rsidRPr="00732013">
        <w:rPr>
          <w:spacing w:val="5"/>
          <w:w w:val="104"/>
          <w:lang w:val="ru-RU"/>
        </w:rPr>
        <w:t>международных</w:t>
      </w:r>
      <w:r w:rsidR="00797CAE" w:rsidRPr="00732013">
        <w:rPr>
          <w:spacing w:val="5"/>
          <w:w w:val="104"/>
          <w:lang w:val="ru-RU"/>
        </w:rPr>
        <w:t xml:space="preserve"> </w:t>
      </w:r>
      <w:r w:rsidR="005B3A62" w:rsidRPr="00732013">
        <w:rPr>
          <w:spacing w:val="5"/>
          <w:w w:val="104"/>
          <w:lang w:val="ru-RU"/>
        </w:rPr>
        <w:t>договоров</w:t>
      </w:r>
      <w:r w:rsidR="00797CAE" w:rsidRPr="00732013">
        <w:rPr>
          <w:spacing w:val="5"/>
          <w:w w:val="104"/>
          <w:lang w:val="ru-RU"/>
        </w:rPr>
        <w:t xml:space="preserve">, </w:t>
      </w:r>
      <w:r w:rsidR="005B3A62" w:rsidRPr="00732013">
        <w:rPr>
          <w:spacing w:val="5"/>
          <w:w w:val="104"/>
          <w:lang w:val="ru-RU"/>
        </w:rPr>
        <w:t>подписанных</w:t>
      </w:r>
      <w:r w:rsidR="00797CAE" w:rsidRPr="00732013">
        <w:rPr>
          <w:spacing w:val="5"/>
          <w:w w:val="104"/>
          <w:lang w:val="ru-RU"/>
        </w:rPr>
        <w:t xml:space="preserve"> Литовской Республикой,</w:t>
      </w:r>
      <w:r w:rsidR="00660B6A" w:rsidRPr="00732013">
        <w:rPr>
          <w:spacing w:val="5"/>
          <w:w w:val="104"/>
          <w:lang w:val="ru-RU"/>
        </w:rPr>
        <w:t xml:space="preserve"> </w:t>
      </w:r>
      <w:r w:rsidR="00DC683F" w:rsidRPr="00732013">
        <w:rPr>
          <w:spacing w:val="5"/>
          <w:w w:val="104"/>
          <w:lang w:val="ru-RU"/>
        </w:rPr>
        <w:t>принцип</w:t>
      </w:r>
      <w:r w:rsidR="00EC622F" w:rsidRPr="00732013">
        <w:rPr>
          <w:spacing w:val="5"/>
          <w:w w:val="104"/>
          <w:lang w:val="ru-RU"/>
        </w:rPr>
        <w:t>ов</w:t>
      </w:r>
      <w:r w:rsidR="00660B6A" w:rsidRPr="00732013">
        <w:rPr>
          <w:spacing w:val="5"/>
          <w:w w:val="104"/>
          <w:lang w:val="ru-RU"/>
        </w:rPr>
        <w:t xml:space="preserve"> </w:t>
      </w:r>
      <w:r w:rsidR="00020352" w:rsidRPr="00732013">
        <w:rPr>
          <w:spacing w:val="5"/>
          <w:w w:val="104"/>
          <w:lang w:val="ru-RU"/>
        </w:rPr>
        <w:t>г</w:t>
      </w:r>
      <w:r w:rsidR="00660B6A" w:rsidRPr="00732013">
        <w:rPr>
          <w:spacing w:val="5"/>
          <w:w w:val="104"/>
          <w:lang w:val="ru-RU"/>
        </w:rPr>
        <w:t>уманизма</w:t>
      </w:r>
      <w:r w:rsidR="00DC683F" w:rsidRPr="00732013">
        <w:rPr>
          <w:spacing w:val="5"/>
          <w:w w:val="104"/>
          <w:lang w:val="ru-RU"/>
        </w:rPr>
        <w:t>, равенства, толер</w:t>
      </w:r>
      <w:r w:rsidR="00020352" w:rsidRPr="00732013">
        <w:rPr>
          <w:spacing w:val="5"/>
          <w:w w:val="104"/>
          <w:lang w:val="ru-RU"/>
        </w:rPr>
        <w:t>антности и уважения прав человека.</w:t>
      </w:r>
      <w:r w:rsidR="00DC683F" w:rsidRPr="00732013">
        <w:rPr>
          <w:spacing w:val="5"/>
          <w:w w:val="104"/>
          <w:lang w:val="ru-RU"/>
        </w:rPr>
        <w:t xml:space="preserve"> СМИ не могут </w:t>
      </w:r>
      <w:r w:rsidR="00DC683F" w:rsidRPr="00732013">
        <w:rPr>
          <w:spacing w:val="5"/>
          <w:w w:val="104"/>
        </w:rPr>
        <w:t>публиковать</w:t>
      </w:r>
      <w:r w:rsidR="00DC683F" w:rsidRPr="00732013">
        <w:rPr>
          <w:spacing w:val="5"/>
          <w:w w:val="104"/>
          <w:lang w:val="ru-RU"/>
        </w:rPr>
        <w:t xml:space="preserve"> информацию</w:t>
      </w:r>
      <w:r w:rsidR="00FA7314" w:rsidRPr="00732013">
        <w:rPr>
          <w:spacing w:val="5"/>
          <w:w w:val="104"/>
          <w:lang w:val="ru-RU"/>
        </w:rPr>
        <w:t xml:space="preserve">, </w:t>
      </w:r>
      <w:r w:rsidR="0087308B" w:rsidRPr="00732013">
        <w:rPr>
          <w:spacing w:val="5"/>
          <w:w w:val="104"/>
          <w:lang w:val="ru-RU"/>
        </w:rPr>
        <w:t>которая провоцирует</w:t>
      </w:r>
      <w:r w:rsidR="00FA7314" w:rsidRPr="00732013">
        <w:rPr>
          <w:spacing w:val="5"/>
          <w:w w:val="104"/>
          <w:lang w:val="ru-RU"/>
        </w:rPr>
        <w:t xml:space="preserve"> дискриминацию,</w:t>
      </w:r>
      <w:r w:rsidR="0087308B" w:rsidRPr="00732013">
        <w:rPr>
          <w:spacing w:val="5"/>
          <w:w w:val="104"/>
          <w:lang w:val="ru-RU"/>
        </w:rPr>
        <w:t xml:space="preserve"> насилие, физическое уничтожение группы лиц или отдельного человека из этой группы по признаку</w:t>
      </w:r>
      <w:r w:rsidR="00B152B9" w:rsidRPr="00732013">
        <w:rPr>
          <w:spacing w:val="5"/>
          <w:w w:val="104"/>
          <w:lang w:val="ru-RU"/>
        </w:rPr>
        <w:t xml:space="preserve"> возраста, пола, сек</w:t>
      </w:r>
      <w:r w:rsidR="00CB0445" w:rsidRPr="00732013">
        <w:rPr>
          <w:spacing w:val="5"/>
          <w:w w:val="104"/>
          <w:lang w:val="ru-RU"/>
        </w:rPr>
        <w:t>суальной ориентации, этническ</w:t>
      </w:r>
      <w:r w:rsidR="002763A2" w:rsidRPr="00732013">
        <w:rPr>
          <w:spacing w:val="5"/>
          <w:w w:val="104"/>
          <w:lang w:val="ru-RU"/>
        </w:rPr>
        <w:t xml:space="preserve">ого </w:t>
      </w:r>
      <w:r w:rsidR="00A22D0E" w:rsidRPr="00732013">
        <w:rPr>
          <w:spacing w:val="5"/>
          <w:w w:val="104"/>
          <w:lang w:val="ru-RU"/>
        </w:rPr>
        <w:t>происхождения</w:t>
      </w:r>
      <w:r w:rsidR="004B280A" w:rsidRPr="00732013">
        <w:rPr>
          <w:spacing w:val="5"/>
          <w:w w:val="104"/>
          <w:lang w:val="ru-RU"/>
        </w:rPr>
        <w:t>, рас</w:t>
      </w:r>
      <w:r w:rsidR="005F20E3" w:rsidRPr="00732013">
        <w:rPr>
          <w:spacing w:val="5"/>
          <w:w w:val="104"/>
          <w:lang w:val="ru-RU"/>
        </w:rPr>
        <w:t>ы, национальности, гражданства,</w:t>
      </w:r>
      <w:r w:rsidR="00B152B9" w:rsidRPr="00732013">
        <w:rPr>
          <w:spacing w:val="5"/>
          <w:w w:val="104"/>
          <w:lang w:val="ru-RU"/>
        </w:rPr>
        <w:t xml:space="preserve"> </w:t>
      </w:r>
      <w:r w:rsidR="004B280A" w:rsidRPr="00732013">
        <w:rPr>
          <w:spacing w:val="5"/>
          <w:w w:val="104"/>
          <w:lang w:val="ru-RU"/>
        </w:rPr>
        <w:t>языка,</w:t>
      </w:r>
      <w:r w:rsidR="005F20E3" w:rsidRPr="00732013">
        <w:rPr>
          <w:spacing w:val="5"/>
          <w:w w:val="104"/>
          <w:lang w:val="ru-RU"/>
        </w:rPr>
        <w:t xml:space="preserve"> происхождения, социального положения, религии, </w:t>
      </w:r>
      <w:r w:rsidR="00311911" w:rsidRPr="00732013">
        <w:rPr>
          <w:spacing w:val="5"/>
          <w:w w:val="104"/>
          <w:lang w:val="ru-RU"/>
        </w:rPr>
        <w:t>убеждений и взглядов</w:t>
      </w:r>
      <w:r w:rsidR="00EC6A95" w:rsidRPr="00732013">
        <w:rPr>
          <w:spacing w:val="5"/>
          <w:w w:val="104"/>
          <w:lang w:val="ru-RU"/>
        </w:rPr>
        <w:t>; кроме того, закон запрещает</w:t>
      </w:r>
      <w:r w:rsidR="00F271D2" w:rsidRPr="00732013">
        <w:rPr>
          <w:spacing w:val="5"/>
          <w:w w:val="104"/>
          <w:lang w:val="ru-RU"/>
        </w:rPr>
        <w:t xml:space="preserve"> распространение дезинформации и информации, </w:t>
      </w:r>
      <w:r w:rsidR="001B5806" w:rsidRPr="00732013">
        <w:rPr>
          <w:spacing w:val="5"/>
          <w:w w:val="104"/>
          <w:lang w:val="ru-RU"/>
        </w:rPr>
        <w:t xml:space="preserve">которая носит </w:t>
      </w:r>
      <w:r w:rsidR="00F271D2" w:rsidRPr="00732013">
        <w:rPr>
          <w:spacing w:val="5"/>
          <w:w w:val="104"/>
          <w:lang w:val="ru-RU"/>
        </w:rPr>
        <w:t>клеветнический и оскорбительный характер в отношении какого-либо лица</w:t>
      </w:r>
      <w:r w:rsidR="005B3A62" w:rsidRPr="00732013">
        <w:rPr>
          <w:spacing w:val="5"/>
          <w:w w:val="104"/>
          <w:lang w:val="ru-RU"/>
        </w:rPr>
        <w:t xml:space="preserve"> или унижает человеческо</w:t>
      </w:r>
      <w:r w:rsidR="001B5806" w:rsidRPr="00732013">
        <w:rPr>
          <w:spacing w:val="5"/>
          <w:w w:val="104"/>
          <w:lang w:val="ru-RU"/>
        </w:rPr>
        <w:t>е достоинство</w:t>
      </w:r>
      <w:r w:rsidR="005B3A62" w:rsidRPr="00732013">
        <w:rPr>
          <w:spacing w:val="5"/>
          <w:w w:val="104"/>
          <w:lang w:val="ru-RU"/>
        </w:rPr>
        <w:t xml:space="preserve"> и честь</w:t>
      </w:r>
      <w:r w:rsidRPr="00732013">
        <w:rPr>
          <w:spacing w:val="5"/>
          <w:w w:val="104"/>
          <w:lang w:val="ru-RU"/>
        </w:rPr>
        <w:t xml:space="preserve">. </w:t>
      </w:r>
      <w:r w:rsidR="005B3A62" w:rsidRPr="00732013">
        <w:rPr>
          <w:spacing w:val="5"/>
          <w:w w:val="104"/>
          <w:lang w:val="ru-RU"/>
        </w:rPr>
        <w:t>З</w:t>
      </w:r>
      <w:r w:rsidR="00EC622F" w:rsidRPr="00732013">
        <w:rPr>
          <w:spacing w:val="5"/>
          <w:w w:val="104"/>
          <w:lang w:val="ru-RU"/>
        </w:rPr>
        <w:t>апрещается</w:t>
      </w:r>
      <w:r w:rsidR="005B3A62" w:rsidRPr="00732013">
        <w:rPr>
          <w:spacing w:val="5"/>
          <w:w w:val="104"/>
          <w:lang w:val="ru-RU"/>
        </w:rPr>
        <w:t xml:space="preserve"> реклама</w:t>
      </w:r>
      <w:r w:rsidR="00EC622F" w:rsidRPr="00732013">
        <w:rPr>
          <w:spacing w:val="5"/>
          <w:w w:val="104"/>
          <w:lang w:val="ru-RU"/>
        </w:rPr>
        <w:t>, которая нарушает принципы общественной морали</w:t>
      </w:r>
      <w:r w:rsidR="00AE706C" w:rsidRPr="00732013">
        <w:rPr>
          <w:spacing w:val="5"/>
          <w:w w:val="104"/>
          <w:lang w:val="ru-RU"/>
        </w:rPr>
        <w:t>, унижает человеческое достоинство и честь, подстрекает к этнической, расовой, религиозной, гендерной или социальной ненависти и дискриминации</w:t>
      </w:r>
      <w:r w:rsidR="000856F3" w:rsidRPr="00732013">
        <w:rPr>
          <w:spacing w:val="5"/>
          <w:w w:val="104"/>
          <w:lang w:val="ru-RU"/>
        </w:rPr>
        <w:t>, если она содержит клевету или дезинформирует</w:t>
      </w:r>
      <w:r w:rsidR="00A22D0E" w:rsidRPr="00732013">
        <w:rPr>
          <w:spacing w:val="5"/>
          <w:w w:val="104"/>
          <w:lang w:val="ru-RU"/>
        </w:rPr>
        <w:t xml:space="preserve">, а также </w:t>
      </w:r>
      <w:r w:rsidR="000856F3" w:rsidRPr="00732013">
        <w:rPr>
          <w:spacing w:val="5"/>
          <w:w w:val="104"/>
          <w:lang w:val="ru-RU"/>
        </w:rPr>
        <w:t xml:space="preserve">если она </w:t>
      </w:r>
      <w:r w:rsidR="003542B8" w:rsidRPr="00732013">
        <w:rPr>
          <w:spacing w:val="5"/>
          <w:w w:val="104"/>
          <w:lang w:val="ru-RU"/>
        </w:rPr>
        <w:t>провоцирует насилие или агрессию</w:t>
      </w:r>
      <w:r w:rsidR="000856F3" w:rsidRPr="00732013">
        <w:rPr>
          <w:spacing w:val="5"/>
          <w:w w:val="104"/>
          <w:lang w:val="ru-RU"/>
        </w:rPr>
        <w:t xml:space="preserve">. </w:t>
      </w:r>
      <w:r w:rsidR="009C006E" w:rsidRPr="00732013">
        <w:rPr>
          <w:spacing w:val="5"/>
          <w:w w:val="104"/>
          <w:lang w:val="ru-RU"/>
        </w:rPr>
        <w:t>Принципы</w:t>
      </w:r>
      <w:r w:rsidR="009F0AF0" w:rsidRPr="00732013">
        <w:rPr>
          <w:spacing w:val="5"/>
          <w:w w:val="104"/>
          <w:lang w:val="ru-RU"/>
        </w:rPr>
        <w:t xml:space="preserve"> </w:t>
      </w:r>
      <w:r w:rsidR="009C006E" w:rsidRPr="00732013">
        <w:rPr>
          <w:spacing w:val="5"/>
          <w:w w:val="104"/>
          <w:lang w:val="ru-RU"/>
        </w:rPr>
        <w:t xml:space="preserve">общественной информации закреплены в </w:t>
      </w:r>
      <w:r w:rsidR="002752EC" w:rsidRPr="00732013">
        <w:rPr>
          <w:spacing w:val="5"/>
          <w:w w:val="104"/>
          <w:lang w:val="ru-RU"/>
        </w:rPr>
        <w:t>Закон</w:t>
      </w:r>
      <w:r w:rsidR="009C006E" w:rsidRPr="00732013">
        <w:rPr>
          <w:spacing w:val="5"/>
          <w:w w:val="104"/>
          <w:lang w:val="ru-RU"/>
        </w:rPr>
        <w:t>е</w:t>
      </w:r>
      <w:r w:rsidR="002752EC" w:rsidRPr="00732013">
        <w:rPr>
          <w:spacing w:val="5"/>
          <w:w w:val="104"/>
          <w:lang w:val="ru-RU"/>
        </w:rPr>
        <w:t xml:space="preserve"> о</w:t>
      </w:r>
      <w:r w:rsidR="00F01449" w:rsidRPr="00732013">
        <w:rPr>
          <w:spacing w:val="5"/>
          <w:w w:val="104"/>
          <w:lang w:val="ru-RU"/>
        </w:rPr>
        <w:t>б</w:t>
      </w:r>
      <w:r w:rsidR="002752EC" w:rsidRPr="00732013">
        <w:rPr>
          <w:spacing w:val="5"/>
          <w:w w:val="104"/>
          <w:lang w:val="ru-RU"/>
        </w:rPr>
        <w:t xml:space="preserve"> </w:t>
      </w:r>
      <w:r w:rsidR="00F01449" w:rsidRPr="00732013">
        <w:rPr>
          <w:spacing w:val="5"/>
          <w:w w:val="104"/>
          <w:lang w:val="ru-RU"/>
        </w:rPr>
        <w:t>общественной</w:t>
      </w:r>
      <w:r w:rsidR="002752EC" w:rsidRPr="00732013">
        <w:rPr>
          <w:spacing w:val="5"/>
          <w:w w:val="104"/>
          <w:lang w:val="ru-RU"/>
        </w:rPr>
        <w:t xml:space="preserve"> информации</w:t>
      </w:r>
      <w:r w:rsidR="00BF04B9" w:rsidRPr="00732013">
        <w:rPr>
          <w:rStyle w:val="FootnoteReference"/>
          <w:spacing w:val="5"/>
          <w:w w:val="104"/>
          <w:sz w:val="20"/>
        </w:rPr>
        <w:footnoteReference w:id="17"/>
      </w:r>
      <w:r w:rsidRPr="00732013">
        <w:rPr>
          <w:spacing w:val="5"/>
          <w:w w:val="104"/>
          <w:lang w:val="ru-RU"/>
        </w:rPr>
        <w:t xml:space="preserve"> </w:t>
      </w:r>
      <w:r w:rsidR="00F01449" w:rsidRPr="00732013">
        <w:rPr>
          <w:spacing w:val="5"/>
          <w:w w:val="104"/>
          <w:lang w:val="ru-RU"/>
        </w:rPr>
        <w:t xml:space="preserve">и </w:t>
      </w:r>
      <w:r w:rsidR="009C006E" w:rsidRPr="00732013">
        <w:rPr>
          <w:spacing w:val="5"/>
          <w:w w:val="104"/>
          <w:lang w:val="ru-RU"/>
        </w:rPr>
        <w:t>других</w:t>
      </w:r>
      <w:r w:rsidR="00F01449" w:rsidRPr="00732013">
        <w:rPr>
          <w:spacing w:val="5"/>
          <w:w w:val="104"/>
          <w:lang w:val="ru-RU"/>
        </w:rPr>
        <w:t xml:space="preserve"> </w:t>
      </w:r>
      <w:r w:rsidR="009C006E" w:rsidRPr="00732013">
        <w:rPr>
          <w:spacing w:val="5"/>
          <w:w w:val="104"/>
          <w:lang w:val="ru-RU"/>
        </w:rPr>
        <w:t>нормативно-правовых</w:t>
      </w:r>
      <w:r w:rsidR="00F01449" w:rsidRPr="00732013">
        <w:rPr>
          <w:spacing w:val="5"/>
          <w:w w:val="104"/>
          <w:lang w:val="ru-RU"/>
        </w:rPr>
        <w:t xml:space="preserve"> </w:t>
      </w:r>
      <w:r w:rsidR="009C006E" w:rsidRPr="00732013">
        <w:rPr>
          <w:spacing w:val="5"/>
          <w:w w:val="104"/>
          <w:lang w:val="ru-RU"/>
        </w:rPr>
        <w:t>актах</w:t>
      </w:r>
      <w:r w:rsidR="00F01449" w:rsidRPr="00732013">
        <w:rPr>
          <w:spacing w:val="5"/>
          <w:w w:val="104"/>
          <w:lang w:val="ru-RU"/>
        </w:rPr>
        <w:t>, регулирующи</w:t>
      </w:r>
      <w:r w:rsidR="00A22D0E" w:rsidRPr="00732013">
        <w:rPr>
          <w:spacing w:val="5"/>
          <w:w w:val="104"/>
          <w:lang w:val="ru-RU"/>
        </w:rPr>
        <w:t>х</w:t>
      </w:r>
      <w:r w:rsidR="00F01449" w:rsidRPr="00732013">
        <w:rPr>
          <w:spacing w:val="5"/>
          <w:w w:val="104"/>
          <w:lang w:val="ru-RU"/>
        </w:rPr>
        <w:t xml:space="preserve"> </w:t>
      </w:r>
      <w:r w:rsidR="009C006E" w:rsidRPr="00732013">
        <w:rPr>
          <w:spacing w:val="5"/>
          <w:w w:val="104"/>
          <w:lang w:val="ru-RU"/>
        </w:rPr>
        <w:t>данную сферу</w:t>
      </w:r>
      <w:r w:rsidR="0065682D" w:rsidRPr="00732013">
        <w:rPr>
          <w:spacing w:val="5"/>
          <w:w w:val="104"/>
          <w:lang w:val="ru-RU"/>
        </w:rPr>
        <w:t xml:space="preserve">, </w:t>
      </w:r>
      <w:r w:rsidR="009C006E" w:rsidRPr="00732013">
        <w:rPr>
          <w:spacing w:val="5"/>
          <w:w w:val="104"/>
          <w:lang w:val="ru-RU"/>
        </w:rPr>
        <w:t xml:space="preserve">а </w:t>
      </w:r>
      <w:r w:rsidR="00564A0E" w:rsidRPr="00732013">
        <w:rPr>
          <w:spacing w:val="5"/>
          <w:w w:val="104"/>
          <w:lang w:val="ru-RU"/>
        </w:rPr>
        <w:t>мониторинг</w:t>
      </w:r>
      <w:r w:rsidR="009C006E" w:rsidRPr="00732013">
        <w:rPr>
          <w:spacing w:val="5"/>
          <w:w w:val="104"/>
          <w:lang w:val="ru-RU"/>
        </w:rPr>
        <w:t xml:space="preserve"> </w:t>
      </w:r>
      <w:r w:rsidR="00564A0E" w:rsidRPr="00732013">
        <w:rPr>
          <w:spacing w:val="5"/>
          <w:w w:val="104"/>
          <w:lang w:val="ru-RU"/>
        </w:rPr>
        <w:t>соблюдения</w:t>
      </w:r>
      <w:r w:rsidR="009C006E" w:rsidRPr="00732013">
        <w:rPr>
          <w:spacing w:val="5"/>
          <w:w w:val="104"/>
          <w:lang w:val="ru-RU"/>
        </w:rPr>
        <w:t xml:space="preserve"> указанных принципов </w:t>
      </w:r>
      <w:r w:rsidR="00564A0E" w:rsidRPr="00732013">
        <w:rPr>
          <w:spacing w:val="5"/>
          <w:w w:val="104"/>
          <w:lang w:val="ru-RU"/>
        </w:rPr>
        <w:t>осуществляет</w:t>
      </w:r>
      <w:r w:rsidR="009C006E" w:rsidRPr="00732013">
        <w:rPr>
          <w:spacing w:val="5"/>
          <w:w w:val="104"/>
          <w:lang w:val="ru-RU"/>
        </w:rPr>
        <w:t xml:space="preserve"> Инспе</w:t>
      </w:r>
      <w:r w:rsidR="00564A0E" w:rsidRPr="00732013">
        <w:rPr>
          <w:spacing w:val="5"/>
          <w:w w:val="104"/>
          <w:lang w:val="ru-RU"/>
        </w:rPr>
        <w:t>ктор</w:t>
      </w:r>
      <w:r w:rsidR="009C006E" w:rsidRPr="00732013">
        <w:rPr>
          <w:spacing w:val="5"/>
          <w:w w:val="104"/>
          <w:lang w:val="ru-RU"/>
        </w:rPr>
        <w:t xml:space="preserve"> по вопросам журналистской этики</w:t>
      </w:r>
      <w:r w:rsidR="00564A0E" w:rsidRPr="00732013">
        <w:rPr>
          <w:spacing w:val="5"/>
          <w:w w:val="104"/>
          <w:lang w:val="ru-RU"/>
        </w:rPr>
        <w:t>, который</w:t>
      </w:r>
      <w:r w:rsidR="00DE2E1F" w:rsidRPr="00732013">
        <w:rPr>
          <w:spacing w:val="5"/>
          <w:w w:val="104"/>
          <w:lang w:val="ru-RU"/>
        </w:rPr>
        <w:t xml:space="preserve"> непосредственно занимается</w:t>
      </w:r>
      <w:r w:rsidR="00C319E7" w:rsidRPr="00732013">
        <w:rPr>
          <w:spacing w:val="5"/>
          <w:w w:val="104"/>
          <w:lang w:val="ru-RU"/>
        </w:rPr>
        <w:t xml:space="preserve"> </w:t>
      </w:r>
      <w:r w:rsidR="009253F5" w:rsidRPr="00732013">
        <w:rPr>
          <w:spacing w:val="5"/>
          <w:w w:val="104"/>
          <w:lang w:val="ru-RU"/>
        </w:rPr>
        <w:t>тем, чтобы</w:t>
      </w:r>
      <w:r w:rsidR="00C319E7" w:rsidRPr="00732013">
        <w:rPr>
          <w:spacing w:val="5"/>
          <w:w w:val="104"/>
          <w:lang w:val="ru-RU"/>
        </w:rPr>
        <w:t xml:space="preserve"> измен</w:t>
      </w:r>
      <w:r w:rsidR="009253F5" w:rsidRPr="00732013">
        <w:rPr>
          <w:spacing w:val="5"/>
          <w:w w:val="104"/>
          <w:lang w:val="ru-RU"/>
        </w:rPr>
        <w:t xml:space="preserve">ить </w:t>
      </w:r>
      <w:r w:rsidR="00041115" w:rsidRPr="00732013">
        <w:rPr>
          <w:spacing w:val="5"/>
          <w:w w:val="104"/>
          <w:lang w:val="ru-RU"/>
        </w:rPr>
        <w:t>существующ</w:t>
      </w:r>
      <w:r w:rsidR="009253F5" w:rsidRPr="00732013">
        <w:rPr>
          <w:spacing w:val="5"/>
          <w:w w:val="104"/>
          <w:lang w:val="ru-RU"/>
        </w:rPr>
        <w:t>ий</w:t>
      </w:r>
      <w:r w:rsidR="00041115" w:rsidRPr="00732013">
        <w:rPr>
          <w:spacing w:val="5"/>
          <w:w w:val="104"/>
          <w:lang w:val="ru-RU"/>
        </w:rPr>
        <w:t xml:space="preserve"> в обществе </w:t>
      </w:r>
      <w:r w:rsidR="009253F5" w:rsidRPr="00732013">
        <w:rPr>
          <w:spacing w:val="5"/>
          <w:w w:val="104"/>
          <w:lang w:val="ru-RU"/>
        </w:rPr>
        <w:t>стереотипный</w:t>
      </w:r>
      <w:r w:rsidR="00C319E7" w:rsidRPr="00732013">
        <w:rPr>
          <w:spacing w:val="5"/>
          <w:w w:val="104"/>
          <w:lang w:val="ru-RU"/>
        </w:rPr>
        <w:t xml:space="preserve"> подход к женщинам и девочкам (включая тех из них, кто </w:t>
      </w:r>
      <w:r w:rsidR="00181B7F" w:rsidRPr="00732013">
        <w:rPr>
          <w:spacing w:val="5"/>
          <w:w w:val="104"/>
          <w:lang w:val="ru-RU"/>
        </w:rPr>
        <w:t xml:space="preserve">подвергается </w:t>
      </w:r>
      <w:r w:rsidR="00FA2626" w:rsidRPr="00732013">
        <w:rPr>
          <w:spacing w:val="5"/>
          <w:w w:val="104"/>
          <w:lang w:val="ru-RU"/>
        </w:rPr>
        <w:t xml:space="preserve">множественной </w:t>
      </w:r>
      <w:r w:rsidR="00181B7F" w:rsidRPr="00732013">
        <w:rPr>
          <w:spacing w:val="5"/>
          <w:w w:val="104"/>
          <w:lang w:val="ru-RU"/>
        </w:rPr>
        <w:t>дискриминации</w:t>
      </w:r>
      <w:r w:rsidR="00032795" w:rsidRPr="00732013">
        <w:rPr>
          <w:spacing w:val="5"/>
          <w:w w:val="104"/>
          <w:lang w:val="ru-RU"/>
        </w:rPr>
        <w:t xml:space="preserve"> </w:t>
      </w:r>
      <w:r w:rsidR="00C319E7" w:rsidRPr="00732013">
        <w:rPr>
          <w:spacing w:val="5"/>
          <w:w w:val="104"/>
          <w:lang w:val="ru-RU"/>
        </w:rPr>
        <w:t>по признаку происхождения, возраста, инвалидности и</w:t>
      </w:r>
      <w:r w:rsidR="009253F5" w:rsidRPr="00732013">
        <w:rPr>
          <w:spacing w:val="5"/>
          <w:w w:val="104"/>
          <w:lang w:val="ru-RU"/>
        </w:rPr>
        <w:t>ли в силу</w:t>
      </w:r>
      <w:r w:rsidR="00C319E7" w:rsidRPr="00732013">
        <w:rPr>
          <w:spacing w:val="5"/>
          <w:w w:val="104"/>
          <w:lang w:val="ru-RU"/>
        </w:rPr>
        <w:t xml:space="preserve"> </w:t>
      </w:r>
      <w:r w:rsidR="009253F5" w:rsidRPr="00732013">
        <w:rPr>
          <w:spacing w:val="5"/>
          <w:w w:val="104"/>
          <w:lang w:val="ru-RU"/>
        </w:rPr>
        <w:t>иных</w:t>
      </w:r>
      <w:r w:rsidR="004C1E24" w:rsidRPr="00732013">
        <w:rPr>
          <w:spacing w:val="5"/>
          <w:w w:val="104"/>
          <w:lang w:val="ru-RU"/>
        </w:rPr>
        <w:t xml:space="preserve"> особенностей)</w:t>
      </w:r>
      <w:r w:rsidR="00EC5170" w:rsidRPr="00732013">
        <w:rPr>
          <w:spacing w:val="5"/>
          <w:w w:val="104"/>
          <w:lang w:val="ru-RU"/>
        </w:rPr>
        <w:t xml:space="preserve"> и формировать позитивный и</w:t>
      </w:r>
      <w:r w:rsidR="001609A9" w:rsidRPr="00732013">
        <w:rPr>
          <w:spacing w:val="5"/>
          <w:w w:val="104"/>
          <w:lang w:val="ru-RU"/>
        </w:rPr>
        <w:t xml:space="preserve"> лишенный сексуальной окра</w:t>
      </w:r>
      <w:r w:rsidR="00930DB7" w:rsidRPr="00732013">
        <w:rPr>
          <w:spacing w:val="5"/>
          <w:w w:val="104"/>
          <w:lang w:val="ru-RU"/>
        </w:rPr>
        <w:t>ски</w:t>
      </w:r>
      <w:r w:rsidR="001609A9" w:rsidRPr="00732013">
        <w:rPr>
          <w:spacing w:val="5"/>
          <w:w w:val="104"/>
          <w:lang w:val="ru-RU"/>
        </w:rPr>
        <w:t xml:space="preserve"> образ женщины в СМИ</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37.</w:t>
      </w:r>
      <w:r w:rsidRPr="00732013">
        <w:rPr>
          <w:spacing w:val="5"/>
          <w:w w:val="104"/>
          <w:lang w:val="ru-RU"/>
        </w:rPr>
        <w:tab/>
      </w:r>
      <w:r w:rsidR="00D80097" w:rsidRPr="00732013">
        <w:rPr>
          <w:spacing w:val="5"/>
          <w:w w:val="104"/>
          <w:lang w:val="ru-RU"/>
        </w:rPr>
        <w:t xml:space="preserve">В ходе осуществления Межучрежденческого плана действий по </w:t>
      </w:r>
      <w:r w:rsidR="00325EE1" w:rsidRPr="00732013">
        <w:rPr>
          <w:spacing w:val="5"/>
          <w:w w:val="104"/>
          <w:lang w:val="ru-RU"/>
        </w:rPr>
        <w:t>содействию</w:t>
      </w:r>
      <w:r w:rsidR="00D80097" w:rsidRPr="00732013">
        <w:rPr>
          <w:spacing w:val="5"/>
          <w:w w:val="104"/>
          <w:lang w:val="ru-RU"/>
        </w:rPr>
        <w:t xml:space="preserve"> недискриминации на 2012–</w:t>
      </w:r>
      <w:r w:rsidRPr="00732013">
        <w:rPr>
          <w:spacing w:val="5"/>
          <w:w w:val="104"/>
          <w:lang w:val="ru-RU"/>
        </w:rPr>
        <w:t>2014</w:t>
      </w:r>
      <w:r w:rsidR="008055A1" w:rsidRPr="00732013">
        <w:rPr>
          <w:spacing w:val="5"/>
          <w:w w:val="104"/>
          <w:lang w:val="ru-RU"/>
        </w:rPr>
        <w:t> год</w:t>
      </w:r>
      <w:r w:rsidR="00D80097" w:rsidRPr="00732013">
        <w:rPr>
          <w:spacing w:val="5"/>
          <w:w w:val="104"/>
          <w:lang w:val="ru-RU"/>
        </w:rPr>
        <w:t>ы</w:t>
      </w:r>
      <w:r w:rsidR="00BF04B9" w:rsidRPr="00732013">
        <w:rPr>
          <w:rStyle w:val="FootnoteReference"/>
          <w:spacing w:val="5"/>
          <w:w w:val="104"/>
          <w:sz w:val="20"/>
        </w:rPr>
        <w:footnoteReference w:id="18"/>
      </w:r>
      <w:r w:rsidR="003337B6" w:rsidRPr="00732013">
        <w:rPr>
          <w:spacing w:val="5"/>
          <w:w w:val="104"/>
          <w:lang w:val="ru-RU"/>
        </w:rPr>
        <w:t xml:space="preserve"> Канцелярия </w:t>
      </w:r>
      <w:r w:rsidR="002342C2" w:rsidRPr="00732013">
        <w:rPr>
          <w:spacing w:val="5"/>
          <w:w w:val="104"/>
          <w:lang w:val="ru-RU"/>
        </w:rPr>
        <w:t xml:space="preserve">Омбудсмена </w:t>
      </w:r>
      <w:r w:rsidR="003337B6" w:rsidRPr="00732013">
        <w:rPr>
          <w:spacing w:val="5"/>
          <w:w w:val="104"/>
          <w:lang w:val="ru-RU"/>
        </w:rPr>
        <w:t>по вопросам</w:t>
      </w:r>
      <w:r w:rsidR="00330E2F" w:rsidRPr="00732013">
        <w:rPr>
          <w:spacing w:val="5"/>
          <w:w w:val="104"/>
          <w:lang w:val="ru-RU"/>
        </w:rPr>
        <w:t xml:space="preserve"> равных возможностей проводила информационно-просветительские кампании с целью изменить стереотипное обращение</w:t>
      </w:r>
      <w:r w:rsidR="00C77CF2" w:rsidRPr="00732013">
        <w:rPr>
          <w:spacing w:val="5"/>
          <w:w w:val="104"/>
          <w:lang w:val="ru-RU"/>
        </w:rPr>
        <w:t xml:space="preserve"> (публикации, постеры, промо-видеоролики, теле- и радиопередачи, подготовка по вопросам равных возможностей</w:t>
      </w:r>
      <w:r w:rsidR="001A2CC2" w:rsidRPr="00732013">
        <w:rPr>
          <w:spacing w:val="5"/>
          <w:w w:val="104"/>
          <w:lang w:val="ru-RU"/>
        </w:rPr>
        <w:t xml:space="preserve"> и недискриминации, семинары для муниципальных служащих, </w:t>
      </w:r>
      <w:r w:rsidR="008F147B" w:rsidRPr="00732013">
        <w:rPr>
          <w:spacing w:val="5"/>
          <w:w w:val="104"/>
          <w:lang w:val="ru-RU"/>
        </w:rPr>
        <w:t xml:space="preserve">чтение </w:t>
      </w:r>
      <w:r w:rsidR="001A2CC2" w:rsidRPr="00732013">
        <w:rPr>
          <w:spacing w:val="5"/>
          <w:w w:val="104"/>
          <w:lang w:val="ru-RU"/>
        </w:rPr>
        <w:t xml:space="preserve">в литовских высших учебных заведениях и </w:t>
      </w:r>
      <w:r w:rsidR="008F147B" w:rsidRPr="00732013">
        <w:rPr>
          <w:spacing w:val="5"/>
          <w:w w:val="104"/>
          <w:lang w:val="ru-RU"/>
        </w:rPr>
        <w:t>публичных</w:t>
      </w:r>
      <w:r w:rsidR="001A2CC2" w:rsidRPr="00732013">
        <w:rPr>
          <w:spacing w:val="5"/>
          <w:w w:val="104"/>
          <w:lang w:val="ru-RU"/>
        </w:rPr>
        <w:t xml:space="preserve"> библиотеках</w:t>
      </w:r>
      <w:r w:rsidR="008F147B" w:rsidRPr="00732013">
        <w:rPr>
          <w:spacing w:val="5"/>
          <w:w w:val="104"/>
          <w:lang w:val="ru-RU"/>
        </w:rPr>
        <w:t xml:space="preserve"> открытых лекций о разнообразных формах политики недискриминации), </w:t>
      </w:r>
      <w:r w:rsidR="002240F6" w:rsidRPr="00732013">
        <w:rPr>
          <w:spacing w:val="5"/>
          <w:w w:val="104"/>
          <w:lang w:val="ru-RU"/>
        </w:rPr>
        <w:t>Департамент</w:t>
      </w:r>
      <w:r w:rsidR="008F147B" w:rsidRPr="00732013">
        <w:rPr>
          <w:spacing w:val="5"/>
          <w:w w:val="104"/>
          <w:lang w:val="ru-RU"/>
        </w:rPr>
        <w:t xml:space="preserve"> информационно-комму</w:t>
      </w:r>
      <w:r w:rsidR="009F0156" w:rsidRPr="00732013">
        <w:rPr>
          <w:spacing w:val="5"/>
          <w:w w:val="104"/>
          <w:lang w:val="ru-RU"/>
        </w:rPr>
        <w:t xml:space="preserve">никационных технологий </w:t>
      </w:r>
      <w:r w:rsidR="009138B7" w:rsidRPr="00732013">
        <w:rPr>
          <w:spacing w:val="5"/>
          <w:w w:val="104"/>
          <w:lang w:val="ru-RU"/>
        </w:rPr>
        <w:t xml:space="preserve">Министерства </w:t>
      </w:r>
      <w:r w:rsidR="008F147B" w:rsidRPr="00732013">
        <w:rPr>
          <w:spacing w:val="5"/>
          <w:w w:val="104"/>
          <w:lang w:val="ru-RU"/>
        </w:rPr>
        <w:t xml:space="preserve">внутренних дел </w:t>
      </w:r>
      <w:r w:rsidR="009F0156" w:rsidRPr="00732013">
        <w:rPr>
          <w:spacing w:val="5"/>
          <w:w w:val="104"/>
          <w:lang w:val="ru-RU"/>
        </w:rPr>
        <w:t xml:space="preserve">опубликовал </w:t>
      </w:r>
      <w:r w:rsidR="005B61CF" w:rsidRPr="00732013">
        <w:rPr>
          <w:spacing w:val="5"/>
          <w:w w:val="104"/>
          <w:lang w:val="ru-RU"/>
        </w:rPr>
        <w:t xml:space="preserve">(на сайте </w:t>
      </w:r>
      <w:r w:rsidR="005B61CF" w:rsidRPr="00732013">
        <w:rPr>
          <w:spacing w:val="5"/>
          <w:w w:val="104"/>
        </w:rPr>
        <w:t>www</w:t>
      </w:r>
      <w:r w:rsidR="005B61CF" w:rsidRPr="00732013">
        <w:rPr>
          <w:spacing w:val="5"/>
          <w:w w:val="104"/>
          <w:lang w:val="ru-RU"/>
        </w:rPr>
        <w:t>.</w:t>
      </w:r>
      <w:r w:rsidR="005B61CF" w:rsidRPr="00732013">
        <w:rPr>
          <w:spacing w:val="5"/>
          <w:w w:val="104"/>
        </w:rPr>
        <w:t>ird</w:t>
      </w:r>
      <w:r w:rsidR="005B61CF" w:rsidRPr="00732013">
        <w:rPr>
          <w:spacing w:val="5"/>
          <w:w w:val="104"/>
          <w:lang w:val="ru-RU"/>
        </w:rPr>
        <w:t>.</w:t>
      </w:r>
      <w:r w:rsidR="005B61CF" w:rsidRPr="00732013">
        <w:rPr>
          <w:spacing w:val="5"/>
          <w:w w:val="104"/>
        </w:rPr>
        <w:t>lt</w:t>
      </w:r>
      <w:r w:rsidR="001B52A5" w:rsidRPr="00732013">
        <w:rPr>
          <w:spacing w:val="5"/>
          <w:w w:val="104"/>
          <w:lang w:val="ru-RU"/>
        </w:rPr>
        <w:t>)</w:t>
      </w:r>
      <w:r w:rsidR="005B61CF" w:rsidRPr="00732013">
        <w:rPr>
          <w:spacing w:val="5"/>
          <w:w w:val="104"/>
          <w:lang w:val="ru-RU"/>
        </w:rPr>
        <w:t xml:space="preserve"> </w:t>
      </w:r>
      <w:r w:rsidR="009F0156" w:rsidRPr="00732013">
        <w:rPr>
          <w:spacing w:val="5"/>
          <w:w w:val="104"/>
          <w:lang w:val="ru-RU"/>
        </w:rPr>
        <w:t xml:space="preserve">статистические данные по преступлениям, совершенным </w:t>
      </w:r>
      <w:r w:rsidR="005B61CF" w:rsidRPr="00732013">
        <w:rPr>
          <w:spacing w:val="5"/>
          <w:w w:val="104"/>
          <w:lang w:val="ru-RU"/>
        </w:rPr>
        <w:t>на почве национальности, расы, происхождения, религии, языка или принадлежности</w:t>
      </w:r>
      <w:r w:rsidR="002240F6" w:rsidRPr="00732013">
        <w:rPr>
          <w:spacing w:val="5"/>
          <w:w w:val="104"/>
          <w:lang w:val="ru-RU"/>
        </w:rPr>
        <w:t xml:space="preserve"> к какой-либо иной группе</w:t>
      </w:r>
      <w:r w:rsidR="00A22D0E" w:rsidRPr="00732013">
        <w:rPr>
          <w:spacing w:val="5"/>
          <w:w w:val="104"/>
          <w:lang w:val="ru-RU"/>
        </w:rPr>
        <w:t>.</w:t>
      </w:r>
      <w:r w:rsidR="002240F6" w:rsidRPr="00732013">
        <w:rPr>
          <w:spacing w:val="5"/>
          <w:w w:val="104"/>
          <w:lang w:val="ru-RU"/>
        </w:rPr>
        <w:t xml:space="preserve"> Департамент по делам молодежи </w:t>
      </w:r>
      <w:r w:rsidR="00A22D0E" w:rsidRPr="00732013">
        <w:rPr>
          <w:spacing w:val="5"/>
          <w:w w:val="104"/>
          <w:lang w:val="ru-RU"/>
        </w:rPr>
        <w:t>М</w:t>
      </w:r>
      <w:r w:rsidR="002240F6" w:rsidRPr="00732013">
        <w:rPr>
          <w:spacing w:val="5"/>
          <w:w w:val="104"/>
          <w:lang w:val="ru-RU"/>
        </w:rPr>
        <w:t>инистерств</w:t>
      </w:r>
      <w:r w:rsidR="00A22D0E" w:rsidRPr="00732013">
        <w:rPr>
          <w:spacing w:val="5"/>
          <w:w w:val="104"/>
          <w:lang w:val="ru-RU"/>
        </w:rPr>
        <w:t>а</w:t>
      </w:r>
      <w:r w:rsidR="002240F6" w:rsidRPr="00732013">
        <w:rPr>
          <w:spacing w:val="5"/>
          <w:w w:val="104"/>
          <w:lang w:val="ru-RU"/>
        </w:rPr>
        <w:t xml:space="preserve"> социальной безопасности и труда</w:t>
      </w:r>
      <w:r w:rsidR="008F6DEC" w:rsidRPr="00732013">
        <w:rPr>
          <w:spacing w:val="5"/>
          <w:w w:val="104"/>
          <w:lang w:val="ru-RU"/>
        </w:rPr>
        <w:t xml:space="preserve"> организовал в одном из проблемных регионов Литвы учебный семинар по вопросам </w:t>
      </w:r>
      <w:r w:rsidR="00A22D0E" w:rsidRPr="00732013">
        <w:rPr>
          <w:spacing w:val="5"/>
          <w:w w:val="104"/>
          <w:lang w:val="ru-RU"/>
        </w:rPr>
        <w:t xml:space="preserve">формирования культуры </w:t>
      </w:r>
      <w:r w:rsidR="008F6DEC" w:rsidRPr="00732013">
        <w:rPr>
          <w:spacing w:val="5"/>
          <w:w w:val="104"/>
          <w:lang w:val="ru-RU"/>
        </w:rPr>
        <w:t>недискриминации, толерантности и уважения прав человека</w:t>
      </w:r>
      <w:r w:rsidR="00A22D0E" w:rsidRPr="00732013">
        <w:rPr>
          <w:spacing w:val="5"/>
          <w:w w:val="104"/>
          <w:lang w:val="ru-RU"/>
        </w:rPr>
        <w:t>.</w:t>
      </w:r>
      <w:r w:rsidR="008F6DEC" w:rsidRPr="00732013">
        <w:rPr>
          <w:spacing w:val="5"/>
          <w:w w:val="104"/>
          <w:lang w:val="ru-RU"/>
        </w:rPr>
        <w:t xml:space="preserve"> </w:t>
      </w:r>
      <w:r w:rsidR="00A22D0E" w:rsidRPr="00732013">
        <w:rPr>
          <w:spacing w:val="5"/>
          <w:w w:val="104"/>
          <w:lang w:val="ru-RU"/>
        </w:rPr>
        <w:t>М</w:t>
      </w:r>
      <w:r w:rsidR="008F6DEC" w:rsidRPr="00732013">
        <w:rPr>
          <w:spacing w:val="5"/>
          <w:w w:val="104"/>
          <w:lang w:val="ru-RU"/>
        </w:rPr>
        <w:t>инистерство культуры</w:t>
      </w:r>
      <w:r w:rsidR="005255BA" w:rsidRPr="00732013">
        <w:rPr>
          <w:spacing w:val="5"/>
          <w:w w:val="104"/>
          <w:lang w:val="ru-RU"/>
        </w:rPr>
        <w:t xml:space="preserve"> проводило мероприятия по воспитанию толерантности и признанию иных культур, содействуя тем самым </w:t>
      </w:r>
      <w:r w:rsidR="00554870" w:rsidRPr="00732013">
        <w:rPr>
          <w:spacing w:val="5"/>
          <w:w w:val="104"/>
          <w:lang w:val="ru-RU"/>
        </w:rPr>
        <w:t>изменению стереотипного обращения</w:t>
      </w:r>
      <w:r w:rsidR="00A22D0E" w:rsidRPr="00732013">
        <w:rPr>
          <w:spacing w:val="5"/>
          <w:w w:val="104"/>
          <w:lang w:val="ru-RU"/>
        </w:rPr>
        <w:t>.</w:t>
      </w:r>
      <w:r w:rsidR="00554870" w:rsidRPr="00732013">
        <w:rPr>
          <w:spacing w:val="5"/>
          <w:w w:val="104"/>
          <w:lang w:val="ru-RU"/>
        </w:rPr>
        <w:t xml:space="preserve"> Департамент по делам инвалидов </w:t>
      </w:r>
      <w:r w:rsidR="00A22D0E" w:rsidRPr="00732013">
        <w:rPr>
          <w:spacing w:val="5"/>
          <w:w w:val="104"/>
          <w:lang w:val="ru-RU"/>
        </w:rPr>
        <w:t>М</w:t>
      </w:r>
      <w:r w:rsidR="00554870" w:rsidRPr="00732013">
        <w:rPr>
          <w:spacing w:val="5"/>
          <w:w w:val="104"/>
          <w:lang w:val="ru-RU"/>
        </w:rPr>
        <w:t>инистерства соц</w:t>
      </w:r>
      <w:r w:rsidR="0008468C" w:rsidRPr="00732013">
        <w:rPr>
          <w:spacing w:val="5"/>
          <w:w w:val="104"/>
          <w:lang w:val="ru-RU"/>
        </w:rPr>
        <w:t>иальной защиты и труда проводил для специалистов</w:t>
      </w:r>
      <w:r w:rsidR="00554870" w:rsidRPr="00732013">
        <w:rPr>
          <w:spacing w:val="5"/>
          <w:w w:val="104"/>
          <w:lang w:val="ru-RU"/>
        </w:rPr>
        <w:t xml:space="preserve"> </w:t>
      </w:r>
      <w:r w:rsidR="0008468C" w:rsidRPr="00732013">
        <w:rPr>
          <w:spacing w:val="5"/>
          <w:w w:val="104"/>
          <w:lang w:val="ru-RU"/>
        </w:rPr>
        <w:t xml:space="preserve">сферы публичной информации </w:t>
      </w:r>
      <w:r w:rsidR="00554870" w:rsidRPr="00732013">
        <w:rPr>
          <w:spacing w:val="5"/>
          <w:w w:val="104"/>
          <w:lang w:val="ru-RU"/>
        </w:rPr>
        <w:t xml:space="preserve">учебные занятия </w:t>
      </w:r>
      <w:r w:rsidR="0008468C" w:rsidRPr="00732013">
        <w:rPr>
          <w:spacing w:val="5"/>
          <w:w w:val="104"/>
          <w:lang w:val="ru-RU"/>
        </w:rPr>
        <w:t>по вопросу недискриминации по признаку инвалидности и т.</w:t>
      </w:r>
      <w:r w:rsidR="00A22D0E" w:rsidRPr="00732013">
        <w:rPr>
          <w:spacing w:val="5"/>
          <w:w w:val="104"/>
          <w:lang w:val="ru-RU"/>
        </w:rPr>
        <w:t> </w:t>
      </w:r>
      <w:r w:rsidR="0008468C" w:rsidRPr="00732013">
        <w:rPr>
          <w:spacing w:val="5"/>
          <w:w w:val="104"/>
          <w:lang w:val="ru-RU"/>
        </w:rPr>
        <w:t>д</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38.</w:t>
      </w:r>
      <w:r w:rsidRPr="00732013">
        <w:rPr>
          <w:spacing w:val="5"/>
          <w:w w:val="104"/>
          <w:lang w:val="ru-RU"/>
        </w:rPr>
        <w:tab/>
      </w:r>
      <w:r w:rsidR="008111EF" w:rsidRPr="00732013">
        <w:rPr>
          <w:spacing w:val="5"/>
          <w:w w:val="104"/>
          <w:lang w:val="ru-RU"/>
        </w:rPr>
        <w:t>В конце</w:t>
      </w:r>
      <w:r w:rsidRPr="00732013">
        <w:rPr>
          <w:spacing w:val="5"/>
          <w:w w:val="104"/>
          <w:lang w:val="ru-RU"/>
        </w:rPr>
        <w:t xml:space="preserve"> 2012</w:t>
      </w:r>
      <w:r w:rsidR="008055A1" w:rsidRPr="00732013">
        <w:rPr>
          <w:spacing w:val="5"/>
          <w:w w:val="104"/>
          <w:lang w:val="ru-RU"/>
        </w:rPr>
        <w:t> год</w:t>
      </w:r>
      <w:r w:rsidR="008111EF" w:rsidRPr="00732013">
        <w:rPr>
          <w:spacing w:val="5"/>
          <w:w w:val="104"/>
          <w:lang w:val="ru-RU"/>
        </w:rPr>
        <w:t xml:space="preserve">а </w:t>
      </w:r>
      <w:r w:rsidR="00A22D0E" w:rsidRPr="00732013">
        <w:rPr>
          <w:spacing w:val="5"/>
          <w:w w:val="104"/>
          <w:lang w:val="ru-RU"/>
        </w:rPr>
        <w:t>М</w:t>
      </w:r>
      <w:r w:rsidR="008111EF" w:rsidRPr="00732013">
        <w:rPr>
          <w:spacing w:val="5"/>
          <w:w w:val="104"/>
          <w:lang w:val="ru-RU"/>
        </w:rPr>
        <w:t>инистерство культуры</w:t>
      </w:r>
      <w:r w:rsidRPr="00732013">
        <w:rPr>
          <w:spacing w:val="5"/>
          <w:w w:val="104"/>
          <w:lang w:val="ru-RU"/>
        </w:rPr>
        <w:t>,</w:t>
      </w:r>
      <w:r w:rsidR="008111EF" w:rsidRPr="00732013">
        <w:rPr>
          <w:spacing w:val="5"/>
          <w:w w:val="104"/>
          <w:lang w:val="ru-RU"/>
        </w:rPr>
        <w:t xml:space="preserve"> стремясь содействовать толерантности в отношении</w:t>
      </w:r>
      <w:r w:rsidR="009138B7" w:rsidRPr="00732013">
        <w:rPr>
          <w:spacing w:val="5"/>
          <w:w w:val="104"/>
          <w:lang w:val="ru-RU"/>
        </w:rPr>
        <w:t xml:space="preserve"> народности</w:t>
      </w:r>
      <w:r w:rsidR="008111EF" w:rsidRPr="00732013">
        <w:rPr>
          <w:spacing w:val="5"/>
          <w:w w:val="104"/>
          <w:lang w:val="ru-RU"/>
        </w:rPr>
        <w:t xml:space="preserve"> рома, включая девочек</w:t>
      </w:r>
      <w:r w:rsidR="00A22D0E" w:rsidRPr="00732013">
        <w:rPr>
          <w:spacing w:val="5"/>
          <w:w w:val="104"/>
          <w:lang w:val="ru-RU"/>
        </w:rPr>
        <w:t xml:space="preserve"> из числа </w:t>
      </w:r>
      <w:r w:rsidR="008111EF" w:rsidRPr="00732013">
        <w:rPr>
          <w:spacing w:val="5"/>
          <w:w w:val="104"/>
          <w:lang w:val="ru-RU"/>
        </w:rPr>
        <w:t>рома,</w:t>
      </w:r>
      <w:r w:rsidR="0064767C" w:rsidRPr="00732013">
        <w:rPr>
          <w:spacing w:val="5"/>
          <w:w w:val="104"/>
          <w:lang w:val="ru-RU"/>
        </w:rPr>
        <w:t xml:space="preserve"> и противодействовать любым сложившимся стереотипам, </w:t>
      </w:r>
      <w:r w:rsidR="000410D8" w:rsidRPr="00732013">
        <w:rPr>
          <w:spacing w:val="5"/>
          <w:w w:val="104"/>
          <w:lang w:val="ru-RU"/>
        </w:rPr>
        <w:t xml:space="preserve">присоединилось к кампании </w:t>
      </w:r>
      <w:r w:rsidR="00576A6B" w:rsidRPr="00732013">
        <w:rPr>
          <w:spacing w:val="5"/>
          <w:w w:val="104"/>
          <w:lang w:val="en-US"/>
        </w:rPr>
        <w:t>Dosta</w:t>
      </w:r>
      <w:r w:rsidR="00576A6B" w:rsidRPr="00732013">
        <w:rPr>
          <w:spacing w:val="5"/>
          <w:w w:val="104"/>
          <w:lang w:val="ru-RU"/>
        </w:rPr>
        <w:t>!</w:t>
      </w:r>
      <w:r w:rsidR="00BF04B9" w:rsidRPr="00732013">
        <w:rPr>
          <w:rStyle w:val="FootnoteReference"/>
          <w:spacing w:val="5"/>
          <w:w w:val="104"/>
          <w:sz w:val="20"/>
        </w:rPr>
        <w:footnoteReference w:id="19"/>
      </w:r>
      <w:r w:rsidR="00A22D0E" w:rsidRPr="00732013">
        <w:rPr>
          <w:spacing w:val="5"/>
          <w:w w:val="104"/>
          <w:lang w:val="ru-RU"/>
        </w:rPr>
        <w:t>,</w:t>
      </w:r>
      <w:r w:rsidRPr="00732013">
        <w:rPr>
          <w:spacing w:val="5"/>
          <w:w w:val="104"/>
          <w:lang w:val="ru-RU"/>
        </w:rPr>
        <w:t xml:space="preserve"> </w:t>
      </w:r>
      <w:r w:rsidR="000410D8" w:rsidRPr="00732013">
        <w:rPr>
          <w:spacing w:val="5"/>
          <w:w w:val="104"/>
          <w:lang w:val="ru-RU"/>
        </w:rPr>
        <w:t>проводимой Советом Европы (</w:t>
      </w:r>
      <w:r w:rsidR="003241CF" w:rsidRPr="00732013">
        <w:rPr>
          <w:spacing w:val="5"/>
          <w:w w:val="104"/>
          <w:lang w:val="ru-RU"/>
        </w:rPr>
        <w:t>она</w:t>
      </w:r>
      <w:r w:rsidR="000410D8" w:rsidRPr="00732013">
        <w:rPr>
          <w:spacing w:val="5"/>
          <w:w w:val="104"/>
          <w:lang w:val="ru-RU"/>
        </w:rPr>
        <w:t xml:space="preserve"> стартовала</w:t>
      </w:r>
      <w:r w:rsidRPr="00732013">
        <w:rPr>
          <w:spacing w:val="5"/>
          <w:w w:val="104"/>
          <w:lang w:val="ru-RU"/>
        </w:rPr>
        <w:t xml:space="preserve"> 8 </w:t>
      </w:r>
      <w:r w:rsidR="000410D8" w:rsidRPr="00732013">
        <w:rPr>
          <w:spacing w:val="5"/>
          <w:w w:val="104"/>
          <w:lang w:val="ru-RU"/>
        </w:rPr>
        <w:t>апреля</w:t>
      </w:r>
      <w:r w:rsidRPr="00732013">
        <w:rPr>
          <w:spacing w:val="5"/>
          <w:w w:val="104"/>
          <w:lang w:val="ru-RU"/>
        </w:rPr>
        <w:t xml:space="preserve"> 2013</w:t>
      </w:r>
      <w:r w:rsidR="008055A1" w:rsidRPr="00732013">
        <w:rPr>
          <w:spacing w:val="5"/>
          <w:w w:val="104"/>
          <w:lang w:val="ru-RU"/>
        </w:rPr>
        <w:t> год</w:t>
      </w:r>
      <w:r w:rsidR="000410D8" w:rsidRPr="00732013">
        <w:rPr>
          <w:spacing w:val="5"/>
          <w:w w:val="104"/>
          <w:lang w:val="ru-RU"/>
        </w:rPr>
        <w:t xml:space="preserve">а </w:t>
      </w:r>
      <w:r w:rsidR="00C17D9F" w:rsidRPr="00732013">
        <w:rPr>
          <w:spacing w:val="5"/>
          <w:w w:val="104"/>
          <w:lang w:val="ru-RU"/>
        </w:rPr>
        <w:t xml:space="preserve">в Международный день </w:t>
      </w:r>
      <w:r w:rsidR="00576A6B" w:rsidRPr="00732013">
        <w:rPr>
          <w:spacing w:val="5"/>
          <w:w w:val="104"/>
          <w:lang w:val="ru-RU"/>
        </w:rPr>
        <w:t>народности рома</w:t>
      </w:r>
      <w:r w:rsidR="00C17D9F" w:rsidRPr="00732013">
        <w:rPr>
          <w:spacing w:val="5"/>
          <w:w w:val="104"/>
          <w:lang w:val="ru-RU"/>
        </w:rPr>
        <w:t>)</w:t>
      </w:r>
      <w:r w:rsidRPr="00732013">
        <w:rPr>
          <w:spacing w:val="5"/>
          <w:w w:val="104"/>
          <w:lang w:val="ru-RU"/>
        </w:rPr>
        <w:t xml:space="preserve">. </w:t>
      </w:r>
      <w:r w:rsidR="00576A6B" w:rsidRPr="00732013">
        <w:rPr>
          <w:spacing w:val="5"/>
          <w:w w:val="104"/>
          <w:lang w:val="ru-RU"/>
        </w:rPr>
        <w:t xml:space="preserve">Цель </w:t>
      </w:r>
      <w:r w:rsidR="00A22D0E" w:rsidRPr="00732013">
        <w:rPr>
          <w:spacing w:val="5"/>
          <w:w w:val="104"/>
          <w:lang w:val="ru-RU"/>
        </w:rPr>
        <w:t xml:space="preserve">этой </w:t>
      </w:r>
      <w:r w:rsidR="00576A6B" w:rsidRPr="00732013">
        <w:rPr>
          <w:spacing w:val="5"/>
          <w:w w:val="104"/>
          <w:lang w:val="ru-RU"/>
        </w:rPr>
        <w:t xml:space="preserve">кампании </w:t>
      </w:r>
      <w:r w:rsidR="00A22D0E" w:rsidRPr="00732013">
        <w:rPr>
          <w:spacing w:val="5"/>
          <w:w w:val="104"/>
          <w:lang w:val="ru-RU"/>
        </w:rPr>
        <w:t xml:space="preserve">– </w:t>
      </w:r>
      <w:r w:rsidR="00576A6B" w:rsidRPr="00732013">
        <w:rPr>
          <w:spacing w:val="5"/>
          <w:w w:val="104"/>
          <w:lang w:val="ru-RU"/>
        </w:rPr>
        <w:t xml:space="preserve">способствовать </w:t>
      </w:r>
      <w:r w:rsidR="00A22D0E" w:rsidRPr="00732013">
        <w:rPr>
          <w:spacing w:val="5"/>
          <w:w w:val="104"/>
          <w:lang w:val="ru-RU"/>
        </w:rPr>
        <w:t xml:space="preserve">сочувствию в отношении </w:t>
      </w:r>
      <w:r w:rsidR="00576A6B" w:rsidRPr="00732013">
        <w:rPr>
          <w:spacing w:val="5"/>
          <w:w w:val="104"/>
          <w:lang w:val="ru-RU"/>
        </w:rPr>
        <w:t>народности рома</w:t>
      </w:r>
      <w:r w:rsidR="002D2D32" w:rsidRPr="00732013">
        <w:rPr>
          <w:spacing w:val="5"/>
          <w:w w:val="104"/>
          <w:lang w:val="ru-RU"/>
        </w:rPr>
        <w:t xml:space="preserve">, </w:t>
      </w:r>
      <w:r w:rsidR="00A22D0E" w:rsidRPr="00732013">
        <w:rPr>
          <w:spacing w:val="5"/>
          <w:w w:val="104"/>
          <w:lang w:val="ru-RU"/>
        </w:rPr>
        <w:t>с</w:t>
      </w:r>
      <w:r w:rsidR="002D2D32" w:rsidRPr="00732013">
        <w:rPr>
          <w:spacing w:val="5"/>
          <w:w w:val="104"/>
          <w:lang w:val="ru-RU"/>
        </w:rPr>
        <w:t>близить людей</w:t>
      </w:r>
      <w:r w:rsidR="00A22D0E" w:rsidRPr="00732013">
        <w:rPr>
          <w:spacing w:val="5"/>
          <w:w w:val="104"/>
          <w:lang w:val="ru-RU"/>
        </w:rPr>
        <w:t>,</w:t>
      </w:r>
      <w:r w:rsidR="002D2D32" w:rsidRPr="00732013">
        <w:rPr>
          <w:spacing w:val="5"/>
          <w:w w:val="104"/>
          <w:lang w:val="ru-RU"/>
        </w:rPr>
        <w:t xml:space="preserve"> </w:t>
      </w:r>
      <w:r w:rsidR="00A22D0E" w:rsidRPr="00732013">
        <w:rPr>
          <w:spacing w:val="5"/>
          <w:w w:val="104"/>
          <w:lang w:val="ru-RU"/>
        </w:rPr>
        <w:t xml:space="preserve">представляющих </w:t>
      </w:r>
      <w:r w:rsidR="002D2D32" w:rsidRPr="00732013">
        <w:rPr>
          <w:spacing w:val="5"/>
          <w:w w:val="104"/>
          <w:lang w:val="ru-RU"/>
        </w:rPr>
        <w:t>други</w:t>
      </w:r>
      <w:r w:rsidR="00A22D0E" w:rsidRPr="00732013">
        <w:rPr>
          <w:spacing w:val="5"/>
          <w:w w:val="104"/>
          <w:lang w:val="ru-RU"/>
        </w:rPr>
        <w:t>е</w:t>
      </w:r>
      <w:r w:rsidR="002D2D32" w:rsidRPr="00732013">
        <w:rPr>
          <w:spacing w:val="5"/>
          <w:w w:val="104"/>
          <w:lang w:val="ru-RU"/>
        </w:rPr>
        <w:t xml:space="preserve"> народност</w:t>
      </w:r>
      <w:r w:rsidR="00A22D0E" w:rsidRPr="00732013">
        <w:rPr>
          <w:spacing w:val="5"/>
          <w:w w:val="104"/>
          <w:lang w:val="ru-RU"/>
        </w:rPr>
        <w:t>и</w:t>
      </w:r>
      <w:r w:rsidR="009138B7" w:rsidRPr="00732013">
        <w:rPr>
          <w:spacing w:val="5"/>
          <w:w w:val="104"/>
          <w:lang w:val="ru-RU"/>
        </w:rPr>
        <w:t>,</w:t>
      </w:r>
      <w:r w:rsidR="002D2D32" w:rsidRPr="00732013">
        <w:rPr>
          <w:spacing w:val="5"/>
          <w:w w:val="104"/>
          <w:lang w:val="ru-RU"/>
        </w:rPr>
        <w:t xml:space="preserve"> </w:t>
      </w:r>
      <w:r w:rsidR="009138B7" w:rsidRPr="00732013">
        <w:rPr>
          <w:spacing w:val="5"/>
          <w:w w:val="104"/>
          <w:lang w:val="ru-RU"/>
        </w:rPr>
        <w:t xml:space="preserve">с </w:t>
      </w:r>
      <w:r w:rsidR="002D2D32" w:rsidRPr="00732013">
        <w:rPr>
          <w:spacing w:val="5"/>
          <w:w w:val="104"/>
          <w:lang w:val="ru-RU"/>
        </w:rPr>
        <w:t>рома</w:t>
      </w:r>
      <w:r w:rsidR="000D5047" w:rsidRPr="00732013">
        <w:rPr>
          <w:spacing w:val="5"/>
          <w:w w:val="104"/>
          <w:lang w:val="ru-RU"/>
        </w:rPr>
        <w:t xml:space="preserve"> и</w:t>
      </w:r>
      <w:r w:rsidR="003241CF" w:rsidRPr="00732013">
        <w:rPr>
          <w:spacing w:val="5"/>
          <w:w w:val="104"/>
          <w:lang w:val="ru-RU"/>
        </w:rPr>
        <w:t xml:space="preserve"> бороться с любыми</w:t>
      </w:r>
      <w:r w:rsidR="000D5047" w:rsidRPr="00732013">
        <w:rPr>
          <w:spacing w:val="5"/>
          <w:w w:val="104"/>
          <w:lang w:val="ru-RU"/>
        </w:rPr>
        <w:t xml:space="preserve"> препятствиями, обусловленными</w:t>
      </w:r>
      <w:r w:rsidR="003241CF" w:rsidRPr="00732013">
        <w:rPr>
          <w:spacing w:val="5"/>
          <w:w w:val="104"/>
          <w:lang w:val="ru-RU"/>
        </w:rPr>
        <w:t xml:space="preserve"> </w:t>
      </w:r>
      <w:r w:rsidR="000D5047" w:rsidRPr="00732013">
        <w:rPr>
          <w:spacing w:val="5"/>
          <w:w w:val="104"/>
          <w:lang w:val="ru-RU"/>
        </w:rPr>
        <w:t xml:space="preserve">укоренившимися предрассудками и стереотипами. </w:t>
      </w:r>
      <w:r w:rsidR="006D7780" w:rsidRPr="00732013">
        <w:rPr>
          <w:spacing w:val="5"/>
          <w:w w:val="104"/>
          <w:lang w:val="ru-RU"/>
        </w:rPr>
        <w:t>Министерство культуры перевело на литовский язык</w:t>
      </w:r>
      <w:r w:rsidR="009F0AF0" w:rsidRPr="00732013">
        <w:rPr>
          <w:spacing w:val="5"/>
          <w:w w:val="104"/>
          <w:lang w:val="ru-RU"/>
        </w:rPr>
        <w:t xml:space="preserve"> </w:t>
      </w:r>
      <w:r w:rsidR="006D7780" w:rsidRPr="00732013">
        <w:rPr>
          <w:spacing w:val="5"/>
          <w:w w:val="104"/>
          <w:lang w:val="ru-RU"/>
        </w:rPr>
        <w:t>учебник</w:t>
      </w:r>
      <w:r w:rsidR="009F0AF0" w:rsidRPr="00732013">
        <w:rPr>
          <w:spacing w:val="5"/>
          <w:w w:val="104"/>
          <w:lang w:val="ru-RU"/>
        </w:rPr>
        <w:t xml:space="preserve"> </w:t>
      </w:r>
      <w:r w:rsidR="006D7780" w:rsidRPr="00732013">
        <w:rPr>
          <w:spacing w:val="5"/>
          <w:w w:val="104"/>
        </w:rPr>
        <w:t>Dostos</w:t>
      </w:r>
      <w:r w:rsidR="006D7780" w:rsidRPr="00732013">
        <w:rPr>
          <w:spacing w:val="5"/>
          <w:w w:val="104"/>
          <w:lang w:val="ru-RU"/>
        </w:rPr>
        <w:t xml:space="preserve">, </w:t>
      </w:r>
      <w:r w:rsidR="00E47876" w:rsidRPr="00732013">
        <w:rPr>
          <w:spacing w:val="5"/>
          <w:w w:val="104"/>
          <w:lang w:val="ru-RU"/>
        </w:rPr>
        <w:t>где</w:t>
      </w:r>
      <w:r w:rsidR="006D7780" w:rsidRPr="00732013">
        <w:rPr>
          <w:spacing w:val="5"/>
          <w:w w:val="104"/>
          <w:lang w:val="ru-RU"/>
        </w:rPr>
        <w:t xml:space="preserve"> </w:t>
      </w:r>
      <w:r w:rsidR="00A22D0E" w:rsidRPr="00732013">
        <w:rPr>
          <w:spacing w:val="5"/>
          <w:w w:val="104"/>
          <w:lang w:val="ru-RU"/>
        </w:rPr>
        <w:t xml:space="preserve">анализируются </w:t>
      </w:r>
      <w:r w:rsidR="006D7780" w:rsidRPr="00732013">
        <w:rPr>
          <w:spacing w:val="5"/>
          <w:w w:val="104"/>
          <w:lang w:val="ru-RU"/>
        </w:rPr>
        <w:t>и опровергаются различные</w:t>
      </w:r>
      <w:r w:rsidR="00E47876" w:rsidRPr="00732013">
        <w:rPr>
          <w:spacing w:val="5"/>
          <w:w w:val="104"/>
          <w:lang w:val="ru-RU"/>
        </w:rPr>
        <w:t xml:space="preserve"> стереотипы, </w:t>
      </w:r>
      <w:r w:rsidR="00A22D0E" w:rsidRPr="00732013">
        <w:rPr>
          <w:spacing w:val="5"/>
          <w:w w:val="104"/>
          <w:lang w:val="ru-RU"/>
        </w:rPr>
        <w:t>в частности</w:t>
      </w:r>
      <w:r w:rsidR="00E47876" w:rsidRPr="00732013">
        <w:rPr>
          <w:spacing w:val="5"/>
          <w:w w:val="104"/>
          <w:lang w:val="ru-RU"/>
        </w:rPr>
        <w:t xml:space="preserve"> те, которые касаются женщин </w:t>
      </w:r>
      <w:r w:rsidR="009138B7" w:rsidRPr="00732013">
        <w:rPr>
          <w:spacing w:val="5"/>
          <w:w w:val="104"/>
          <w:lang w:val="ru-RU"/>
        </w:rPr>
        <w:t xml:space="preserve">из числа </w:t>
      </w:r>
      <w:r w:rsidR="00E47876" w:rsidRPr="00732013">
        <w:rPr>
          <w:spacing w:val="5"/>
          <w:w w:val="104"/>
          <w:lang w:val="ru-RU"/>
        </w:rPr>
        <w:t>рома</w:t>
      </w:r>
      <w:r w:rsidRPr="00732013">
        <w:rPr>
          <w:spacing w:val="5"/>
          <w:w w:val="104"/>
          <w:lang w:val="ru-RU"/>
        </w:rPr>
        <w:t xml:space="preserve">. </w:t>
      </w:r>
      <w:r w:rsidR="00A22D0E" w:rsidRPr="00732013">
        <w:rPr>
          <w:spacing w:val="5"/>
          <w:w w:val="104"/>
          <w:lang w:val="ru-RU"/>
        </w:rPr>
        <w:t>Этот у</w:t>
      </w:r>
      <w:r w:rsidR="00E47876" w:rsidRPr="00732013">
        <w:rPr>
          <w:spacing w:val="5"/>
          <w:w w:val="104"/>
          <w:lang w:val="ru-RU"/>
        </w:rPr>
        <w:t xml:space="preserve">чебник будет распространяться в школах и других </w:t>
      </w:r>
      <w:r w:rsidR="00A22D0E" w:rsidRPr="00732013">
        <w:rPr>
          <w:spacing w:val="5"/>
          <w:w w:val="104"/>
          <w:lang w:val="ru-RU"/>
        </w:rPr>
        <w:t>учебных заведениях</w:t>
      </w:r>
      <w:r w:rsidRPr="00732013">
        <w:rPr>
          <w:spacing w:val="5"/>
          <w:w w:val="104"/>
          <w:lang w:val="ru-RU"/>
        </w:rPr>
        <w:t>.</w:t>
      </w:r>
      <w:r w:rsidR="00306C59" w:rsidRPr="00732013">
        <w:rPr>
          <w:spacing w:val="5"/>
          <w:w w:val="104"/>
          <w:lang w:val="ru-RU"/>
        </w:rPr>
        <w:t xml:space="preserve"> </w:t>
      </w:r>
      <w:r w:rsidR="00A22D0E" w:rsidRPr="00732013">
        <w:rPr>
          <w:spacing w:val="5"/>
          <w:w w:val="104"/>
          <w:lang w:val="ru-RU"/>
        </w:rPr>
        <w:t>Проведение этой к</w:t>
      </w:r>
      <w:r w:rsidR="00306C59" w:rsidRPr="00732013">
        <w:rPr>
          <w:spacing w:val="5"/>
          <w:w w:val="104"/>
          <w:lang w:val="ru-RU"/>
        </w:rPr>
        <w:t>ампани</w:t>
      </w:r>
      <w:r w:rsidR="00A22D0E" w:rsidRPr="00732013">
        <w:rPr>
          <w:spacing w:val="5"/>
          <w:w w:val="104"/>
          <w:lang w:val="ru-RU"/>
        </w:rPr>
        <w:t>и</w:t>
      </w:r>
      <w:r w:rsidR="00306C59" w:rsidRPr="00732013">
        <w:rPr>
          <w:spacing w:val="5"/>
          <w:w w:val="104"/>
          <w:lang w:val="ru-RU"/>
        </w:rPr>
        <w:t xml:space="preserve"> также предусматривает </w:t>
      </w:r>
      <w:r w:rsidR="000073A7" w:rsidRPr="00732013">
        <w:rPr>
          <w:spacing w:val="5"/>
          <w:w w:val="104"/>
          <w:lang w:val="ru-RU"/>
        </w:rPr>
        <w:t>ряд других</w:t>
      </w:r>
      <w:r w:rsidR="00306C59" w:rsidRPr="00732013">
        <w:rPr>
          <w:spacing w:val="5"/>
          <w:w w:val="104"/>
          <w:lang w:val="ru-RU"/>
        </w:rPr>
        <w:t xml:space="preserve"> мер, в </w:t>
      </w:r>
      <w:r w:rsidR="000073A7" w:rsidRPr="00732013">
        <w:rPr>
          <w:spacing w:val="5"/>
          <w:w w:val="104"/>
          <w:lang w:val="ru-RU"/>
        </w:rPr>
        <w:t>том числе</w:t>
      </w:r>
      <w:r w:rsidR="00306C59" w:rsidRPr="00732013">
        <w:rPr>
          <w:spacing w:val="5"/>
          <w:w w:val="104"/>
          <w:lang w:val="ru-RU"/>
        </w:rPr>
        <w:t xml:space="preserve"> </w:t>
      </w:r>
      <w:r w:rsidR="000073A7" w:rsidRPr="00732013">
        <w:rPr>
          <w:spacing w:val="5"/>
          <w:w w:val="104"/>
          <w:lang w:val="ru-RU"/>
        </w:rPr>
        <w:t>издание</w:t>
      </w:r>
      <w:r w:rsidR="00306C59" w:rsidRPr="00732013">
        <w:rPr>
          <w:spacing w:val="5"/>
          <w:w w:val="104"/>
          <w:lang w:val="ru-RU"/>
        </w:rPr>
        <w:t xml:space="preserve"> </w:t>
      </w:r>
      <w:r w:rsidR="000073A7" w:rsidRPr="00732013">
        <w:rPr>
          <w:spacing w:val="5"/>
          <w:w w:val="104"/>
          <w:lang w:val="ru-RU"/>
        </w:rPr>
        <w:t>книг, посвященных истории и культуре рома</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39.</w:t>
      </w:r>
      <w:r w:rsidRPr="00732013">
        <w:rPr>
          <w:spacing w:val="5"/>
          <w:w w:val="104"/>
          <w:lang w:val="ru-RU"/>
        </w:rPr>
        <w:tab/>
      </w:r>
      <w:r w:rsidR="0079047A" w:rsidRPr="00732013">
        <w:rPr>
          <w:spacing w:val="5"/>
          <w:w w:val="104"/>
          <w:lang w:val="ru-RU"/>
        </w:rPr>
        <w:t>В Литве учебники оцениваются по ряду критериев</w:t>
      </w:r>
      <w:r w:rsidR="00A22D0E" w:rsidRPr="00732013">
        <w:rPr>
          <w:rStyle w:val="FootnoteReference"/>
          <w:spacing w:val="5"/>
          <w:w w:val="104"/>
          <w:sz w:val="20"/>
          <w:lang w:val="ru-RU"/>
        </w:rPr>
        <w:footnoteReference w:id="20"/>
      </w:r>
      <w:r w:rsidRPr="00732013">
        <w:rPr>
          <w:spacing w:val="5"/>
          <w:w w:val="104"/>
          <w:lang w:val="ru-RU"/>
        </w:rPr>
        <w:t xml:space="preserve">, </w:t>
      </w:r>
      <w:r w:rsidR="00C604A9" w:rsidRPr="00732013">
        <w:rPr>
          <w:spacing w:val="5"/>
          <w:w w:val="104"/>
          <w:lang w:val="ru-RU"/>
        </w:rPr>
        <w:t>позволяющих</w:t>
      </w:r>
      <w:r w:rsidR="0079047A" w:rsidRPr="00732013">
        <w:rPr>
          <w:spacing w:val="5"/>
          <w:w w:val="104"/>
          <w:lang w:val="ru-RU"/>
        </w:rPr>
        <w:t xml:space="preserve"> определить, соответствует ли представленный материал </w:t>
      </w:r>
      <w:r w:rsidR="00C604A9" w:rsidRPr="00732013">
        <w:rPr>
          <w:spacing w:val="5"/>
          <w:w w:val="104"/>
          <w:lang w:val="ru-RU"/>
        </w:rPr>
        <w:t>главным</w:t>
      </w:r>
      <w:r w:rsidR="0079047A" w:rsidRPr="00732013">
        <w:rPr>
          <w:spacing w:val="5"/>
          <w:w w:val="104"/>
          <w:lang w:val="ru-RU"/>
        </w:rPr>
        <w:t xml:space="preserve"> ценностям</w:t>
      </w:r>
      <w:r w:rsidR="00C604A9" w:rsidRPr="00732013">
        <w:rPr>
          <w:spacing w:val="5"/>
          <w:w w:val="104"/>
          <w:lang w:val="ru-RU"/>
        </w:rPr>
        <w:t xml:space="preserve"> демократического общества и ценностям Литовской Республики</w:t>
      </w:r>
      <w:r w:rsidR="00814A50" w:rsidRPr="00732013">
        <w:rPr>
          <w:spacing w:val="5"/>
          <w:w w:val="104"/>
          <w:lang w:val="ru-RU"/>
        </w:rPr>
        <w:t xml:space="preserve"> и является ли материал беспристрастным в отношении пола, возрастных групп, инвалидности, способностей, социального</w:t>
      </w:r>
      <w:r w:rsidR="009A6161" w:rsidRPr="00732013">
        <w:rPr>
          <w:spacing w:val="5"/>
          <w:w w:val="104"/>
          <w:lang w:val="ru-RU"/>
        </w:rPr>
        <w:t xml:space="preserve"> положения, расы, этнической принадлежности, религии и </w:t>
      </w:r>
      <w:r w:rsidR="00D82FF0" w:rsidRPr="00732013">
        <w:rPr>
          <w:spacing w:val="5"/>
          <w:w w:val="104"/>
          <w:lang w:val="ru-RU"/>
        </w:rPr>
        <w:t>убеждений</w:t>
      </w:r>
      <w:r w:rsidRPr="00732013">
        <w:rPr>
          <w:spacing w:val="5"/>
          <w:w w:val="104"/>
          <w:lang w:val="ru-RU"/>
        </w:rPr>
        <w:t xml:space="preserve">. </w:t>
      </w:r>
      <w:r w:rsidR="00D82FF0" w:rsidRPr="00732013">
        <w:rPr>
          <w:spacing w:val="5"/>
          <w:w w:val="104"/>
          <w:lang w:val="ru-RU"/>
        </w:rPr>
        <w:t xml:space="preserve">Требования, регулирующие оценку гендерной </w:t>
      </w:r>
      <w:r w:rsidR="00307725" w:rsidRPr="00732013">
        <w:rPr>
          <w:spacing w:val="5"/>
          <w:w w:val="104"/>
          <w:lang w:val="ru-RU"/>
        </w:rPr>
        <w:t>объективности</w:t>
      </w:r>
      <w:r w:rsidR="009216F2" w:rsidRPr="00732013">
        <w:rPr>
          <w:spacing w:val="5"/>
          <w:w w:val="104"/>
          <w:lang w:val="ru-RU"/>
        </w:rPr>
        <w:t>, подробно изложены в</w:t>
      </w:r>
      <w:r w:rsidRPr="00732013">
        <w:rPr>
          <w:spacing w:val="5"/>
          <w:w w:val="104"/>
          <w:lang w:val="ru-RU"/>
        </w:rPr>
        <w:t xml:space="preserve"> </w:t>
      </w:r>
      <w:r w:rsidR="009F0AF0" w:rsidRPr="00732013">
        <w:rPr>
          <w:spacing w:val="5"/>
          <w:w w:val="104"/>
          <w:lang w:val="ru-RU"/>
        </w:rPr>
        <w:t>"</w:t>
      </w:r>
      <w:r w:rsidR="009216F2" w:rsidRPr="00732013">
        <w:rPr>
          <w:spacing w:val="5"/>
          <w:w w:val="104"/>
          <w:lang w:val="ru-RU"/>
        </w:rPr>
        <w:t>Методических указаниях</w:t>
      </w:r>
      <w:r w:rsidR="00375215" w:rsidRPr="00732013">
        <w:rPr>
          <w:spacing w:val="5"/>
          <w:w w:val="104"/>
          <w:lang w:val="ru-RU"/>
        </w:rPr>
        <w:t xml:space="preserve"> по утверждению учебников и других учебных материалов</w:t>
      </w:r>
      <w:r w:rsidR="00737EC0" w:rsidRPr="00732013">
        <w:rPr>
          <w:spacing w:val="5"/>
          <w:w w:val="104"/>
          <w:lang w:val="ru-RU"/>
        </w:rPr>
        <w:t xml:space="preserve">, используемых для </w:t>
      </w:r>
      <w:r w:rsidR="00726DAE" w:rsidRPr="00732013">
        <w:rPr>
          <w:spacing w:val="5"/>
          <w:w w:val="104"/>
          <w:lang w:val="ru-RU"/>
        </w:rPr>
        <w:t>повышения компетентности</w:t>
      </w:r>
      <w:r w:rsidR="009F0AF0" w:rsidRPr="00732013">
        <w:rPr>
          <w:spacing w:val="5"/>
          <w:w w:val="104"/>
          <w:lang w:val="ru-RU"/>
        </w:rPr>
        <w:t>"</w:t>
      </w:r>
      <w:r w:rsidRPr="00732013">
        <w:rPr>
          <w:spacing w:val="5"/>
          <w:w w:val="104"/>
          <w:lang w:val="ru-RU"/>
        </w:rPr>
        <w:t xml:space="preserve"> (</w:t>
      </w:r>
      <w:r w:rsidR="00737EC0" w:rsidRPr="00732013">
        <w:rPr>
          <w:spacing w:val="5"/>
          <w:w w:val="104"/>
          <w:lang w:val="ru-RU"/>
        </w:rPr>
        <w:t>Вильнюс</w:t>
      </w:r>
      <w:r w:rsidRPr="00732013">
        <w:rPr>
          <w:spacing w:val="5"/>
          <w:w w:val="104"/>
          <w:lang w:val="ru-RU"/>
        </w:rPr>
        <w:t>, 2012</w:t>
      </w:r>
      <w:r w:rsidR="008055A1" w:rsidRPr="00732013">
        <w:rPr>
          <w:spacing w:val="5"/>
          <w:w w:val="104"/>
          <w:lang w:val="ru-RU"/>
        </w:rPr>
        <w:t> год</w:t>
      </w:r>
      <w:r w:rsidRPr="00732013">
        <w:rPr>
          <w:spacing w:val="5"/>
          <w:w w:val="104"/>
          <w:lang w:val="ru-RU"/>
        </w:rPr>
        <w:t>)</w:t>
      </w:r>
      <w:r w:rsidR="00F66467" w:rsidRPr="00732013">
        <w:rPr>
          <w:rStyle w:val="FootnoteReference"/>
          <w:spacing w:val="5"/>
          <w:w w:val="104"/>
          <w:sz w:val="20"/>
        </w:rPr>
        <w:footnoteReference w:id="21"/>
      </w:r>
      <w:r w:rsidRPr="00732013">
        <w:rPr>
          <w:spacing w:val="5"/>
          <w:w w:val="104"/>
          <w:lang w:val="ru-RU"/>
        </w:rPr>
        <w:t xml:space="preserve">. </w:t>
      </w:r>
      <w:r w:rsidR="001B03F4" w:rsidRPr="00732013">
        <w:rPr>
          <w:spacing w:val="5"/>
          <w:w w:val="104"/>
          <w:lang w:val="ru-RU"/>
        </w:rPr>
        <w:t xml:space="preserve">В учебниках </w:t>
      </w:r>
      <w:r w:rsidR="00CB6686" w:rsidRPr="00732013">
        <w:rPr>
          <w:spacing w:val="5"/>
          <w:w w:val="104"/>
          <w:lang w:val="ru-RU"/>
        </w:rPr>
        <w:t xml:space="preserve">обсуждаются </w:t>
      </w:r>
      <w:r w:rsidR="001B03F4" w:rsidRPr="00732013">
        <w:rPr>
          <w:spacing w:val="5"/>
          <w:w w:val="104"/>
          <w:lang w:val="ru-RU"/>
        </w:rPr>
        <w:t>вопросы развития</w:t>
      </w:r>
      <w:r w:rsidR="00707315" w:rsidRPr="00732013">
        <w:rPr>
          <w:spacing w:val="5"/>
          <w:w w:val="104"/>
          <w:lang w:val="ru-RU"/>
        </w:rPr>
        <w:t xml:space="preserve"> социальных компетенций и стрессоустойчивости как ключевого личного качества, необходимого </w:t>
      </w:r>
      <w:r w:rsidR="00CB6686" w:rsidRPr="00732013">
        <w:rPr>
          <w:spacing w:val="5"/>
          <w:w w:val="104"/>
          <w:lang w:val="ru-RU"/>
        </w:rPr>
        <w:t>как</w:t>
      </w:r>
      <w:r w:rsidR="00707315" w:rsidRPr="00732013">
        <w:rPr>
          <w:spacing w:val="5"/>
          <w:w w:val="104"/>
          <w:lang w:val="ru-RU"/>
        </w:rPr>
        <w:t xml:space="preserve"> для коммуникации, </w:t>
      </w:r>
      <w:r w:rsidR="00CB6686" w:rsidRPr="00732013">
        <w:rPr>
          <w:spacing w:val="5"/>
          <w:w w:val="104"/>
          <w:lang w:val="ru-RU"/>
        </w:rPr>
        <w:t xml:space="preserve">так </w:t>
      </w:r>
      <w:r w:rsidR="00707315" w:rsidRPr="00732013">
        <w:rPr>
          <w:spacing w:val="5"/>
          <w:w w:val="104"/>
          <w:lang w:val="ru-RU"/>
        </w:rPr>
        <w:t xml:space="preserve">и </w:t>
      </w:r>
      <w:r w:rsidR="00EF185B" w:rsidRPr="00732013">
        <w:rPr>
          <w:spacing w:val="5"/>
          <w:w w:val="104"/>
          <w:lang w:val="ru-RU"/>
        </w:rPr>
        <w:t xml:space="preserve">для </w:t>
      </w:r>
      <w:r w:rsidR="00707315" w:rsidRPr="00732013">
        <w:rPr>
          <w:spacing w:val="5"/>
          <w:w w:val="104"/>
          <w:lang w:val="ru-RU"/>
        </w:rPr>
        <w:t>сотрудничества</w:t>
      </w:r>
      <w:r w:rsidR="007B6F00" w:rsidRPr="00732013">
        <w:rPr>
          <w:spacing w:val="5"/>
          <w:w w:val="104"/>
          <w:lang w:val="ru-RU"/>
        </w:rPr>
        <w:t xml:space="preserve">. </w:t>
      </w:r>
      <w:r w:rsidR="00217A18" w:rsidRPr="00732013">
        <w:rPr>
          <w:spacing w:val="5"/>
          <w:w w:val="104"/>
          <w:lang w:val="ru-RU"/>
        </w:rPr>
        <w:t>Упомянутые рекомендации</w:t>
      </w:r>
      <w:r w:rsidR="007B6F00" w:rsidRPr="00732013">
        <w:rPr>
          <w:spacing w:val="5"/>
          <w:w w:val="104"/>
          <w:lang w:val="ru-RU"/>
        </w:rPr>
        <w:t xml:space="preserve"> предусматривают, что учебник должен содержать</w:t>
      </w:r>
      <w:r w:rsidR="00856CE2" w:rsidRPr="00732013">
        <w:rPr>
          <w:spacing w:val="5"/>
          <w:w w:val="104"/>
          <w:lang w:val="ru-RU"/>
        </w:rPr>
        <w:t xml:space="preserve"> информацию и задания</w:t>
      </w:r>
      <w:r w:rsidR="008A493B" w:rsidRPr="00732013">
        <w:rPr>
          <w:spacing w:val="5"/>
          <w:w w:val="104"/>
          <w:lang w:val="ru-RU"/>
        </w:rPr>
        <w:t xml:space="preserve">, </w:t>
      </w:r>
      <w:r w:rsidR="00934DE3" w:rsidRPr="00732013">
        <w:rPr>
          <w:spacing w:val="5"/>
          <w:w w:val="104"/>
          <w:lang w:val="ru-RU"/>
        </w:rPr>
        <w:t xml:space="preserve">которые </w:t>
      </w:r>
      <w:r w:rsidR="00C93C55" w:rsidRPr="00732013">
        <w:rPr>
          <w:spacing w:val="5"/>
          <w:w w:val="104"/>
          <w:lang w:val="ru-RU"/>
        </w:rPr>
        <w:t>воспитываю</w:t>
      </w:r>
      <w:r w:rsidR="00934DE3" w:rsidRPr="00732013">
        <w:rPr>
          <w:spacing w:val="5"/>
          <w:w w:val="104"/>
          <w:lang w:val="ru-RU"/>
        </w:rPr>
        <w:t>т</w:t>
      </w:r>
      <w:r w:rsidR="00C93C55" w:rsidRPr="00732013">
        <w:rPr>
          <w:spacing w:val="5"/>
          <w:w w:val="104"/>
          <w:lang w:val="ru-RU"/>
        </w:rPr>
        <w:t xml:space="preserve"> уважение и толерантность в отношении пола, расы, религии и культуры</w:t>
      </w:r>
      <w:r w:rsidR="00037FE9" w:rsidRPr="00732013">
        <w:rPr>
          <w:spacing w:val="5"/>
          <w:w w:val="104"/>
          <w:lang w:val="ru-RU"/>
        </w:rPr>
        <w:t>, а также</w:t>
      </w:r>
      <w:r w:rsidR="00934DE3" w:rsidRPr="00732013">
        <w:rPr>
          <w:spacing w:val="5"/>
          <w:w w:val="104"/>
          <w:lang w:val="ru-RU"/>
        </w:rPr>
        <w:t xml:space="preserve"> поощряют обсуждение ситуаций</w:t>
      </w:r>
      <w:r w:rsidR="00191B90" w:rsidRPr="00732013">
        <w:rPr>
          <w:spacing w:val="5"/>
          <w:w w:val="104"/>
          <w:lang w:val="ru-RU"/>
        </w:rPr>
        <w:t>, касающихся мальчиков и девочек</w:t>
      </w:r>
      <w:r w:rsidR="00BF7806" w:rsidRPr="00732013">
        <w:rPr>
          <w:spacing w:val="5"/>
          <w:w w:val="104"/>
          <w:lang w:val="ru-RU"/>
        </w:rPr>
        <w:t>, и типичных проблем,</w:t>
      </w:r>
      <w:r w:rsidR="00191B90" w:rsidRPr="00732013">
        <w:rPr>
          <w:spacing w:val="5"/>
          <w:w w:val="104"/>
          <w:lang w:val="ru-RU"/>
        </w:rPr>
        <w:t xml:space="preserve"> </w:t>
      </w:r>
      <w:r w:rsidR="00D2755E" w:rsidRPr="00732013">
        <w:rPr>
          <w:spacing w:val="5"/>
          <w:w w:val="104"/>
          <w:lang w:val="ru-RU"/>
        </w:rPr>
        <w:t>одинаково важных для городских и сельских жителей, независимо от социального положения</w:t>
      </w:r>
      <w:r w:rsidR="00B96E36" w:rsidRPr="00732013">
        <w:rPr>
          <w:spacing w:val="5"/>
          <w:w w:val="104"/>
          <w:lang w:val="ru-RU"/>
        </w:rPr>
        <w:t>, образования, уровня жизни и профессии</w:t>
      </w:r>
      <w:r w:rsidRPr="00732013">
        <w:rPr>
          <w:spacing w:val="5"/>
          <w:w w:val="104"/>
          <w:lang w:val="ru-RU"/>
        </w:rPr>
        <w:t xml:space="preserve">. </w:t>
      </w:r>
      <w:r w:rsidR="007B6DDE" w:rsidRPr="00732013">
        <w:rPr>
          <w:spacing w:val="5"/>
          <w:w w:val="104"/>
          <w:lang w:val="ru-RU"/>
        </w:rPr>
        <w:t>За период 2010–2013</w:t>
      </w:r>
      <w:r w:rsidR="008055A1" w:rsidRPr="00732013">
        <w:rPr>
          <w:spacing w:val="5"/>
          <w:w w:val="104"/>
          <w:lang w:val="ru-RU"/>
        </w:rPr>
        <w:t> год</w:t>
      </w:r>
      <w:r w:rsidR="007B6DDE" w:rsidRPr="00732013">
        <w:rPr>
          <w:spacing w:val="5"/>
          <w:w w:val="104"/>
          <w:lang w:val="ru-RU"/>
        </w:rPr>
        <w:t>ов были пересмотрены или заново подготовлены</w:t>
      </w:r>
      <w:r w:rsidR="009F0AF0" w:rsidRPr="00732013">
        <w:rPr>
          <w:spacing w:val="5"/>
          <w:w w:val="104"/>
          <w:lang w:val="ru-RU"/>
        </w:rPr>
        <w:t xml:space="preserve"> </w:t>
      </w:r>
      <w:r w:rsidR="007B6DDE" w:rsidRPr="00732013">
        <w:rPr>
          <w:spacing w:val="5"/>
          <w:w w:val="104"/>
          <w:lang w:val="ru-RU"/>
        </w:rPr>
        <w:t xml:space="preserve">в общей сложности </w:t>
      </w:r>
      <w:r w:rsidRPr="00732013">
        <w:rPr>
          <w:spacing w:val="5"/>
          <w:w w:val="104"/>
          <w:lang w:val="ru-RU"/>
        </w:rPr>
        <w:t>399</w:t>
      </w:r>
      <w:r w:rsidR="00CB6686" w:rsidRPr="00732013">
        <w:rPr>
          <w:spacing w:val="5"/>
          <w:w w:val="104"/>
          <w:lang w:val="ru-RU"/>
        </w:rPr>
        <w:t> </w:t>
      </w:r>
      <w:r w:rsidR="007B6DDE" w:rsidRPr="00732013">
        <w:rPr>
          <w:spacing w:val="5"/>
          <w:w w:val="104"/>
          <w:lang w:val="ru-RU"/>
        </w:rPr>
        <w:t>учебников</w:t>
      </w:r>
      <w:r w:rsidRPr="00732013">
        <w:rPr>
          <w:spacing w:val="5"/>
          <w:w w:val="104"/>
          <w:lang w:val="ru-RU"/>
        </w:rPr>
        <w:t xml:space="preserve">. </w:t>
      </w:r>
    </w:p>
    <w:p w:rsidR="00866E29" w:rsidRPr="00732013" w:rsidRDefault="006A1C44" w:rsidP="00732013">
      <w:pPr>
        <w:pStyle w:val="H1"/>
        <w:spacing w:before="0" w:line="240" w:lineRule="exact"/>
        <w:ind w:right="1267"/>
        <w:rPr>
          <w:spacing w:val="5"/>
          <w:w w:val="104"/>
          <w:lang w:val="en-US"/>
        </w:rPr>
      </w:pPr>
      <w:r w:rsidRPr="00732013">
        <w:rPr>
          <w:spacing w:val="5"/>
          <w:w w:val="104"/>
        </w:rPr>
        <w:t>Насилие</w:t>
      </w:r>
      <w:r w:rsidRPr="00732013">
        <w:rPr>
          <w:spacing w:val="5"/>
          <w:w w:val="104"/>
          <w:lang w:val="en-US"/>
        </w:rPr>
        <w:t xml:space="preserve"> </w:t>
      </w:r>
      <w:r w:rsidRPr="00732013">
        <w:rPr>
          <w:spacing w:val="5"/>
          <w:w w:val="104"/>
        </w:rPr>
        <w:t>в</w:t>
      </w:r>
      <w:r w:rsidRPr="00732013">
        <w:rPr>
          <w:spacing w:val="5"/>
          <w:w w:val="104"/>
          <w:lang w:val="en-US"/>
        </w:rPr>
        <w:t xml:space="preserve"> </w:t>
      </w:r>
      <w:r w:rsidRPr="00732013">
        <w:rPr>
          <w:spacing w:val="5"/>
          <w:w w:val="104"/>
        </w:rPr>
        <w:t>отношении</w:t>
      </w:r>
      <w:r w:rsidRPr="00732013">
        <w:rPr>
          <w:spacing w:val="5"/>
          <w:w w:val="104"/>
          <w:lang w:val="en-US"/>
        </w:rPr>
        <w:t xml:space="preserve"> </w:t>
      </w:r>
      <w:r w:rsidRPr="00732013">
        <w:rPr>
          <w:spacing w:val="5"/>
          <w:w w:val="104"/>
        </w:rPr>
        <w:t>женщин</w:t>
      </w:r>
    </w:p>
    <w:p w:rsidR="00866E29" w:rsidRPr="00732013" w:rsidRDefault="002D2253" w:rsidP="00732013">
      <w:pPr>
        <w:pStyle w:val="H23G"/>
        <w:spacing w:before="0"/>
        <w:ind w:right="1267"/>
        <w:rPr>
          <w:spacing w:val="5"/>
          <w:w w:val="104"/>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пункту</w:t>
      </w:r>
      <w:r w:rsidRPr="00732013">
        <w:rPr>
          <w:spacing w:val="5"/>
          <w:w w:val="104"/>
          <w:lang w:val="en-US"/>
        </w:rPr>
        <w:t xml:space="preserve"> </w:t>
      </w:r>
      <w:r w:rsidR="00866E29" w:rsidRPr="00732013">
        <w:rPr>
          <w:spacing w:val="5"/>
          <w:w w:val="104"/>
        </w:rPr>
        <w:t>8</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40.</w:t>
      </w:r>
      <w:r w:rsidRPr="00732013">
        <w:rPr>
          <w:spacing w:val="5"/>
          <w:w w:val="104"/>
          <w:lang w:val="ru-RU"/>
        </w:rPr>
        <w:tab/>
      </w:r>
      <w:r w:rsidR="00D45DDF" w:rsidRPr="00732013">
        <w:rPr>
          <w:spacing w:val="5"/>
          <w:w w:val="104"/>
          <w:lang w:val="ru-RU"/>
        </w:rPr>
        <w:t>Правительство издало постановление</w:t>
      </w:r>
      <w:r w:rsidR="00BF04B9" w:rsidRPr="00732013">
        <w:rPr>
          <w:rStyle w:val="FootnoteReference"/>
          <w:spacing w:val="5"/>
          <w:w w:val="104"/>
          <w:sz w:val="20"/>
        </w:rPr>
        <w:footnoteReference w:id="22"/>
      </w:r>
      <w:r w:rsidR="00D45DDF" w:rsidRPr="00732013">
        <w:rPr>
          <w:spacing w:val="5"/>
          <w:w w:val="104"/>
          <w:lang w:val="ru-RU"/>
        </w:rPr>
        <w:t xml:space="preserve"> об имплементации </w:t>
      </w:r>
      <w:r w:rsidR="002E45EC" w:rsidRPr="00732013">
        <w:rPr>
          <w:spacing w:val="5"/>
          <w:w w:val="104"/>
          <w:lang w:val="ru-RU"/>
        </w:rPr>
        <w:t>Закона о защите от насилия</w:t>
      </w:r>
      <w:r w:rsidR="00356269" w:rsidRPr="00732013">
        <w:rPr>
          <w:spacing w:val="5"/>
          <w:w w:val="104"/>
          <w:lang w:val="ru-RU"/>
        </w:rPr>
        <w:t xml:space="preserve"> в семье</w:t>
      </w:r>
      <w:r w:rsidR="00BF04B9" w:rsidRPr="00732013">
        <w:rPr>
          <w:rStyle w:val="FootnoteReference"/>
          <w:spacing w:val="5"/>
          <w:w w:val="104"/>
          <w:sz w:val="20"/>
        </w:rPr>
        <w:footnoteReference w:id="23"/>
      </w:r>
      <w:r w:rsidR="00CB6686" w:rsidRPr="00732013">
        <w:rPr>
          <w:spacing w:val="5"/>
          <w:w w:val="104"/>
          <w:lang w:val="ru-RU"/>
        </w:rPr>
        <w:t>.</w:t>
      </w:r>
      <w:r w:rsidRPr="00732013">
        <w:rPr>
          <w:spacing w:val="5"/>
          <w:w w:val="104"/>
          <w:lang w:val="ru-RU"/>
        </w:rPr>
        <w:t xml:space="preserve"> </w:t>
      </w:r>
      <w:r w:rsidR="002E45EC" w:rsidRPr="00732013">
        <w:rPr>
          <w:spacing w:val="5"/>
          <w:w w:val="104"/>
          <w:lang w:val="ru-RU"/>
        </w:rPr>
        <w:t xml:space="preserve">Данное постановление также служит основой </w:t>
      </w:r>
      <w:r w:rsidR="00221826" w:rsidRPr="00732013">
        <w:rPr>
          <w:spacing w:val="5"/>
          <w:w w:val="104"/>
          <w:lang w:val="ru-RU"/>
        </w:rPr>
        <w:t xml:space="preserve">для </w:t>
      </w:r>
      <w:r w:rsidR="00CB6686" w:rsidRPr="00732013">
        <w:rPr>
          <w:spacing w:val="5"/>
          <w:w w:val="104"/>
          <w:lang w:val="ru-RU"/>
        </w:rPr>
        <w:t xml:space="preserve">осуществления </w:t>
      </w:r>
      <w:r w:rsidR="005C718A" w:rsidRPr="00732013">
        <w:rPr>
          <w:spacing w:val="5"/>
          <w:w w:val="104"/>
          <w:lang w:val="ru-RU"/>
        </w:rPr>
        <w:t>следующих нормативно-правовых актов</w:t>
      </w:r>
      <w:r w:rsidRPr="00732013">
        <w:rPr>
          <w:spacing w:val="5"/>
          <w:w w:val="104"/>
          <w:lang w:val="ru-RU"/>
        </w:rPr>
        <w:t xml:space="preserve">: </w:t>
      </w:r>
      <w:r w:rsidR="00221826" w:rsidRPr="00732013">
        <w:rPr>
          <w:spacing w:val="5"/>
          <w:w w:val="104"/>
          <w:lang w:val="ru-RU"/>
        </w:rPr>
        <w:t>Процедура реагирования сотрудников полиции на сообщения о бытовом насилии</w:t>
      </w:r>
      <w:r w:rsidR="00BF04B9" w:rsidRPr="00732013">
        <w:rPr>
          <w:rStyle w:val="FootnoteReference"/>
          <w:spacing w:val="5"/>
          <w:w w:val="104"/>
          <w:sz w:val="20"/>
        </w:rPr>
        <w:footnoteReference w:id="24"/>
      </w:r>
      <w:r w:rsidR="00CB6686" w:rsidRPr="00732013">
        <w:rPr>
          <w:spacing w:val="5"/>
          <w:w w:val="104"/>
          <w:lang w:val="ru-RU"/>
        </w:rPr>
        <w:t>;</w:t>
      </w:r>
      <w:r w:rsidRPr="00732013">
        <w:rPr>
          <w:spacing w:val="5"/>
          <w:w w:val="104"/>
          <w:lang w:val="ru-RU"/>
        </w:rPr>
        <w:t xml:space="preserve"> </w:t>
      </w:r>
      <w:r w:rsidR="00221826" w:rsidRPr="00732013">
        <w:rPr>
          <w:spacing w:val="5"/>
          <w:w w:val="104"/>
          <w:lang w:val="ru-RU"/>
        </w:rPr>
        <w:t>Процедура</w:t>
      </w:r>
      <w:r w:rsidR="00F06B82" w:rsidRPr="00732013">
        <w:rPr>
          <w:spacing w:val="5"/>
          <w:w w:val="104"/>
          <w:lang w:val="ru-RU"/>
        </w:rPr>
        <w:t xml:space="preserve"> эвикции злоумышленника</w:t>
      </w:r>
      <w:r w:rsidR="00BF04B9" w:rsidRPr="00732013">
        <w:rPr>
          <w:rStyle w:val="FootnoteReference"/>
          <w:spacing w:val="5"/>
          <w:w w:val="104"/>
          <w:sz w:val="20"/>
        </w:rPr>
        <w:footnoteReference w:id="25"/>
      </w:r>
      <w:r w:rsidR="00CB6686" w:rsidRPr="00732013">
        <w:rPr>
          <w:spacing w:val="5"/>
          <w:w w:val="104"/>
          <w:lang w:val="ru-RU"/>
        </w:rPr>
        <w:t>;</w:t>
      </w:r>
      <w:r w:rsidRPr="00732013">
        <w:rPr>
          <w:spacing w:val="5"/>
          <w:w w:val="104"/>
          <w:lang w:val="ru-RU"/>
        </w:rPr>
        <w:t xml:space="preserve"> </w:t>
      </w:r>
      <w:r w:rsidR="00F06B82" w:rsidRPr="00732013">
        <w:rPr>
          <w:spacing w:val="5"/>
          <w:w w:val="104"/>
          <w:lang w:val="ru-RU"/>
        </w:rPr>
        <w:t xml:space="preserve">Процедура </w:t>
      </w:r>
      <w:r w:rsidR="006E546E" w:rsidRPr="00732013">
        <w:rPr>
          <w:spacing w:val="5"/>
          <w:w w:val="104"/>
          <w:lang w:val="ru-RU"/>
        </w:rPr>
        <w:t xml:space="preserve">осуществления сотрудниками полиции </w:t>
      </w:r>
      <w:r w:rsidR="00F06B82" w:rsidRPr="00732013">
        <w:rPr>
          <w:spacing w:val="5"/>
          <w:w w:val="104"/>
          <w:lang w:val="ru-RU"/>
        </w:rPr>
        <w:t>контроля</w:t>
      </w:r>
      <w:r w:rsidR="006E546E" w:rsidRPr="00732013">
        <w:rPr>
          <w:spacing w:val="5"/>
          <w:w w:val="104"/>
          <w:lang w:val="ru-RU"/>
        </w:rPr>
        <w:t xml:space="preserve"> </w:t>
      </w:r>
      <w:r w:rsidR="00CB6686" w:rsidRPr="00732013">
        <w:rPr>
          <w:spacing w:val="5"/>
          <w:w w:val="104"/>
          <w:lang w:val="ru-RU"/>
        </w:rPr>
        <w:t>за</w:t>
      </w:r>
      <w:r w:rsidR="006E546E" w:rsidRPr="00732013">
        <w:rPr>
          <w:spacing w:val="5"/>
          <w:w w:val="104"/>
          <w:lang w:val="ru-RU"/>
        </w:rPr>
        <w:t xml:space="preserve"> соблюдением судебных постановлений, обязывающих </w:t>
      </w:r>
      <w:r w:rsidR="00CB6686" w:rsidRPr="00732013">
        <w:rPr>
          <w:spacing w:val="5"/>
          <w:w w:val="104"/>
          <w:lang w:val="ru-RU"/>
        </w:rPr>
        <w:t xml:space="preserve">правонарушителя </w:t>
      </w:r>
      <w:r w:rsidR="006B25BE" w:rsidRPr="00732013">
        <w:rPr>
          <w:spacing w:val="5"/>
          <w:w w:val="104"/>
          <w:lang w:val="ru-RU"/>
        </w:rPr>
        <w:t>временно покинуть место проживания</w:t>
      </w:r>
      <w:r w:rsidR="00BF04B9" w:rsidRPr="00732013">
        <w:rPr>
          <w:rStyle w:val="FootnoteReference"/>
          <w:spacing w:val="5"/>
          <w:w w:val="104"/>
          <w:sz w:val="20"/>
        </w:rPr>
        <w:footnoteReference w:id="26"/>
      </w:r>
      <w:r w:rsidR="00CB6686" w:rsidRPr="00732013">
        <w:rPr>
          <w:spacing w:val="5"/>
          <w:w w:val="104"/>
          <w:lang w:val="ru-RU"/>
        </w:rPr>
        <w:t>;</w:t>
      </w:r>
      <w:r w:rsidRPr="00732013">
        <w:rPr>
          <w:spacing w:val="5"/>
          <w:w w:val="104"/>
          <w:lang w:val="ru-RU"/>
        </w:rPr>
        <w:t xml:space="preserve"> </w:t>
      </w:r>
      <w:r w:rsidR="006B25BE" w:rsidRPr="00732013">
        <w:rPr>
          <w:spacing w:val="5"/>
          <w:w w:val="104"/>
          <w:lang w:val="ru-RU"/>
        </w:rPr>
        <w:t>Программа центров специализированной поддержки</w:t>
      </w:r>
      <w:r w:rsidR="00BF04B9" w:rsidRPr="00732013">
        <w:rPr>
          <w:rStyle w:val="FootnoteReference"/>
          <w:spacing w:val="5"/>
          <w:w w:val="104"/>
          <w:sz w:val="20"/>
        </w:rPr>
        <w:footnoteReference w:id="27"/>
      </w:r>
      <w:r w:rsidR="00CB6686" w:rsidRPr="00732013">
        <w:rPr>
          <w:spacing w:val="5"/>
          <w:w w:val="104"/>
          <w:lang w:val="ru-RU"/>
        </w:rPr>
        <w:t>;</w:t>
      </w:r>
      <w:r w:rsidRPr="00732013">
        <w:rPr>
          <w:spacing w:val="5"/>
          <w:w w:val="104"/>
          <w:lang w:val="ru-RU"/>
        </w:rPr>
        <w:t xml:space="preserve"> </w:t>
      </w:r>
      <w:r w:rsidR="005C718A" w:rsidRPr="00732013">
        <w:rPr>
          <w:spacing w:val="5"/>
          <w:w w:val="104"/>
          <w:lang w:val="ru-RU"/>
        </w:rPr>
        <w:t>Процедура</w:t>
      </w:r>
      <w:r w:rsidR="00190869" w:rsidRPr="00732013">
        <w:rPr>
          <w:spacing w:val="5"/>
          <w:w w:val="104"/>
          <w:lang w:val="ru-RU"/>
        </w:rPr>
        <w:t xml:space="preserve"> осуществления</w:t>
      </w:r>
      <w:r w:rsidR="003C7E91" w:rsidRPr="00732013">
        <w:rPr>
          <w:spacing w:val="5"/>
          <w:w w:val="104"/>
          <w:lang w:val="ru-RU"/>
        </w:rPr>
        <w:t xml:space="preserve"> Закона о защите от насилия</w:t>
      </w:r>
      <w:r w:rsidR="00356269" w:rsidRPr="00732013">
        <w:rPr>
          <w:spacing w:val="5"/>
          <w:w w:val="104"/>
          <w:lang w:val="ru-RU"/>
        </w:rPr>
        <w:t xml:space="preserve"> в семье</w:t>
      </w:r>
      <w:r w:rsidR="00BF04B9" w:rsidRPr="00732013">
        <w:rPr>
          <w:rStyle w:val="FootnoteReference"/>
          <w:spacing w:val="5"/>
          <w:w w:val="104"/>
          <w:sz w:val="20"/>
        </w:rPr>
        <w:footnoteReference w:id="28"/>
      </w:r>
      <w:r w:rsidR="00CB6686" w:rsidRPr="00732013">
        <w:rPr>
          <w:spacing w:val="5"/>
          <w:w w:val="104"/>
          <w:lang w:val="ru-RU"/>
        </w:rPr>
        <w:t>.</w:t>
      </w:r>
    </w:p>
    <w:p w:rsidR="00866E29" w:rsidRPr="00732013" w:rsidRDefault="00866E29" w:rsidP="00732013">
      <w:pPr>
        <w:pStyle w:val="SingleTxtG"/>
        <w:spacing w:line="240" w:lineRule="exact"/>
        <w:ind w:right="1267"/>
        <w:rPr>
          <w:i/>
          <w:iCs/>
          <w:spacing w:val="5"/>
          <w:w w:val="104"/>
          <w:lang w:val="ru-RU"/>
        </w:rPr>
      </w:pPr>
      <w:r w:rsidRPr="00732013">
        <w:rPr>
          <w:spacing w:val="5"/>
          <w:w w:val="104"/>
          <w:lang w:val="ru-RU"/>
        </w:rPr>
        <w:t>41.</w:t>
      </w:r>
      <w:r w:rsidRPr="00732013">
        <w:rPr>
          <w:spacing w:val="5"/>
          <w:w w:val="104"/>
          <w:lang w:val="ru-RU"/>
        </w:rPr>
        <w:tab/>
      </w:r>
      <w:r w:rsidR="00287A2E" w:rsidRPr="00732013">
        <w:rPr>
          <w:spacing w:val="5"/>
          <w:w w:val="104"/>
          <w:lang w:val="ru-RU"/>
        </w:rPr>
        <w:t>По состоянию на</w:t>
      </w:r>
      <w:r w:rsidR="00190869" w:rsidRPr="00732013">
        <w:rPr>
          <w:spacing w:val="5"/>
          <w:w w:val="104"/>
          <w:lang w:val="ru-RU"/>
        </w:rPr>
        <w:t xml:space="preserve"> сентябрь</w:t>
      </w:r>
      <w:r w:rsidRPr="00732013">
        <w:rPr>
          <w:spacing w:val="5"/>
          <w:w w:val="104"/>
          <w:lang w:val="ru-RU"/>
        </w:rPr>
        <w:t xml:space="preserve"> 2012</w:t>
      </w:r>
      <w:r w:rsidR="008055A1" w:rsidRPr="00732013">
        <w:rPr>
          <w:spacing w:val="5"/>
          <w:w w:val="104"/>
          <w:lang w:val="ru-RU"/>
        </w:rPr>
        <w:t> год</w:t>
      </w:r>
      <w:r w:rsidR="00190869" w:rsidRPr="00732013">
        <w:rPr>
          <w:spacing w:val="5"/>
          <w:w w:val="104"/>
          <w:lang w:val="ru-RU"/>
        </w:rPr>
        <w:t xml:space="preserve">а </w:t>
      </w:r>
      <w:r w:rsidR="00CE18F4" w:rsidRPr="00732013">
        <w:rPr>
          <w:spacing w:val="5"/>
          <w:w w:val="104"/>
          <w:lang w:val="ru-RU"/>
        </w:rPr>
        <w:t>по всей Литве насчитывалось</w:t>
      </w:r>
      <w:r w:rsidRPr="00732013">
        <w:rPr>
          <w:spacing w:val="5"/>
          <w:w w:val="104"/>
          <w:lang w:val="ru-RU"/>
        </w:rPr>
        <w:t xml:space="preserve"> 17</w:t>
      </w:r>
      <w:r w:rsidR="00287A2E" w:rsidRPr="00732013">
        <w:rPr>
          <w:spacing w:val="5"/>
          <w:w w:val="104"/>
          <w:lang w:val="ru-RU"/>
        </w:rPr>
        <w:t> </w:t>
      </w:r>
      <w:r w:rsidR="00CE18F4" w:rsidRPr="00732013">
        <w:rPr>
          <w:spacing w:val="5"/>
          <w:w w:val="104"/>
          <w:lang w:val="ru-RU"/>
        </w:rPr>
        <w:t xml:space="preserve">специализированных центров </w:t>
      </w:r>
      <w:r w:rsidR="00287A2E" w:rsidRPr="00732013">
        <w:rPr>
          <w:spacing w:val="5"/>
          <w:w w:val="104"/>
          <w:lang w:val="ru-RU"/>
        </w:rPr>
        <w:t xml:space="preserve">оказания </w:t>
      </w:r>
      <w:r w:rsidR="00CE18F4" w:rsidRPr="00732013">
        <w:rPr>
          <w:spacing w:val="5"/>
          <w:w w:val="104"/>
          <w:lang w:val="ru-RU"/>
        </w:rPr>
        <w:t>помощи</w:t>
      </w:r>
      <w:r w:rsidR="008606CE" w:rsidRPr="00732013">
        <w:rPr>
          <w:spacing w:val="5"/>
          <w:w w:val="104"/>
          <w:lang w:val="ru-RU"/>
        </w:rPr>
        <w:t>, финансируемых из государственного бюджета и управляемых</w:t>
      </w:r>
      <w:r w:rsidR="00E61B61" w:rsidRPr="00732013">
        <w:rPr>
          <w:spacing w:val="5"/>
          <w:w w:val="104"/>
          <w:lang w:val="ru-RU"/>
        </w:rPr>
        <w:t xml:space="preserve"> женскими НПО.</w:t>
      </w:r>
      <w:r w:rsidRPr="00732013">
        <w:rPr>
          <w:spacing w:val="5"/>
          <w:w w:val="104"/>
          <w:lang w:val="ru-RU"/>
        </w:rPr>
        <w:t xml:space="preserve"> </w:t>
      </w:r>
      <w:r w:rsidR="00287A2E" w:rsidRPr="00732013">
        <w:rPr>
          <w:spacing w:val="5"/>
          <w:w w:val="104"/>
          <w:lang w:val="ru-RU"/>
        </w:rPr>
        <w:t>Эти ц</w:t>
      </w:r>
      <w:r w:rsidR="00E61B61" w:rsidRPr="00732013">
        <w:rPr>
          <w:spacing w:val="5"/>
          <w:w w:val="104"/>
          <w:lang w:val="ru-RU"/>
        </w:rPr>
        <w:t>ентры стремятся помогать женщинам, которые стали жертвами насилия</w:t>
      </w:r>
      <w:r w:rsidR="00FC6205" w:rsidRPr="00732013">
        <w:rPr>
          <w:spacing w:val="5"/>
          <w:w w:val="104"/>
          <w:lang w:val="ru-RU"/>
        </w:rPr>
        <w:t xml:space="preserve"> в семье</w:t>
      </w:r>
      <w:r w:rsidR="00E61B61" w:rsidRPr="00732013">
        <w:rPr>
          <w:spacing w:val="5"/>
          <w:w w:val="104"/>
          <w:lang w:val="ru-RU"/>
        </w:rPr>
        <w:t>.</w:t>
      </w:r>
      <w:r w:rsidR="00B6467C" w:rsidRPr="00732013">
        <w:rPr>
          <w:spacing w:val="5"/>
          <w:w w:val="104"/>
          <w:lang w:val="ru-RU"/>
        </w:rPr>
        <w:t xml:space="preserve"> При получении от полиции информации </w:t>
      </w:r>
      <w:r w:rsidR="00A73407" w:rsidRPr="00732013">
        <w:rPr>
          <w:spacing w:val="5"/>
          <w:w w:val="104"/>
          <w:lang w:val="ru-RU"/>
        </w:rPr>
        <w:t xml:space="preserve">о </w:t>
      </w:r>
      <w:r w:rsidR="00B6467C" w:rsidRPr="00732013">
        <w:rPr>
          <w:spacing w:val="5"/>
          <w:w w:val="104"/>
          <w:lang w:val="ru-RU"/>
        </w:rPr>
        <w:t>случаях насилия</w:t>
      </w:r>
      <w:r w:rsidR="00FC6205" w:rsidRPr="00732013">
        <w:rPr>
          <w:spacing w:val="5"/>
          <w:w w:val="104"/>
          <w:lang w:val="ru-RU"/>
        </w:rPr>
        <w:t xml:space="preserve"> сотрудники этих </w:t>
      </w:r>
      <w:r w:rsidR="00B6467C" w:rsidRPr="00732013">
        <w:rPr>
          <w:spacing w:val="5"/>
          <w:w w:val="104"/>
          <w:lang w:val="ru-RU"/>
        </w:rPr>
        <w:t>центров</w:t>
      </w:r>
      <w:r w:rsidR="00A73407" w:rsidRPr="00732013">
        <w:rPr>
          <w:spacing w:val="5"/>
          <w:w w:val="104"/>
          <w:lang w:val="ru-RU"/>
        </w:rPr>
        <w:t xml:space="preserve"> незамедлительно связыва</w:t>
      </w:r>
      <w:r w:rsidR="00FC6205" w:rsidRPr="00732013">
        <w:rPr>
          <w:spacing w:val="5"/>
          <w:w w:val="104"/>
          <w:lang w:val="ru-RU"/>
        </w:rPr>
        <w:t>ю</w:t>
      </w:r>
      <w:r w:rsidR="00A73407" w:rsidRPr="00732013">
        <w:rPr>
          <w:spacing w:val="5"/>
          <w:w w:val="104"/>
          <w:lang w:val="ru-RU"/>
        </w:rPr>
        <w:t xml:space="preserve">тся с жертвой насилия по телефону, электронной почте или </w:t>
      </w:r>
      <w:r w:rsidR="00600EF6" w:rsidRPr="00732013">
        <w:rPr>
          <w:spacing w:val="5"/>
          <w:w w:val="104"/>
          <w:lang w:val="ru-RU"/>
        </w:rPr>
        <w:t xml:space="preserve">встречаются с ней лично, уточняют ситуацию и предлагают комплексную помощь, включая </w:t>
      </w:r>
      <w:r w:rsidR="00334982" w:rsidRPr="00732013">
        <w:rPr>
          <w:spacing w:val="5"/>
          <w:w w:val="104"/>
          <w:lang w:val="ru-RU"/>
        </w:rPr>
        <w:t xml:space="preserve">психологическую поддержку. Кроме того, жертву информируют о последующей помощи и персональном плане </w:t>
      </w:r>
      <w:r w:rsidR="003B51B0" w:rsidRPr="00732013">
        <w:rPr>
          <w:spacing w:val="5"/>
          <w:w w:val="104"/>
          <w:lang w:val="ru-RU"/>
        </w:rPr>
        <w:t>оказания помощи</w:t>
      </w:r>
      <w:r w:rsidR="00350BA4" w:rsidRPr="00732013">
        <w:rPr>
          <w:spacing w:val="5"/>
          <w:w w:val="104"/>
          <w:lang w:val="ru-RU"/>
        </w:rPr>
        <w:t xml:space="preserve"> и</w:t>
      </w:r>
      <w:r w:rsidR="003B51B0" w:rsidRPr="00732013">
        <w:rPr>
          <w:spacing w:val="5"/>
          <w:w w:val="104"/>
          <w:lang w:val="ru-RU"/>
        </w:rPr>
        <w:t xml:space="preserve"> согласуют с жертвой </w:t>
      </w:r>
      <w:r w:rsidR="00350BA4" w:rsidRPr="00732013">
        <w:rPr>
          <w:spacing w:val="5"/>
          <w:w w:val="104"/>
          <w:lang w:val="ru-RU"/>
        </w:rPr>
        <w:t>насилия наиболее приемлем</w:t>
      </w:r>
      <w:r w:rsidR="00FC6205" w:rsidRPr="00732013">
        <w:rPr>
          <w:spacing w:val="5"/>
          <w:w w:val="104"/>
          <w:lang w:val="ru-RU"/>
        </w:rPr>
        <w:t>ый</w:t>
      </w:r>
      <w:r w:rsidR="00350BA4" w:rsidRPr="00732013">
        <w:rPr>
          <w:spacing w:val="5"/>
          <w:w w:val="104"/>
          <w:lang w:val="ru-RU"/>
        </w:rPr>
        <w:t xml:space="preserve"> для нее метод</w:t>
      </w:r>
      <w:r w:rsidR="00FC6205" w:rsidRPr="00732013">
        <w:rPr>
          <w:spacing w:val="5"/>
          <w:w w:val="104"/>
          <w:lang w:val="ru-RU"/>
        </w:rPr>
        <w:t xml:space="preserve"> предоставления </w:t>
      </w:r>
      <w:r w:rsidR="00350BA4" w:rsidRPr="00732013">
        <w:rPr>
          <w:spacing w:val="5"/>
          <w:w w:val="104"/>
          <w:lang w:val="ru-RU"/>
        </w:rPr>
        <w:t>специализированной комплексной помощи</w:t>
      </w:r>
      <w:r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42.</w:t>
      </w:r>
      <w:r w:rsidRPr="00732013">
        <w:rPr>
          <w:spacing w:val="5"/>
          <w:w w:val="104"/>
          <w:lang w:val="ru-RU"/>
        </w:rPr>
        <w:tab/>
      </w:r>
      <w:r w:rsidR="000B559E" w:rsidRPr="00732013">
        <w:rPr>
          <w:spacing w:val="5"/>
          <w:w w:val="104"/>
          <w:lang w:val="ru-RU"/>
        </w:rPr>
        <w:t xml:space="preserve">Сексуальное насилие, изнасилование и </w:t>
      </w:r>
      <w:r w:rsidR="00972AE6" w:rsidRPr="00732013">
        <w:rPr>
          <w:spacing w:val="5"/>
          <w:w w:val="104"/>
          <w:lang w:val="ru-RU"/>
        </w:rPr>
        <w:t>прочие преступные деяния сексуального характера перечислены в главе</w:t>
      </w:r>
      <w:r w:rsidRPr="00732013">
        <w:rPr>
          <w:spacing w:val="5"/>
          <w:w w:val="104"/>
          <w:lang w:val="ru-RU"/>
        </w:rPr>
        <w:t xml:space="preserve"> </w:t>
      </w:r>
      <w:r w:rsidRPr="00732013">
        <w:rPr>
          <w:spacing w:val="5"/>
          <w:w w:val="104"/>
        </w:rPr>
        <w:t>XXI</w:t>
      </w:r>
      <w:r w:rsidR="00972AE6" w:rsidRPr="00732013">
        <w:rPr>
          <w:spacing w:val="5"/>
          <w:w w:val="104"/>
          <w:lang w:val="ru-RU"/>
        </w:rPr>
        <w:t xml:space="preserve"> Уголовного кодекса</w:t>
      </w:r>
      <w:r w:rsidR="009F0AF0" w:rsidRPr="00732013">
        <w:rPr>
          <w:spacing w:val="5"/>
          <w:w w:val="104"/>
          <w:lang w:val="ru-RU"/>
        </w:rPr>
        <w:t xml:space="preserve"> </w:t>
      </w:r>
      <w:r w:rsidRPr="00732013">
        <w:rPr>
          <w:spacing w:val="5"/>
          <w:w w:val="104"/>
          <w:lang w:val="ru-RU"/>
        </w:rPr>
        <w:t>(</w:t>
      </w:r>
      <w:r w:rsidR="00972AE6" w:rsidRPr="00732013">
        <w:rPr>
          <w:spacing w:val="5"/>
          <w:w w:val="104"/>
          <w:lang w:val="ru-RU"/>
        </w:rPr>
        <w:t>Преступления и мисдиминоры против свободы</w:t>
      </w:r>
      <w:r w:rsidR="00BC6A65" w:rsidRPr="00732013">
        <w:rPr>
          <w:spacing w:val="5"/>
          <w:w w:val="104"/>
          <w:lang w:val="ru-RU"/>
        </w:rPr>
        <w:t xml:space="preserve"> сексуального самоопределения личности и физической неприкосновенности</w:t>
      </w:r>
      <w:r w:rsidRPr="00732013">
        <w:rPr>
          <w:spacing w:val="5"/>
          <w:w w:val="104"/>
          <w:lang w:val="ru-RU"/>
        </w:rPr>
        <w:t xml:space="preserve">). </w:t>
      </w:r>
      <w:r w:rsidR="00B922C7" w:rsidRPr="00732013">
        <w:rPr>
          <w:spacing w:val="5"/>
          <w:w w:val="104"/>
          <w:lang w:val="ru-RU"/>
        </w:rPr>
        <w:t>Преступления сексуального характера всегда наказ</w:t>
      </w:r>
      <w:r w:rsidR="00FC6205" w:rsidRPr="00732013">
        <w:rPr>
          <w:spacing w:val="5"/>
          <w:w w:val="104"/>
          <w:lang w:val="ru-RU"/>
        </w:rPr>
        <w:t>уемы</w:t>
      </w:r>
      <w:r w:rsidR="00B922C7" w:rsidRPr="00732013">
        <w:rPr>
          <w:spacing w:val="5"/>
          <w:w w:val="104"/>
          <w:lang w:val="ru-RU"/>
        </w:rPr>
        <w:t>, независимо от того, совершены они между супругами</w:t>
      </w:r>
      <w:r w:rsidR="007D67B7" w:rsidRPr="00732013">
        <w:rPr>
          <w:spacing w:val="5"/>
          <w:w w:val="104"/>
          <w:lang w:val="ru-RU"/>
        </w:rPr>
        <w:t xml:space="preserve"> или между лицами</w:t>
      </w:r>
      <w:r w:rsidR="00FC6205" w:rsidRPr="00732013">
        <w:rPr>
          <w:spacing w:val="5"/>
          <w:w w:val="104"/>
          <w:lang w:val="ru-RU"/>
        </w:rPr>
        <w:t>, не состоящими в браке</w:t>
      </w:r>
      <w:r w:rsidR="000B613C" w:rsidRPr="00732013">
        <w:rPr>
          <w:spacing w:val="5"/>
          <w:w w:val="104"/>
          <w:lang w:val="ru-RU"/>
        </w:rPr>
        <w:t xml:space="preserve">. Тем не менее информационная система </w:t>
      </w:r>
      <w:r w:rsidR="008209D8" w:rsidRPr="00732013">
        <w:rPr>
          <w:spacing w:val="5"/>
          <w:w w:val="104"/>
          <w:lang w:val="ru-RU"/>
        </w:rPr>
        <w:t xml:space="preserve">судопроизводства Литвы пока не </w:t>
      </w:r>
      <w:r w:rsidR="00FC28FC" w:rsidRPr="00732013">
        <w:rPr>
          <w:spacing w:val="5"/>
          <w:w w:val="104"/>
          <w:lang w:val="ru-RU"/>
        </w:rPr>
        <w:t>классифицирует отдельно</w:t>
      </w:r>
      <w:r w:rsidR="008209D8" w:rsidRPr="00732013">
        <w:rPr>
          <w:spacing w:val="5"/>
          <w:w w:val="104"/>
          <w:lang w:val="ru-RU"/>
        </w:rPr>
        <w:t xml:space="preserve"> </w:t>
      </w:r>
      <w:r w:rsidR="00DF7282" w:rsidRPr="00732013">
        <w:rPr>
          <w:spacing w:val="5"/>
          <w:w w:val="104"/>
          <w:lang w:val="ru-RU"/>
        </w:rPr>
        <w:t>случаи выдачи охранных приказов</w:t>
      </w:r>
      <w:r w:rsidR="00FC28FC" w:rsidRPr="00732013">
        <w:rPr>
          <w:spacing w:val="5"/>
          <w:w w:val="104"/>
          <w:lang w:val="ru-RU"/>
        </w:rPr>
        <w:t xml:space="preserve">, как </w:t>
      </w:r>
      <w:r w:rsidR="00FC6205" w:rsidRPr="00732013">
        <w:rPr>
          <w:spacing w:val="5"/>
          <w:w w:val="104"/>
          <w:lang w:val="ru-RU"/>
        </w:rPr>
        <w:t xml:space="preserve">это делается в </w:t>
      </w:r>
      <w:r w:rsidR="00FC28FC" w:rsidRPr="00732013">
        <w:rPr>
          <w:spacing w:val="5"/>
          <w:w w:val="104"/>
          <w:lang w:val="ru-RU"/>
        </w:rPr>
        <w:t>Закон</w:t>
      </w:r>
      <w:r w:rsidR="00FC6205" w:rsidRPr="00732013">
        <w:rPr>
          <w:spacing w:val="5"/>
          <w:w w:val="104"/>
          <w:lang w:val="ru-RU"/>
        </w:rPr>
        <w:t>е</w:t>
      </w:r>
      <w:r w:rsidR="00FC28FC" w:rsidRPr="00732013">
        <w:rPr>
          <w:spacing w:val="5"/>
          <w:w w:val="104"/>
          <w:lang w:val="ru-RU"/>
        </w:rPr>
        <w:t xml:space="preserve"> о защите от насилия</w:t>
      </w:r>
      <w:r w:rsidR="00356269" w:rsidRPr="00732013">
        <w:rPr>
          <w:spacing w:val="5"/>
          <w:w w:val="104"/>
          <w:lang w:val="ru-RU"/>
        </w:rPr>
        <w:t xml:space="preserve"> в семье</w:t>
      </w:r>
      <w:r w:rsidR="00FC28FC" w:rsidRPr="00732013">
        <w:rPr>
          <w:spacing w:val="5"/>
          <w:w w:val="104"/>
          <w:lang w:val="ru-RU"/>
        </w:rPr>
        <w:t xml:space="preserve">. </w:t>
      </w:r>
      <w:r w:rsidR="005005F6" w:rsidRPr="00732013">
        <w:rPr>
          <w:spacing w:val="5"/>
          <w:w w:val="104"/>
          <w:lang w:val="ru-RU"/>
        </w:rPr>
        <w:t xml:space="preserve">Такая возможность </w:t>
      </w:r>
      <w:r w:rsidR="00FC6205" w:rsidRPr="00732013">
        <w:rPr>
          <w:spacing w:val="5"/>
          <w:w w:val="104"/>
          <w:lang w:val="ru-RU"/>
        </w:rPr>
        <w:t xml:space="preserve">оставлена на </w:t>
      </w:r>
      <w:r w:rsidR="005005F6" w:rsidRPr="00732013">
        <w:rPr>
          <w:spacing w:val="5"/>
          <w:w w:val="104"/>
          <w:lang w:val="ru-RU"/>
        </w:rPr>
        <w:t>будуще</w:t>
      </w:r>
      <w:r w:rsidR="00FC6205" w:rsidRPr="00732013">
        <w:rPr>
          <w:spacing w:val="5"/>
          <w:w w:val="104"/>
          <w:lang w:val="ru-RU"/>
        </w:rPr>
        <w:t>е</w:t>
      </w:r>
      <w:r w:rsidRPr="00732013">
        <w:rPr>
          <w:spacing w:val="5"/>
          <w:w w:val="104"/>
          <w:lang w:val="ru-RU"/>
        </w:rPr>
        <w:t xml:space="preserve">. </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43.</w:t>
      </w:r>
      <w:r w:rsidRPr="00732013">
        <w:rPr>
          <w:spacing w:val="5"/>
          <w:w w:val="104"/>
          <w:lang w:val="ru-RU"/>
        </w:rPr>
        <w:tab/>
      </w:r>
      <w:r w:rsidR="00404272" w:rsidRPr="00732013">
        <w:rPr>
          <w:spacing w:val="5"/>
          <w:w w:val="104"/>
          <w:lang w:val="ru-RU"/>
        </w:rPr>
        <w:t>За период с</w:t>
      </w:r>
      <w:r w:rsidRPr="00732013">
        <w:rPr>
          <w:spacing w:val="5"/>
          <w:w w:val="104"/>
          <w:lang w:val="ru-RU"/>
        </w:rPr>
        <w:t xml:space="preserve"> 15 </w:t>
      </w:r>
      <w:r w:rsidR="00404272" w:rsidRPr="00732013">
        <w:rPr>
          <w:spacing w:val="5"/>
          <w:w w:val="104"/>
          <w:lang w:val="ru-RU"/>
        </w:rPr>
        <w:t>по</w:t>
      </w:r>
      <w:r w:rsidRPr="00732013">
        <w:rPr>
          <w:spacing w:val="5"/>
          <w:w w:val="104"/>
          <w:lang w:val="ru-RU"/>
        </w:rPr>
        <w:t xml:space="preserve"> 31 </w:t>
      </w:r>
      <w:r w:rsidR="00404272" w:rsidRPr="00732013">
        <w:rPr>
          <w:spacing w:val="5"/>
          <w:w w:val="104"/>
          <w:lang w:val="ru-RU"/>
        </w:rPr>
        <w:t>декабря</w:t>
      </w:r>
      <w:r w:rsidRPr="00732013">
        <w:rPr>
          <w:spacing w:val="5"/>
          <w:w w:val="104"/>
          <w:lang w:val="ru-RU"/>
        </w:rPr>
        <w:t xml:space="preserve"> 2011</w:t>
      </w:r>
      <w:r w:rsidR="008055A1" w:rsidRPr="00732013">
        <w:rPr>
          <w:spacing w:val="5"/>
          <w:w w:val="104"/>
          <w:lang w:val="ru-RU"/>
        </w:rPr>
        <w:t> год</w:t>
      </w:r>
      <w:r w:rsidR="00404272" w:rsidRPr="00732013">
        <w:rPr>
          <w:spacing w:val="5"/>
          <w:w w:val="104"/>
          <w:lang w:val="ru-RU"/>
        </w:rPr>
        <w:t xml:space="preserve">а </w:t>
      </w:r>
      <w:r w:rsidR="00AF49E0" w:rsidRPr="00732013">
        <w:rPr>
          <w:spacing w:val="5"/>
          <w:w w:val="104"/>
          <w:lang w:val="ru-RU"/>
        </w:rPr>
        <w:t xml:space="preserve">в </w:t>
      </w:r>
      <w:r w:rsidR="00404272" w:rsidRPr="00732013">
        <w:rPr>
          <w:spacing w:val="5"/>
          <w:w w:val="104"/>
          <w:lang w:val="ru-RU"/>
        </w:rPr>
        <w:t>Реестр</w:t>
      </w:r>
      <w:r w:rsidR="00AF49E0" w:rsidRPr="00732013">
        <w:rPr>
          <w:spacing w:val="5"/>
          <w:w w:val="104"/>
          <w:lang w:val="ru-RU"/>
        </w:rPr>
        <w:t xml:space="preserve">е </w:t>
      </w:r>
      <w:r w:rsidR="006E5E66" w:rsidRPr="00732013">
        <w:rPr>
          <w:spacing w:val="5"/>
          <w:w w:val="104"/>
          <w:lang w:val="ru-RU"/>
        </w:rPr>
        <w:t xml:space="preserve">происшествий полицией было </w:t>
      </w:r>
      <w:r w:rsidR="00AF49E0" w:rsidRPr="00732013">
        <w:rPr>
          <w:spacing w:val="5"/>
          <w:w w:val="104"/>
          <w:lang w:val="ru-RU"/>
        </w:rPr>
        <w:t>зарегистрировано 1</w:t>
      </w:r>
      <w:r w:rsidRPr="00732013">
        <w:rPr>
          <w:spacing w:val="5"/>
          <w:w w:val="104"/>
          <w:lang w:val="ru-RU"/>
        </w:rPr>
        <w:t xml:space="preserve">712 </w:t>
      </w:r>
      <w:r w:rsidR="00AF49E0" w:rsidRPr="00732013">
        <w:rPr>
          <w:spacing w:val="5"/>
          <w:w w:val="104"/>
          <w:lang w:val="ru-RU"/>
        </w:rPr>
        <w:t>заявлений</w:t>
      </w:r>
      <w:r w:rsidR="008C002C" w:rsidRPr="00732013">
        <w:rPr>
          <w:spacing w:val="5"/>
          <w:w w:val="104"/>
          <w:lang w:val="ru-RU"/>
        </w:rPr>
        <w:t xml:space="preserve"> о насилии в семье</w:t>
      </w:r>
      <w:r w:rsidR="005B3B7D" w:rsidRPr="00732013">
        <w:rPr>
          <w:spacing w:val="5"/>
          <w:w w:val="104"/>
          <w:lang w:val="ru-RU"/>
        </w:rPr>
        <w:t>, на основании которых было проведено 684</w:t>
      </w:r>
      <w:r w:rsidR="00FC6205" w:rsidRPr="00732013">
        <w:rPr>
          <w:spacing w:val="5"/>
          <w:w w:val="104"/>
          <w:lang w:val="ru-RU"/>
        </w:rPr>
        <w:t> </w:t>
      </w:r>
      <w:r w:rsidR="005B3B7D" w:rsidRPr="00732013">
        <w:rPr>
          <w:spacing w:val="5"/>
          <w:w w:val="104"/>
          <w:lang w:val="ru-RU"/>
        </w:rPr>
        <w:t>предварительных расследования</w:t>
      </w:r>
      <w:r w:rsidR="004B3CA2" w:rsidRPr="00732013">
        <w:rPr>
          <w:spacing w:val="5"/>
          <w:w w:val="104"/>
          <w:lang w:val="ru-RU"/>
        </w:rPr>
        <w:t>, при этом по 330</w:t>
      </w:r>
      <w:r w:rsidR="00FC6205" w:rsidRPr="00732013">
        <w:rPr>
          <w:spacing w:val="5"/>
          <w:w w:val="104"/>
          <w:lang w:val="ru-RU"/>
        </w:rPr>
        <w:t> </w:t>
      </w:r>
      <w:r w:rsidR="004B3CA2" w:rsidRPr="00732013">
        <w:rPr>
          <w:spacing w:val="5"/>
          <w:w w:val="104"/>
          <w:lang w:val="ru-RU"/>
        </w:rPr>
        <w:t>случаям</w:t>
      </w:r>
      <w:r w:rsidR="005758A4" w:rsidRPr="00732013">
        <w:rPr>
          <w:spacing w:val="5"/>
          <w:w w:val="104"/>
          <w:lang w:val="ru-RU"/>
        </w:rPr>
        <w:t xml:space="preserve"> в возбуждении предварительного судебного расследования было отказано</w:t>
      </w:r>
      <w:r w:rsidRPr="00732013">
        <w:rPr>
          <w:spacing w:val="5"/>
          <w:w w:val="104"/>
          <w:lang w:val="ru-RU"/>
        </w:rPr>
        <w:t xml:space="preserve">. </w:t>
      </w:r>
      <w:r w:rsidR="00931831" w:rsidRPr="00732013">
        <w:rPr>
          <w:spacing w:val="5"/>
          <w:w w:val="104"/>
          <w:lang w:val="ru-RU"/>
        </w:rPr>
        <w:t>П</w:t>
      </w:r>
      <w:r w:rsidR="00814F69" w:rsidRPr="00732013">
        <w:rPr>
          <w:spacing w:val="5"/>
          <w:w w:val="104"/>
          <w:lang w:val="ru-RU"/>
        </w:rPr>
        <w:t>о результатам начатых в 2011</w:t>
      </w:r>
      <w:r w:rsidR="008055A1" w:rsidRPr="00732013">
        <w:rPr>
          <w:spacing w:val="5"/>
          <w:w w:val="104"/>
          <w:lang w:val="ru-RU"/>
        </w:rPr>
        <w:t> год</w:t>
      </w:r>
      <w:r w:rsidR="00814F69" w:rsidRPr="00732013">
        <w:rPr>
          <w:spacing w:val="5"/>
          <w:w w:val="104"/>
          <w:lang w:val="ru-RU"/>
        </w:rPr>
        <w:t>у предварительных</w:t>
      </w:r>
      <w:r w:rsidR="00931831" w:rsidRPr="00732013">
        <w:rPr>
          <w:spacing w:val="5"/>
          <w:w w:val="104"/>
          <w:lang w:val="ru-RU"/>
        </w:rPr>
        <w:t xml:space="preserve"> </w:t>
      </w:r>
      <w:r w:rsidR="00814F69" w:rsidRPr="00732013">
        <w:rPr>
          <w:spacing w:val="5"/>
          <w:w w:val="104"/>
          <w:lang w:val="ru-RU"/>
        </w:rPr>
        <w:t>расследований случаев насилия в семье</w:t>
      </w:r>
      <w:r w:rsidR="00931831" w:rsidRPr="00732013">
        <w:rPr>
          <w:spacing w:val="5"/>
          <w:w w:val="104"/>
          <w:lang w:val="ru-RU"/>
        </w:rPr>
        <w:t xml:space="preserve"> </w:t>
      </w:r>
      <w:r w:rsidRPr="00732013">
        <w:rPr>
          <w:spacing w:val="5"/>
          <w:w w:val="104"/>
          <w:lang w:val="ru-RU"/>
        </w:rPr>
        <w:t>566</w:t>
      </w:r>
      <w:r w:rsidR="00FC6205" w:rsidRPr="00732013">
        <w:rPr>
          <w:spacing w:val="5"/>
          <w:w w:val="104"/>
          <w:lang w:val="ru-RU"/>
        </w:rPr>
        <w:t> </w:t>
      </w:r>
      <w:r w:rsidR="00814F69" w:rsidRPr="00732013">
        <w:rPr>
          <w:spacing w:val="5"/>
          <w:w w:val="104"/>
          <w:lang w:val="ru-RU"/>
        </w:rPr>
        <w:t>женщин</w:t>
      </w:r>
      <w:r w:rsidRPr="00732013">
        <w:rPr>
          <w:spacing w:val="5"/>
          <w:w w:val="104"/>
          <w:lang w:val="ru-RU"/>
        </w:rPr>
        <w:t>, 62</w:t>
      </w:r>
      <w:r w:rsidR="00FC6205" w:rsidRPr="00732013">
        <w:rPr>
          <w:spacing w:val="5"/>
          <w:w w:val="104"/>
          <w:lang w:val="ru-RU"/>
        </w:rPr>
        <w:t> </w:t>
      </w:r>
      <w:r w:rsidR="00814F69" w:rsidRPr="00732013">
        <w:rPr>
          <w:spacing w:val="5"/>
          <w:w w:val="104"/>
          <w:lang w:val="ru-RU"/>
        </w:rPr>
        <w:t>мужчины</w:t>
      </w:r>
      <w:r w:rsidRPr="00732013">
        <w:rPr>
          <w:spacing w:val="5"/>
          <w:w w:val="104"/>
          <w:lang w:val="ru-RU"/>
        </w:rPr>
        <w:t xml:space="preserve"> </w:t>
      </w:r>
      <w:r w:rsidR="00A573E6" w:rsidRPr="00732013">
        <w:rPr>
          <w:spacing w:val="5"/>
          <w:w w:val="104"/>
          <w:lang w:val="ru-RU"/>
        </w:rPr>
        <w:t>и</w:t>
      </w:r>
      <w:r w:rsidRPr="00732013">
        <w:rPr>
          <w:spacing w:val="5"/>
          <w:w w:val="104"/>
          <w:lang w:val="ru-RU"/>
        </w:rPr>
        <w:t xml:space="preserve"> 69</w:t>
      </w:r>
      <w:r w:rsidR="00FC6205" w:rsidRPr="00732013">
        <w:rPr>
          <w:spacing w:val="5"/>
          <w:w w:val="104"/>
          <w:lang w:val="ru-RU"/>
        </w:rPr>
        <w:t> </w:t>
      </w:r>
      <w:r w:rsidR="00A573E6" w:rsidRPr="00732013">
        <w:rPr>
          <w:spacing w:val="5"/>
          <w:w w:val="104"/>
          <w:lang w:val="ru-RU"/>
        </w:rPr>
        <w:t xml:space="preserve">детей были признаны жертвами, </w:t>
      </w:r>
      <w:r w:rsidR="00F9185F" w:rsidRPr="00732013">
        <w:rPr>
          <w:spacing w:val="5"/>
          <w:w w:val="104"/>
          <w:lang w:val="ru-RU"/>
        </w:rPr>
        <w:t>а</w:t>
      </w:r>
      <w:r w:rsidRPr="00732013">
        <w:rPr>
          <w:spacing w:val="5"/>
          <w:w w:val="104"/>
          <w:lang w:val="ru-RU"/>
        </w:rPr>
        <w:t xml:space="preserve"> 622</w:t>
      </w:r>
      <w:r w:rsidR="00FC6205" w:rsidRPr="00732013">
        <w:rPr>
          <w:spacing w:val="5"/>
          <w:w w:val="104"/>
          <w:lang w:val="ru-RU"/>
        </w:rPr>
        <w:t> </w:t>
      </w:r>
      <w:r w:rsidR="00A573E6" w:rsidRPr="00732013">
        <w:rPr>
          <w:spacing w:val="5"/>
          <w:w w:val="104"/>
          <w:lang w:val="ru-RU"/>
        </w:rPr>
        <w:t>мужчины</w:t>
      </w:r>
      <w:r w:rsidRPr="00732013">
        <w:rPr>
          <w:spacing w:val="5"/>
          <w:w w:val="104"/>
          <w:lang w:val="ru-RU"/>
        </w:rPr>
        <w:t>, 38</w:t>
      </w:r>
      <w:r w:rsidR="00FC6205" w:rsidRPr="00732013">
        <w:rPr>
          <w:spacing w:val="5"/>
          <w:w w:val="104"/>
          <w:lang w:val="ru-RU"/>
        </w:rPr>
        <w:t> </w:t>
      </w:r>
      <w:r w:rsidR="00A573E6" w:rsidRPr="00732013">
        <w:rPr>
          <w:spacing w:val="5"/>
          <w:w w:val="104"/>
        </w:rPr>
        <w:t>женщин</w:t>
      </w:r>
      <w:r w:rsidR="00A573E6" w:rsidRPr="00732013">
        <w:rPr>
          <w:spacing w:val="5"/>
          <w:w w:val="104"/>
          <w:lang w:val="ru-RU"/>
        </w:rPr>
        <w:t xml:space="preserve"> и</w:t>
      </w:r>
      <w:r w:rsidRPr="00732013">
        <w:rPr>
          <w:spacing w:val="5"/>
          <w:w w:val="104"/>
          <w:lang w:val="ru-RU"/>
        </w:rPr>
        <w:t xml:space="preserve"> </w:t>
      </w:r>
      <w:r w:rsidR="00A573E6" w:rsidRPr="00732013">
        <w:rPr>
          <w:spacing w:val="5"/>
          <w:w w:val="104"/>
          <w:lang w:val="ru-RU"/>
        </w:rPr>
        <w:t>двое детей</w:t>
      </w:r>
      <w:r w:rsidR="00F9185F" w:rsidRPr="00732013">
        <w:rPr>
          <w:spacing w:val="5"/>
          <w:w w:val="104"/>
          <w:lang w:val="ru-RU"/>
        </w:rPr>
        <w:t xml:space="preserve"> –</w:t>
      </w:r>
      <w:r w:rsidR="009F0AF0" w:rsidRPr="00732013">
        <w:rPr>
          <w:spacing w:val="5"/>
          <w:w w:val="104"/>
          <w:lang w:val="ru-RU"/>
        </w:rPr>
        <w:t xml:space="preserve"> </w:t>
      </w:r>
      <w:r w:rsidR="00A573E6" w:rsidRPr="00732013">
        <w:rPr>
          <w:spacing w:val="5"/>
          <w:w w:val="104"/>
          <w:lang w:val="ru-RU"/>
        </w:rPr>
        <w:t>подозреваемыми</w:t>
      </w:r>
      <w:r w:rsidRPr="00732013">
        <w:rPr>
          <w:spacing w:val="5"/>
          <w:w w:val="104"/>
          <w:lang w:val="ru-RU"/>
        </w:rPr>
        <w:t>.</w:t>
      </w:r>
    </w:p>
    <w:p w:rsidR="00866E29" w:rsidRPr="00732013" w:rsidRDefault="00866E29" w:rsidP="00732013">
      <w:pPr>
        <w:pStyle w:val="SingleTxtG"/>
        <w:spacing w:line="240" w:lineRule="exact"/>
        <w:ind w:right="1267"/>
        <w:rPr>
          <w:spacing w:val="5"/>
          <w:w w:val="104"/>
          <w:lang w:val="ru-RU"/>
        </w:rPr>
      </w:pPr>
      <w:r w:rsidRPr="00732013">
        <w:rPr>
          <w:spacing w:val="5"/>
          <w:w w:val="104"/>
          <w:lang w:val="ru-RU"/>
        </w:rPr>
        <w:t>44.</w:t>
      </w:r>
      <w:r w:rsidRPr="00732013">
        <w:rPr>
          <w:spacing w:val="5"/>
          <w:w w:val="104"/>
          <w:lang w:val="ru-RU"/>
        </w:rPr>
        <w:tab/>
      </w:r>
      <w:r w:rsidR="00C76648" w:rsidRPr="00732013">
        <w:rPr>
          <w:spacing w:val="5"/>
          <w:w w:val="104"/>
          <w:lang w:val="ru-RU"/>
        </w:rPr>
        <w:t>За период с</w:t>
      </w:r>
      <w:r w:rsidRPr="00732013">
        <w:rPr>
          <w:spacing w:val="5"/>
          <w:w w:val="104"/>
          <w:lang w:val="ru-RU"/>
        </w:rPr>
        <w:t xml:space="preserve"> 1 </w:t>
      </w:r>
      <w:r w:rsidR="00C76648" w:rsidRPr="00732013">
        <w:rPr>
          <w:spacing w:val="5"/>
          <w:w w:val="104"/>
          <w:lang w:val="ru-RU"/>
        </w:rPr>
        <w:t>января по</w:t>
      </w:r>
      <w:r w:rsidRPr="00732013">
        <w:rPr>
          <w:spacing w:val="5"/>
          <w:w w:val="104"/>
          <w:lang w:val="ru-RU"/>
        </w:rPr>
        <w:t xml:space="preserve"> 31 </w:t>
      </w:r>
      <w:r w:rsidR="00C76648" w:rsidRPr="00732013">
        <w:rPr>
          <w:spacing w:val="5"/>
          <w:w w:val="104"/>
          <w:lang w:val="ru-RU"/>
        </w:rPr>
        <w:t>декабря</w:t>
      </w:r>
      <w:r w:rsidRPr="00732013">
        <w:rPr>
          <w:spacing w:val="5"/>
          <w:w w:val="104"/>
          <w:lang w:val="ru-RU"/>
        </w:rPr>
        <w:t xml:space="preserve"> 2012</w:t>
      </w:r>
      <w:r w:rsidR="008055A1" w:rsidRPr="00732013">
        <w:rPr>
          <w:spacing w:val="5"/>
          <w:w w:val="104"/>
          <w:lang w:val="ru-RU"/>
        </w:rPr>
        <w:t> год</w:t>
      </w:r>
      <w:r w:rsidR="00C76648" w:rsidRPr="00732013">
        <w:rPr>
          <w:spacing w:val="5"/>
          <w:w w:val="104"/>
          <w:lang w:val="ru-RU"/>
        </w:rPr>
        <w:t>а в Реестре</w:t>
      </w:r>
      <w:r w:rsidR="006E5E66" w:rsidRPr="00732013">
        <w:rPr>
          <w:spacing w:val="5"/>
          <w:w w:val="104"/>
          <w:lang w:val="ru-RU"/>
        </w:rPr>
        <w:t xml:space="preserve"> происшествий</w:t>
      </w:r>
      <w:r w:rsidR="00C76648" w:rsidRPr="00732013">
        <w:rPr>
          <w:spacing w:val="5"/>
          <w:w w:val="104"/>
          <w:lang w:val="ru-RU"/>
        </w:rPr>
        <w:t xml:space="preserve"> </w:t>
      </w:r>
      <w:r w:rsidR="006E5E66" w:rsidRPr="00732013">
        <w:rPr>
          <w:spacing w:val="5"/>
          <w:w w:val="104"/>
          <w:lang w:val="ru-RU"/>
        </w:rPr>
        <w:t>полицией</w:t>
      </w:r>
      <w:r w:rsidR="00C76648" w:rsidRPr="00732013">
        <w:rPr>
          <w:spacing w:val="5"/>
          <w:w w:val="104"/>
          <w:lang w:val="ru-RU"/>
        </w:rPr>
        <w:t xml:space="preserve"> было зарегистрировано</w:t>
      </w:r>
      <w:r w:rsidR="006E5E66" w:rsidRPr="00732013">
        <w:rPr>
          <w:spacing w:val="5"/>
          <w:w w:val="104"/>
          <w:lang w:val="ru-RU"/>
        </w:rPr>
        <w:t xml:space="preserve"> 18</w:t>
      </w:r>
      <w:r w:rsidR="006E5E66" w:rsidRPr="00732013">
        <w:rPr>
          <w:spacing w:val="5"/>
          <w:w w:val="104"/>
          <w:lang w:val="en-US"/>
        </w:rPr>
        <w:t> </w:t>
      </w:r>
      <w:r w:rsidRPr="00732013">
        <w:rPr>
          <w:spacing w:val="5"/>
          <w:w w:val="104"/>
          <w:lang w:val="ru-RU"/>
        </w:rPr>
        <w:t>268</w:t>
      </w:r>
      <w:r w:rsidR="00FC6205" w:rsidRPr="00732013">
        <w:rPr>
          <w:spacing w:val="5"/>
          <w:w w:val="104"/>
          <w:lang w:val="ru-RU"/>
        </w:rPr>
        <w:t> </w:t>
      </w:r>
      <w:r w:rsidR="006E5E66" w:rsidRPr="00732013">
        <w:rPr>
          <w:spacing w:val="5"/>
          <w:w w:val="104"/>
          <w:lang w:val="ru-RU"/>
        </w:rPr>
        <w:t>заявлений о насилии в семье, на основании которых было проведено</w:t>
      </w:r>
      <w:r w:rsidRPr="00732013">
        <w:rPr>
          <w:spacing w:val="5"/>
          <w:w w:val="104"/>
          <w:lang w:val="ru-RU"/>
        </w:rPr>
        <w:t xml:space="preserve"> </w:t>
      </w:r>
      <w:r w:rsidR="006E5E66" w:rsidRPr="00732013">
        <w:rPr>
          <w:spacing w:val="5"/>
          <w:w w:val="104"/>
          <w:lang w:val="ru-RU"/>
        </w:rPr>
        <w:t>7</w:t>
      </w:r>
      <w:r w:rsidRPr="00732013">
        <w:rPr>
          <w:spacing w:val="5"/>
          <w:w w:val="104"/>
          <w:lang w:val="ru-RU"/>
        </w:rPr>
        <w:t>586</w:t>
      </w:r>
      <w:r w:rsidR="00FC6205" w:rsidRPr="00732013">
        <w:rPr>
          <w:spacing w:val="5"/>
          <w:w w:val="104"/>
          <w:lang w:val="ru-RU"/>
        </w:rPr>
        <w:t> </w:t>
      </w:r>
      <w:r w:rsidR="004B3CA2" w:rsidRPr="00732013">
        <w:rPr>
          <w:spacing w:val="5"/>
          <w:w w:val="104"/>
          <w:lang w:val="ru-RU"/>
        </w:rPr>
        <w:t>предварительных расследовани</w:t>
      </w:r>
      <w:r w:rsidR="00FC6205" w:rsidRPr="00732013">
        <w:rPr>
          <w:spacing w:val="5"/>
          <w:w w:val="104"/>
          <w:lang w:val="ru-RU"/>
        </w:rPr>
        <w:t>й</w:t>
      </w:r>
      <w:r w:rsidR="004B3CA2" w:rsidRPr="00732013">
        <w:rPr>
          <w:spacing w:val="5"/>
          <w:w w:val="104"/>
          <w:lang w:val="ru-RU"/>
        </w:rPr>
        <w:t>, при этом по 3</w:t>
      </w:r>
      <w:r w:rsidRPr="00732013">
        <w:rPr>
          <w:spacing w:val="5"/>
          <w:w w:val="104"/>
          <w:lang w:val="ru-RU"/>
        </w:rPr>
        <w:t>604</w:t>
      </w:r>
      <w:r w:rsidR="00FC6205" w:rsidRPr="00732013">
        <w:rPr>
          <w:spacing w:val="5"/>
          <w:w w:val="104"/>
          <w:lang w:val="ru-RU"/>
        </w:rPr>
        <w:t> </w:t>
      </w:r>
      <w:r w:rsidR="004B3CA2" w:rsidRPr="00732013">
        <w:rPr>
          <w:spacing w:val="5"/>
          <w:w w:val="104"/>
          <w:lang w:val="ru-RU"/>
        </w:rPr>
        <w:t>случаям в возбуждении предварительного судебного расследования было отказано</w:t>
      </w:r>
      <w:r w:rsidRPr="00732013">
        <w:rPr>
          <w:spacing w:val="5"/>
          <w:w w:val="104"/>
          <w:lang w:val="ru-RU"/>
        </w:rPr>
        <w:t>.</w:t>
      </w:r>
      <w:r w:rsidR="002861AE" w:rsidRPr="00732013">
        <w:rPr>
          <w:spacing w:val="5"/>
          <w:w w:val="104"/>
          <w:lang w:val="ru-RU"/>
        </w:rPr>
        <w:t xml:space="preserve"> По результатам начатых в 2012</w:t>
      </w:r>
      <w:r w:rsidR="008055A1" w:rsidRPr="00732013">
        <w:rPr>
          <w:spacing w:val="5"/>
          <w:w w:val="104"/>
          <w:lang w:val="ru-RU"/>
        </w:rPr>
        <w:t> год</w:t>
      </w:r>
      <w:r w:rsidR="002861AE" w:rsidRPr="00732013">
        <w:rPr>
          <w:spacing w:val="5"/>
          <w:w w:val="104"/>
          <w:lang w:val="ru-RU"/>
        </w:rPr>
        <w:t>у предварительных расследований случаев насилия в семье 6</w:t>
      </w:r>
      <w:r w:rsidRPr="00732013">
        <w:rPr>
          <w:spacing w:val="5"/>
          <w:w w:val="104"/>
          <w:lang w:val="ru-RU"/>
        </w:rPr>
        <w:t>494</w:t>
      </w:r>
      <w:r w:rsidR="00FC6205" w:rsidRPr="00732013">
        <w:rPr>
          <w:spacing w:val="5"/>
          <w:w w:val="104"/>
          <w:lang w:val="ru-RU"/>
        </w:rPr>
        <w:t> </w:t>
      </w:r>
      <w:r w:rsidR="002861AE" w:rsidRPr="00732013">
        <w:rPr>
          <w:spacing w:val="5"/>
          <w:w w:val="104"/>
          <w:lang w:val="ru-RU"/>
        </w:rPr>
        <w:t>женщины</w:t>
      </w:r>
      <w:r w:rsidRPr="00732013">
        <w:rPr>
          <w:spacing w:val="5"/>
          <w:w w:val="104"/>
          <w:lang w:val="ru-RU"/>
        </w:rPr>
        <w:t>, 721</w:t>
      </w:r>
      <w:r w:rsidR="00FC6205" w:rsidRPr="00732013">
        <w:rPr>
          <w:spacing w:val="5"/>
          <w:w w:val="104"/>
          <w:lang w:val="ru-RU"/>
        </w:rPr>
        <w:t> </w:t>
      </w:r>
      <w:r w:rsidR="002861AE" w:rsidRPr="00732013">
        <w:rPr>
          <w:spacing w:val="5"/>
          <w:w w:val="104"/>
          <w:lang w:val="ru-RU"/>
        </w:rPr>
        <w:t>мужчина</w:t>
      </w:r>
      <w:r w:rsidRPr="00732013">
        <w:rPr>
          <w:spacing w:val="5"/>
          <w:w w:val="104"/>
          <w:lang w:val="ru-RU"/>
        </w:rPr>
        <w:t xml:space="preserve"> </w:t>
      </w:r>
      <w:r w:rsidR="002861AE" w:rsidRPr="00732013">
        <w:rPr>
          <w:spacing w:val="5"/>
          <w:w w:val="104"/>
          <w:lang w:val="ru-RU"/>
        </w:rPr>
        <w:t>и</w:t>
      </w:r>
      <w:r w:rsidRPr="00732013">
        <w:rPr>
          <w:spacing w:val="5"/>
          <w:w w:val="104"/>
          <w:lang w:val="ru-RU"/>
        </w:rPr>
        <w:t xml:space="preserve"> 637</w:t>
      </w:r>
      <w:r w:rsidR="00FC6205" w:rsidRPr="00732013">
        <w:rPr>
          <w:spacing w:val="5"/>
          <w:w w:val="104"/>
          <w:lang w:val="ru-RU"/>
        </w:rPr>
        <w:t> </w:t>
      </w:r>
      <w:r w:rsidR="002861AE" w:rsidRPr="00732013">
        <w:rPr>
          <w:spacing w:val="5"/>
          <w:w w:val="104"/>
          <w:lang w:val="ru-RU"/>
        </w:rPr>
        <w:t>детей признаны жертвами</w:t>
      </w:r>
      <w:r w:rsidRPr="00732013">
        <w:rPr>
          <w:spacing w:val="5"/>
          <w:w w:val="104"/>
          <w:lang w:val="ru-RU"/>
        </w:rPr>
        <w:t xml:space="preserve">, </w:t>
      </w:r>
      <w:r w:rsidR="002861AE" w:rsidRPr="00732013">
        <w:rPr>
          <w:spacing w:val="5"/>
          <w:w w:val="104"/>
          <w:lang w:val="ru-RU"/>
        </w:rPr>
        <w:t>в то время как 6</w:t>
      </w:r>
      <w:r w:rsidRPr="00732013">
        <w:rPr>
          <w:spacing w:val="5"/>
          <w:w w:val="104"/>
          <w:lang w:val="ru-RU"/>
        </w:rPr>
        <w:t>462</w:t>
      </w:r>
      <w:r w:rsidR="00FC6205" w:rsidRPr="00732013">
        <w:rPr>
          <w:spacing w:val="5"/>
          <w:w w:val="104"/>
          <w:lang w:val="ru-RU"/>
        </w:rPr>
        <w:t> </w:t>
      </w:r>
      <w:r w:rsidR="002861AE" w:rsidRPr="00732013">
        <w:rPr>
          <w:spacing w:val="5"/>
          <w:w w:val="104"/>
          <w:lang w:val="ru-RU"/>
        </w:rPr>
        <w:t>мужчины</w:t>
      </w:r>
      <w:r w:rsidRPr="00732013">
        <w:rPr>
          <w:spacing w:val="5"/>
          <w:w w:val="104"/>
          <w:lang w:val="ru-RU"/>
        </w:rPr>
        <w:t>, 286</w:t>
      </w:r>
      <w:r w:rsidR="00FC6205" w:rsidRPr="00732013">
        <w:rPr>
          <w:spacing w:val="5"/>
          <w:w w:val="104"/>
          <w:lang w:val="ru-RU"/>
        </w:rPr>
        <w:t> </w:t>
      </w:r>
      <w:r w:rsidR="002861AE" w:rsidRPr="00732013">
        <w:rPr>
          <w:spacing w:val="5"/>
          <w:w w:val="104"/>
          <w:lang w:val="ru-RU"/>
        </w:rPr>
        <w:t>женщин и</w:t>
      </w:r>
      <w:r w:rsidRPr="00732013">
        <w:rPr>
          <w:spacing w:val="5"/>
          <w:w w:val="104"/>
          <w:lang w:val="ru-RU"/>
        </w:rPr>
        <w:t xml:space="preserve"> 23</w:t>
      </w:r>
      <w:r w:rsidR="00FC6205" w:rsidRPr="00732013">
        <w:rPr>
          <w:spacing w:val="5"/>
          <w:w w:val="104"/>
          <w:lang w:val="ru-RU"/>
        </w:rPr>
        <w:t> </w:t>
      </w:r>
      <w:r w:rsidR="002861AE" w:rsidRPr="00732013">
        <w:rPr>
          <w:spacing w:val="5"/>
          <w:w w:val="104"/>
          <w:lang w:val="ru-RU"/>
        </w:rPr>
        <w:t>ребенка</w:t>
      </w:r>
      <w:r w:rsidR="00F9185F" w:rsidRPr="00732013">
        <w:rPr>
          <w:spacing w:val="5"/>
          <w:w w:val="104"/>
          <w:lang w:val="ru-RU"/>
        </w:rPr>
        <w:t xml:space="preserve"> –</w:t>
      </w:r>
      <w:r w:rsidRPr="00732013">
        <w:rPr>
          <w:spacing w:val="5"/>
          <w:w w:val="104"/>
          <w:lang w:val="ru-RU"/>
        </w:rPr>
        <w:t xml:space="preserve"> </w:t>
      </w:r>
      <w:r w:rsidR="002861AE" w:rsidRPr="00732013">
        <w:rPr>
          <w:spacing w:val="5"/>
          <w:w w:val="104"/>
          <w:lang w:val="ru-RU"/>
        </w:rPr>
        <w:t>подозреваемыми</w:t>
      </w:r>
      <w:r w:rsidRPr="00732013">
        <w:rPr>
          <w:spacing w:val="5"/>
          <w:w w:val="104"/>
          <w:lang w:val="ru-RU"/>
        </w:rPr>
        <w:t xml:space="preserve">. </w:t>
      </w:r>
    </w:p>
    <w:p w:rsidR="00E61D3D" w:rsidRPr="00732013" w:rsidRDefault="00866E29" w:rsidP="00732013">
      <w:pPr>
        <w:pStyle w:val="SingleTxtG"/>
        <w:spacing w:line="240" w:lineRule="exact"/>
        <w:ind w:right="1267"/>
        <w:rPr>
          <w:spacing w:val="5"/>
          <w:w w:val="104"/>
          <w:lang w:val="en-US"/>
        </w:rPr>
      </w:pPr>
      <w:r w:rsidRPr="00732013">
        <w:rPr>
          <w:spacing w:val="5"/>
          <w:w w:val="104"/>
          <w:lang w:val="ru-RU"/>
        </w:rPr>
        <w:t>45.</w:t>
      </w:r>
      <w:r w:rsidRPr="00732013">
        <w:rPr>
          <w:spacing w:val="5"/>
          <w:w w:val="104"/>
          <w:lang w:val="ru-RU"/>
        </w:rPr>
        <w:tab/>
      </w:r>
      <w:r w:rsidR="003540D4" w:rsidRPr="00732013">
        <w:rPr>
          <w:spacing w:val="5"/>
          <w:w w:val="104"/>
          <w:lang w:val="ru-RU"/>
        </w:rPr>
        <w:t>За период с</w:t>
      </w:r>
      <w:r w:rsidRPr="00732013">
        <w:rPr>
          <w:spacing w:val="5"/>
          <w:w w:val="104"/>
          <w:lang w:val="ru-RU"/>
        </w:rPr>
        <w:t xml:space="preserve"> 1 </w:t>
      </w:r>
      <w:r w:rsidR="003540D4" w:rsidRPr="00732013">
        <w:rPr>
          <w:spacing w:val="5"/>
          <w:w w:val="104"/>
          <w:lang w:val="ru-RU"/>
        </w:rPr>
        <w:t>января по</w:t>
      </w:r>
      <w:r w:rsidRPr="00732013">
        <w:rPr>
          <w:spacing w:val="5"/>
          <w:w w:val="104"/>
          <w:lang w:val="ru-RU"/>
        </w:rPr>
        <w:t xml:space="preserve"> 31</w:t>
      </w:r>
      <w:r w:rsidR="00FC6205" w:rsidRPr="00732013">
        <w:rPr>
          <w:spacing w:val="5"/>
          <w:w w:val="104"/>
          <w:lang w:val="ru-RU"/>
        </w:rPr>
        <w:t> </w:t>
      </w:r>
      <w:r w:rsidR="003540D4" w:rsidRPr="00732013">
        <w:rPr>
          <w:spacing w:val="5"/>
          <w:w w:val="104"/>
          <w:lang w:val="ru-RU"/>
        </w:rPr>
        <w:t>декабря</w:t>
      </w:r>
      <w:r w:rsidRPr="00732013">
        <w:rPr>
          <w:spacing w:val="5"/>
          <w:w w:val="104"/>
          <w:lang w:val="ru-RU"/>
        </w:rPr>
        <w:t xml:space="preserve"> 2013</w:t>
      </w:r>
      <w:r w:rsidR="008055A1" w:rsidRPr="00732013">
        <w:rPr>
          <w:spacing w:val="5"/>
          <w:w w:val="104"/>
          <w:lang w:val="ru-RU"/>
        </w:rPr>
        <w:t> год</w:t>
      </w:r>
      <w:r w:rsidR="003540D4" w:rsidRPr="00732013">
        <w:rPr>
          <w:spacing w:val="5"/>
          <w:w w:val="104"/>
          <w:lang w:val="ru-RU"/>
        </w:rPr>
        <w:t>а в Реестре происшествий полицией было зарегистрировано 21 </w:t>
      </w:r>
      <w:r w:rsidRPr="00732013">
        <w:rPr>
          <w:spacing w:val="5"/>
          <w:w w:val="104"/>
          <w:lang w:val="ru-RU"/>
        </w:rPr>
        <w:t>615</w:t>
      </w:r>
      <w:r w:rsidR="00FC6205" w:rsidRPr="00732013">
        <w:rPr>
          <w:spacing w:val="5"/>
          <w:w w:val="104"/>
          <w:lang w:val="ru-RU"/>
        </w:rPr>
        <w:t> </w:t>
      </w:r>
      <w:r w:rsidR="003540D4" w:rsidRPr="00732013">
        <w:rPr>
          <w:spacing w:val="5"/>
          <w:w w:val="104"/>
        </w:rPr>
        <w:t>заявлений</w:t>
      </w:r>
      <w:r w:rsidR="003540D4" w:rsidRPr="00732013">
        <w:rPr>
          <w:spacing w:val="5"/>
          <w:w w:val="104"/>
          <w:lang w:val="ru-RU"/>
        </w:rPr>
        <w:t xml:space="preserve"> о насилии в семье, было начато 10</w:t>
      </w:r>
      <w:r w:rsidR="00FC6205" w:rsidRPr="00732013">
        <w:rPr>
          <w:spacing w:val="5"/>
          <w:w w:val="104"/>
          <w:lang w:val="ru-RU"/>
        </w:rPr>
        <w:t> </w:t>
      </w:r>
      <w:r w:rsidRPr="00732013">
        <w:rPr>
          <w:spacing w:val="5"/>
          <w:w w:val="104"/>
          <w:lang w:val="ru-RU"/>
        </w:rPr>
        <w:t>015</w:t>
      </w:r>
      <w:r w:rsidR="00FC6205" w:rsidRPr="00732013">
        <w:rPr>
          <w:spacing w:val="5"/>
          <w:w w:val="104"/>
          <w:lang w:val="ru-RU"/>
        </w:rPr>
        <w:t> </w:t>
      </w:r>
      <w:r w:rsidR="003540D4" w:rsidRPr="00732013">
        <w:rPr>
          <w:spacing w:val="5"/>
          <w:w w:val="104"/>
          <w:lang w:val="ru-RU"/>
        </w:rPr>
        <w:t xml:space="preserve">предварительных расследований, и </w:t>
      </w:r>
      <w:r w:rsidR="00ED6370" w:rsidRPr="00732013">
        <w:rPr>
          <w:spacing w:val="5"/>
          <w:w w:val="104"/>
          <w:lang w:val="ru-RU"/>
        </w:rPr>
        <w:t>по 7</w:t>
      </w:r>
      <w:r w:rsidRPr="00732013">
        <w:rPr>
          <w:spacing w:val="5"/>
          <w:w w:val="104"/>
          <w:lang w:val="ru-RU"/>
        </w:rPr>
        <w:t>286</w:t>
      </w:r>
      <w:r w:rsidR="00FC6205" w:rsidRPr="00732013">
        <w:rPr>
          <w:spacing w:val="5"/>
          <w:w w:val="104"/>
          <w:lang w:val="ru-RU"/>
        </w:rPr>
        <w:t> </w:t>
      </w:r>
      <w:r w:rsidR="00ED6370" w:rsidRPr="00732013">
        <w:rPr>
          <w:spacing w:val="5"/>
          <w:w w:val="104"/>
          <w:lang w:val="ru-RU"/>
        </w:rPr>
        <w:t>случаям в возбуждении предварительного судебного расследования было отказано</w:t>
      </w:r>
      <w:r w:rsidRPr="00732013">
        <w:rPr>
          <w:spacing w:val="5"/>
          <w:w w:val="104"/>
          <w:lang w:val="ru-RU"/>
        </w:rPr>
        <w:t xml:space="preserve">. </w:t>
      </w:r>
      <w:r w:rsidR="00FC79E3" w:rsidRPr="00732013">
        <w:rPr>
          <w:spacing w:val="5"/>
          <w:w w:val="104"/>
          <w:lang w:val="ru-RU"/>
        </w:rPr>
        <w:t>По результатам проведенных в</w:t>
      </w:r>
      <w:r w:rsidRPr="00732013">
        <w:rPr>
          <w:spacing w:val="5"/>
          <w:w w:val="104"/>
          <w:lang w:val="ru-RU"/>
        </w:rPr>
        <w:t xml:space="preserve"> 2013</w:t>
      </w:r>
      <w:r w:rsidR="008055A1" w:rsidRPr="00732013">
        <w:rPr>
          <w:spacing w:val="5"/>
          <w:w w:val="104"/>
          <w:lang w:val="ru-RU"/>
        </w:rPr>
        <w:t> год</w:t>
      </w:r>
      <w:r w:rsidR="00FC79E3" w:rsidRPr="00732013">
        <w:rPr>
          <w:spacing w:val="5"/>
          <w:w w:val="104"/>
          <w:lang w:val="ru-RU"/>
        </w:rPr>
        <w:t>у предварительных расследований случаев насилия в семье</w:t>
      </w:r>
      <w:r w:rsidR="00F9185F" w:rsidRPr="00732013">
        <w:rPr>
          <w:spacing w:val="5"/>
          <w:w w:val="104"/>
          <w:lang w:val="ru-RU"/>
        </w:rPr>
        <w:t xml:space="preserve"> </w:t>
      </w:r>
      <w:r w:rsidR="00FC79E3" w:rsidRPr="00732013">
        <w:rPr>
          <w:spacing w:val="5"/>
          <w:w w:val="104"/>
          <w:lang w:val="ru-RU"/>
        </w:rPr>
        <w:t>8</w:t>
      </w:r>
      <w:r w:rsidRPr="00732013">
        <w:rPr>
          <w:spacing w:val="5"/>
          <w:w w:val="104"/>
          <w:lang w:val="ru-RU"/>
        </w:rPr>
        <w:t>322</w:t>
      </w:r>
      <w:r w:rsidR="00FC6205" w:rsidRPr="00732013">
        <w:rPr>
          <w:spacing w:val="5"/>
          <w:w w:val="104"/>
          <w:lang w:val="ru-RU"/>
        </w:rPr>
        <w:t> </w:t>
      </w:r>
      <w:r w:rsidR="00FC79E3" w:rsidRPr="00732013">
        <w:rPr>
          <w:spacing w:val="5"/>
          <w:w w:val="104"/>
          <w:lang w:val="ru-RU"/>
        </w:rPr>
        <w:t>женщины, 1</w:t>
      </w:r>
      <w:r w:rsidRPr="00732013">
        <w:rPr>
          <w:spacing w:val="5"/>
          <w:w w:val="104"/>
          <w:lang w:val="ru-RU"/>
        </w:rPr>
        <w:t>128</w:t>
      </w:r>
      <w:r w:rsidR="00FC6205" w:rsidRPr="00732013">
        <w:rPr>
          <w:spacing w:val="5"/>
          <w:w w:val="104"/>
          <w:lang w:val="ru-RU"/>
        </w:rPr>
        <w:t> </w:t>
      </w:r>
      <w:r w:rsidR="00FC79E3" w:rsidRPr="00732013">
        <w:rPr>
          <w:spacing w:val="5"/>
          <w:w w:val="104"/>
          <w:lang w:val="ru-RU"/>
        </w:rPr>
        <w:t>мужчин и</w:t>
      </w:r>
      <w:r w:rsidRPr="00732013">
        <w:rPr>
          <w:spacing w:val="5"/>
          <w:w w:val="104"/>
          <w:lang w:val="ru-RU"/>
        </w:rPr>
        <w:t xml:space="preserve"> 739</w:t>
      </w:r>
      <w:r w:rsidR="00FC6205" w:rsidRPr="00732013">
        <w:rPr>
          <w:spacing w:val="5"/>
          <w:w w:val="104"/>
          <w:lang w:val="ru-RU"/>
        </w:rPr>
        <w:t> </w:t>
      </w:r>
      <w:r w:rsidR="00FC79E3" w:rsidRPr="00732013">
        <w:rPr>
          <w:spacing w:val="5"/>
          <w:w w:val="104"/>
          <w:lang w:val="ru-RU"/>
        </w:rPr>
        <w:t>детей</w:t>
      </w:r>
      <w:r w:rsidR="00F9185F" w:rsidRPr="00732013">
        <w:rPr>
          <w:spacing w:val="5"/>
          <w:w w:val="104"/>
          <w:lang w:val="ru-RU"/>
        </w:rPr>
        <w:t xml:space="preserve"> признаны жертвами, а</w:t>
      </w:r>
      <w:r w:rsidRPr="00732013">
        <w:rPr>
          <w:spacing w:val="5"/>
          <w:w w:val="104"/>
          <w:lang w:val="ru-RU"/>
        </w:rPr>
        <w:t xml:space="preserve"> </w:t>
      </w:r>
      <w:r w:rsidR="00F9185F" w:rsidRPr="00732013">
        <w:rPr>
          <w:spacing w:val="5"/>
          <w:w w:val="104"/>
          <w:lang w:val="ru-RU"/>
        </w:rPr>
        <w:t>8</w:t>
      </w:r>
      <w:r w:rsidRPr="00732013">
        <w:rPr>
          <w:spacing w:val="5"/>
          <w:w w:val="104"/>
          <w:lang w:val="ru-RU"/>
        </w:rPr>
        <w:t>151</w:t>
      </w:r>
      <w:r w:rsidR="00FC6205" w:rsidRPr="00732013">
        <w:rPr>
          <w:spacing w:val="5"/>
          <w:w w:val="104"/>
          <w:lang w:val="ru-RU"/>
        </w:rPr>
        <w:t> </w:t>
      </w:r>
      <w:r w:rsidR="00F9185F" w:rsidRPr="00732013">
        <w:rPr>
          <w:spacing w:val="5"/>
          <w:w w:val="104"/>
          <w:lang w:val="ru-RU"/>
        </w:rPr>
        <w:t>мужчина</w:t>
      </w:r>
      <w:r w:rsidRPr="00732013">
        <w:rPr>
          <w:spacing w:val="5"/>
          <w:w w:val="104"/>
          <w:lang w:val="ru-RU"/>
        </w:rPr>
        <w:t>, 501</w:t>
      </w:r>
      <w:r w:rsidR="00FC6205" w:rsidRPr="00732013">
        <w:rPr>
          <w:spacing w:val="5"/>
          <w:w w:val="104"/>
          <w:lang w:val="ru-RU"/>
        </w:rPr>
        <w:t> </w:t>
      </w:r>
      <w:r w:rsidR="00F9185F" w:rsidRPr="00732013">
        <w:rPr>
          <w:spacing w:val="5"/>
          <w:w w:val="104"/>
          <w:lang w:val="ru-RU"/>
        </w:rPr>
        <w:t>женщина и</w:t>
      </w:r>
      <w:r w:rsidRPr="00732013">
        <w:rPr>
          <w:spacing w:val="5"/>
          <w:w w:val="104"/>
          <w:lang w:val="ru-RU"/>
        </w:rPr>
        <w:t xml:space="preserve"> 62</w:t>
      </w:r>
      <w:r w:rsidR="00FC6205" w:rsidRPr="00732013">
        <w:rPr>
          <w:spacing w:val="5"/>
          <w:w w:val="104"/>
          <w:lang w:val="ru-RU"/>
        </w:rPr>
        <w:t> </w:t>
      </w:r>
      <w:r w:rsidR="00F9185F" w:rsidRPr="00732013">
        <w:rPr>
          <w:spacing w:val="5"/>
          <w:w w:val="104"/>
          <w:lang w:val="ru-RU"/>
        </w:rPr>
        <w:t>ребенка – подозреваемыми</w:t>
      </w:r>
      <w:r w:rsidRPr="00732013">
        <w:rPr>
          <w:spacing w:val="5"/>
          <w:w w:val="104"/>
          <w:lang w:val="ru-RU"/>
        </w:rPr>
        <w:t xml:space="preserve">.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46.</w:t>
      </w:r>
      <w:r w:rsidRPr="00732013">
        <w:rPr>
          <w:spacing w:val="5"/>
          <w:w w:val="104"/>
          <w:lang w:val="ru-RU"/>
        </w:rPr>
        <w:tab/>
        <w:t xml:space="preserve">До вступления в силу Закона о защите от насилия </w:t>
      </w:r>
      <w:r w:rsidR="00356269" w:rsidRPr="00732013">
        <w:rPr>
          <w:spacing w:val="5"/>
          <w:w w:val="104"/>
          <w:lang w:val="ru-RU"/>
        </w:rPr>
        <w:t xml:space="preserve">в семье </w:t>
      </w:r>
      <w:r w:rsidRPr="00732013">
        <w:rPr>
          <w:spacing w:val="5"/>
          <w:w w:val="104"/>
          <w:lang w:val="ru-RU"/>
        </w:rPr>
        <w:t xml:space="preserve">(до 15 декабря 2011 года) сообщения о насилии в семье, как правило, классифицировались в Реестре как "шум в доме", "домашний конфликт" и т. п., в то же время некоторые сообщения, внесенные в вышеупомянутую категорию, не имели отношения к насилию в семье (например, конфликт между соседями, чрезмерный шум в квартире, слишком громкая музыка и т. д.). Именно поэтому нет возможности предоставить данные по сообщениям о насилии в семье, имевшим место до вступления Закона в силу. Сведения о зарегистрированных лицах, ставших жертвами насилия со стороны членов семьи и родственников за период 2010–2012 годов, представлены в Приложении 4. В настоящее время идет разработка новой системы информации/базы данных по уголовному судопроизводству. Начало функционирования системы запланировано на октябрь 2014 года.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47.</w:t>
      </w:r>
      <w:r w:rsidRPr="00732013">
        <w:rPr>
          <w:spacing w:val="5"/>
          <w:w w:val="104"/>
          <w:lang w:val="ru-RU"/>
        </w:rPr>
        <w:tab/>
        <w:t xml:space="preserve">В </w:t>
      </w:r>
      <w:r w:rsidR="00C37EE5" w:rsidRPr="00732013">
        <w:rPr>
          <w:spacing w:val="5"/>
          <w:w w:val="104"/>
          <w:lang w:val="ru-RU"/>
        </w:rPr>
        <w:t xml:space="preserve">классификации </w:t>
      </w:r>
      <w:r w:rsidRPr="00732013">
        <w:rPr>
          <w:spacing w:val="5"/>
          <w:w w:val="104"/>
          <w:lang w:val="ru-RU"/>
        </w:rPr>
        <w:t>случаев, используемой Национальной администрацией судов для сбора данных о соответствующих случаях, отсутствует категория, отражающая применение Закона о защите от насилия в семье. Национальная администрация судов надеется позднее рассмотреть возможность дополнительной классификации.</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48.</w:t>
      </w:r>
      <w:r w:rsidRPr="00732013">
        <w:rPr>
          <w:spacing w:val="5"/>
          <w:w w:val="104"/>
          <w:lang w:val="ru-RU"/>
        </w:rPr>
        <w:tab/>
        <w:t xml:space="preserve">Ведется непрерывная подготовка судей, помощников судей и прокуроров. Так, 12–13 апреля 2011 года состоялся семинар по вопросам насилия в семье, участниками которого были 15 судей, 5 прокуроров и 10 сотрудников полиции. Второй семинар по вопросам насилия в семье состоялся 14–15 апреля 2011 года (участвовали 15 судей, 2 помощника судьи, 5 прокуроров и 10 сотрудников полиции). Продолжительность каждого из этих семинаров составила 15 академических часов. В ходе занятий изучались следующие темы: передовая практика проведения судебной реформы (международные принципы и стандарты судебных реформ в делах о насилии в семье, цели правительственных инициатив и соответствующие законодательные меры, превентивные охранные приказы и их цели); последствия для правонарушителей; факты и ложное толкование насилия в семье; теория насилия, власти и контроля; реагирование полиции на случаи насилия в семье; применение Дулутской модели в отношении согласованных действий на уровне общины; оценка риска и латентности насилия в семье; идентификация субъекта преступного нападения; случаи повышенного риска; рецидивисты и случаи нарушения защитных мер; </w:t>
      </w:r>
      <w:r w:rsidR="00C37EE5" w:rsidRPr="00732013">
        <w:rPr>
          <w:spacing w:val="5"/>
          <w:w w:val="104"/>
          <w:lang w:val="ru-RU"/>
        </w:rPr>
        <w:t xml:space="preserve">посредничество </w:t>
      </w:r>
      <w:r w:rsidRPr="00732013">
        <w:rPr>
          <w:spacing w:val="5"/>
          <w:w w:val="104"/>
          <w:lang w:val="ru-RU"/>
        </w:rPr>
        <w:t xml:space="preserve">в случае насилия в семье.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49.</w:t>
      </w:r>
      <w:r w:rsidRPr="00732013">
        <w:rPr>
          <w:spacing w:val="5"/>
          <w:w w:val="104"/>
          <w:lang w:val="ru-RU"/>
        </w:rPr>
        <w:tab/>
        <w:t xml:space="preserve">24–27 января 2011 года был проведен семинар на тему "Правосудие в отношении несовершеннолетних", в котором участвовали 12 судей, 10 прокуроров, 5 специалистов из Департамента пенитенциарных учреждений </w:t>
      </w:r>
      <w:r w:rsidR="00C37EE5" w:rsidRPr="00732013">
        <w:rPr>
          <w:spacing w:val="5"/>
          <w:w w:val="104"/>
          <w:lang w:val="ru-RU"/>
        </w:rPr>
        <w:t xml:space="preserve">Министерства </w:t>
      </w:r>
      <w:r w:rsidRPr="00732013">
        <w:rPr>
          <w:spacing w:val="5"/>
          <w:w w:val="104"/>
          <w:lang w:val="ru-RU"/>
        </w:rPr>
        <w:t xml:space="preserve">юстиции и 5 специалистов из Департамента полиции Министерства внутренних дел. Во втором семинаре на тему "Правосудие в отношении несовершеннолетних", который состоялся 5–8 декабря 2011 года, участвовали 20 судей, 9 прокуроров, 4 специалиста из Департамента пенитенциарных учреждений Министерства юстиции и 5 специалистов из Департамента полиции Министерства внутренних дел. В ходе семинара рассматривались следующие темы: насилие в отношении детей в электронном пространстве (2 академических часа); насилие в семье (2 академических часа); особенности коммуникации с агрессивными детьми и детьми, ставшими жертвами насилия (3 академических часа).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50.</w:t>
      </w:r>
      <w:r w:rsidRPr="00732013">
        <w:rPr>
          <w:spacing w:val="5"/>
          <w:w w:val="104"/>
          <w:lang w:val="ru-RU"/>
        </w:rPr>
        <w:tab/>
        <w:t>Для сотрудников правоприменительных органов и других юристов (специально для судей окружных судов, занимающих эту должность более пяти лет) было проведено два семинара по вопросам уголовного судопроизводства в рамках темы "Практическое применение Закона Литовской Республики о защите от насилия</w:t>
      </w:r>
      <w:r w:rsidR="00356269" w:rsidRPr="00732013">
        <w:rPr>
          <w:spacing w:val="5"/>
          <w:w w:val="104"/>
          <w:lang w:val="ru-RU"/>
        </w:rPr>
        <w:t xml:space="preserve"> в семье</w:t>
      </w:r>
      <w:r w:rsidRPr="00732013">
        <w:rPr>
          <w:spacing w:val="5"/>
          <w:w w:val="104"/>
          <w:lang w:val="ru-RU"/>
        </w:rPr>
        <w:t>" (2 академических часа). В семинаре, состоявшемся 7–9 мая 2012 года, участвовали 28 судей, 3 помощника судьи и 14 прокуроров. В семинаре, состоявшемся 5–7 ноября 2012 года, участвовали 31 судья, 3 помощника судьи, 14 прокуроров и 1 другой специалист. В 2013 году были проведены семинары (каждый продолжительностью 3 академических часа) на тему "Практические вопросы применения Закона Литовской Республики о защите от насилия</w:t>
      </w:r>
      <w:r w:rsidR="00356269" w:rsidRPr="00732013">
        <w:rPr>
          <w:spacing w:val="5"/>
          <w:w w:val="104"/>
          <w:lang w:val="ru-RU"/>
        </w:rPr>
        <w:t xml:space="preserve"> в семье</w:t>
      </w:r>
      <w:r w:rsidRPr="00732013">
        <w:rPr>
          <w:spacing w:val="5"/>
          <w:w w:val="104"/>
          <w:lang w:val="ru-RU"/>
        </w:rPr>
        <w:t>". В</w:t>
      </w:r>
      <w:r w:rsidR="00955435" w:rsidRPr="00732013">
        <w:rPr>
          <w:spacing w:val="5"/>
          <w:w w:val="104"/>
          <w:lang w:val="ru-RU"/>
        </w:rPr>
        <w:t> </w:t>
      </w:r>
      <w:r w:rsidRPr="00732013">
        <w:rPr>
          <w:spacing w:val="5"/>
          <w:w w:val="104"/>
          <w:lang w:val="ru-RU"/>
        </w:rPr>
        <w:t>первом семинаре, состоявшемся 18–20 февраля 2013 года, приняли участие 37 судей, 4 помощника судьи и 8 прокуроров. Второй аналогичный семинар для судей и прокуроров состоялся 25–27 ноября 2013 года.</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51.</w:t>
      </w:r>
      <w:r w:rsidRPr="00732013">
        <w:rPr>
          <w:spacing w:val="5"/>
          <w:w w:val="104"/>
          <w:lang w:val="ru-RU"/>
        </w:rPr>
        <w:tab/>
        <w:t>В 2011 году Школа полиции Литвы провела шесть семинаров по повышению квалификации в вопросах насилия в отношении женщин, в которых приняли участие 69 сотрудников полиции всех окружных отделов Главного полицейского комиссариата. В 2012 году состоялось 14 семинаров по повышению квалификации на тему "Защита от насилия в семье", в которых участвовал 201 сотрудник полиции. В 2013 году Школа полиции Литвы провела учебные занятия на тему "Защита от насилия в семье " с участием 228 сотрудников полиции. В 2013 году Министерство внутренних дел совместно с кризисным центром "Вильнюсский женский дом" провело двухдневные учебные занятия на тему "Механизмы оказания помощи жертвам насилия в семье" для сотрудников городской полиции Вильнюса и работников Центра реагирования на чрезвычайные ситуации.</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52.</w:t>
      </w:r>
      <w:r w:rsidRPr="00732013">
        <w:rPr>
          <w:spacing w:val="5"/>
          <w:w w:val="104"/>
          <w:lang w:val="ru-RU"/>
        </w:rPr>
        <w:tab/>
        <w:t xml:space="preserve">На веб-сайте Департамента полиции </w:t>
      </w:r>
      <w:r w:rsidR="00C37EE5" w:rsidRPr="00732013">
        <w:rPr>
          <w:spacing w:val="5"/>
          <w:w w:val="104"/>
          <w:lang w:val="ru-RU"/>
        </w:rPr>
        <w:t xml:space="preserve">Министерства </w:t>
      </w:r>
      <w:r w:rsidRPr="00732013">
        <w:rPr>
          <w:spacing w:val="5"/>
          <w:w w:val="104"/>
          <w:lang w:val="ru-RU"/>
        </w:rPr>
        <w:t>внутренних дел имеется раздел "Жить без насилия"</w:t>
      </w:r>
      <w:r w:rsidRPr="00732013">
        <w:rPr>
          <w:rStyle w:val="FootnoteReference"/>
          <w:spacing w:val="5"/>
          <w:w w:val="104"/>
          <w:sz w:val="20"/>
        </w:rPr>
        <w:footnoteReference w:id="29"/>
      </w:r>
      <w:r w:rsidRPr="00732013">
        <w:rPr>
          <w:spacing w:val="5"/>
          <w:w w:val="104"/>
          <w:lang w:val="ru-RU"/>
        </w:rPr>
        <w:t xml:space="preserve">, на котором имеются тексты вышеупомянутого </w:t>
      </w:r>
      <w:r w:rsidR="00C37EE5" w:rsidRPr="00732013">
        <w:rPr>
          <w:spacing w:val="5"/>
          <w:w w:val="104"/>
          <w:lang w:val="ru-RU"/>
        </w:rPr>
        <w:t xml:space="preserve">Закона </w:t>
      </w:r>
      <w:r w:rsidRPr="00732013">
        <w:rPr>
          <w:spacing w:val="5"/>
          <w:w w:val="104"/>
          <w:lang w:val="ru-RU"/>
        </w:rPr>
        <w:t xml:space="preserve">и других нормативно-правовых актов, касающихся насилия в семье, указаны способы сообщения и контактная информация для сообщений о случаях насилия в семье, а также контактная информация для связи с центрами оказания специализированной помощи. В этом же разделе регулярно публикуются сведения о случаях насилия в семье, их последствиях и превентивных мерах, принимаемых полицией. На сайте Министерства </w:t>
      </w:r>
      <w:r w:rsidRPr="00732013">
        <w:rPr>
          <w:spacing w:val="5"/>
          <w:w w:val="104"/>
          <w:lang w:val="ru-RU"/>
        </w:rPr>
        <w:t>(</w:t>
      </w:r>
      <w:hyperlink r:id="rId17" w:history="1">
        <w:r w:rsidRPr="00732013">
          <w:rPr>
            <w:spacing w:val="5"/>
            <w:w w:val="104"/>
          </w:rPr>
          <w:t>www</w:t>
        </w:r>
        <w:r w:rsidRPr="00732013">
          <w:rPr>
            <w:spacing w:val="5"/>
            <w:w w:val="104"/>
            <w:lang w:val="ru-RU"/>
          </w:rPr>
          <w:t>.</w:t>
        </w:r>
        <w:r w:rsidRPr="00732013">
          <w:rPr>
            <w:spacing w:val="5"/>
            <w:w w:val="104"/>
          </w:rPr>
          <w:t>bukstipri</w:t>
        </w:r>
        <w:r w:rsidRPr="00732013">
          <w:rPr>
            <w:spacing w:val="5"/>
            <w:w w:val="104"/>
            <w:lang w:val="ru-RU"/>
          </w:rPr>
          <w:t>.</w:t>
        </w:r>
        <w:r w:rsidRPr="00732013">
          <w:rPr>
            <w:spacing w:val="5"/>
            <w:w w:val="104"/>
          </w:rPr>
          <w:t>lt</w:t>
        </w:r>
      </w:hyperlink>
      <w:r w:rsidRPr="00732013">
        <w:rPr>
          <w:spacing w:val="5"/>
          <w:w w:val="104"/>
          <w:lang w:val="ru-RU"/>
        </w:rPr>
        <w:t>) публикуется информация, полезная как для жертв насилия, так и для населения, в том числе сведения правового характера, статистические данные, результаты исследований и соответствующие превентивные меры.</w:t>
      </w:r>
    </w:p>
    <w:p w:rsidR="00947052" w:rsidRPr="00732013" w:rsidRDefault="00947052" w:rsidP="00732013">
      <w:pPr>
        <w:pStyle w:val="H23G"/>
        <w:spacing w:before="0"/>
        <w:ind w:right="1267"/>
        <w:rPr>
          <w:spacing w:val="5"/>
          <w:w w:val="104"/>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пункту 9</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53.</w:t>
      </w:r>
      <w:r w:rsidRPr="00732013">
        <w:rPr>
          <w:spacing w:val="5"/>
          <w:w w:val="104"/>
          <w:lang w:val="ru-RU"/>
        </w:rPr>
        <w:tab/>
        <w:t>Министерство юстиции, стремящееся к увеличению доступности правовой помощи для жертв насилия в семье и повышению профессионального уровня соответствующих сотрудников, в рамках осуществления Национальной стратегии сокращения масштабов насилия в отношении женщин</w:t>
      </w:r>
      <w:r w:rsidRPr="00732013">
        <w:rPr>
          <w:rStyle w:val="FootnoteReference"/>
          <w:spacing w:val="5"/>
          <w:w w:val="104"/>
          <w:sz w:val="20"/>
        </w:rPr>
        <w:footnoteReference w:id="30"/>
      </w:r>
      <w:r w:rsidRPr="00732013">
        <w:rPr>
          <w:spacing w:val="5"/>
          <w:w w:val="104"/>
          <w:lang w:val="ru-RU"/>
        </w:rPr>
        <w:t xml:space="preserve"> проводит подготовку лиц, обеспечивающих (или организующих) оказание бесплатной правовой помощи, включая вопросы насилия в отношении женщин и посреднические услуги по примирению. Соответствующую подготовку получили 35 представителей муниципальных органов власти, 19 сотрудников сферы государственных услуг по оказанию правовой помощи и 3 советника отделений вторичной правовой помощи.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54.</w:t>
      </w:r>
      <w:r w:rsidRPr="00732013">
        <w:rPr>
          <w:spacing w:val="5"/>
          <w:w w:val="104"/>
          <w:lang w:val="ru-RU"/>
        </w:rPr>
        <w:tab/>
        <w:t xml:space="preserve">В русле осуществления Закона о защите от насилия </w:t>
      </w:r>
      <w:r w:rsidR="00356269" w:rsidRPr="00732013">
        <w:rPr>
          <w:spacing w:val="5"/>
          <w:w w:val="104"/>
          <w:lang w:val="ru-RU"/>
        </w:rPr>
        <w:t xml:space="preserve">в семье </w:t>
      </w:r>
      <w:r w:rsidRPr="00732013">
        <w:rPr>
          <w:spacing w:val="5"/>
          <w:w w:val="104"/>
          <w:lang w:val="ru-RU"/>
        </w:rPr>
        <w:t>и вышеупомянутой (пункт 41) Программы создания центров специализированной помощи в 2012 году государство финансировало через муниципалитеты девять центров, оказывающих специализированную помощь жертвам насилия в семье. В 2012 году на деятельность центров из государственного бюджета было выделено 579,6 тыс. литовских литов, а в 2013 году – 920 тыс. литовских литов. Информация об оказанной помощи потерпевшим, включая временное размещение жертв, представлена (в разбивке по регионам) в Приложении 5.</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55.</w:t>
      </w:r>
      <w:r w:rsidRPr="00732013">
        <w:rPr>
          <w:spacing w:val="5"/>
          <w:w w:val="104"/>
          <w:lang w:val="ru-RU"/>
        </w:rPr>
        <w:tab/>
        <w:t xml:space="preserve">Министерство социальной защиты и труда ежегодно выделяет средства на оказание комплексной помощи женщинам, ставшим жертвами насилия, и на превентивные меры. В 2010–2012 годах на эти цели было выделено 1 млн. 398 тыс. литовских литов. Каждый год помощь получают в среднем 25 проектов, реализуемых неправительственными организациями, главным образом женскими. Проекты НПО предусматривают оказание помощи и поддержки жертвам насилия, в том числе в критических ситуациях; предоставление информации и консультаций о различных возможностях имеющихся служб; оказание правовой помощи и психологической поддержки; меры по повышению осведомленности; посредничество с поставщиками услуг; работу с правонарушителями и т. д. Ежегодно всестороннюю помощь получают 1500 жертв насилия. Проекты, реализуемые женскими организациями, вносят существенный вклад в повышение осведомленности и расширение образовательно-просветительской деятельности (конференции, семинары, "круглые столы", информационные кампании и учебные курсы), поскольку, среди прочего, разъясняется гендерно-обусловленный характер насилия, прививается нетерпимость к нему и т. д. </w:t>
      </w:r>
    </w:p>
    <w:p w:rsidR="00947052" w:rsidRPr="00732013" w:rsidRDefault="00947052" w:rsidP="00732013">
      <w:pPr>
        <w:pStyle w:val="H1"/>
        <w:spacing w:before="0" w:line="240" w:lineRule="exact"/>
        <w:ind w:right="1267"/>
        <w:rPr>
          <w:spacing w:val="5"/>
          <w:w w:val="104"/>
        </w:rPr>
      </w:pPr>
      <w:r w:rsidRPr="00732013">
        <w:rPr>
          <w:spacing w:val="5"/>
          <w:w w:val="104"/>
        </w:rPr>
        <w:t xml:space="preserve">Торговля женщинами и эксплуатация в целях проституции </w:t>
      </w:r>
    </w:p>
    <w:p w:rsidR="00947052" w:rsidRPr="00732013" w:rsidRDefault="00947052" w:rsidP="00732013">
      <w:pPr>
        <w:pStyle w:val="H23G"/>
        <w:spacing w:before="0"/>
        <w:ind w:right="1267"/>
        <w:rPr>
          <w:spacing w:val="5"/>
          <w:w w:val="104"/>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 xml:space="preserve">пункту 10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56.</w:t>
      </w:r>
      <w:r w:rsidRPr="00732013">
        <w:rPr>
          <w:spacing w:val="5"/>
          <w:w w:val="104"/>
          <w:lang w:val="ru-RU"/>
        </w:rPr>
        <w:tab/>
        <w:t>Меры по осуществлению Программы предупреждения торговли людьми и борьбы с ней на 2009–2012 годы</w:t>
      </w:r>
      <w:r w:rsidRPr="00732013">
        <w:rPr>
          <w:rStyle w:val="FootnoteReference"/>
          <w:spacing w:val="5"/>
          <w:w w:val="104"/>
          <w:sz w:val="20"/>
        </w:rPr>
        <w:footnoteReference w:id="31"/>
      </w:r>
      <w:r w:rsidRPr="00732013">
        <w:rPr>
          <w:spacing w:val="5"/>
          <w:w w:val="104"/>
          <w:lang w:val="ru-RU"/>
        </w:rPr>
        <w:t xml:space="preserve"> были направлены на совершенствование правового регулирования деятельности по предупреждению торговли людьми и борьбы с ней, укрепление межучрежденческого сотрудничества в сфере предупреждения торговли людьми и борьбы с ней на муниципальном уровне и повышение эффективности предупреждения торговли людьми и принудительной проституции. В этих целях проводились широкомасштабные информационные кампании по противодействию торговли людьми; велось последовательное ознакомление педагогического и административного персонала школ с теми опасностями, которые связаны с торговлей людьми и проституцией; выделялись средства на проекты, предусматривающие оказание социальной помощи жертвам торговли людьми и принудительной проституции и возвращение таких людей в общество и на рынок труда; предоставлялась помощь жертвам торговли людьми, возвращавшимся в Литву из-за рубежа, и т. д. Ежегодные доклады о выполнении программных мер публикуются в открытом доступе на сайте Министерства внутренних дел</w:t>
      </w:r>
      <w:r w:rsidRPr="00732013">
        <w:rPr>
          <w:rStyle w:val="FootnoteReference"/>
          <w:spacing w:val="5"/>
          <w:w w:val="104"/>
          <w:sz w:val="20"/>
        </w:rPr>
        <w:footnoteReference w:id="32"/>
      </w:r>
      <w:r w:rsidRPr="00732013">
        <w:rPr>
          <w:spacing w:val="5"/>
          <w:w w:val="104"/>
          <w:lang w:val="ru-RU"/>
        </w:rPr>
        <w:t>. В этих докладах содержится подробная информация о конкретных результатах, оцениваемых по установленным качественным и количественным критериям. Так, в 2012 году 25 жертв были реинтегрированы в общество, 12 человек получили удостоверения личности, 30 жертв были трудоустроены, 16</w:t>
      </w:r>
      <w:r w:rsidR="00E5613A" w:rsidRPr="00732013">
        <w:rPr>
          <w:spacing w:val="5"/>
          <w:w w:val="104"/>
          <w:lang w:val="en-US"/>
        </w:rPr>
        <w:t> </w:t>
      </w:r>
      <w:r w:rsidRPr="00732013">
        <w:rPr>
          <w:spacing w:val="5"/>
          <w:w w:val="104"/>
          <w:lang w:val="ru-RU"/>
        </w:rPr>
        <w:t>зарегистрированы на бирже труда в качестве ищущих работу, четверо – приобрели профессии, 11 жертв были защищены от сопряженной с риском миграции и т. д. Ввиду финансовых ограничений внешняя оценка не проводилась. Меры по повышению доверия к правоохранительным органам со стороны жертв торговли людьми из числа иностранцев не принимались, поскольку таких лиц установлено не было. Тем не менее предусмотрена процедура оказания поддержки таким лицам, в том числе порядок выдачи им временных разрешений на проживание, предоставления жилья и т. д.</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57.</w:t>
      </w:r>
      <w:r w:rsidRPr="00732013">
        <w:rPr>
          <w:spacing w:val="5"/>
          <w:w w:val="104"/>
          <w:lang w:val="ru-RU"/>
        </w:rPr>
        <w:tab/>
        <w:t xml:space="preserve">В ходе осуществления вышеупомянутой </w:t>
      </w:r>
      <w:r w:rsidR="00C37EE5" w:rsidRPr="00732013">
        <w:rPr>
          <w:spacing w:val="5"/>
          <w:w w:val="104"/>
          <w:lang w:val="ru-RU"/>
        </w:rPr>
        <w:t xml:space="preserve">Программы </w:t>
      </w:r>
      <w:r w:rsidRPr="00732013">
        <w:rPr>
          <w:spacing w:val="5"/>
          <w:w w:val="104"/>
          <w:lang w:val="ru-RU"/>
        </w:rPr>
        <w:t xml:space="preserve">Министерство социальной защиты и труда финансировало проекты, предусматривавшие оказание социальной помощи жертвам торговли людьми и принудительной проституции и их возвращение в общество и на рынок труда. За период 2009–2012 годов были выделены средства на 15 проектов, осуществляемых неправительственными организациями, на общую сумму 387 тыс. литовских литов. Комплексная помощь была предоставлена 398 лицам (340 женщинам и 58 мужчинам), в том числе 232 жертвам торговли людьми (остальные лица относились к различным группам риска). Временное убежище было предоставлено 45 лицам.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58.</w:t>
      </w:r>
      <w:r w:rsidRPr="00732013">
        <w:rPr>
          <w:spacing w:val="5"/>
          <w:w w:val="104"/>
          <w:lang w:val="ru-RU"/>
        </w:rPr>
        <w:tab/>
        <w:t xml:space="preserve">При осуществлении вышеупомянутой </w:t>
      </w:r>
      <w:r w:rsidR="00C37EE5" w:rsidRPr="00732013">
        <w:rPr>
          <w:spacing w:val="5"/>
          <w:w w:val="104"/>
          <w:lang w:val="ru-RU"/>
        </w:rPr>
        <w:t xml:space="preserve">Программы </w:t>
      </w:r>
      <w:r w:rsidRPr="00732013">
        <w:rPr>
          <w:spacing w:val="5"/>
          <w:w w:val="104"/>
          <w:lang w:val="ru-RU"/>
        </w:rPr>
        <w:t xml:space="preserve">Консульский департамент </w:t>
      </w:r>
      <w:r w:rsidR="00C37EE5" w:rsidRPr="00732013">
        <w:rPr>
          <w:spacing w:val="5"/>
          <w:w w:val="104"/>
          <w:lang w:val="ru-RU"/>
        </w:rPr>
        <w:t xml:space="preserve">Министерства </w:t>
      </w:r>
      <w:r w:rsidRPr="00732013">
        <w:rPr>
          <w:spacing w:val="5"/>
          <w:w w:val="104"/>
          <w:lang w:val="ru-RU"/>
        </w:rPr>
        <w:t>иностранных дел оказывал содействие тем, кто стал жертвой торговли людьми за границей и теперь возвращался в Литовскую Республику. В 2009–2010 </w:t>
      </w:r>
      <w:r w:rsidR="00C37EE5" w:rsidRPr="00732013">
        <w:rPr>
          <w:spacing w:val="5"/>
          <w:w w:val="104"/>
          <w:lang w:val="ru-RU"/>
        </w:rPr>
        <w:t xml:space="preserve">годах </w:t>
      </w:r>
      <w:r w:rsidRPr="00732013">
        <w:rPr>
          <w:spacing w:val="5"/>
          <w:w w:val="104"/>
          <w:lang w:val="ru-RU"/>
        </w:rPr>
        <w:t>на эти цели было ассигновано 5 тыс. литовских литов, а в 2011–2012 </w:t>
      </w:r>
      <w:r w:rsidR="00C37EE5" w:rsidRPr="00732013">
        <w:rPr>
          <w:spacing w:val="5"/>
          <w:w w:val="104"/>
          <w:lang w:val="ru-RU"/>
        </w:rPr>
        <w:t xml:space="preserve">годах </w:t>
      </w:r>
      <w:r w:rsidRPr="00732013">
        <w:rPr>
          <w:spacing w:val="5"/>
          <w:w w:val="104"/>
          <w:lang w:val="ru-RU"/>
        </w:rPr>
        <w:t>– 10 тыс. литовских литов. В 2010 году консульскую помощь получили три человека</w:t>
      </w:r>
      <w:r w:rsidRPr="00732013">
        <w:rPr>
          <w:rStyle w:val="FootnoteReference"/>
          <w:spacing w:val="5"/>
          <w:w w:val="104"/>
          <w:sz w:val="20"/>
        </w:rPr>
        <w:footnoteReference w:id="33"/>
      </w:r>
      <w:r w:rsidRPr="00732013">
        <w:rPr>
          <w:spacing w:val="5"/>
          <w:w w:val="104"/>
          <w:lang w:val="ru-RU"/>
        </w:rPr>
        <w:t>, в 2011 году – один человек (в Испании) и в 2012 году – шесть человек</w:t>
      </w:r>
      <w:r w:rsidRPr="00732013">
        <w:rPr>
          <w:rStyle w:val="FootnoteReference"/>
          <w:spacing w:val="5"/>
          <w:w w:val="104"/>
          <w:sz w:val="20"/>
        </w:rPr>
        <w:footnoteReference w:id="34"/>
      </w:r>
      <w:r w:rsidRPr="00732013">
        <w:rPr>
          <w:spacing w:val="5"/>
          <w:w w:val="104"/>
          <w:lang w:val="ru-RU"/>
        </w:rPr>
        <w:t>.</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59.</w:t>
      </w:r>
      <w:r w:rsidRPr="00732013">
        <w:rPr>
          <w:spacing w:val="5"/>
          <w:w w:val="104"/>
          <w:lang w:val="ru-RU"/>
        </w:rPr>
        <w:tab/>
        <w:t xml:space="preserve">Консульский департамент ежегодно проводит подготовку с целью обучить сотрудников консульских отделов методам распознавания  жертв торговли людьми и оказания им квалифицированной помощи. С помощью внутрикорпоративной сети (интранет) Министерства сотрудникам консульских отделов предоставляется информация о методах распознавания жертв и оказания им помощи. Информация для жертв торговли людьми размещается на сайте Министерства </w:t>
      </w:r>
      <w:r w:rsidRPr="00732013">
        <w:rPr>
          <w:spacing w:val="5"/>
          <w:w w:val="104"/>
        </w:rPr>
        <w:t>http</w:t>
      </w:r>
      <w:r w:rsidRPr="00732013">
        <w:rPr>
          <w:spacing w:val="5"/>
          <w:w w:val="104"/>
          <w:lang w:val="ru-RU"/>
        </w:rPr>
        <w:t>://</w:t>
      </w:r>
      <w:r w:rsidRPr="00732013">
        <w:rPr>
          <w:spacing w:val="5"/>
          <w:w w:val="104"/>
        </w:rPr>
        <w:t>keliauk</w:t>
      </w:r>
      <w:r w:rsidRPr="00732013">
        <w:rPr>
          <w:spacing w:val="5"/>
          <w:w w:val="104"/>
          <w:lang w:val="ru-RU"/>
        </w:rPr>
        <w:t>.</w:t>
      </w:r>
      <w:r w:rsidRPr="00732013">
        <w:rPr>
          <w:spacing w:val="5"/>
          <w:w w:val="104"/>
        </w:rPr>
        <w:t>urm</w:t>
      </w:r>
      <w:r w:rsidRPr="00732013">
        <w:rPr>
          <w:spacing w:val="5"/>
          <w:w w:val="104"/>
          <w:lang w:val="ru-RU"/>
        </w:rPr>
        <w:t>.</w:t>
      </w:r>
      <w:r w:rsidRPr="00732013">
        <w:rPr>
          <w:spacing w:val="5"/>
          <w:w w:val="104"/>
        </w:rPr>
        <w:t>lt</w:t>
      </w:r>
      <w:r w:rsidRPr="00732013">
        <w:rPr>
          <w:spacing w:val="5"/>
          <w:w w:val="104"/>
          <w:lang w:val="ru-RU"/>
        </w:rPr>
        <w:t xml:space="preserve">. С целью оказания помощи жертвам торговли людьми и содействия их интеграции в общество по возвращении в Литву сотрудники Консульского департамента регулярно обмениваются информацией с компетентными национальными органами, иностранными органами и неправительственными организациями. </w:t>
      </w:r>
    </w:p>
    <w:p w:rsidR="00947052" w:rsidRPr="00732013" w:rsidRDefault="00947052" w:rsidP="00732013">
      <w:pPr>
        <w:pStyle w:val="SingleTxtG"/>
        <w:spacing w:line="240" w:lineRule="exact"/>
        <w:ind w:right="1267"/>
        <w:rPr>
          <w:i/>
          <w:iCs/>
          <w:spacing w:val="5"/>
          <w:w w:val="104"/>
          <w:lang w:val="ru-RU"/>
        </w:rPr>
      </w:pPr>
      <w:r w:rsidRPr="00732013">
        <w:rPr>
          <w:spacing w:val="5"/>
          <w:w w:val="104"/>
          <w:lang w:val="ru-RU"/>
        </w:rPr>
        <w:t>60.</w:t>
      </w:r>
      <w:r w:rsidRPr="00732013">
        <w:rPr>
          <w:spacing w:val="5"/>
          <w:w w:val="104"/>
          <w:lang w:val="ru-RU"/>
        </w:rPr>
        <w:tab/>
        <w:t xml:space="preserve">Для того чтобы добиться эффективного осуществления Программы предупреждения торговли людьми и борьбы с ней и поддерживать ее непрерывность, планируется продолжение </w:t>
      </w:r>
      <w:r w:rsidR="00C37EE5" w:rsidRPr="00732013">
        <w:rPr>
          <w:spacing w:val="5"/>
          <w:w w:val="104"/>
          <w:lang w:val="ru-RU"/>
        </w:rPr>
        <w:t>Программы</w:t>
      </w:r>
      <w:r w:rsidRPr="00732013">
        <w:rPr>
          <w:spacing w:val="5"/>
          <w:w w:val="104"/>
          <w:lang w:val="ru-RU"/>
        </w:rPr>
        <w:t>, а именно разработка межучрежденческого плана действий по реализации Национальной программы предупреждения преступности и борьбы с ней</w:t>
      </w:r>
      <w:r w:rsidRPr="00732013">
        <w:rPr>
          <w:rStyle w:val="FootnoteReference"/>
          <w:spacing w:val="5"/>
          <w:w w:val="104"/>
          <w:sz w:val="20"/>
        </w:rPr>
        <w:footnoteReference w:id="35"/>
      </w:r>
      <w:r w:rsidRPr="00732013">
        <w:rPr>
          <w:spacing w:val="5"/>
          <w:w w:val="104"/>
          <w:lang w:val="ru-RU"/>
        </w:rPr>
        <w:t>. Цели</w:t>
      </w:r>
      <w:r w:rsidR="00C37EE5" w:rsidRPr="00732013">
        <w:rPr>
          <w:spacing w:val="5"/>
          <w:w w:val="104"/>
          <w:lang w:val="ru-RU"/>
        </w:rPr>
        <w:t>,</w:t>
      </w:r>
      <w:r w:rsidRPr="00732013">
        <w:rPr>
          <w:spacing w:val="5"/>
          <w:w w:val="104"/>
          <w:lang w:val="ru-RU"/>
        </w:rPr>
        <w:t xml:space="preserve"> задачи и меры предназначены для предотвращения торговли людьми, выделяемые средства и органы-исполнители приведены в Приложении 6.</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61.</w:t>
      </w:r>
      <w:r w:rsidRPr="00732013">
        <w:rPr>
          <w:spacing w:val="5"/>
          <w:w w:val="104"/>
          <w:lang w:val="ru-RU"/>
        </w:rPr>
        <w:tab/>
        <w:t xml:space="preserve">В рамках осуществления межучрежденческого плана действий, упоминаемого в пункте 60, Министерство социальной защиты и труда выделило в 2013 году 150 тыс. литовских литов на финансирование пяти проектов НПО, предусматривающих оказание помощи жертвам торговли людьми или лицам, находящимся в группе риска, а также принятие превентивных мер. Предполагаемое финансирование в 2013–2015 годах (по 150 тыс. литовских литов каждый год) касается пяти проектов, предусматривающих принятие превентивных мер в отношении торговли людьми. Деятельность в рамках этих проектов направлена на повышение осведомленности и информированности в общинах и обществе в целом, содействие тесному межучрежденческому сотрудничеству в вопросах предупреждения торговли людьми и борьбы с ней, а также инспектированию деятельности социальных и медицинских работников, сотрудников полиции и других специалистов. Кроме того, в 2013 году Министерство, используя государственные бюджетные ассигнования и средства структурных фондов ЕС, оказало финансовую поддержку (в общей сложности на сумму 1 млн, литовских литов) трем проектам, направленным на предупреждение торговли людьми и реинтеграцию жертв на рынок труда.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62.</w:t>
      </w:r>
      <w:r w:rsidRPr="00732013">
        <w:rPr>
          <w:spacing w:val="5"/>
          <w:w w:val="104"/>
          <w:lang w:val="ru-RU"/>
        </w:rPr>
        <w:tab/>
        <w:t>Наряду с вышеупомянутыми мерами ежегодно проводится обучение специалистов и исполнителей международных проектов и организуются межучрежденческие совещания, на которых среди прочего обсуждаются вопросы идентификации жертв торговли людьми и взаимодействия с ними. Так, в 2012 году лица, занимающиеся оказанием и организацией оказания бесплатной правовой помощи, имели возможность участвовать в учебных занятиях по теме "Торговля людьми". Полиция, действуя в рамках своей компетенции, принимает меры по предупреждению преступлений, сопряженных с торговлей людьми. Центр поддержки семей пропавших без вести лиц в сотрудничестве с Литовским отделением КАРИТАС организовал для молодежи ряд профилактических мероприятий и лекций по вопросам торговли людьми, включая информацию об основных методах, используемых злоумышленниками для вербовки и последующей эксплуатации жертв, формах торговли людьми, национальных и зарубежных организациях, предоставляющих помощь жертвам торговли людьми. На веб-сайте Департамента полиции Министерства внутренних дел</w:t>
      </w:r>
      <w:r w:rsidRPr="00732013">
        <w:rPr>
          <w:rStyle w:val="FootnoteReference"/>
          <w:spacing w:val="5"/>
          <w:w w:val="104"/>
          <w:sz w:val="20"/>
        </w:rPr>
        <w:footnoteReference w:id="36"/>
      </w:r>
      <w:r w:rsidRPr="00732013">
        <w:rPr>
          <w:spacing w:val="5"/>
          <w:w w:val="104"/>
          <w:lang w:val="ru-RU"/>
        </w:rPr>
        <w:t xml:space="preserve"> регулярно размещается информация, касающаяся </w:t>
      </w:r>
      <w:r w:rsidR="00C37EE5" w:rsidRPr="00732013">
        <w:rPr>
          <w:spacing w:val="5"/>
          <w:w w:val="104"/>
          <w:lang w:val="ru-RU"/>
        </w:rPr>
        <w:t xml:space="preserve">предупреждения </w:t>
      </w:r>
      <w:r w:rsidRPr="00732013">
        <w:rPr>
          <w:spacing w:val="5"/>
          <w:w w:val="104"/>
          <w:lang w:val="ru-RU"/>
        </w:rPr>
        <w:t>торговли людьми и борьбы с ней, опасностей, сопряженных с этим преступлением, и других вопросов.</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63.</w:t>
      </w:r>
      <w:r w:rsidRPr="00732013">
        <w:rPr>
          <w:spacing w:val="5"/>
          <w:w w:val="104"/>
          <w:lang w:val="ru-RU"/>
        </w:rPr>
        <w:tab/>
        <w:t xml:space="preserve">Министерство внутренних дел внимательно следит за тем, чтобы каждой жертве торговли людьми была оказана комплексная помощь, хотя эта помощь принимается не всегда. Персональные данные жертв обезличиваются, не раскрываются и не передаются. Бесплатная правовая помощь предоставляется каждому потерпевшему, если только последний не обращается к своему адвокату. Данные о расследовании случаев торговли людьми, получаемые Министерством от соответствующих органов и организаций и используемые при составлении отчетов и в ответах на международные вопросники, содержатся в Приложении 7.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64.</w:t>
      </w:r>
      <w:r w:rsidRPr="00732013">
        <w:rPr>
          <w:spacing w:val="5"/>
          <w:w w:val="104"/>
          <w:lang w:val="ru-RU"/>
        </w:rPr>
        <w:tab/>
        <w:t>По сведениям Министерства внутренних дел пока не было случаев выдачи иностранным лицам, являющимся жертвами торговли людьми, разрешений на временное проживание, предусматриваемых статьей 26 Закона о правовом положении иностранцев</w:t>
      </w:r>
      <w:r w:rsidRPr="00732013">
        <w:rPr>
          <w:rStyle w:val="FootnoteReference"/>
          <w:spacing w:val="5"/>
          <w:w w:val="104"/>
          <w:sz w:val="20"/>
        </w:rPr>
        <w:footnoteReference w:id="37"/>
      </w:r>
      <w:r w:rsidRPr="00732013">
        <w:rPr>
          <w:spacing w:val="5"/>
          <w:w w:val="104"/>
          <w:lang w:val="ru-RU"/>
        </w:rPr>
        <w:t xml:space="preserve"> для целей сотрудничества с органами уголовного преследования. Следует отметить, что с 2013 года Центр по приему беженцев располагает специально оборудованными помещениями для размещения и социальной поддержки любого иностранного лица, которое было или все еще является жертвой преступлений, сопряженных с торговлей людьми. Срок пребывания в Центре зависит от продолжительности сотрудничества конкретного лица с органами предварительного расследования или от хода судебного разбирательства</w:t>
      </w:r>
      <w:r w:rsidRPr="00732013">
        <w:rPr>
          <w:rStyle w:val="FootnoteReference"/>
          <w:spacing w:val="5"/>
          <w:w w:val="104"/>
          <w:sz w:val="20"/>
        </w:rPr>
        <w:footnoteReference w:id="38"/>
      </w:r>
      <w:r w:rsidRPr="00732013">
        <w:rPr>
          <w:spacing w:val="5"/>
          <w:w w:val="104"/>
          <w:lang w:val="ru-RU"/>
        </w:rPr>
        <w:t>.</w:t>
      </w:r>
    </w:p>
    <w:p w:rsidR="00947052" w:rsidRPr="00732013" w:rsidRDefault="00947052" w:rsidP="00732013">
      <w:pPr>
        <w:pStyle w:val="H23G"/>
        <w:spacing w:before="0"/>
        <w:ind w:right="1267"/>
        <w:rPr>
          <w:spacing w:val="5"/>
          <w:w w:val="104"/>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 xml:space="preserve">пункту 11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65.</w:t>
      </w:r>
      <w:r w:rsidRPr="00732013">
        <w:rPr>
          <w:spacing w:val="5"/>
          <w:w w:val="104"/>
          <w:lang w:val="ru-RU"/>
        </w:rPr>
        <w:tab/>
        <w:t>В 2011 году сотрудники полиции составили 415 протоколов в отношении действий, предусматриваемых статьей 1821 (вовлечение в проституцию или пользование платными услугами проституток) Кодекса об административных правонарушениях. Из этого числа протоколов 408 касались взрослых, в том числе 389 женщин и 19 мужчин, и 7 протоколов – несовершеннолетних. За пользование услугами проституток было оформлено 17 протоколов (все нарушители – мужчины). В 2012 году сотрудники полиции составили по вышеупомянутой статье 252 протокола, в том числе 2 – в отношении несовершеннолетних. За пользование услугами проституток было задержано 20 мужчин, а еще двое мужчин сами занимались проституцией. Административные санкции в отношении несовершеннолетних применялись только в том случае, если было полностью доказано, что их действия были добровольными и имели целью получение финансовой выгоды.</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66.</w:t>
      </w:r>
      <w:r w:rsidRPr="00732013">
        <w:rPr>
          <w:spacing w:val="5"/>
          <w:w w:val="104"/>
          <w:lang w:val="ru-RU"/>
        </w:rPr>
        <w:tab/>
        <w:t>Следует отметить, что целевой группой проектов, поддерживаемых Министерством социальной защиты и труда и перечисленных в предыдущих пунктах</w:t>
      </w:r>
      <w:r w:rsidR="00C37EE5" w:rsidRPr="00732013">
        <w:rPr>
          <w:spacing w:val="5"/>
          <w:w w:val="104"/>
          <w:lang w:val="ru-RU"/>
        </w:rPr>
        <w:t>,</w:t>
      </w:r>
      <w:r w:rsidRPr="00732013">
        <w:rPr>
          <w:spacing w:val="5"/>
          <w:w w:val="104"/>
          <w:lang w:val="ru-RU"/>
        </w:rPr>
        <w:t xml:space="preserve"> являются как жертвы торговли людьми, так и жертвы принудительной проституции. Около 85 процентов лиц, получивших комплексную помощь в ходе реализации данных проектов, составили женщины, главным образом жертвы принудительной проституции. Ассоциация женщин, затронутых ВИЧ/СПИДом, и их родственников реализует целевой проект, предназначенный непосредственно для женщин из числа затронутых ВИЧ/СПИДом и из других групп риска, а также их родственников.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67.</w:t>
      </w:r>
      <w:r w:rsidRPr="00732013">
        <w:rPr>
          <w:spacing w:val="5"/>
          <w:w w:val="104"/>
          <w:lang w:val="ru-RU"/>
        </w:rPr>
        <w:tab/>
        <w:t>Специалисты сферы здравоохранения обладают компетенцией осуществлять образовательно-просветительскую деятельность и с этой целью использовать свои веб-сайты, проводить специальные мероприятия и конференции для различных целевых аудиторий, с тем чтобы соответствующим образом информировать общество о заболеваниях, передаваемых половым путем, и опасностях для здоровья, сопряженных с занятием проституцией. Кроме того, вышеупомянутые специалисты занимаются организацией кампаний в рамках Всемирного дня борьбы со СПИДом. Имеющиеся в Литве структуры по оказанию низкопороговых услуг выполняют задачи, связанные с уменьшением распространенности опасных инфекционных заболеваний, снижением риска передозировки и смертельного исхода, борьбой с преступностью и другими явлениями, которые имеют негативные правовые последствия, сопряженные с риском для здоровья и социально-экономического развития.</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68.</w:t>
      </w:r>
      <w:r w:rsidRPr="00732013">
        <w:rPr>
          <w:spacing w:val="5"/>
          <w:w w:val="104"/>
          <w:lang w:val="ru-RU"/>
        </w:rPr>
        <w:tab/>
        <w:t>По данным Центра по проблемам инфекционных заболеваний и СПИДа (далее УЛАК) в 2012 году в Литве насчитывалось 11 независимых юридических лиц или структурных подразделений организаций (отделений), предоставляющих низкопороговые услуги. В совокупности они распространили среди получателей низкопороговых услуг 32 031 презерватив (в 2011 году</w:t>
      </w:r>
      <w:r w:rsidR="00C37EE5" w:rsidRPr="00732013">
        <w:rPr>
          <w:spacing w:val="5"/>
          <w:w w:val="104"/>
          <w:lang w:val="ru-RU"/>
        </w:rPr>
        <w:t xml:space="preserve"> </w:t>
      </w:r>
      <w:r w:rsidRPr="00732013">
        <w:rPr>
          <w:spacing w:val="5"/>
          <w:w w:val="104"/>
          <w:lang w:val="ru-RU"/>
        </w:rPr>
        <w:t>– 32 697), оказали 17 534 консультационно-информационные услуги (в 2011 году</w:t>
      </w:r>
      <w:r w:rsidR="00C37EE5" w:rsidRPr="00732013">
        <w:rPr>
          <w:spacing w:val="5"/>
          <w:w w:val="104"/>
          <w:lang w:val="ru-RU"/>
        </w:rPr>
        <w:t xml:space="preserve"> </w:t>
      </w:r>
      <w:r w:rsidRPr="00732013">
        <w:rPr>
          <w:spacing w:val="5"/>
          <w:w w:val="104"/>
          <w:lang w:val="ru-RU"/>
        </w:rPr>
        <w:t xml:space="preserve">– 20 871), 3094 посреднические услуги (запись в медицинские учреждения, помощь в получении социально-правовых услуг) (в 2011 году – 2672). Согласно данным УЛАК, в 2012 году проверку на ВИЧ-инфицирование прошли 327 женщин (из числа тех, кто оказывает бесплатные сексуальные услуги), и у одной женщины была обнаружена ВИЧ-инфекция. В Клайпедском центре аддиктивных заболеваний проверку на ВИЧ прошли 42,2 процента женщин, оказывающих бесплатные сексуальные услуги.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69.</w:t>
      </w:r>
      <w:r w:rsidRPr="00732013">
        <w:rPr>
          <w:spacing w:val="5"/>
          <w:w w:val="104"/>
          <w:lang w:val="ru-RU"/>
        </w:rPr>
        <w:tab/>
        <w:t>В ходе тестового этапа Национальной программы предупреждения преступности в отношении детей и оказания помощи детям на 2011–2015 годы</w:t>
      </w:r>
      <w:r w:rsidRPr="00732013">
        <w:rPr>
          <w:rStyle w:val="FootnoteReference"/>
          <w:spacing w:val="5"/>
          <w:w w:val="104"/>
          <w:sz w:val="20"/>
        </w:rPr>
        <w:footnoteReference w:id="39"/>
      </w:r>
      <w:r w:rsidRPr="00732013">
        <w:rPr>
          <w:spacing w:val="5"/>
          <w:w w:val="104"/>
          <w:lang w:val="ru-RU"/>
        </w:rPr>
        <w:t xml:space="preserve"> с 2005 года комплексная помощь (психологическая, медицинская, социальная и правовая) оказывается детям и членам их семей – жертвам насилия, в том числе сексуального. Однако спрос превышает возможности организаций, предоставляющих комплексные услуги жертвам насилия. Сумма ежегодных ассигнований, выделяемых неправительственными организациями, составляет приблизительно 300 тыс. литовских литов.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70.</w:t>
      </w:r>
      <w:r w:rsidRPr="00732013">
        <w:rPr>
          <w:spacing w:val="5"/>
          <w:w w:val="104"/>
          <w:lang w:val="ru-RU"/>
        </w:rPr>
        <w:tab/>
        <w:t xml:space="preserve">Для того чтобы гарантировать оказание долгосрочной помощи, Министерство социальной защиты и труда в ходе осуществления программы "Дети и молодежь в группе риска" под эгидой финансового механизма Европейской экономической зоны планирует создать к 2016 году центр помощи детям – жертвам сексуального насилия. Когда в Литве будет создан такой центр, детям, ставшим жертвами сексуального насилия или сексуальных злоупотреблений, и их семьям будет гарантирована специализированная комплексная помощь, появятся надлежащие условия для надлежащего опроса детей и оказания других услуг. Центр будет стремиться защитить детей от повторной травматизации, не допустить подверженности детей сексуальному насилию или жестокому обращению, снизить риск вторичного вреда и помочь преодолеть последствия травмы. </w:t>
      </w:r>
    </w:p>
    <w:p w:rsidR="00947052" w:rsidRPr="00732013" w:rsidRDefault="00947052" w:rsidP="00732013">
      <w:pPr>
        <w:pStyle w:val="SingleTxtG"/>
        <w:spacing w:line="240" w:lineRule="exact"/>
        <w:ind w:right="1267"/>
        <w:rPr>
          <w:i/>
          <w:iCs/>
          <w:spacing w:val="5"/>
          <w:w w:val="104"/>
          <w:lang w:val="ru-RU"/>
        </w:rPr>
      </w:pPr>
      <w:r w:rsidRPr="00732013">
        <w:rPr>
          <w:spacing w:val="5"/>
          <w:w w:val="104"/>
          <w:lang w:val="ru-RU"/>
        </w:rPr>
        <w:t>71.</w:t>
      </w:r>
      <w:r w:rsidRPr="00732013">
        <w:rPr>
          <w:spacing w:val="5"/>
          <w:w w:val="104"/>
          <w:lang w:val="ru-RU"/>
        </w:rPr>
        <w:tab/>
        <w:t xml:space="preserve">В пункте 1 статьи 182 Кодекса об административных правонарушениях устанавливается ответственность не только за вовлечение в проституцию, но и за пользование услугами проституток. В комментарии к этому пункту Кодекса отмечается, что несовершеннолетнее лицо, тем или иным путем вовлеченное в проституцию, несет ответственность в административном порядке, за исключением случаев, если доказано, </w:t>
      </w:r>
      <w:r w:rsidR="00C37EE5" w:rsidRPr="00732013">
        <w:rPr>
          <w:spacing w:val="5"/>
          <w:w w:val="104"/>
          <w:lang w:val="ru-RU"/>
        </w:rPr>
        <w:t xml:space="preserve">что </w:t>
      </w:r>
      <w:r w:rsidRPr="00732013">
        <w:rPr>
          <w:spacing w:val="5"/>
          <w:w w:val="104"/>
          <w:lang w:val="ru-RU"/>
        </w:rPr>
        <w:t xml:space="preserve">несовершеннолетний делает это добровольно с целью получения прибыли. </w:t>
      </w:r>
    </w:p>
    <w:p w:rsidR="00947052" w:rsidRPr="00732013" w:rsidRDefault="00947052" w:rsidP="00732013">
      <w:pPr>
        <w:pStyle w:val="H1"/>
        <w:spacing w:before="0" w:line="240" w:lineRule="exact"/>
        <w:ind w:right="1267"/>
        <w:rPr>
          <w:spacing w:val="5"/>
          <w:w w:val="104"/>
        </w:rPr>
      </w:pPr>
      <w:r w:rsidRPr="00732013">
        <w:rPr>
          <w:spacing w:val="5"/>
          <w:w w:val="104"/>
        </w:rPr>
        <w:t xml:space="preserve">Участие в общественной и политической жизни </w:t>
      </w:r>
    </w:p>
    <w:p w:rsidR="00947052" w:rsidRPr="00732013" w:rsidRDefault="00947052" w:rsidP="00732013">
      <w:pPr>
        <w:pStyle w:val="H23G"/>
        <w:spacing w:before="0"/>
        <w:ind w:right="1267"/>
        <w:rPr>
          <w:spacing w:val="5"/>
          <w:w w:val="104"/>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 xml:space="preserve">пункту 12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72.</w:t>
      </w:r>
      <w:r w:rsidRPr="00732013">
        <w:rPr>
          <w:spacing w:val="5"/>
          <w:w w:val="104"/>
          <w:lang w:val="ru-RU"/>
        </w:rPr>
        <w:tab/>
        <w:t xml:space="preserve">В 2012 году членами парламента были избраны 33 женщины (23 процента от общего числа парламентариев). В конце 2013 года из 14 министров одним министром была женщина (7 процентов). В 2011 году 342 женщины (22 процента) были избраны в муниципальные советы. В 2013 году из 60 мэров было шесть женщин (10 процентов). В конце 2013 года женщины составляли 76 процентов гражданских служащих (за исключением статутных государственных служащих). По данным Реестра гражданских служащих, 3737 женщин занимают управленческие должности в гражданской службе (за исключением статутных служащих). Более подробная информация об участии мужчин и женщин в общественной и политической жизни представлена в Приложении 8. </w:t>
      </w:r>
    </w:p>
    <w:p w:rsidR="00947052" w:rsidRPr="00732013" w:rsidRDefault="00947052" w:rsidP="00732013">
      <w:pPr>
        <w:pStyle w:val="SingleTxtG"/>
        <w:spacing w:line="240" w:lineRule="exact"/>
        <w:ind w:right="1267"/>
        <w:rPr>
          <w:i/>
          <w:iCs/>
          <w:spacing w:val="5"/>
          <w:w w:val="104"/>
          <w:lang w:val="ru-RU"/>
        </w:rPr>
      </w:pPr>
      <w:r w:rsidRPr="00732013">
        <w:rPr>
          <w:spacing w:val="5"/>
          <w:w w:val="104"/>
          <w:lang w:val="ru-RU"/>
        </w:rPr>
        <w:t>73.</w:t>
      </w:r>
      <w:r w:rsidRPr="00732013">
        <w:rPr>
          <w:spacing w:val="5"/>
          <w:w w:val="104"/>
          <w:lang w:val="ru-RU"/>
        </w:rPr>
        <w:tab/>
        <w:t>При осуществлении программных мер на деятельность клубов женщин-политиков в регионах ежегодно ассигнуется 10 тыс. литовских литов. Проводятся семинары для членов клуба "Милда", объединяющего женщин</w:t>
      </w:r>
      <w:r w:rsidR="00C37EE5" w:rsidRPr="00732013">
        <w:rPr>
          <w:spacing w:val="5"/>
          <w:w w:val="104"/>
          <w:lang w:val="ru-RU"/>
        </w:rPr>
        <w:t xml:space="preserve"> – </w:t>
      </w:r>
      <w:r w:rsidRPr="00732013">
        <w:rPr>
          <w:spacing w:val="5"/>
          <w:w w:val="104"/>
          <w:lang w:val="ru-RU"/>
        </w:rPr>
        <w:t xml:space="preserve">политиков из разных политических партий, и организуются совещания с главами женских политических клубов в крупных литовских городах. Так, в 2012 году состоялся семинар на тему "Как организовать успешную выборную кампанию" с участием 13 женщин-политиков, представляющих различные партии из разных районов страны. Проводилось также социальное мероприятие женского политического клуба "Милда", призванное расширить деятельность контактной сети. В этом </w:t>
      </w:r>
      <w:r w:rsidR="00C37EE5" w:rsidRPr="00732013">
        <w:rPr>
          <w:spacing w:val="5"/>
          <w:w w:val="104"/>
          <w:lang w:val="ru-RU"/>
        </w:rPr>
        <w:t xml:space="preserve">мероприятии </w:t>
      </w:r>
      <w:r w:rsidRPr="00732013">
        <w:rPr>
          <w:spacing w:val="5"/>
          <w:w w:val="104"/>
          <w:lang w:val="ru-RU"/>
        </w:rPr>
        <w:t xml:space="preserve">участвовала 71 женщина, </w:t>
      </w:r>
      <w:r w:rsidR="00C37EE5" w:rsidRPr="00732013">
        <w:rPr>
          <w:spacing w:val="5"/>
          <w:w w:val="104"/>
          <w:lang w:val="ru-RU"/>
        </w:rPr>
        <w:t xml:space="preserve">они </w:t>
      </w:r>
      <w:r w:rsidRPr="00732013">
        <w:rPr>
          <w:spacing w:val="5"/>
          <w:w w:val="104"/>
          <w:lang w:val="ru-RU"/>
        </w:rPr>
        <w:t>представляли различные организации и партии из разных районов страны. В Каунасе состоялась конференция на тему "Парламентские выборы с точки зрения гендерного равенства". В конференции приняли участие 96 человек, главным образом политики из клуба "Милда". На совещании женской сети клуба "Милда", состоявшемся в 2013 году, были разработаны стратегии в отношении выборов в Европейский парламент (</w:t>
      </w:r>
      <w:r w:rsidRPr="00732013">
        <w:rPr>
          <w:spacing w:val="5"/>
          <w:w w:val="104"/>
        </w:rPr>
        <w:t>E</w:t>
      </w:r>
      <w:r w:rsidRPr="00732013">
        <w:rPr>
          <w:spacing w:val="5"/>
          <w:w w:val="104"/>
          <w:lang w:val="ru-RU"/>
        </w:rPr>
        <w:t xml:space="preserve">П) и муниципалитеты. В ходе различных мероприятий обсуждался вопрос об использовании периода до выборов в ЕП для проведения кампании "50–50" и попытаться обеспечить 50-процентную представленность женщин в списке кандидатов.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74.</w:t>
      </w:r>
      <w:r w:rsidRPr="00732013">
        <w:rPr>
          <w:spacing w:val="5"/>
          <w:w w:val="104"/>
          <w:lang w:val="ru-RU"/>
        </w:rPr>
        <w:tab/>
        <w:t>При заполнении списков для предстоящих выборов партии добровольно выбирают вариант для использования определенной модели гендерного баланса. Закон о равных возможностях предусматривает вариант специальных временных мер в зависимости от соответствующих законов. Тем не менее представленные к настоящему времени проекты поправок к ряду законов не отвечают совместному соглашению, достигнутому в парламенте.</w:t>
      </w:r>
    </w:p>
    <w:p w:rsidR="00947052" w:rsidRPr="00732013" w:rsidRDefault="00947052" w:rsidP="00732013">
      <w:pPr>
        <w:pStyle w:val="H1"/>
        <w:spacing w:before="0" w:line="240" w:lineRule="exact"/>
        <w:ind w:right="1267"/>
        <w:rPr>
          <w:spacing w:val="5"/>
          <w:w w:val="104"/>
          <w:lang w:val="en-US"/>
        </w:rPr>
      </w:pPr>
      <w:r w:rsidRPr="00732013">
        <w:rPr>
          <w:spacing w:val="5"/>
          <w:w w:val="104"/>
        </w:rPr>
        <w:t>Образование</w:t>
      </w:r>
    </w:p>
    <w:p w:rsidR="00947052" w:rsidRPr="00732013" w:rsidRDefault="00947052" w:rsidP="00732013">
      <w:pPr>
        <w:pStyle w:val="H23G"/>
        <w:spacing w:before="0"/>
        <w:ind w:right="1267"/>
        <w:rPr>
          <w:spacing w:val="5"/>
          <w:w w:val="104"/>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 xml:space="preserve">пункту 13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75.</w:t>
      </w:r>
      <w:r w:rsidRPr="00732013">
        <w:rPr>
          <w:spacing w:val="5"/>
          <w:w w:val="104"/>
          <w:lang w:val="ru-RU"/>
        </w:rPr>
        <w:tab/>
        <w:t>С целью осуществления Стратегии обеспечения равных возможностей для мужчин и женщин в сфере науки</w:t>
      </w:r>
      <w:r w:rsidRPr="00732013">
        <w:rPr>
          <w:rStyle w:val="FootnoteReference"/>
          <w:spacing w:val="5"/>
          <w:w w:val="104"/>
          <w:sz w:val="20"/>
        </w:rPr>
        <w:footnoteReference w:id="40"/>
      </w:r>
      <w:r w:rsidRPr="00732013">
        <w:rPr>
          <w:spacing w:val="5"/>
          <w:w w:val="104"/>
          <w:lang w:val="ru-RU"/>
        </w:rPr>
        <w:t xml:space="preserve"> Литовская академия наук реализовала в 2011–2012 годах финансируемый структурными фондами ЕС проект "Содействие гендерному равенству в сфере науки (</w:t>
      </w:r>
      <w:r w:rsidRPr="00732013">
        <w:rPr>
          <w:spacing w:val="5"/>
          <w:w w:val="104"/>
        </w:rPr>
        <w:t>LYMOS</w:t>
      </w:r>
      <w:r w:rsidRPr="00732013">
        <w:rPr>
          <w:spacing w:val="5"/>
          <w:w w:val="104"/>
          <w:lang w:val="ru-RU"/>
        </w:rPr>
        <w:t>)". Данный проект предусматривал следующие виды деятельности в рамках Стратегии: назначение стипендий ученым, которые возвращаются на работу после отпусков по уходу за детьми; оказание поддержки научным экспедициям; организация лекций-дискуссий в парламенте и в правительстве; проведение долго- и краткосрочных учебных семинаров по вопросам гендерного равенства</w:t>
      </w:r>
      <w:r w:rsidR="00C37EE5" w:rsidRPr="00732013">
        <w:rPr>
          <w:spacing w:val="5"/>
          <w:w w:val="104"/>
          <w:lang w:val="ru-RU"/>
        </w:rPr>
        <w:t>;</w:t>
      </w:r>
      <w:r w:rsidRPr="00732013">
        <w:rPr>
          <w:spacing w:val="5"/>
          <w:w w:val="104"/>
          <w:lang w:val="ru-RU"/>
        </w:rPr>
        <w:t xml:space="preserve"> проведение международной конференции на тему "Содействие гендерному равенству в сфере науки"; изучение общественного мнения о гендерном равенстве</w:t>
      </w:r>
      <w:r w:rsidR="00C37EE5" w:rsidRPr="00732013">
        <w:rPr>
          <w:spacing w:val="5"/>
          <w:w w:val="104"/>
          <w:lang w:val="ru-RU"/>
        </w:rPr>
        <w:t>;</w:t>
      </w:r>
      <w:r w:rsidRPr="00732013">
        <w:rPr>
          <w:spacing w:val="5"/>
          <w:w w:val="104"/>
          <w:lang w:val="ru-RU"/>
        </w:rPr>
        <w:t xml:space="preserve"> проведение кампании по повышению осведомленности; создание интернет-портала; проведение публичной кампании; транслирование социальной рекламы по национальному телевидению; издание книги "Содействие гендерному равенству в сфере науки"</w:t>
      </w:r>
      <w:r w:rsidRPr="00732013">
        <w:rPr>
          <w:rStyle w:val="FootnoteReference"/>
          <w:spacing w:val="5"/>
          <w:w w:val="104"/>
          <w:sz w:val="20"/>
        </w:rPr>
        <w:footnoteReference w:id="41"/>
      </w:r>
      <w:r w:rsidRPr="00732013">
        <w:rPr>
          <w:spacing w:val="5"/>
          <w:w w:val="104"/>
          <w:lang w:val="ru-RU"/>
        </w:rPr>
        <w:t>, которая наряду с результатами различных исследований включала рекомендации научно-исследовательским учреждениям относительно создания в учреждениях равных возможностей для ученых – как мужчин, так и женщин</w:t>
      </w:r>
      <w:r w:rsidRPr="00732013">
        <w:rPr>
          <w:rStyle w:val="FootnoteReference"/>
          <w:spacing w:val="5"/>
          <w:w w:val="104"/>
          <w:sz w:val="20"/>
        </w:rPr>
        <w:footnoteReference w:id="42"/>
      </w:r>
      <w:r w:rsidRPr="00732013">
        <w:rPr>
          <w:spacing w:val="5"/>
          <w:w w:val="104"/>
          <w:lang w:val="ru-RU"/>
        </w:rPr>
        <w:t xml:space="preserve">. Внешняя оценка воздействия не проводилась.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76.</w:t>
      </w:r>
      <w:r w:rsidRPr="00732013">
        <w:rPr>
          <w:spacing w:val="5"/>
          <w:w w:val="104"/>
          <w:lang w:val="ru-RU"/>
        </w:rPr>
        <w:tab/>
        <w:t>Министерство образования и науки выделяет средства на модернизацию программного обеспечения системы информации о детях, бросивших школу или не охваченных образованием (</w:t>
      </w:r>
      <w:r w:rsidRPr="00732013">
        <w:rPr>
          <w:spacing w:val="5"/>
          <w:w w:val="104"/>
        </w:rPr>
        <w:t>NEMIS</w:t>
      </w:r>
      <w:r w:rsidRPr="00732013">
        <w:rPr>
          <w:spacing w:val="5"/>
          <w:w w:val="104"/>
          <w:lang w:val="ru-RU"/>
        </w:rPr>
        <w:t>)</w:t>
      </w:r>
      <w:r w:rsidRPr="00732013">
        <w:rPr>
          <w:rStyle w:val="FootnoteReference"/>
          <w:spacing w:val="5"/>
          <w:w w:val="104"/>
          <w:sz w:val="20"/>
        </w:rPr>
        <w:footnoteReference w:id="43"/>
      </w:r>
      <w:r w:rsidRPr="00732013">
        <w:rPr>
          <w:spacing w:val="5"/>
          <w:w w:val="104"/>
          <w:lang w:val="ru-RU"/>
        </w:rPr>
        <w:t xml:space="preserve">. Проект регламента </w:t>
      </w:r>
      <w:r w:rsidRPr="00732013">
        <w:rPr>
          <w:spacing w:val="5"/>
          <w:w w:val="104"/>
        </w:rPr>
        <w:t>NEMIS</w:t>
      </w:r>
      <w:r w:rsidRPr="00732013">
        <w:rPr>
          <w:spacing w:val="5"/>
          <w:w w:val="104"/>
          <w:lang w:val="ru-RU"/>
        </w:rPr>
        <w:t xml:space="preserve"> согласован с другими органами. В настоящее время идет процесс модернизации и тестирования программного обеспечения.</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77.</w:t>
      </w:r>
      <w:r w:rsidRPr="00732013">
        <w:rPr>
          <w:spacing w:val="5"/>
          <w:w w:val="104"/>
          <w:lang w:val="ru-RU"/>
        </w:rPr>
        <w:tab/>
        <w:t xml:space="preserve">Эта Программа предусматривает принятие конкретных мер в сфере науки и образования, а ее выполнение возложено на Министерство образования и науки. Оценка воздействия принятых мер будет проведена в рамках Общей расширенной сравнительной оценки воздействия Программы.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78.</w:t>
      </w:r>
      <w:r w:rsidRPr="00732013">
        <w:rPr>
          <w:spacing w:val="5"/>
          <w:w w:val="104"/>
          <w:lang w:val="ru-RU"/>
        </w:rPr>
        <w:tab/>
        <w:t>До 2013 года в реестр учащихся не вносились данные об их национальном или этническом происхождении. С 2013/14 учебного года регистрируются сведения о родном языке (языках), хотя от школы не требуется предоставлять такие сведения. По предварительным данным Министерства образования и науки, из общего числа учащихся (357 421) литовских общеобразовательных средних школ 414 учащихся (227 девочек и 187 мальчиков) относятся к народности рома, что составляет 0,1 процента общего числа учащихся. В 9–10</w:t>
      </w:r>
      <w:r w:rsidRPr="00732013">
        <w:rPr>
          <w:spacing w:val="5"/>
          <w:w w:val="104"/>
          <w:lang w:val="ru-RU"/>
        </w:rPr>
        <w:noBreakHyphen/>
        <w:t>х классах (этап </w:t>
      </w:r>
      <w:r w:rsidRPr="00732013">
        <w:rPr>
          <w:spacing w:val="5"/>
          <w:w w:val="104"/>
        </w:rPr>
        <w:t>II</w:t>
      </w:r>
      <w:r w:rsidRPr="00732013">
        <w:rPr>
          <w:spacing w:val="5"/>
          <w:w w:val="104"/>
          <w:lang w:val="ru-RU"/>
        </w:rPr>
        <w:t xml:space="preserve"> общеобразовательной школы) и в 11–12</w:t>
      </w:r>
      <w:r w:rsidRPr="00732013">
        <w:rPr>
          <w:spacing w:val="5"/>
          <w:w w:val="104"/>
          <w:lang w:val="ru-RU"/>
        </w:rPr>
        <w:noBreakHyphen/>
        <w:t>х классах (среднее образование) больше девочек из числа рома: 24 в 9–10</w:t>
      </w:r>
      <w:r w:rsidRPr="00732013">
        <w:rPr>
          <w:spacing w:val="5"/>
          <w:w w:val="104"/>
          <w:lang w:val="ru-RU"/>
        </w:rPr>
        <w:noBreakHyphen/>
        <w:t>х классах, семь в 11–12</w:t>
      </w:r>
      <w:r w:rsidRPr="00732013">
        <w:rPr>
          <w:spacing w:val="5"/>
          <w:w w:val="104"/>
          <w:lang w:val="ru-RU"/>
        </w:rPr>
        <w:noBreakHyphen/>
        <w:t>х классах, в то время как насчитывается лишь 15 мальчиков из числа рома в 9–10</w:t>
      </w:r>
      <w:r w:rsidRPr="00732013">
        <w:rPr>
          <w:spacing w:val="5"/>
          <w:w w:val="104"/>
          <w:lang w:val="ru-RU"/>
        </w:rPr>
        <w:noBreakHyphen/>
        <w:t>х классах и пять – в 11–12</w:t>
      </w:r>
      <w:r w:rsidRPr="00732013">
        <w:rPr>
          <w:spacing w:val="5"/>
          <w:w w:val="104"/>
          <w:lang w:val="ru-RU"/>
        </w:rPr>
        <w:noBreakHyphen/>
        <w:t xml:space="preserve">х классах. К настоящему времени </w:t>
      </w:r>
      <w:r w:rsidR="00C37EE5" w:rsidRPr="00732013">
        <w:rPr>
          <w:spacing w:val="5"/>
          <w:w w:val="104"/>
          <w:lang w:val="ru-RU"/>
        </w:rPr>
        <w:t xml:space="preserve">не </w:t>
      </w:r>
      <w:r w:rsidRPr="00732013">
        <w:rPr>
          <w:spacing w:val="5"/>
          <w:w w:val="104"/>
          <w:lang w:val="ru-RU"/>
        </w:rPr>
        <w:t xml:space="preserve">имеется данных об исключении или отсеве учащихся из числа рома, поскольку ранее такие сведения не собирались и текущие сведения не с чем сопоставить. Реестр студентов не содержит сведений о национальности или родном языке, поэтому в настоящем реестре нет сведений о числе студентов из народности рома. </w:t>
      </w:r>
    </w:p>
    <w:p w:rsidR="00947052" w:rsidRPr="00732013" w:rsidRDefault="00947052" w:rsidP="00732013">
      <w:pPr>
        <w:pStyle w:val="SingleTxtG"/>
        <w:spacing w:line="240" w:lineRule="exact"/>
        <w:ind w:right="1267"/>
        <w:rPr>
          <w:spacing w:val="5"/>
          <w:w w:val="104"/>
        </w:rPr>
      </w:pPr>
      <w:r w:rsidRPr="00732013">
        <w:rPr>
          <w:spacing w:val="5"/>
          <w:w w:val="104"/>
          <w:lang w:val="ru-RU"/>
        </w:rPr>
        <w:t>79.</w:t>
      </w:r>
      <w:r w:rsidRPr="00732013">
        <w:rPr>
          <w:spacing w:val="5"/>
          <w:w w:val="104"/>
          <w:lang w:val="ru-RU"/>
        </w:rPr>
        <w:tab/>
        <w:t xml:space="preserve">С целью содействия интеграции в школьный процесс детей дошкольного возраста </w:t>
      </w:r>
      <w:r w:rsidR="00C37EE5" w:rsidRPr="00732013">
        <w:rPr>
          <w:spacing w:val="5"/>
          <w:w w:val="104"/>
          <w:lang w:val="ru-RU"/>
        </w:rPr>
        <w:t xml:space="preserve">Центру </w:t>
      </w:r>
      <w:r w:rsidRPr="00732013">
        <w:rPr>
          <w:spacing w:val="5"/>
          <w:w w:val="104"/>
          <w:lang w:val="ru-RU"/>
        </w:rPr>
        <w:t>общины рома ежегодно выделяются средства, проводится подготовка к школе 40 детей в возрасте четырех–семи лет (включая обучение литовскому языку, математике и социальным навыкам). Все мальчики и девочки, живущие в соответствующих поселениях, посещают занятия. Неправительственная организация Союз литовской молодежи "Сокол" осуществляет проект под названием "Помоги мне включиться: первые шаги в школе", цель – разработать новые долгосрочные методы борьбы с исключенностью детей из числа рома. Основу проекта составляет сотрудничество между литовскими волонтерами и детьми рома на принципах дружбы и взаимопонимания, формирование у детей рома мотивации к учебе и соответствующих навыков для более успешной интеграции в школьную жизнь, борьба с проявлениями взаимной неприязни и расширение возможностей для интеграции. Каждую неделю проводится два классных занятия: одно посвящено улучшению социальных навыков (по программе неформального образования), а второе – выполнению домашнего задания. Большинство</w:t>
      </w:r>
      <w:r w:rsidRPr="00732013">
        <w:rPr>
          <w:spacing w:val="5"/>
          <w:w w:val="104"/>
          <w:lang w:val="en-US"/>
        </w:rPr>
        <w:t xml:space="preserve"> </w:t>
      </w:r>
      <w:r w:rsidRPr="00732013">
        <w:rPr>
          <w:spacing w:val="5"/>
          <w:w w:val="104"/>
          <w:lang w:val="ru-RU"/>
        </w:rPr>
        <w:t>детей</w:t>
      </w:r>
      <w:r w:rsidRPr="00732013">
        <w:rPr>
          <w:spacing w:val="5"/>
          <w:w w:val="104"/>
          <w:lang w:val="en-US"/>
        </w:rPr>
        <w:t xml:space="preserve">, </w:t>
      </w:r>
      <w:r w:rsidRPr="00732013">
        <w:rPr>
          <w:spacing w:val="5"/>
          <w:w w:val="104"/>
          <w:lang w:val="ru-RU"/>
        </w:rPr>
        <w:t>охваченных</w:t>
      </w:r>
      <w:r w:rsidRPr="00732013">
        <w:rPr>
          <w:spacing w:val="5"/>
          <w:w w:val="104"/>
          <w:lang w:val="en-US"/>
        </w:rPr>
        <w:t xml:space="preserve"> </w:t>
      </w:r>
      <w:r w:rsidRPr="00732013">
        <w:rPr>
          <w:spacing w:val="5"/>
          <w:w w:val="104"/>
          <w:lang w:val="ru-RU"/>
        </w:rPr>
        <w:t>данным проектом</w:t>
      </w:r>
      <w:r w:rsidRPr="00732013">
        <w:rPr>
          <w:spacing w:val="5"/>
          <w:w w:val="104"/>
          <w:lang w:val="en-US"/>
        </w:rPr>
        <w:t xml:space="preserve">, </w:t>
      </w:r>
      <w:r w:rsidRPr="00732013">
        <w:rPr>
          <w:spacing w:val="5"/>
          <w:w w:val="104"/>
          <w:lang w:val="ru-RU"/>
        </w:rPr>
        <w:t>составляют</w:t>
      </w:r>
      <w:r w:rsidRPr="00732013">
        <w:rPr>
          <w:spacing w:val="5"/>
          <w:w w:val="104"/>
          <w:lang w:val="en-US"/>
        </w:rPr>
        <w:t xml:space="preserve"> </w:t>
      </w:r>
      <w:r w:rsidRPr="00732013">
        <w:rPr>
          <w:spacing w:val="5"/>
          <w:w w:val="104"/>
          <w:lang w:val="ru-RU"/>
        </w:rPr>
        <w:t>девочки</w:t>
      </w:r>
      <w:r w:rsidRPr="00732013">
        <w:rPr>
          <w:spacing w:val="5"/>
          <w:w w:val="104"/>
        </w:rPr>
        <w:t xml:space="preserve">. </w:t>
      </w:r>
    </w:p>
    <w:p w:rsidR="00947052" w:rsidRPr="00732013" w:rsidRDefault="00947052" w:rsidP="00732013">
      <w:pPr>
        <w:pStyle w:val="H1"/>
        <w:spacing w:before="0" w:line="240" w:lineRule="exact"/>
        <w:ind w:right="1267"/>
        <w:rPr>
          <w:spacing w:val="5"/>
          <w:w w:val="104"/>
          <w:lang w:val="en-US"/>
        </w:rPr>
      </w:pPr>
      <w:r w:rsidRPr="00732013">
        <w:rPr>
          <w:spacing w:val="5"/>
          <w:w w:val="104"/>
        </w:rPr>
        <w:t>Занятость</w:t>
      </w:r>
    </w:p>
    <w:p w:rsidR="00947052" w:rsidRPr="00732013" w:rsidRDefault="00947052" w:rsidP="00732013">
      <w:pPr>
        <w:pStyle w:val="H23G"/>
        <w:spacing w:before="0"/>
        <w:ind w:right="1267"/>
        <w:rPr>
          <w:spacing w:val="5"/>
          <w:w w:val="104"/>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 xml:space="preserve">пункту 14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80.</w:t>
      </w:r>
      <w:r w:rsidRPr="00732013">
        <w:rPr>
          <w:spacing w:val="5"/>
          <w:w w:val="104"/>
          <w:lang w:val="ru-RU"/>
        </w:rPr>
        <w:tab/>
        <w:t xml:space="preserve">Равенство мужчин и женщин в сфере занятости является одним из долгосрочных приоритетов реализуемой Национальной программы обеспечения равных возможностей для женщин и мужчин. Содержащийся в данной Программе комплекс целевых мер направлен на систематическое устранение предпосылок для горизонтальной и вертикальной профессиональной сегрегации на рынке труда, включая ликвидацию структурных диспропорций. </w:t>
      </w:r>
    </w:p>
    <w:p w:rsidR="00947052" w:rsidRPr="00732013" w:rsidRDefault="00947052" w:rsidP="00732013">
      <w:pPr>
        <w:pStyle w:val="SingleTxtG"/>
        <w:spacing w:line="240" w:lineRule="exact"/>
        <w:ind w:right="1267"/>
        <w:rPr>
          <w:i/>
          <w:iCs/>
          <w:spacing w:val="5"/>
          <w:w w:val="104"/>
          <w:lang w:val="ru-RU"/>
        </w:rPr>
      </w:pPr>
      <w:r w:rsidRPr="00732013">
        <w:rPr>
          <w:spacing w:val="5"/>
          <w:w w:val="104"/>
          <w:lang w:val="ru-RU"/>
        </w:rPr>
        <w:t>81.</w:t>
      </w:r>
      <w:r w:rsidRPr="00732013">
        <w:rPr>
          <w:spacing w:val="5"/>
          <w:w w:val="104"/>
          <w:lang w:val="ru-RU"/>
        </w:rPr>
        <w:tab/>
        <w:t xml:space="preserve"> Предусмотренные Программой меры в сфере занятости реализуются совместно с женскими организациями наряду с обеспечением финансирования их соответствующих проектов. Так, в 2012 и 2013 годах Министерство социальной защиты и труда выделяло средства на текущий проект Женского информационного центра. В рамках данного проекта ежегодно проводится соревнование на звание "Равноправное рабочее место". В 2013 году по итогам голосования такого звания были удостоены Кибартайский исправительный дом и предприятие </w:t>
      </w:r>
      <w:r w:rsidRPr="00732013">
        <w:rPr>
          <w:spacing w:val="5"/>
          <w:w w:val="104"/>
        </w:rPr>
        <w:t>UAB</w:t>
      </w:r>
      <w:r w:rsidRPr="00732013">
        <w:rPr>
          <w:spacing w:val="5"/>
          <w:w w:val="104"/>
          <w:lang w:val="ru-RU"/>
        </w:rPr>
        <w:t xml:space="preserve"> </w:t>
      </w:r>
      <w:r w:rsidRPr="00732013">
        <w:rPr>
          <w:spacing w:val="5"/>
          <w:w w:val="104"/>
        </w:rPr>
        <w:t>Plius</w:t>
      </w:r>
      <w:r w:rsidRPr="00732013">
        <w:rPr>
          <w:spacing w:val="5"/>
          <w:w w:val="104"/>
          <w:lang w:val="ru-RU"/>
        </w:rPr>
        <w:t xml:space="preserve">. Цель соревнования – поощрение гендерного равенства на рабочем месте и тем самым содействие устранению вертикальной и горизонтальной профессиональной сегрегации.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82.</w:t>
      </w:r>
      <w:r w:rsidRPr="00732013">
        <w:rPr>
          <w:spacing w:val="5"/>
          <w:w w:val="104"/>
          <w:lang w:val="ru-RU"/>
        </w:rPr>
        <w:tab/>
        <w:t>Борьбе с вертикальной и горизонтальной профессиональной сегрегацией и улучшению гендерного баланса на рынке труда в немалой степени способствуют учебные занятия, семинары и другие образовательные мероприятия, финансируемые в рамках Программы. Так, в 2013 году Женский информационный центр организовал обучение для социальных партнеров, в котором участвовали 38 представителей разных профсоюзов из 11 литовских городов. Фонд социальных инноваций провел в 2012 году два семинара в (Мариямполе и Юрбаркасе) на тему "Плановое и текущее обеспечение равенства мужчин и женщин на рабочем месте", в которых участвовали 26 работников или их представителей.</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83.</w:t>
      </w:r>
      <w:r w:rsidRPr="00732013">
        <w:rPr>
          <w:spacing w:val="5"/>
          <w:w w:val="104"/>
          <w:lang w:val="ru-RU"/>
        </w:rPr>
        <w:tab/>
        <w:t>Для желающих заниматься индивидуальной трудовой деятельностью или открыть собственное предприятие, Литовская биржа труда предоставляет информацию об условиях начала предпринимательской деятельности, развитии бизнеса, найме работников и возможностях деятельности на основании лицензии о ведении коммерческой деятельности, а также проводит учебные занятия по основам предпринимательства. В 2012 </w:t>
      </w:r>
      <w:r w:rsidR="001E0B7C" w:rsidRPr="00732013">
        <w:rPr>
          <w:spacing w:val="5"/>
          <w:w w:val="104"/>
          <w:lang w:val="ru-RU"/>
        </w:rPr>
        <w:t xml:space="preserve">году </w:t>
      </w:r>
      <w:r w:rsidRPr="00732013">
        <w:rPr>
          <w:spacing w:val="5"/>
          <w:w w:val="104"/>
          <w:lang w:val="ru-RU"/>
        </w:rPr>
        <w:t>таким видом подготовки было охвачено 4277 человек, в том числе 1885 женщин (в 2011 году – 3304 человека, из них 1482 женщины). Тем, кто желает заниматься индивидуальной трудовой деятельностью, предоставляются информация и персональное консультирование в территориальных биржах труда относительно условий начала деятельности, развитии бизнеса и возможностях в рамках лицензии на ведение индивидуальной трудовой деятельности. В 2012 году консультации о возможностях деятельности на основании свидетельства или лицензии с использованием государственной помощи были предоставлены 24 380 лицам, в том числе 11 544 женщинам (в 2011 году консультации получили 42 343 человека, включая 17 952 женщин).</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84.</w:t>
      </w:r>
      <w:r w:rsidRPr="00732013">
        <w:rPr>
          <w:spacing w:val="5"/>
          <w:w w:val="104"/>
          <w:lang w:val="ru-RU"/>
        </w:rPr>
        <w:tab/>
        <w:t>Министерство сельского хозяйства принимает регулятивные меры по поддержке бизнес-инициатив сельских жителей и вводит следующие критерии для оказания помощи</w:t>
      </w:r>
      <w:r w:rsidR="001E0B7C" w:rsidRPr="00732013">
        <w:rPr>
          <w:spacing w:val="5"/>
          <w:w w:val="104"/>
          <w:lang w:val="ru-RU"/>
        </w:rPr>
        <w:t>:</w:t>
      </w:r>
      <w:r w:rsidRPr="00732013">
        <w:rPr>
          <w:spacing w:val="5"/>
          <w:w w:val="104"/>
          <w:lang w:val="ru-RU"/>
        </w:rPr>
        <w:t xml:space="preserve"> "заявителем (фермером или сельским резидентом) должна быть женщина… или предприятие</w:t>
      </w:r>
      <w:r w:rsidR="001E0B7C" w:rsidRPr="00732013">
        <w:rPr>
          <w:spacing w:val="5"/>
          <w:w w:val="104"/>
          <w:lang w:val="ru-RU"/>
        </w:rPr>
        <w:t>,</w:t>
      </w:r>
      <w:r w:rsidRPr="00732013">
        <w:rPr>
          <w:spacing w:val="5"/>
          <w:w w:val="104"/>
          <w:lang w:val="ru-RU"/>
        </w:rPr>
        <w:t xml:space="preserve"> </w:t>
      </w:r>
      <w:r w:rsidR="001E0B7C" w:rsidRPr="00732013">
        <w:rPr>
          <w:spacing w:val="5"/>
          <w:w w:val="104"/>
          <w:lang w:val="ru-RU"/>
        </w:rPr>
        <w:t xml:space="preserve">которое </w:t>
      </w:r>
      <w:r w:rsidRPr="00732013">
        <w:rPr>
          <w:spacing w:val="5"/>
          <w:w w:val="104"/>
          <w:lang w:val="ru-RU"/>
        </w:rPr>
        <w:t>в течение по меньшей мере 18 последовательных месяцев до подачи заявки об оказании помощи насчитывает не менее 50 процентов</w:t>
      </w:r>
      <w:r w:rsidR="001E0B7C" w:rsidRPr="00732013">
        <w:rPr>
          <w:spacing w:val="5"/>
          <w:w w:val="104"/>
          <w:lang w:val="ru-RU"/>
        </w:rPr>
        <w:t xml:space="preserve"> женщин от</w:t>
      </w:r>
      <w:r w:rsidRPr="00732013">
        <w:rPr>
          <w:spacing w:val="5"/>
          <w:w w:val="104"/>
          <w:lang w:val="ru-RU"/>
        </w:rPr>
        <w:t xml:space="preserve"> среднегодовой численности работников". Помощь в целях осуществления стратегий местного развития предоставляется только тем ведущим деятельность местным группам, которые соблюдают гендерный баланс в составе своих руководящих </w:t>
      </w:r>
      <w:r w:rsidR="001E0B7C" w:rsidRPr="00732013">
        <w:rPr>
          <w:spacing w:val="5"/>
          <w:w w:val="104"/>
          <w:lang w:val="ru-RU"/>
        </w:rPr>
        <w:t>органов</w:t>
      </w:r>
      <w:r w:rsidRPr="00732013">
        <w:rPr>
          <w:spacing w:val="5"/>
          <w:w w:val="104"/>
          <w:lang w:val="ru-RU"/>
        </w:rPr>
        <w:t xml:space="preserve">, то есть обеспечивают по крайней мере 40-процентную представленность в руководящем органе лиц определенного пола с правом принятия решений.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85.</w:t>
      </w:r>
      <w:r w:rsidRPr="00732013">
        <w:rPr>
          <w:spacing w:val="5"/>
          <w:w w:val="104"/>
          <w:lang w:val="ru-RU"/>
        </w:rPr>
        <w:tab/>
        <w:t>Меры по ликвидации горизонтальной и вертикальной профессиональной сегрегации на рынке труда также способствуют сокращению разрыва в оплате труда мужчин и женщин. Согласно подготовленному Европейской комиссией Докладу о прогрессе в достижении равенства между женщинами и мужчинами 2012 года</w:t>
      </w:r>
      <w:r w:rsidRPr="00732013">
        <w:rPr>
          <w:rStyle w:val="FootnoteReference"/>
          <w:spacing w:val="5"/>
          <w:w w:val="104"/>
          <w:sz w:val="20"/>
        </w:rPr>
        <w:footnoteReference w:id="44"/>
      </w:r>
      <w:r w:rsidRPr="00732013">
        <w:rPr>
          <w:spacing w:val="5"/>
          <w:w w:val="104"/>
          <w:lang w:val="ru-RU"/>
        </w:rPr>
        <w:t xml:space="preserve">, Литва однозначно рассматривается как страна, сокращающая гендерный разрыв в оплате труда, поскольку разрыв сократился почти вдвое – с 22,6 процента в 2007 году до 11,9 процента в 2011 году. </w:t>
      </w:r>
    </w:p>
    <w:p w:rsidR="00947052" w:rsidRPr="00732013" w:rsidRDefault="00947052" w:rsidP="00732013">
      <w:pPr>
        <w:pStyle w:val="SingleTxtG"/>
        <w:spacing w:line="240" w:lineRule="exact"/>
        <w:ind w:right="1267"/>
        <w:rPr>
          <w:i/>
          <w:iCs/>
          <w:spacing w:val="5"/>
          <w:w w:val="104"/>
          <w:lang w:val="ru-RU"/>
        </w:rPr>
      </w:pPr>
      <w:r w:rsidRPr="00732013">
        <w:rPr>
          <w:spacing w:val="5"/>
          <w:w w:val="104"/>
          <w:lang w:val="ru-RU"/>
        </w:rPr>
        <w:t>86.</w:t>
      </w:r>
      <w:r w:rsidRPr="00732013">
        <w:rPr>
          <w:spacing w:val="5"/>
          <w:w w:val="104"/>
          <w:lang w:val="ru-RU"/>
        </w:rPr>
        <w:tab/>
        <w:t xml:space="preserve">В настоящее время идет процесс согласования с соответствующими министерствами проекта </w:t>
      </w:r>
      <w:r w:rsidR="001E0B7C" w:rsidRPr="00732013">
        <w:rPr>
          <w:spacing w:val="5"/>
          <w:w w:val="104"/>
          <w:lang w:val="ru-RU"/>
        </w:rPr>
        <w:t xml:space="preserve">Закона </w:t>
      </w:r>
      <w:r w:rsidRPr="00732013">
        <w:rPr>
          <w:spacing w:val="5"/>
          <w:w w:val="104"/>
          <w:lang w:val="ru-RU"/>
        </w:rPr>
        <w:t>о заработной плате служащих государственных и муниципальных учреждений Литовской Республики</w:t>
      </w:r>
      <w:r w:rsidRPr="00732013">
        <w:rPr>
          <w:rStyle w:val="FootnoteReference"/>
          <w:spacing w:val="5"/>
          <w:w w:val="104"/>
          <w:sz w:val="20"/>
        </w:rPr>
        <w:footnoteReference w:id="45"/>
      </w:r>
      <w:r w:rsidRPr="00732013">
        <w:rPr>
          <w:spacing w:val="5"/>
          <w:w w:val="104"/>
          <w:lang w:val="ru-RU"/>
        </w:rPr>
        <w:t xml:space="preserve">. Законопроект предусматривает установление единой системы оплаты труда, применимой ко всем служащим государственных и муниципальных органов, работающим по трудовому соглашению. Законопроект направлен на создание равных условий оплаты труда для лиц, выполняющих работу одинаковой квалификации и сложности, увязать заработную плату руководителей и остальных сотрудников с деятельностью за предыдущий год, оцениваемой по итогам выполнения годовых целей и задач с помощью оценочных показателей, заведомо применимых к каждому руководителю и каждому сотруднику.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87.</w:t>
      </w:r>
      <w:r w:rsidRPr="00732013">
        <w:rPr>
          <w:spacing w:val="5"/>
          <w:w w:val="104"/>
          <w:lang w:val="ru-RU"/>
        </w:rPr>
        <w:tab/>
        <w:t xml:space="preserve">Нарушение положений Закона о равных возможностях является административным проступком, который рассматривается Канцелярией </w:t>
      </w:r>
      <w:r w:rsidR="002342C2" w:rsidRPr="00732013">
        <w:rPr>
          <w:spacing w:val="5"/>
          <w:w w:val="104"/>
          <w:lang w:val="ru-RU"/>
        </w:rPr>
        <w:t xml:space="preserve">Омбудсмена </w:t>
      </w:r>
      <w:r w:rsidRPr="00732013">
        <w:rPr>
          <w:spacing w:val="5"/>
          <w:w w:val="104"/>
          <w:lang w:val="ru-RU"/>
        </w:rPr>
        <w:t>по вопросам равных возможностей в соответствии со статьей 2476 Кодекса об административных нарушениях. За нарушение этого Закона в Кодексе предусматривается наказание в виде административного штрафа в размере от 100 до 2 тыс. литовских литов и штраф в размере от 2 тыс. до 4 тыс. литовских литов в случае повторного нарушения. Аналогичные санкции также применяются к тем работодателям, которые не обеспечивают равную оплату труда мужчин и женщин. Ниже приводятся данные Национальной администрации судов.</w:t>
      </w:r>
    </w:p>
    <w:p w:rsidR="00947052" w:rsidRPr="00732013" w:rsidRDefault="00315D5F" w:rsidP="00732013">
      <w:pPr>
        <w:pStyle w:val="SingleTxtG"/>
        <w:spacing w:line="240" w:lineRule="exact"/>
        <w:ind w:right="1267"/>
        <w:rPr>
          <w:spacing w:val="5"/>
          <w:w w:val="104"/>
          <w:lang w:val="ru-RU"/>
        </w:rPr>
      </w:pPr>
      <w:r w:rsidRPr="00732013">
        <w:rPr>
          <w:spacing w:val="5"/>
          <w:w w:val="104"/>
          <w:lang w:val="en-US"/>
        </w:rPr>
        <w:tab/>
      </w:r>
      <w:r w:rsidR="00947052" w:rsidRPr="00732013">
        <w:rPr>
          <w:spacing w:val="5"/>
          <w:w w:val="104"/>
          <w:lang w:val="ru-RU"/>
        </w:rPr>
        <w:t>–</w:t>
      </w:r>
      <w:r w:rsidR="00947052" w:rsidRPr="00732013">
        <w:rPr>
          <w:spacing w:val="5"/>
          <w:w w:val="104"/>
          <w:lang w:val="ru-RU"/>
        </w:rPr>
        <w:tab/>
        <w:t xml:space="preserve">Вильнюсский окружной суд, гражданское дело № 2-1434-798/2012. Суд вынес решений в пользу </w:t>
      </w:r>
      <w:r w:rsidR="00947052" w:rsidRPr="00732013">
        <w:rPr>
          <w:spacing w:val="5"/>
          <w:w w:val="104"/>
        </w:rPr>
        <w:t>L</w:t>
      </w:r>
      <w:r w:rsidR="00947052" w:rsidRPr="00732013">
        <w:rPr>
          <w:spacing w:val="5"/>
          <w:w w:val="104"/>
          <w:lang w:val="ru-RU"/>
        </w:rPr>
        <w:t>.Š., истца, вследствие неявки ответчика, посольства Румынии, по иску относительно дискриминации по признаку пола и инвалидности, а также частично относительно компенсации ущерба собственности и морального вреда. Суд апелляционной инстанции частично изменил решение (дело № 2</w:t>
      </w:r>
      <w:r w:rsidR="00947052" w:rsidRPr="00732013">
        <w:rPr>
          <w:spacing w:val="5"/>
          <w:w w:val="104"/>
        </w:rPr>
        <w:t>A</w:t>
      </w:r>
      <w:r w:rsidR="00947052" w:rsidRPr="00732013">
        <w:rPr>
          <w:spacing w:val="5"/>
          <w:w w:val="104"/>
          <w:lang w:val="ru-RU"/>
        </w:rPr>
        <w:t>-949/2013). В настоящее время дело находится в Верховном суде Литвы.</w:t>
      </w:r>
    </w:p>
    <w:p w:rsidR="00947052" w:rsidRPr="00732013" w:rsidRDefault="00315D5F" w:rsidP="00732013">
      <w:pPr>
        <w:pStyle w:val="SingleTxtG"/>
        <w:spacing w:line="240" w:lineRule="exact"/>
        <w:ind w:right="1267"/>
        <w:rPr>
          <w:spacing w:val="5"/>
          <w:w w:val="104"/>
          <w:lang w:val="ru-RU"/>
        </w:rPr>
      </w:pPr>
      <w:r w:rsidRPr="00732013">
        <w:rPr>
          <w:spacing w:val="5"/>
          <w:w w:val="104"/>
          <w:lang w:val="en-US"/>
        </w:rPr>
        <w:tab/>
      </w:r>
      <w:r w:rsidR="00947052" w:rsidRPr="00732013">
        <w:rPr>
          <w:spacing w:val="5"/>
          <w:w w:val="104"/>
          <w:lang w:val="ru-RU"/>
        </w:rPr>
        <w:t>–</w:t>
      </w:r>
      <w:r w:rsidR="00947052" w:rsidRPr="00732013">
        <w:rPr>
          <w:spacing w:val="5"/>
          <w:w w:val="104"/>
          <w:lang w:val="ru-RU"/>
        </w:rPr>
        <w:tab/>
        <w:t>Решение Верховного суда Литвы по делу</w:t>
      </w:r>
      <w:r w:rsidR="001E0B7C" w:rsidRPr="00732013">
        <w:rPr>
          <w:spacing w:val="5"/>
          <w:w w:val="104"/>
          <w:lang w:val="ru-RU"/>
        </w:rPr>
        <w:t xml:space="preserve"> </w:t>
      </w:r>
      <w:r w:rsidR="00947052" w:rsidRPr="00732013">
        <w:rPr>
          <w:spacing w:val="5"/>
          <w:w w:val="104"/>
          <w:lang w:val="ru-RU"/>
        </w:rPr>
        <w:t>№</w:t>
      </w:r>
      <w:r w:rsidR="001E0B7C" w:rsidRPr="00732013">
        <w:rPr>
          <w:spacing w:val="5"/>
          <w:w w:val="104"/>
          <w:lang w:val="ru-RU"/>
        </w:rPr>
        <w:t> </w:t>
      </w:r>
      <w:r w:rsidR="00947052" w:rsidRPr="00732013">
        <w:rPr>
          <w:spacing w:val="5"/>
          <w:w w:val="104"/>
          <w:lang w:val="ru-RU"/>
        </w:rPr>
        <w:t>3</w:t>
      </w:r>
      <w:r w:rsidR="00947052" w:rsidRPr="00732013">
        <w:rPr>
          <w:spacing w:val="5"/>
          <w:w w:val="104"/>
        </w:rPr>
        <w:t>K</w:t>
      </w:r>
      <w:r w:rsidR="00947052" w:rsidRPr="00732013">
        <w:rPr>
          <w:spacing w:val="5"/>
          <w:w w:val="104"/>
          <w:lang w:val="ru-RU"/>
        </w:rPr>
        <w:t xml:space="preserve">-3-309/2012: постановление Апелляционного суда Литвы от 11 ноября 2011 года восстанавливается в юридической силе посредством уточнения последнего и заявления о том, что </w:t>
      </w:r>
      <w:r w:rsidR="00947052" w:rsidRPr="00732013">
        <w:rPr>
          <w:spacing w:val="5"/>
          <w:w w:val="104"/>
        </w:rPr>
        <w:t>A</w:t>
      </w:r>
      <w:r w:rsidR="00947052" w:rsidRPr="00732013">
        <w:rPr>
          <w:spacing w:val="5"/>
          <w:w w:val="104"/>
          <w:lang w:val="ru-RU"/>
        </w:rPr>
        <w:t>.</w:t>
      </w:r>
      <w:r w:rsidR="00947052" w:rsidRPr="00732013">
        <w:rPr>
          <w:spacing w:val="5"/>
          <w:w w:val="104"/>
        </w:rPr>
        <w:t>C</w:t>
      </w:r>
      <w:r w:rsidR="00947052" w:rsidRPr="00732013">
        <w:rPr>
          <w:spacing w:val="5"/>
          <w:w w:val="104"/>
          <w:lang w:val="ru-RU"/>
        </w:rPr>
        <w:t>. рассматривается как уволенный с работы по статье 28 Закона о трудовом договоре со дня вступления в силу судебного решения (дело в суде первой инстанции № 2</w:t>
      </w:r>
      <w:r w:rsidR="00947052" w:rsidRPr="00732013">
        <w:rPr>
          <w:spacing w:val="5"/>
          <w:w w:val="104"/>
          <w:lang w:val="ru-RU"/>
        </w:rPr>
        <w:noBreakHyphen/>
        <w:t>1212</w:t>
      </w:r>
      <w:r w:rsidR="00947052" w:rsidRPr="00732013">
        <w:rPr>
          <w:spacing w:val="5"/>
          <w:w w:val="104"/>
          <w:lang w:val="ru-RU"/>
        </w:rPr>
        <w:noBreakHyphen/>
        <w:t>553/2011).</w:t>
      </w:r>
    </w:p>
    <w:p w:rsidR="00947052" w:rsidRPr="00732013" w:rsidRDefault="00315D5F" w:rsidP="00732013">
      <w:pPr>
        <w:pStyle w:val="SingleTxtG"/>
        <w:spacing w:line="240" w:lineRule="exact"/>
        <w:ind w:right="1267"/>
        <w:rPr>
          <w:spacing w:val="5"/>
          <w:w w:val="104"/>
          <w:lang w:val="ru-RU"/>
        </w:rPr>
      </w:pPr>
      <w:r w:rsidRPr="00732013">
        <w:rPr>
          <w:spacing w:val="5"/>
          <w:w w:val="104"/>
          <w:lang w:val="ru-RU"/>
        </w:rPr>
        <w:tab/>
      </w:r>
      <w:r w:rsidR="00947052" w:rsidRPr="00732013">
        <w:rPr>
          <w:spacing w:val="5"/>
          <w:w w:val="104"/>
          <w:lang w:val="ru-RU"/>
        </w:rPr>
        <w:t>–</w:t>
      </w:r>
      <w:r w:rsidR="00947052" w:rsidRPr="00732013">
        <w:rPr>
          <w:spacing w:val="5"/>
          <w:w w:val="104"/>
          <w:lang w:val="ru-RU"/>
        </w:rPr>
        <w:tab/>
        <w:t>Решение Верховного суда Литвы по делу № 3</w:t>
      </w:r>
      <w:r w:rsidR="00947052" w:rsidRPr="00732013">
        <w:rPr>
          <w:spacing w:val="5"/>
          <w:w w:val="104"/>
        </w:rPr>
        <w:t>K</w:t>
      </w:r>
      <w:r w:rsidR="00947052" w:rsidRPr="00732013">
        <w:rPr>
          <w:spacing w:val="5"/>
          <w:w w:val="104"/>
          <w:lang w:val="ru-RU"/>
        </w:rPr>
        <w:t>-3-598/2012: восстановить решения в юридической силе и оставить иск без удовлетворения (дело в суде первой инстанции № </w:t>
      </w:r>
      <w:hyperlink r:id="rId18" w:history="1">
        <w:r w:rsidR="00947052" w:rsidRPr="00732013">
          <w:rPr>
            <w:spacing w:val="5"/>
            <w:w w:val="104"/>
            <w:lang w:val="ru-RU"/>
          </w:rPr>
          <w:t>2-44-669/2012</w:t>
        </w:r>
      </w:hyperlink>
      <w:r w:rsidR="00947052" w:rsidRPr="00732013">
        <w:rPr>
          <w:spacing w:val="5"/>
          <w:w w:val="104"/>
          <w:lang w:val="ru-RU"/>
        </w:rPr>
        <w:t>).</w:t>
      </w:r>
    </w:p>
    <w:p w:rsidR="00947052" w:rsidRPr="00732013" w:rsidRDefault="00947052" w:rsidP="00732013">
      <w:pPr>
        <w:pStyle w:val="H23G"/>
        <w:spacing w:before="0"/>
        <w:ind w:right="1267"/>
        <w:rPr>
          <w:spacing w:val="5"/>
          <w:w w:val="104"/>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 xml:space="preserve">пункту 15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88.</w:t>
      </w:r>
      <w:r w:rsidRPr="00732013">
        <w:rPr>
          <w:spacing w:val="5"/>
          <w:w w:val="104"/>
          <w:lang w:val="ru-RU"/>
        </w:rPr>
        <w:tab/>
        <w:t>В 2009 и 2011 годах мужчины составляли 7 процентов лиц, пользующихся правом взять отпуск по уходу за детьми (3300 мужчин в 2009 году, 3100 мужчин в 2010 году). В 2010 году мужчины составляли 7,5 процента лиц, пользующихся отпуском по уходу за детьми (3600 мужчин), а в 2012 году – 8,1 процента. Сведений о численности мужчин или женщин Литвы, работающих по гибкому графику, не имеется</w:t>
      </w:r>
      <w:r w:rsidR="001E0B7C" w:rsidRPr="00732013">
        <w:rPr>
          <w:spacing w:val="5"/>
          <w:w w:val="104"/>
          <w:lang w:val="ru-RU"/>
        </w:rPr>
        <w:t>,</w:t>
      </w:r>
      <w:r w:rsidRPr="00732013">
        <w:rPr>
          <w:spacing w:val="5"/>
          <w:w w:val="104"/>
          <w:lang w:val="ru-RU"/>
        </w:rPr>
        <w:t xml:space="preserve"> поскольку такая информация не собирается. Согласно подготовленному Европейской </w:t>
      </w:r>
      <w:r w:rsidR="001E0B7C" w:rsidRPr="00732013">
        <w:rPr>
          <w:spacing w:val="5"/>
          <w:w w:val="104"/>
          <w:lang w:val="ru-RU"/>
        </w:rPr>
        <w:t xml:space="preserve">комиссией </w:t>
      </w:r>
      <w:r w:rsidRPr="00732013">
        <w:rPr>
          <w:spacing w:val="5"/>
          <w:w w:val="104"/>
          <w:lang w:val="ru-RU"/>
        </w:rPr>
        <w:t xml:space="preserve">Докладу о прогрессе в достижении равенства между женщинами и мужчинами 2012 года, как мужчины, так и женщины (с детьми/без детей) редко пользовались возможностью частичной занятости. В 2012 году различия в уровне занятости между женщинами, имеющими детей в возрасте до шести лет, и женщинами, не имеющими детей, составили –0,7 процента. В 2012 году неполная занятость среди женщин составила 10,6 процента общего показателя занятости.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89.</w:t>
      </w:r>
      <w:r w:rsidRPr="00732013">
        <w:rPr>
          <w:spacing w:val="5"/>
          <w:w w:val="104"/>
          <w:lang w:val="ru-RU"/>
        </w:rPr>
        <w:tab/>
        <w:t xml:space="preserve">Стимулирование ответственного родительства, в том числе стимулирование мужчин к использованию отпуска по уходу за детьми, остается долгосрочным приоритетом Программы. В рамках Программы в 2012 году в социальной сети </w:t>
      </w:r>
      <w:r w:rsidRPr="00732013">
        <w:rPr>
          <w:spacing w:val="5"/>
          <w:w w:val="104"/>
        </w:rPr>
        <w:t>Facebook</w:t>
      </w:r>
      <w:r w:rsidRPr="00732013">
        <w:rPr>
          <w:spacing w:val="5"/>
          <w:w w:val="104"/>
          <w:lang w:val="ru-RU"/>
        </w:rPr>
        <w:t xml:space="preserve"> была создана страница </w:t>
      </w:r>
      <w:r w:rsidRPr="00732013">
        <w:rPr>
          <w:spacing w:val="5"/>
          <w:w w:val="104"/>
        </w:rPr>
        <w:t>Super</w:t>
      </w:r>
      <w:r w:rsidRPr="00732013">
        <w:rPr>
          <w:spacing w:val="5"/>
          <w:w w:val="104"/>
          <w:lang w:val="ru-RU"/>
        </w:rPr>
        <w:t xml:space="preserve"> </w:t>
      </w:r>
      <w:r w:rsidRPr="00732013">
        <w:rPr>
          <w:spacing w:val="5"/>
          <w:w w:val="104"/>
        </w:rPr>
        <w:t>T</w:t>
      </w:r>
      <w:r w:rsidRPr="00732013">
        <w:rPr>
          <w:spacing w:val="5"/>
          <w:w w:val="104"/>
          <w:lang w:val="ru-RU"/>
        </w:rPr>
        <w:t>ė</w:t>
      </w:r>
      <w:r w:rsidRPr="00732013">
        <w:rPr>
          <w:spacing w:val="5"/>
          <w:w w:val="104"/>
        </w:rPr>
        <w:t>velis</w:t>
      </w:r>
      <w:r w:rsidRPr="00732013">
        <w:rPr>
          <w:spacing w:val="5"/>
          <w:w w:val="104"/>
          <w:lang w:val="ru-RU"/>
        </w:rPr>
        <w:t xml:space="preserve"> ("Самый лучший папа")</w:t>
      </w:r>
      <w:r w:rsidRPr="00732013">
        <w:rPr>
          <w:rStyle w:val="FootnoteReference"/>
          <w:spacing w:val="5"/>
          <w:w w:val="104"/>
          <w:sz w:val="20"/>
        </w:rPr>
        <w:footnoteReference w:id="46"/>
      </w:r>
      <w:r w:rsidRPr="00732013">
        <w:rPr>
          <w:spacing w:val="5"/>
          <w:w w:val="104"/>
          <w:lang w:val="ru-RU"/>
        </w:rPr>
        <w:t xml:space="preserve">, на которой размещаются статьи, проекты и приложения для различных конкурсов (например, во втором полугодии 2013 года проходили выборы "суперпапы"). Сейчас на странице </w:t>
      </w:r>
      <w:r w:rsidRPr="00732013">
        <w:rPr>
          <w:spacing w:val="5"/>
          <w:w w:val="104"/>
        </w:rPr>
        <w:t>SuperT</w:t>
      </w:r>
      <w:r w:rsidRPr="00732013">
        <w:rPr>
          <w:spacing w:val="5"/>
          <w:w w:val="104"/>
          <w:lang w:val="ru-RU"/>
        </w:rPr>
        <w:t>ė</w:t>
      </w:r>
      <w:r w:rsidRPr="00732013">
        <w:rPr>
          <w:spacing w:val="5"/>
          <w:w w:val="104"/>
        </w:rPr>
        <w:t>velis</w:t>
      </w:r>
      <w:r w:rsidRPr="00732013">
        <w:rPr>
          <w:spacing w:val="5"/>
          <w:w w:val="104"/>
          <w:lang w:val="ru-RU"/>
        </w:rPr>
        <w:t xml:space="preserve"> зарегистрировано более 1 тыс. активных пользователей, главным образом молодых мужчин, при этом общее число посетителей превышает 300 тыс. человек. Кроме того, в результате принятых мер увеличилось число мест в детских учреждениях: если в 2011 году в них насчитывалось 79</w:t>
      </w:r>
      <w:r w:rsidRPr="00732013">
        <w:rPr>
          <w:spacing w:val="5"/>
          <w:w w:val="104"/>
          <w:lang w:val="en-US"/>
        </w:rPr>
        <w:t> </w:t>
      </w:r>
      <w:r w:rsidRPr="00732013">
        <w:rPr>
          <w:spacing w:val="5"/>
          <w:w w:val="104"/>
          <w:lang w:val="ru-RU"/>
        </w:rPr>
        <w:t>043 </w:t>
      </w:r>
      <w:r w:rsidR="001E0B7C" w:rsidRPr="00732013">
        <w:rPr>
          <w:spacing w:val="5"/>
          <w:w w:val="104"/>
          <w:lang w:val="ru-RU"/>
        </w:rPr>
        <w:t>ребенка</w:t>
      </w:r>
      <w:r w:rsidRPr="00732013">
        <w:rPr>
          <w:spacing w:val="5"/>
          <w:w w:val="104"/>
          <w:lang w:val="ru-RU"/>
        </w:rPr>
        <w:t xml:space="preserve">, то в 2012 году их было уже 87 559, а в 2013 году – 92 313. </w:t>
      </w:r>
    </w:p>
    <w:p w:rsidR="00947052" w:rsidRPr="00732013" w:rsidRDefault="00947052" w:rsidP="00732013">
      <w:pPr>
        <w:pStyle w:val="H1"/>
        <w:spacing w:before="0" w:line="240" w:lineRule="exact"/>
        <w:ind w:right="1267"/>
        <w:rPr>
          <w:spacing w:val="5"/>
          <w:w w:val="104"/>
          <w:lang w:val="en-US"/>
        </w:rPr>
      </w:pPr>
      <w:r w:rsidRPr="00732013">
        <w:rPr>
          <w:spacing w:val="5"/>
          <w:w w:val="104"/>
        </w:rPr>
        <w:t>Здравоохранение</w:t>
      </w:r>
    </w:p>
    <w:p w:rsidR="00947052" w:rsidRPr="00732013" w:rsidRDefault="00947052" w:rsidP="00732013">
      <w:pPr>
        <w:pStyle w:val="H23G"/>
        <w:spacing w:before="0"/>
        <w:ind w:right="1267"/>
        <w:rPr>
          <w:spacing w:val="5"/>
          <w:w w:val="104"/>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 xml:space="preserve">пункту 16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90.</w:t>
      </w:r>
      <w:r w:rsidRPr="00732013">
        <w:rPr>
          <w:spacing w:val="5"/>
          <w:w w:val="104"/>
          <w:lang w:val="ru-RU"/>
        </w:rPr>
        <w:tab/>
        <w:t xml:space="preserve">10 марта 2013 года девять членов парламента внесли на рассмотрение проект </w:t>
      </w:r>
      <w:r w:rsidR="001E0B7C" w:rsidRPr="00732013">
        <w:rPr>
          <w:spacing w:val="5"/>
          <w:w w:val="104"/>
          <w:lang w:val="ru-RU"/>
        </w:rPr>
        <w:t xml:space="preserve">Закона </w:t>
      </w:r>
      <w:r w:rsidRPr="00732013">
        <w:rPr>
          <w:spacing w:val="5"/>
          <w:w w:val="104"/>
          <w:lang w:val="ru-RU"/>
        </w:rPr>
        <w:t>о защите жизни в пренатальный период. В данном законопроекте содержатся ключевые принципы, регулирующие защиту жизни в пренатальный период, а также провозглашается, что человеческая жизнь начинается с момента проникновения сперматозоида в яйцеклетку женщины и что все вопросы, связанные с защитой жизни в пренатальный период, надлежит решать посредством уделения приоритетного внимания правам нового человека, за исключением трех случаев: если беременность угрожает жизни или здоровью беременной женщины; если пренатальные исследования свидетельствуют о повышенной вероятности того, что утробный плод серьезно поврежден или неизлечимо болен, возможно, со смертельным исходом</w:t>
      </w:r>
      <w:r w:rsidR="001E0B7C" w:rsidRPr="00732013">
        <w:rPr>
          <w:spacing w:val="5"/>
          <w:w w:val="104"/>
          <w:lang w:val="ru-RU"/>
        </w:rPr>
        <w:t>;</w:t>
      </w:r>
      <w:r w:rsidRPr="00732013">
        <w:rPr>
          <w:spacing w:val="5"/>
          <w:w w:val="104"/>
          <w:lang w:val="ru-RU"/>
        </w:rPr>
        <w:t xml:space="preserve"> и если имеются основания полагать, что беременность вызвана преступными деяниями. Законопроект предусматривает допускаемые условия для проведения аборта и уголовную ответственность за несоблюдение положений </w:t>
      </w:r>
      <w:r w:rsidR="001E0B7C" w:rsidRPr="00732013">
        <w:rPr>
          <w:spacing w:val="5"/>
          <w:w w:val="104"/>
          <w:lang w:val="ru-RU"/>
        </w:rPr>
        <w:t>Закона</w:t>
      </w:r>
      <w:r w:rsidRPr="00732013">
        <w:rPr>
          <w:spacing w:val="5"/>
          <w:w w:val="104"/>
          <w:lang w:val="ru-RU"/>
        </w:rPr>
        <w:t xml:space="preserve">. Кроме того, законопроект устанавливает требования и стоящие перед правительством и министрами задачи по обеспечению надлежащего ухода за утробным плодом и беременной женщиной, а также предусматривает подготовку по вопросам жизни в пренатальный период.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91.</w:t>
      </w:r>
      <w:r w:rsidRPr="00732013">
        <w:rPr>
          <w:spacing w:val="5"/>
          <w:w w:val="104"/>
          <w:lang w:val="ru-RU"/>
        </w:rPr>
        <w:tab/>
        <w:t>Правительство не утвердило данный законопроект</w:t>
      </w:r>
      <w:r w:rsidRPr="00732013">
        <w:rPr>
          <w:rStyle w:val="FootnoteReference"/>
          <w:spacing w:val="5"/>
          <w:w w:val="104"/>
          <w:sz w:val="20"/>
        </w:rPr>
        <w:footnoteReference w:id="47"/>
      </w:r>
      <w:r w:rsidRPr="00732013">
        <w:rPr>
          <w:spacing w:val="5"/>
          <w:w w:val="104"/>
          <w:lang w:val="ru-RU"/>
        </w:rPr>
        <w:t>, поскольку сочло, что он ограничивает частную жизнь женщин. Кроме того, возникли сомнения относительно его соответствия доктринам Конституционного суда, Конвенции Организации Объединенных Наций о ликвидации всех форм дискриминации в отношении женщин, рамочным рекомендациям Комитета, принципам Европейской конвенции о защите прав человека и основных свобод, а также прецедентному праву, установленному Европейским судом по правам человека</w:t>
      </w:r>
      <w:r w:rsidRPr="00732013">
        <w:rPr>
          <w:rStyle w:val="FootnoteReference"/>
          <w:spacing w:val="5"/>
          <w:w w:val="104"/>
          <w:sz w:val="20"/>
        </w:rPr>
        <w:footnoteReference w:id="48"/>
      </w:r>
      <w:r w:rsidRPr="00732013">
        <w:rPr>
          <w:spacing w:val="5"/>
          <w:w w:val="104"/>
          <w:lang w:val="ru-RU"/>
        </w:rPr>
        <w:t>. Правовой департамент и Канцелярия парламента провели оценку законопроекта и пришли к заключению, что необусловленную защиту нерожденного ребенка нельзя рассматривать достаточным и необходимым условием для ограничения неприкосновенности частной жизни женщины.</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92.</w:t>
      </w:r>
      <w:r w:rsidRPr="00732013">
        <w:rPr>
          <w:spacing w:val="5"/>
          <w:w w:val="104"/>
          <w:lang w:val="ru-RU"/>
        </w:rPr>
        <w:tab/>
        <w:t xml:space="preserve">Этот законопроект вызвал дискуссию в обществе. Результаты опроса общественного мнения, который проводила 16–23 июня 2010 года компания </w:t>
      </w:r>
      <w:r w:rsidRPr="00732013">
        <w:rPr>
          <w:spacing w:val="5"/>
          <w:w w:val="104"/>
        </w:rPr>
        <w:t>Sprinter</w:t>
      </w:r>
      <w:r w:rsidRPr="00732013">
        <w:rPr>
          <w:spacing w:val="5"/>
          <w:w w:val="104"/>
          <w:lang w:val="ru-RU"/>
        </w:rPr>
        <w:t xml:space="preserve"> </w:t>
      </w:r>
      <w:r w:rsidRPr="00732013">
        <w:rPr>
          <w:spacing w:val="5"/>
          <w:w w:val="104"/>
        </w:rPr>
        <w:t>tyrimai</w:t>
      </w:r>
      <w:r w:rsidRPr="00732013">
        <w:rPr>
          <w:spacing w:val="5"/>
          <w:w w:val="104"/>
          <w:lang w:val="ru-RU"/>
        </w:rPr>
        <w:t xml:space="preserve">, проводящая опросы общественного мнения и обследования рынка, были размещены на портале </w:t>
      </w:r>
      <w:r w:rsidRPr="00732013">
        <w:rPr>
          <w:spacing w:val="5"/>
          <w:w w:val="104"/>
        </w:rPr>
        <w:t>DELFI</w:t>
      </w:r>
      <w:r w:rsidRPr="00732013">
        <w:rPr>
          <w:spacing w:val="5"/>
          <w:w w:val="104"/>
          <w:lang w:val="ru-RU"/>
        </w:rPr>
        <w:t xml:space="preserve"> и свидетельствовали о том, что только 9,2 процента респондентов выразили однозначную поддержку абортов, в то время как 36,3 процента заявили о полной поддержке, а 48 процентов – о частичной поддержке абортов. В настоящее время в парламенте проходит обсуждение законопроекта, включая его моральные, социальные, здравоохранительные, правовые и прочие аспекты. Парламентский Комитет по правам человека получает множество откликов от различных неправительственных организаций, которые дают этому законопроекту самую разнообразную оценку.</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93.</w:t>
      </w:r>
      <w:r w:rsidRPr="00732013">
        <w:rPr>
          <w:spacing w:val="5"/>
          <w:w w:val="104"/>
          <w:lang w:val="ru-RU"/>
        </w:rPr>
        <w:tab/>
        <w:t xml:space="preserve">Проект </w:t>
      </w:r>
      <w:r w:rsidR="001E0B7C" w:rsidRPr="00732013">
        <w:rPr>
          <w:spacing w:val="5"/>
          <w:w w:val="104"/>
          <w:lang w:val="ru-RU"/>
        </w:rPr>
        <w:t xml:space="preserve">Закона </w:t>
      </w:r>
      <w:r w:rsidRPr="00732013">
        <w:rPr>
          <w:spacing w:val="5"/>
          <w:w w:val="104"/>
          <w:lang w:val="ru-RU"/>
        </w:rPr>
        <w:t>об искусственном оплодотворении</w:t>
      </w:r>
      <w:r w:rsidRPr="00732013">
        <w:rPr>
          <w:rStyle w:val="FootnoteReference"/>
          <w:spacing w:val="5"/>
          <w:w w:val="104"/>
          <w:sz w:val="20"/>
        </w:rPr>
        <w:footnoteReference w:id="49"/>
      </w:r>
      <w:r w:rsidRPr="00732013">
        <w:rPr>
          <w:spacing w:val="5"/>
          <w:w w:val="104"/>
          <w:lang w:val="ru-RU"/>
        </w:rPr>
        <w:t xml:space="preserve"> (далее законопроект) обсуждался на весенней сессии парламента в 2011 году. В результате дискуссии не удалось достичь общего понимания некоторых положений </w:t>
      </w:r>
      <w:r w:rsidR="001E0B7C" w:rsidRPr="00732013">
        <w:rPr>
          <w:spacing w:val="5"/>
          <w:w w:val="104"/>
          <w:lang w:val="ru-RU"/>
        </w:rPr>
        <w:t>Закона</w:t>
      </w:r>
      <w:r w:rsidRPr="00732013">
        <w:rPr>
          <w:spacing w:val="5"/>
          <w:w w:val="104"/>
          <w:lang w:val="ru-RU"/>
        </w:rPr>
        <w:t>, и принятие законопроекта было отложено. Министерство здравоохранения обратится к парламентскому руководству с просьбой рассмотреть возможность его скорейшего принятия.</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94.</w:t>
      </w:r>
      <w:r w:rsidRPr="00732013">
        <w:rPr>
          <w:spacing w:val="5"/>
          <w:w w:val="104"/>
          <w:lang w:val="ru-RU"/>
        </w:rPr>
        <w:tab/>
        <w:t>В начальной школе элементы сексуального воспитания входят в программу общего начального образования как предмет "познание мира". Каждая школа может выбирать, по какой программе в ней будет изучаться предмет "подготовка к семейной жизни и эволюция сексуальности"</w:t>
      </w:r>
      <w:r w:rsidRPr="00732013">
        <w:rPr>
          <w:rStyle w:val="FootnoteReference"/>
          <w:spacing w:val="5"/>
          <w:w w:val="104"/>
          <w:sz w:val="20"/>
        </w:rPr>
        <w:footnoteReference w:id="50"/>
      </w:r>
      <w:r w:rsidRPr="00732013">
        <w:rPr>
          <w:spacing w:val="5"/>
          <w:w w:val="104"/>
          <w:lang w:val="ru-RU"/>
        </w:rPr>
        <w:t>, который также входит в учебный план. Содержание начального образования сосредоточено на формировании уважения (как к себе, так и к другим), равноценности, равенстве прав, ответственности, толерантности и т. д. Каждая школа самостоятельно распределяет учебные часы, предназначенные для внеклассной работы, в соответствии с образовательными потребностями учащихся. Обычно в начальной школе на удовлетворение образовательных потребностей учащихся отводится</w:t>
      </w:r>
      <w:hyperlink r:id="rId19" w:history="1">
        <w:r w:rsidRPr="00301B75">
          <w:rPr>
            <w:rStyle w:val="Hyperlink"/>
            <w:spacing w:val="5"/>
            <w:w w:val="104"/>
            <w:lang w:val="ru-RU"/>
          </w:rPr>
          <w:t xml:space="preserve"> 2/3</w:t>
        </w:r>
      </w:hyperlink>
      <w:r w:rsidRPr="00732013">
        <w:rPr>
          <w:spacing w:val="5"/>
          <w:w w:val="104"/>
          <w:lang w:val="ru-RU"/>
        </w:rPr>
        <w:t> часов в неделю, в 5–8</w:t>
      </w:r>
      <w:r w:rsidRPr="00732013">
        <w:rPr>
          <w:spacing w:val="5"/>
          <w:w w:val="104"/>
          <w:lang w:val="ru-RU"/>
        </w:rPr>
        <w:noBreakHyphen/>
        <w:t>х классах – три урока в неделю для каждой классной группы, в 9–10</w:t>
      </w:r>
      <w:r w:rsidRPr="00732013">
        <w:rPr>
          <w:spacing w:val="5"/>
          <w:w w:val="104"/>
          <w:lang w:val="ru-RU"/>
        </w:rPr>
        <w:noBreakHyphen/>
        <w:t>х классах – семь уроков в неделю для каждой классной группы.</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95.</w:t>
      </w:r>
      <w:r w:rsidRPr="00732013">
        <w:rPr>
          <w:spacing w:val="5"/>
          <w:w w:val="104"/>
          <w:lang w:val="ru-RU"/>
        </w:rPr>
        <w:tab/>
        <w:t>Учащимся начальной школы тема сексуальности раскрывается в контексте таких тем, как "семья", "пол", "культура", "общество" и "сексуальное здоровье". Одна из целей заключается в том, чтобы передать необходимые знания о физиологических и психологических изменениях, происходящих в юношеском возрасте, о личной гигиене, гендерных отличиях, контроле над эмоциями и т. д., а также сформировать адекватные социальные навыки, воспитать позитивное самовосприятие, способность противостоять воздействию негативной среды, помогать друзьям, попавшим в затруднительное положение, и т. д.</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96.</w:t>
      </w:r>
      <w:r w:rsidRPr="00732013">
        <w:rPr>
          <w:spacing w:val="5"/>
          <w:w w:val="104"/>
          <w:lang w:val="ru-RU"/>
        </w:rPr>
        <w:tab/>
        <w:t>Вопросы сексуального воспитания являются частью предметов (таких, например, как "этика" и "биология") в рамках общих программ полного и среднего образования. Программы подготовки к семейной жизни и программы сексуального воспитания, упоминаемые Комитетом, разработаны для учащихся всех возрастов. Они дают учащимся возможность подробно ознакомиться с биологическими, социальными, психологическими, культурными и эмоциональными аспектами полового созревания, подготовиться к семейной жизни и обсудить такие вопросы, как сексуальное здоровье, ответственность и формирование прочных взаимоотношений. При ознакомлении с информацией, касающейся сексуального воспитания, учитываются физиологическая зрелость и потребности детей конкретного возраста, при этом упор делается на сбалансированность физического и умственного развития, а не на объем получаемых знаний.</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97.</w:t>
      </w:r>
      <w:r w:rsidRPr="00732013">
        <w:rPr>
          <w:spacing w:val="5"/>
          <w:w w:val="104"/>
          <w:lang w:val="ru-RU"/>
        </w:rPr>
        <w:tab/>
        <w:t>Модель предоставления медицинских услуг, благоприятствующих молодежи, находится в процессе создания и осуществления на муниципальном уровне. Предоставляемые молодым людям медицинские услуги направлены на борьбу с распространением заболеваний, передаваемым половым путем, и профилактику ВИЧ/СПИДа среди молодежи, предотвращение нежелательной беременности, предоставление молодежи необходимых знаний о противозачаточных средствах и безопасной сексуальной жизни, укрепление физического и умственного здоровья молодых людей, формирование реальных жизненных навыков, позволяющих принимать правильные решения в отношении своего здоровья. Данная модель разработана в рамках проекта "Создание модели медицинских услуг, благоприятных для молодежи", финансируемого по программе "Инициативы в интересах общественного здравоохранения" (2009–2014 годы) и реализуемого под эгидой норвежского финансового механизма.</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98.</w:t>
      </w:r>
      <w:r w:rsidRPr="00732013">
        <w:rPr>
          <w:spacing w:val="5"/>
          <w:w w:val="104"/>
          <w:lang w:val="ru-RU"/>
        </w:rPr>
        <w:tab/>
        <w:t xml:space="preserve">Специалисты медицинских учреждений, используя различные образовательные меры, направленные на предупреждение подростковой беременности или на сокращение случаев такой беременности, проводят в учебных заведениях занятия по сексуальному воспитанию. Так, в 2011–2012 годах муниципальный отдел здравоохранения в Радвилишкском районе оформил информационные стенды по вопросам сексуальности, опубликовал справочное издание "Добро пожаловать в женский мир" (2 тыс. экземпляров), провел 69 дискуссий на тему "Эволюция сексуальности", организовал для учащихся ряд лекций, в том числе по таким темам, как "Контрацепция" (21 участник), "Письма к девочкам" (11 участников), "ВИЧ/СПИД – это нужно знать" (17 участников).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99.</w:t>
      </w:r>
      <w:r w:rsidRPr="00732013">
        <w:rPr>
          <w:spacing w:val="5"/>
          <w:w w:val="104"/>
          <w:lang w:val="ru-RU"/>
        </w:rPr>
        <w:tab/>
        <w:t xml:space="preserve">Министерство здравоохранения выступает инициатором встреч-совещаний с парламентской группой по развитию сотрудничества, репродуктивному здоровью и правам человека, представителями Министерства образования и науки, Министерства социальной защиты и труда и Министерства внутренних дел, а также с другими заинтересованными лицами с целью обсуждения соответствующих вопросов репродуктивного здоровья в свете выполнения рекомендаций относительно состояния репродуктивного здоровья в Литве, вынесенных Организацией Объединенных Наций и другими международными организациями, и обеспечения полного соблюдения положений стратегии Всемирной организации здравоохранения по сексуальному и репродуктивному здоровью в Европейском регионе. </w:t>
      </w:r>
    </w:p>
    <w:p w:rsidR="00947052" w:rsidRPr="00732013" w:rsidRDefault="00947052" w:rsidP="00732013">
      <w:pPr>
        <w:pStyle w:val="SingleTxtG"/>
        <w:spacing w:line="240" w:lineRule="exact"/>
        <w:ind w:right="1267"/>
        <w:rPr>
          <w:i/>
          <w:iCs/>
          <w:spacing w:val="5"/>
          <w:w w:val="104"/>
          <w:lang w:val="ru-RU"/>
        </w:rPr>
      </w:pPr>
      <w:r w:rsidRPr="00732013">
        <w:rPr>
          <w:spacing w:val="5"/>
          <w:w w:val="104"/>
          <w:lang w:val="ru-RU"/>
        </w:rPr>
        <w:t>100.</w:t>
      </w:r>
      <w:r w:rsidRPr="00732013">
        <w:rPr>
          <w:spacing w:val="5"/>
          <w:w w:val="104"/>
          <w:lang w:val="ru-RU"/>
        </w:rPr>
        <w:tab/>
        <w:t>Законодательство, регулирующее оказание медицинской помощи, включает положения о недискриминации по признаку инвалидности. Лица с инвалидностью имеют равные возможности для использования предлагаемых в Литве услуг в области репродуктивного здоровья наравне с другими жителями Литвы. Статья 2.25 Гражданского кодекса</w:t>
      </w:r>
      <w:r w:rsidRPr="00732013">
        <w:rPr>
          <w:rStyle w:val="FootnoteReference"/>
          <w:spacing w:val="5"/>
          <w:w w:val="104"/>
          <w:sz w:val="20"/>
        </w:rPr>
        <w:footnoteReference w:id="51"/>
      </w:r>
      <w:r w:rsidRPr="00732013">
        <w:rPr>
          <w:spacing w:val="5"/>
          <w:w w:val="104"/>
          <w:lang w:val="ru-RU"/>
        </w:rPr>
        <w:t xml:space="preserve"> устанавливает, что вмешательство в тело человека, изъятие частей его тела или органов возможны только с его согласия. Согласие на хирургическую операцию оформляется в письменном виде. В случае недееспособности лица согласие дает его опекун; в случае кастрации, стерилизации, аборта, операции или изъятия органов недееспособного лица необходимо разрешение суда. Закон о правах пациентов и компенсации вреда их здоровью</w:t>
      </w:r>
      <w:r w:rsidRPr="00732013">
        <w:rPr>
          <w:rStyle w:val="FootnoteReference"/>
          <w:spacing w:val="5"/>
          <w:w w:val="104"/>
          <w:sz w:val="20"/>
        </w:rPr>
        <w:footnoteReference w:id="52"/>
      </w:r>
      <w:r w:rsidRPr="00732013">
        <w:rPr>
          <w:spacing w:val="5"/>
          <w:w w:val="104"/>
          <w:lang w:val="ru-RU"/>
        </w:rPr>
        <w:t xml:space="preserve"> предусматривает, что взаимоотношения пациента со специалистами</w:t>
      </w:r>
      <w:r w:rsidR="001E0B7C" w:rsidRPr="00732013">
        <w:rPr>
          <w:spacing w:val="5"/>
          <w:w w:val="104"/>
          <w:lang w:val="ru-RU"/>
        </w:rPr>
        <w:t>-</w:t>
      </w:r>
      <w:r w:rsidRPr="00732013">
        <w:rPr>
          <w:spacing w:val="5"/>
          <w:w w:val="104"/>
          <w:lang w:val="ru-RU"/>
        </w:rPr>
        <w:t>медиками и медицинскими учреждениями основываются, наряду с другими принципами, на принципе запрета на ограничение прав пациента по признаку инвалидности.</w:t>
      </w:r>
    </w:p>
    <w:p w:rsidR="00947052" w:rsidRPr="00732013" w:rsidRDefault="00947052" w:rsidP="00732013">
      <w:pPr>
        <w:pStyle w:val="H1"/>
        <w:spacing w:before="0" w:line="240" w:lineRule="exact"/>
        <w:ind w:right="1267"/>
        <w:rPr>
          <w:spacing w:val="5"/>
          <w:w w:val="104"/>
        </w:rPr>
      </w:pPr>
      <w:r w:rsidRPr="00732013">
        <w:rPr>
          <w:spacing w:val="5"/>
          <w:w w:val="104"/>
        </w:rPr>
        <w:t xml:space="preserve">Группы женщин, находящихся в уязвимом положении </w:t>
      </w:r>
    </w:p>
    <w:p w:rsidR="00947052" w:rsidRPr="00732013" w:rsidRDefault="00947052" w:rsidP="00732013">
      <w:pPr>
        <w:pStyle w:val="H23G"/>
        <w:spacing w:before="0"/>
        <w:ind w:right="1267"/>
        <w:rPr>
          <w:spacing w:val="5"/>
          <w:w w:val="104"/>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 xml:space="preserve">пункту 17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101.</w:t>
      </w:r>
      <w:r w:rsidRPr="00732013">
        <w:rPr>
          <w:spacing w:val="5"/>
          <w:w w:val="104"/>
          <w:lang w:val="ru-RU"/>
        </w:rPr>
        <w:tab/>
        <w:t xml:space="preserve">В соответствии с рекомендациями Комитета </w:t>
      </w:r>
      <w:r w:rsidR="001E0B7C" w:rsidRPr="00732013">
        <w:rPr>
          <w:spacing w:val="5"/>
          <w:w w:val="104"/>
          <w:lang w:val="ru-RU"/>
        </w:rPr>
        <w:t xml:space="preserve">Министерство </w:t>
      </w:r>
      <w:r w:rsidRPr="00732013">
        <w:rPr>
          <w:spacing w:val="5"/>
          <w:w w:val="104"/>
          <w:lang w:val="ru-RU"/>
        </w:rPr>
        <w:t>социальной защиты и труда инициировало проведение сравнительного исследования под названием "Многоаспектный аналитический обзор положения женщин в сельских районах, женщин-инвалидов, женщин из числа национальных меньшинств, включая народность рома, пожилых женщин (группа 55–60 лет, предпенсионный возраст и группа старше 60 лет) и женщин-мигрантов". Данное исследование имеет целью изучение положения групп женщин, упоминаемых в рекомендации Комитета с точки зрения рода занятий, образования, жизненного опыта и культуры, их возможности зарабатывать, иметь жилье, получать доступ к медицинскому обслуживанию, социальным услугам, правовой помощи, кредитованию для ведения предпринимательской деятельности и участию в принятии решений. Результаты, основанные на количественных и процентных показателях, будут подробно представлены на заседании.</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102.</w:t>
      </w:r>
      <w:r w:rsidRPr="00732013">
        <w:rPr>
          <w:spacing w:val="5"/>
          <w:w w:val="104"/>
          <w:lang w:val="ru-RU"/>
        </w:rPr>
        <w:tab/>
        <w:t>Представители определенных уязвимых групп, предусмотренных в законодательстве, имеют право на социальное жилье за счет поддержки из средств государственного бюджета. Вопросы помощи на приобретение или наем жилья и условия, регламентирующие предоставление помощи, изложены в Законе о государственной поддержке на приобретение или наем жилья и ремонт (реконструкцию) жилых помещений</w:t>
      </w:r>
      <w:r w:rsidRPr="00732013">
        <w:rPr>
          <w:rStyle w:val="FootnoteReference"/>
          <w:spacing w:val="5"/>
          <w:w w:val="104"/>
          <w:sz w:val="20"/>
        </w:rPr>
        <w:footnoteReference w:id="53"/>
      </w:r>
      <w:r w:rsidRPr="00732013">
        <w:rPr>
          <w:spacing w:val="5"/>
          <w:w w:val="104"/>
          <w:lang w:val="ru-RU"/>
        </w:rPr>
        <w:t>. Данный Закон предусматривает, что помощь на приобретение или наем жилья предоставляется физическим лицам (семьям), постоянно проживающим в Литве, если их имущество и доход не превышают норм, установленных правительством</w:t>
      </w:r>
      <w:r w:rsidRPr="00732013">
        <w:rPr>
          <w:rStyle w:val="FootnoteReference"/>
          <w:spacing w:val="5"/>
          <w:w w:val="104"/>
          <w:sz w:val="20"/>
        </w:rPr>
        <w:footnoteReference w:id="54"/>
      </w:r>
      <w:r w:rsidRPr="00732013">
        <w:rPr>
          <w:spacing w:val="5"/>
          <w:w w:val="104"/>
          <w:lang w:val="ru-RU"/>
        </w:rPr>
        <w:t>. Статья 11 Закона устанавливает, что лица (семьи), обладающие правом на муниципальное социальное жилье или улучшение жилищных условий, должны быть внесены в один из нижеперечисленных списков при подаче в муниципальные органы исполнительной власти заявления или документов, подтверждающих их право на социальное жилье: 1) список молодых семей; 2) список семей, имеющих троих или более детей (приемных детей); 3) список бывших сирот или лиц, оставшихся без попечения родителей; 4) список лиц с инвалидностью и семей с инвалидами; 5) общий список; 6) список арендаторов социального жилья, имеющих право на улучшение жилищных условий. Данные по социальным услугам для различных уязвимых групп за 2012 год представлены в Приложении 9.</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103.</w:t>
      </w:r>
      <w:r w:rsidRPr="00732013">
        <w:rPr>
          <w:spacing w:val="5"/>
          <w:w w:val="104"/>
          <w:lang w:val="ru-RU"/>
        </w:rPr>
        <w:tab/>
        <w:t>Что касается заданного Комитетом вопроса о различных мерах в областях, охватываемых Конвенцией, то такие меры принимаются в рамках Национальной антидискриминационной программы на 2009–2011 годы</w:t>
      </w:r>
      <w:r w:rsidRPr="00732013">
        <w:rPr>
          <w:rStyle w:val="FootnoteReference"/>
          <w:spacing w:val="5"/>
          <w:w w:val="104"/>
          <w:sz w:val="20"/>
        </w:rPr>
        <w:footnoteReference w:id="55"/>
      </w:r>
      <w:r w:rsidRPr="00732013">
        <w:rPr>
          <w:spacing w:val="5"/>
          <w:w w:val="104"/>
          <w:lang w:val="ru-RU"/>
        </w:rPr>
        <w:t xml:space="preserve"> и Межучрежденческого плана действий по поощрению недискриминации на 2012–2014 годы, обеспечивающего непрерывность этой Программы. Оба документа осуществляются в тесном сотрудничестве с НПО. Конкретные программные меры направлены на софинансирование проектов НПО по защите прав человека.</w:t>
      </w:r>
    </w:p>
    <w:p w:rsidR="00947052" w:rsidRPr="00732013" w:rsidRDefault="00947052" w:rsidP="00732013">
      <w:pPr>
        <w:pStyle w:val="SingleTxtG"/>
        <w:spacing w:line="240" w:lineRule="exact"/>
        <w:ind w:right="1267"/>
        <w:rPr>
          <w:b/>
          <w:bCs/>
          <w:spacing w:val="5"/>
          <w:w w:val="104"/>
          <w:lang w:val="ru-RU"/>
        </w:rPr>
      </w:pPr>
      <w:r w:rsidRPr="00732013">
        <w:rPr>
          <w:spacing w:val="5"/>
          <w:w w:val="104"/>
          <w:lang w:val="ru-RU"/>
        </w:rPr>
        <w:t>104.</w:t>
      </w:r>
      <w:r w:rsidRPr="00732013">
        <w:rPr>
          <w:spacing w:val="5"/>
          <w:w w:val="104"/>
          <w:lang w:val="ru-RU"/>
        </w:rPr>
        <w:tab/>
        <w:t>Деятельность по осуществлению Национальной антидискриминационной программы на 2009–2011 годы включает мероприятия по поощрению толерантности и восприятия других культур. Предусматривается также разработка методических рекомендаций относительно преступлений, совершенных на почве расовой ненависти, национализма, ксенофобии, гомофобии или по другим дискриминационным признакам. На учебных занятиях рассматривались особенности организации и проведения досудебного расследования. С членами молодежной ассоциации также проводились занятия по вопросам воспитания толерантности и уважения прав человека</w:t>
      </w:r>
      <w:r w:rsidRPr="00732013">
        <w:rPr>
          <w:i/>
          <w:iCs/>
          <w:spacing w:val="5"/>
          <w:w w:val="104"/>
          <w:lang w:val="ru-RU"/>
        </w:rPr>
        <w:t>.</w:t>
      </w:r>
      <w:r w:rsidRPr="00732013">
        <w:rPr>
          <w:spacing w:val="5"/>
          <w:w w:val="104"/>
          <w:lang w:val="ru-RU"/>
        </w:rPr>
        <w:t xml:space="preserve"> В общеобразовательных школах было проведено исследование толерантности в отношении различных социальных групп, а также исследование признаков потенциальной дискриминации в общеобразовательных школах.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105.</w:t>
      </w:r>
      <w:r w:rsidRPr="00732013">
        <w:rPr>
          <w:spacing w:val="5"/>
          <w:w w:val="104"/>
          <w:lang w:val="ru-RU"/>
        </w:rPr>
        <w:tab/>
        <w:t>В 2010 году был создан Форум национального равенства и многообразия (далее Форум), представляющий собой национальную сеть для сотрудничества, которая объединяет НПО, представляет интересы групп, уязвимых перед дискриминацией, стремится выработать совместные цели в борьбе с дискриминацией по признаку пола, инвалидности, сексуальной ориентации, религии и убеждений, расы или этнического происхождения</w:t>
      </w:r>
      <w:r w:rsidRPr="00732013">
        <w:rPr>
          <w:rStyle w:val="FootnoteReference"/>
          <w:spacing w:val="5"/>
          <w:w w:val="104"/>
          <w:sz w:val="20"/>
        </w:rPr>
        <w:footnoteReference w:id="56"/>
      </w:r>
      <w:r w:rsidRPr="00732013">
        <w:rPr>
          <w:spacing w:val="5"/>
          <w:w w:val="104"/>
          <w:lang w:val="ru-RU"/>
        </w:rPr>
        <w:t>. Форум аккумулирует ресурсы НПО, накапливает информацию и опыт в вопросах эффективного участия в борьбе с дискриминацией, а также предоставляет возможность входящим в него организациям принимать участие</w:t>
      </w:r>
      <w:r w:rsidR="001E0B7C" w:rsidRPr="00732013">
        <w:rPr>
          <w:spacing w:val="5"/>
          <w:w w:val="104"/>
          <w:lang w:val="ru-RU"/>
        </w:rPr>
        <w:t xml:space="preserve"> в</w:t>
      </w:r>
      <w:r w:rsidRPr="00732013">
        <w:rPr>
          <w:spacing w:val="5"/>
          <w:w w:val="104"/>
          <w:lang w:val="ru-RU"/>
        </w:rPr>
        <w:t xml:space="preserve"> разработке и мониторинге мер антидискриминационной политики, в их применении на практике и в процессе их совершенствования. Форум стремится укреплять толерантность, воспитывать уважение к правам человека, бороться с попытками научного обоснования дискриминации, повышать осведомленность населения по вопросам дискриминации.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106.</w:t>
      </w:r>
      <w:r w:rsidRPr="00732013">
        <w:rPr>
          <w:spacing w:val="5"/>
          <w:w w:val="104"/>
          <w:lang w:val="ru-RU"/>
        </w:rPr>
        <w:tab/>
        <w:t xml:space="preserve">В сотрудничестве с Форумом Канцелярия </w:t>
      </w:r>
      <w:r w:rsidR="002342C2" w:rsidRPr="00732013">
        <w:rPr>
          <w:spacing w:val="5"/>
          <w:w w:val="104"/>
          <w:lang w:val="ru-RU"/>
        </w:rPr>
        <w:t xml:space="preserve">Омбудсмена </w:t>
      </w:r>
      <w:r w:rsidRPr="00732013">
        <w:rPr>
          <w:spacing w:val="5"/>
          <w:w w:val="104"/>
          <w:lang w:val="ru-RU"/>
        </w:rPr>
        <w:t>по вопросам равных возможностей осуществляет проект Į</w:t>
      </w:r>
      <w:r w:rsidRPr="00732013">
        <w:rPr>
          <w:spacing w:val="5"/>
          <w:w w:val="104"/>
        </w:rPr>
        <w:t>vairov</w:t>
      </w:r>
      <w:r w:rsidRPr="00732013">
        <w:rPr>
          <w:spacing w:val="5"/>
          <w:w w:val="104"/>
          <w:lang w:val="ru-RU"/>
        </w:rPr>
        <w:t>ė.</w:t>
      </w:r>
      <w:r w:rsidRPr="00732013">
        <w:rPr>
          <w:spacing w:val="5"/>
          <w:w w:val="104"/>
        </w:rPr>
        <w:t>LT</w:t>
      </w:r>
      <w:r w:rsidRPr="00732013">
        <w:rPr>
          <w:spacing w:val="5"/>
          <w:w w:val="104"/>
          <w:lang w:val="ru-RU"/>
        </w:rPr>
        <w:t xml:space="preserve"> (2013–2014 годы), предусматривающий информирование о вопросах дискриминации и продвижение идей многообразия и равенства. Проект также предусматривает распространение знаний о дискриминации по различных признакам: пола, возраста, религии, инвалидности, национальности или сексуальной ориентации. Проект под названием "Дни равенства" охватывает десять различных литовских районов. Эти мероприятия призваны предоставить информацию о различных причинах дискриминации и тех целях, которые преследует законодательство ЕС и Литвы в данной сфере, и способствовать обмену информацией, касающейся равных возможностей и прав. Целевой аудиторией данной кампании являются общины и сотрудники местных муниципалитетов, неправительственные организации, школьные сообщества и местные жители. В рамках кампании проводятся лекции, открытые дискуссии и ознакомление с инновационными интерактивными мерами. "Дни равенства" в Литве также служат поводом для вручения наград за содействие многообразию тем работающим в районах сотрудникам, которые внесли наибольший вклад в поддержку и распространение идей равенства и недискриминации.</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107.</w:t>
      </w:r>
      <w:r w:rsidRPr="00732013">
        <w:rPr>
          <w:spacing w:val="5"/>
          <w:w w:val="104"/>
          <w:lang w:val="ru-RU"/>
        </w:rPr>
        <w:tab/>
        <w:t>15–16 марта 2013 года в Вильнюсе состоялся семинар на тему множественной дискриминации под названием "Разнообразие среди нас", в ходе которого 60 участников изучали формы и распространенность дискриминации по признаку инвалидности, возраста, пола, расы, сексуальной ориентации, религии или убеждений, а также меры по продвижению принципов равенства и многообразия. Участники также обсудили концепцию толерантности, разновидности основанных на предубеждении подходов</w:t>
      </w:r>
      <w:r w:rsidR="001E0B7C" w:rsidRPr="00732013">
        <w:rPr>
          <w:spacing w:val="5"/>
          <w:w w:val="104"/>
          <w:lang w:val="ru-RU"/>
        </w:rPr>
        <w:t>,</w:t>
      </w:r>
      <w:r w:rsidRPr="00732013">
        <w:rPr>
          <w:spacing w:val="5"/>
          <w:w w:val="104"/>
          <w:lang w:val="ru-RU"/>
        </w:rPr>
        <w:t xml:space="preserve"> роль местных органов и общин в формировании интегрированного общества и ознакомились с опытом других стран в решении социальных проблем и принятии мер по борьбе с множественной дискриминацией.</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108.</w:t>
      </w:r>
      <w:r w:rsidRPr="00732013">
        <w:rPr>
          <w:spacing w:val="5"/>
          <w:w w:val="104"/>
          <w:lang w:val="ru-RU"/>
        </w:rPr>
        <w:tab/>
        <w:t xml:space="preserve">Женщины из </w:t>
      </w:r>
      <w:r w:rsidR="001E0B7C" w:rsidRPr="00732013">
        <w:rPr>
          <w:spacing w:val="5"/>
          <w:w w:val="104"/>
          <w:lang w:val="ru-RU"/>
        </w:rPr>
        <w:t xml:space="preserve">числа </w:t>
      </w:r>
      <w:r w:rsidRPr="00732013">
        <w:rPr>
          <w:spacing w:val="5"/>
          <w:w w:val="104"/>
          <w:lang w:val="ru-RU"/>
        </w:rPr>
        <w:t>национальных меньшинств активно участвуют в общественной и культурной жизни страны и в принятии решений, касающихся защиты прав меньшинств, укреплении и расширении национальной идентичности (языка, традиций, национального наследия). В Литве насчитывается около 260 НПО национальных меньшинств, и около половины из них возглавляются женщинами. Из 26 членов Совета национальных общин, избранных на период 2012–2014 годов, половину составляли женщины. В этой связи следует упомянуть Общество польских женщин в Литве, Общество украинских женщин в Литве и Общество женщин</w:t>
      </w:r>
      <w:r w:rsidR="001E0B7C" w:rsidRPr="00732013">
        <w:rPr>
          <w:spacing w:val="5"/>
          <w:w w:val="104"/>
          <w:lang w:val="ru-RU"/>
        </w:rPr>
        <w:t xml:space="preserve"> – </w:t>
      </w:r>
      <w:r w:rsidRPr="00732013">
        <w:rPr>
          <w:spacing w:val="5"/>
          <w:w w:val="104"/>
          <w:lang w:val="ru-RU"/>
        </w:rPr>
        <w:t>предпринимателей из числа этнических групп в Литве. Последнее из упомянутых обществ активно занимается вопросами, касающимися развития предпринимательства и оказания поддержки женщинам</w:t>
      </w:r>
      <w:r w:rsidR="001E0B7C" w:rsidRPr="00732013">
        <w:rPr>
          <w:spacing w:val="5"/>
          <w:w w:val="104"/>
          <w:lang w:val="ru-RU"/>
        </w:rPr>
        <w:t xml:space="preserve"> – </w:t>
      </w:r>
      <w:r w:rsidRPr="00732013">
        <w:rPr>
          <w:spacing w:val="5"/>
          <w:w w:val="104"/>
          <w:lang w:val="ru-RU"/>
        </w:rPr>
        <w:t>предпринимателям из числа национальных меньшинств, и входит в Европейскую сеть женщин-мигрантов. Женщины из числа национальных меньшинств играют активную роль в деятельности субботних и воскресных школ для национальных меньшинств и формировании культурной компетентности детей и молодежи из числа национальных меньшинств.</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109.</w:t>
      </w:r>
      <w:r w:rsidRPr="00732013">
        <w:rPr>
          <w:spacing w:val="5"/>
          <w:w w:val="104"/>
          <w:lang w:val="ru-RU"/>
        </w:rPr>
        <w:tab/>
      </w:r>
      <w:r w:rsidR="001E0B7C" w:rsidRPr="00732013">
        <w:rPr>
          <w:spacing w:val="5"/>
          <w:w w:val="104"/>
          <w:lang w:val="ru-RU"/>
        </w:rPr>
        <w:t xml:space="preserve">Информация </w:t>
      </w:r>
      <w:r w:rsidRPr="00732013">
        <w:rPr>
          <w:spacing w:val="5"/>
          <w:w w:val="104"/>
          <w:lang w:val="ru-RU"/>
        </w:rPr>
        <w:t xml:space="preserve">о принимаемых в конкретных областях применения Конвенции целевых мерах в отношении уязвимых групп женщин также представлена в предыдущих пунктах. В свою очередь политика, направленная на расширение социально-экономической включенности уязвимых групп, в том числе женщин пожилого возраста, равно как и меры по реализации этой политики, изложены в ответе по пункту 18. Выводы и рекомендации проведенного в 2008 году обзора положения на рынке труда мужчин и женщин из числа национальных меньшинств учтены в Стратегии развития политики в отношении национальных меньшинств. Так, в целях содействия доступу на рынок труда были организованы бесплатные курсы национального языка. В 2013 году 400 слушателей окончили эти курсы и получили удостоверения, большинство из них – женщины. </w:t>
      </w:r>
    </w:p>
    <w:p w:rsidR="00947052" w:rsidRPr="00732013" w:rsidRDefault="00947052" w:rsidP="00732013">
      <w:pPr>
        <w:pStyle w:val="H23G"/>
        <w:spacing w:before="0"/>
        <w:ind w:right="1267"/>
        <w:rPr>
          <w:spacing w:val="5"/>
          <w:w w:val="104"/>
        </w:rPr>
      </w:pPr>
      <w:r w:rsidRPr="00732013">
        <w:rPr>
          <w:spacing w:val="5"/>
          <w:w w:val="104"/>
        </w:rPr>
        <w:t>Ответ по пункту 18</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110.</w:t>
      </w:r>
      <w:r w:rsidRPr="00732013">
        <w:rPr>
          <w:spacing w:val="5"/>
          <w:w w:val="104"/>
          <w:lang w:val="ru-RU"/>
        </w:rPr>
        <w:tab/>
        <w:t>По состоянию на 1 марта 2011 года в Литве насчитывалось 1</w:t>
      </w:r>
      <w:r w:rsidRPr="00732013">
        <w:rPr>
          <w:spacing w:val="5"/>
          <w:w w:val="104"/>
          <w:lang w:val="en-US"/>
        </w:rPr>
        <w:t> </w:t>
      </w:r>
      <w:r w:rsidRPr="00732013">
        <w:rPr>
          <w:spacing w:val="5"/>
          <w:w w:val="104"/>
          <w:lang w:val="ru-RU"/>
        </w:rPr>
        <w:t>640 800 женщин, что составляло 53,9 процента населения страны, то есть на 7,8 процентных пункта больше, чем численность мужчин (1 402 600, или 46,1 процента населения). Доля женщин в городах (по отношению к общей численности населения) составила 55,1 процента, в то время как доля женщин в сельских районах составила 51,6 процента. Особенно быстро увеличивается доля женщин пожилого возраста: чем старше возраст групп населения, тем выше доля в них женщин (см. Приложение 10). Что касается возрастной группы до 54 лет, то в домохозяйствах, состоящих из одного человека, больше мужчин, чем женщин, в то время как у возрастной группы 55 лет и старше в домохозяйствах, состоящих из одного человека, больше женщин, чем мужчин. Более 30 процентов всех женщин в возрасте 55 лет и старше проживают в домохозяйствах, состоящих из одного человека (35 процентов), а в возрастной группе 70 лет и старше этот показатель составляет 60 процентов. Доля пожилых женщин (55 лет и старше) в домохозяйствах, состоящих из одного человека, значительно выше в городах (69,8 процента), чем в сельских районах (30,2 процента).</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111.</w:t>
      </w:r>
      <w:r w:rsidRPr="00732013">
        <w:rPr>
          <w:spacing w:val="5"/>
          <w:w w:val="104"/>
          <w:lang w:val="ru-RU"/>
        </w:rPr>
        <w:tab/>
        <w:t xml:space="preserve">Распределение женщин пожилого возраста по районам представляется довольно ровным. Доля женщин соответствующей возрастной группы между максимальным и минимальным значениями колеблется приблизительно в пределах 2 процентных пунктов, за исключением женщин в возрасте 80 лет или менее. Женщины этой возрастной группы в Утенском уезде составляют 20,1 процента, а в Клайпедском уезде – 16,1 процента, т. е. разница между этими районами составляет 4 процентных пункта. В Утенском уезде проживает гораздо больше женщин пожилого возраста, чем в Клайпедском и Вильнюсском уездах, хотя разница с другими уездами незначительна. Подробные статистические данные по пожилым женщинам (в разбивке по возрастным группам, семейному положению и району) представлены в Приложении 10.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112.</w:t>
      </w:r>
      <w:r w:rsidRPr="00732013">
        <w:rPr>
          <w:spacing w:val="5"/>
          <w:w w:val="104"/>
          <w:lang w:val="ru-RU"/>
        </w:rPr>
        <w:tab/>
        <w:t>Программа национального прогресса на 2014–2020 годы</w:t>
      </w:r>
      <w:r w:rsidRPr="00732013">
        <w:rPr>
          <w:rStyle w:val="FootnoteReference"/>
          <w:spacing w:val="5"/>
          <w:w w:val="104"/>
          <w:sz w:val="20"/>
        </w:rPr>
        <w:footnoteReference w:id="57"/>
      </w:r>
      <w:r w:rsidRPr="00732013">
        <w:rPr>
          <w:spacing w:val="5"/>
          <w:w w:val="104"/>
          <w:lang w:val="ru-RU"/>
        </w:rPr>
        <w:t xml:space="preserve"> содержит ключевые положения национальной политики и основные положения политики ЕС, содержащиеся в стратегии "Европа-2020", об условиях для устойчивого, прогрессивного и всеобъемлющего роста. Эти меры будут опираться как на государственное финансирование, так и на структурную поддержку. Вышеупомянутая Программа предусматривает направления, охватывающие пожизненное обучение и неформальное образование путем преодоления социальной и цифровой исключенности пожилых людей, а также поощрение и развитие обучения пенсионеров. Программа также сосредоточена на развитии и доступности государственных услуг, в частности адресованных уязвимым группам общества, и на расширении качественной занятости путем обеспечения равенства мужчин и женщин </w:t>
      </w:r>
      <w:r w:rsidR="001E0B7C" w:rsidRPr="00732013">
        <w:rPr>
          <w:spacing w:val="5"/>
          <w:w w:val="104"/>
          <w:lang w:val="ru-RU"/>
        </w:rPr>
        <w:t xml:space="preserve">на </w:t>
      </w:r>
      <w:r w:rsidRPr="00732013">
        <w:rPr>
          <w:spacing w:val="5"/>
          <w:w w:val="104"/>
          <w:lang w:val="ru-RU"/>
        </w:rPr>
        <w:t>рынке труда, что позволит реализовать инициативы, касающиеся активного и здорового старения. Уровень занятости пожилых людей в Литве превышает средний уровень ЕС.</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113.</w:t>
      </w:r>
      <w:r w:rsidRPr="00732013">
        <w:rPr>
          <w:spacing w:val="5"/>
          <w:w w:val="104"/>
          <w:lang w:val="ru-RU"/>
        </w:rPr>
        <w:tab/>
        <w:t>С целью поощрения всех жителей работоспособного возраста к занятости, а работников пожилого возраста к тому, чтобы они дольше оставались на рынке труда, Программа содействия занятости на период 2014–2020 годов</w:t>
      </w:r>
      <w:r w:rsidRPr="00732013">
        <w:rPr>
          <w:rStyle w:val="FootnoteReference"/>
          <w:spacing w:val="5"/>
          <w:w w:val="104"/>
          <w:sz w:val="20"/>
        </w:rPr>
        <w:footnoteReference w:id="58"/>
      </w:r>
      <w:r w:rsidRPr="00732013">
        <w:rPr>
          <w:spacing w:val="5"/>
          <w:w w:val="104"/>
          <w:lang w:val="ru-RU"/>
        </w:rPr>
        <w:t xml:space="preserve"> предусматривает ряд мер (и они уже осуществляются) по обеспечению более благоприятных условий для представителей уязвимых групп, особенно для пожилых людей (см. Приложение 11).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114.</w:t>
      </w:r>
      <w:r w:rsidRPr="00732013">
        <w:rPr>
          <w:spacing w:val="5"/>
          <w:w w:val="104"/>
          <w:lang w:val="ru-RU"/>
        </w:rPr>
        <w:tab/>
        <w:t>План действий по улучшению социальной инклюзии на период 2014–2020 годов</w:t>
      </w:r>
      <w:r w:rsidRPr="00732013">
        <w:rPr>
          <w:rStyle w:val="FootnoteReference"/>
          <w:spacing w:val="5"/>
          <w:w w:val="104"/>
          <w:sz w:val="20"/>
        </w:rPr>
        <w:footnoteReference w:id="59"/>
      </w:r>
      <w:r w:rsidRPr="00732013">
        <w:rPr>
          <w:spacing w:val="5"/>
          <w:w w:val="104"/>
          <w:lang w:val="ru-RU"/>
        </w:rPr>
        <w:t xml:space="preserve"> предусматривает расширение возможностей получения жилья для уязвимых групп населения; более качественную адаптацию жилья для лиц с инвалидностью и лиц преклонного возраста; развитие систем оказания всесторонней помощи (социальная помощь и уход) на дому; осуществление целевых проектов и инициатив, предусматривающих улучшение качества жизни людей из уязвимых групп населения благодаря облегчению доступа к медицинским услугам; разработку эффективных и своевременных медицинских услуг в области здорового старения, призванных помогать пожилым людям дольше оставаться на рынке труда и бороться с риском их социальной исключенности путем поощрения активного участия пожилых женщин в решении социальных вопросов, в культурной жизни и в делах общины.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115.</w:t>
      </w:r>
      <w:r w:rsidRPr="00732013">
        <w:rPr>
          <w:spacing w:val="5"/>
          <w:w w:val="104"/>
          <w:lang w:val="ru-RU"/>
        </w:rPr>
        <w:tab/>
        <w:t>Законодательство, регулирующее медицинское обслуживание, гарантирует пожилым женщинам предоставление таких же медицинских услуг, что и любым другим жителям Литвы. В статье 6 Закона о медицинском страховании</w:t>
      </w:r>
      <w:r w:rsidRPr="00732013">
        <w:rPr>
          <w:rStyle w:val="FootnoteReference"/>
          <w:spacing w:val="5"/>
          <w:w w:val="104"/>
          <w:sz w:val="20"/>
        </w:rPr>
        <w:footnoteReference w:id="60"/>
      </w:r>
      <w:r w:rsidRPr="00732013">
        <w:rPr>
          <w:spacing w:val="5"/>
          <w:w w:val="104"/>
          <w:lang w:val="ru-RU"/>
        </w:rPr>
        <w:t xml:space="preserve"> устанавливается, что государственное медицинское страхование распространяется на лиц, получающих в соответствии с законом любой вид пенсии или социальной помощи, а также лиц, находящихся на государственном социальном обеспечении. Министр здравоохранения издал распоряжение об утверждении перечня заболеваний и списка компенсируемых лекарственных средств и препаратов (список </w:t>
      </w:r>
      <w:r w:rsidRPr="00732013">
        <w:rPr>
          <w:spacing w:val="5"/>
          <w:w w:val="104"/>
        </w:rPr>
        <w:t>A</w:t>
      </w:r>
      <w:r w:rsidRPr="00732013">
        <w:rPr>
          <w:spacing w:val="5"/>
          <w:w w:val="104"/>
          <w:lang w:val="ru-RU"/>
        </w:rPr>
        <w:t>), который служит основанием для компенсации лечения определенных заболеваний у лиц, охваченных обязательным медицинским страхованием, с помощью лекарственных средств, включенных в список. Министр также утвердил перечень заболеваний и список компенсируемых лекарственных средств и препаратов (список </w:t>
      </w:r>
      <w:r w:rsidRPr="00732013">
        <w:rPr>
          <w:spacing w:val="5"/>
          <w:w w:val="104"/>
        </w:rPr>
        <w:t>B</w:t>
      </w:r>
      <w:r w:rsidRPr="00732013">
        <w:rPr>
          <w:spacing w:val="5"/>
          <w:w w:val="104"/>
          <w:lang w:val="ru-RU"/>
        </w:rPr>
        <w:t>) для пациентов из определенных социальных групп с ограниченными финансовыми возможностями для приобретения назначенных лекарственных средств, то есть для детей, пенсионеров и лиц с инвалидностью. В</w:t>
      </w:r>
      <w:r w:rsidR="00315D5F" w:rsidRPr="00732013">
        <w:rPr>
          <w:spacing w:val="5"/>
          <w:w w:val="104"/>
          <w:lang w:val="en-US"/>
        </w:rPr>
        <w:t> </w:t>
      </w:r>
      <w:r w:rsidRPr="00732013">
        <w:rPr>
          <w:spacing w:val="5"/>
          <w:w w:val="104"/>
          <w:lang w:val="ru-RU"/>
        </w:rPr>
        <w:t>соответствии с этим списком базовая ставка стоимости определенных лекарственных средств и препаратов (иных, чем в списке </w:t>
      </w:r>
      <w:r w:rsidRPr="00732013">
        <w:rPr>
          <w:spacing w:val="5"/>
          <w:w w:val="104"/>
        </w:rPr>
        <w:t>A</w:t>
      </w:r>
      <w:r w:rsidRPr="00732013">
        <w:rPr>
          <w:spacing w:val="5"/>
          <w:w w:val="104"/>
          <w:lang w:val="ru-RU"/>
        </w:rPr>
        <w:t xml:space="preserve">) компенсируется на 50 процентов для пациентов, подпадающих под одну из следующих категорий: пенсионеры, резиденты, получающие пенсию по </w:t>
      </w:r>
      <w:r w:rsidRPr="00732013">
        <w:rPr>
          <w:spacing w:val="5"/>
          <w:w w:val="104"/>
        </w:rPr>
        <w:t>II</w:t>
      </w:r>
      <w:r w:rsidRPr="00732013">
        <w:rPr>
          <w:spacing w:val="5"/>
          <w:w w:val="104"/>
          <w:lang w:val="ru-RU"/>
        </w:rPr>
        <w:t> группе инвалидности, или лица с частичной трудоспособностью (уровень трудоспособности</w:t>
      </w:r>
      <w:r w:rsidR="001E0B7C" w:rsidRPr="00732013">
        <w:rPr>
          <w:spacing w:val="5"/>
          <w:w w:val="104"/>
          <w:lang w:val="ru-RU"/>
        </w:rPr>
        <w:t xml:space="preserve"> </w:t>
      </w:r>
      <w:r w:rsidRPr="00732013">
        <w:rPr>
          <w:spacing w:val="5"/>
          <w:w w:val="104"/>
          <w:lang w:val="ru-RU"/>
        </w:rPr>
        <w:t>– в пределах 30–40</w:t>
      </w:r>
      <w:r w:rsidR="00315D5F" w:rsidRPr="00732013">
        <w:rPr>
          <w:spacing w:val="5"/>
          <w:w w:val="104"/>
          <w:lang w:val="en-US"/>
        </w:rPr>
        <w:t> </w:t>
      </w:r>
      <w:r w:rsidRPr="00732013">
        <w:rPr>
          <w:spacing w:val="5"/>
          <w:w w:val="104"/>
          <w:lang w:val="ru-RU"/>
        </w:rPr>
        <w:t xml:space="preserve">процентов), а также получатели социальной помощи (социальных пенсий).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116.</w:t>
      </w:r>
      <w:r w:rsidRPr="00732013">
        <w:rPr>
          <w:spacing w:val="5"/>
          <w:w w:val="104"/>
          <w:lang w:val="ru-RU"/>
        </w:rPr>
        <w:tab/>
        <w:t>У людей в возрасте 60 лет и старше возрастные изменения зачастую сопряжены с рядом хронических заболеваний, снижающих функциональную независимость пациента. Поэтому с целью комплексного лечения лиц пожилого возраста были утверждены специальные требования и базовый показатель для оказания гериатрических услуг</w:t>
      </w:r>
      <w:r w:rsidRPr="00732013">
        <w:rPr>
          <w:rStyle w:val="FootnoteReference"/>
          <w:spacing w:val="5"/>
          <w:w w:val="104"/>
          <w:sz w:val="20"/>
        </w:rPr>
        <w:footnoteReference w:id="61"/>
      </w:r>
      <w:r w:rsidRPr="00732013">
        <w:rPr>
          <w:spacing w:val="5"/>
          <w:w w:val="104"/>
          <w:lang w:val="ru-RU"/>
        </w:rPr>
        <w:t>. Пациенты, находящиеся на лечении в гериатрических отделениях, проходят полное гериатрическое обследование и получают лекарственную терапию наряду с применением физиотерапевтических и психологических методов. Гериатрические отделения располагают службами комплексного лечения, психологической поддержки и социального ухода за пожилыми и престарелыми.</w:t>
      </w:r>
    </w:p>
    <w:p w:rsidR="00947052" w:rsidRPr="00732013" w:rsidRDefault="00947052" w:rsidP="00732013">
      <w:pPr>
        <w:pStyle w:val="H1"/>
        <w:spacing w:before="0" w:line="240" w:lineRule="exact"/>
        <w:ind w:right="1267"/>
        <w:rPr>
          <w:spacing w:val="5"/>
          <w:w w:val="104"/>
        </w:rPr>
      </w:pPr>
      <w:r w:rsidRPr="00732013">
        <w:rPr>
          <w:spacing w:val="5"/>
          <w:w w:val="104"/>
        </w:rPr>
        <w:t xml:space="preserve">Брак и семейные отношения </w:t>
      </w:r>
    </w:p>
    <w:p w:rsidR="00947052" w:rsidRPr="00732013" w:rsidRDefault="00947052" w:rsidP="00732013">
      <w:pPr>
        <w:pStyle w:val="H23G"/>
        <w:spacing w:before="0"/>
        <w:ind w:right="1267"/>
        <w:rPr>
          <w:spacing w:val="5"/>
          <w:w w:val="104"/>
        </w:rPr>
      </w:pPr>
      <w:r w:rsidRPr="00732013">
        <w:rPr>
          <w:spacing w:val="5"/>
          <w:w w:val="104"/>
        </w:rPr>
        <w:t xml:space="preserve">Ответ по пункту 19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117.</w:t>
      </w:r>
      <w:r w:rsidRPr="00732013">
        <w:rPr>
          <w:spacing w:val="5"/>
          <w:w w:val="104"/>
          <w:lang w:val="ru-RU"/>
        </w:rPr>
        <w:tab/>
        <w:t>С целью надлежащего осуществления закрепленной в Конституции обязанности государства</w:t>
      </w:r>
      <w:r w:rsidRPr="00732013">
        <w:rPr>
          <w:rStyle w:val="FootnoteReference"/>
          <w:spacing w:val="5"/>
          <w:w w:val="104"/>
          <w:sz w:val="20"/>
        </w:rPr>
        <w:footnoteReference w:id="62"/>
      </w:r>
      <w:r w:rsidRPr="00732013">
        <w:rPr>
          <w:spacing w:val="5"/>
          <w:w w:val="104"/>
          <w:lang w:val="ru-RU"/>
        </w:rPr>
        <w:t xml:space="preserve"> не только устанавливать правовое регулирование, которое среди прочего должно защищать права и законные интересы совместно проживающих и находящихся в супружеских отношениях мужчин и женщин, а также их детей, но и применять законы и прочие нормативно-правовые акты для регулирования семейных отношений таким образом, чтобы не допускать появления условий для дискриминации совместно проживающих супругов и их детей (приемных детей), Министерство юстиции подготовило и 11 октября 2013 года представило на согласование с другими органами власти и на обсуждение общественности законопроект о внесении поправок в статьи 2.18, 2.19, 3.16, 3.140, 3.150, 3.229, 3.230, 3.231, 3.232, 3.233, 3.234, 3.235, 5.13 Гражданского кодекса Литвы и внесении в этот Кодекс дополнительных статей 3.2291 и 3.2341 (далее законопроект о партнерских отношениях). Законопроект о партнерских отношениях предусматривает, что совместное проживание женщины и мужчины (партнеров), приводящее к созданию семейных отношений без регистрации брака, определяется как партнерство. В законопроекте о партнерских отношениях также указано, что </w:t>
      </w:r>
      <w:r w:rsidR="001E0B7C" w:rsidRPr="00732013">
        <w:rPr>
          <w:spacing w:val="5"/>
          <w:w w:val="104"/>
          <w:lang w:val="ru-RU"/>
        </w:rPr>
        <w:t xml:space="preserve">подлежат </w:t>
      </w:r>
      <w:r w:rsidRPr="00732013">
        <w:rPr>
          <w:spacing w:val="5"/>
          <w:w w:val="104"/>
          <w:lang w:val="ru-RU"/>
        </w:rPr>
        <w:t xml:space="preserve">регулированию как экономические, так и личные неэкономические (обязанности по соблюдению супружеской верности, взаимное уважение и взаимная моральная поддержка) отношения партнеров. В силу того что законопроект о партнерских отношениях рассматривает стабильный, постоянный и долгосрочный характер отношений между мужчиной и женщиной, намеревающихся поддерживать семейные отношения, предлагается установить презумпцию отцовства (при равноценной презумпции, уже применяемой в браке), а также принцип, согласно которому в случае раздела имущества партнеров должны быть также учтены интересы их детей. Законопроект о партнерских отношениях, учитывающий комментарии и предложения заинтересованных сторон и широкой общественности, был представлен правительству 10 декабря 2013 года. 16 декабря 2013 года правительство возвратило законопроект о партнерских отношениях в </w:t>
      </w:r>
      <w:r w:rsidR="001E0B7C" w:rsidRPr="00732013">
        <w:rPr>
          <w:spacing w:val="5"/>
          <w:w w:val="104"/>
          <w:lang w:val="ru-RU"/>
        </w:rPr>
        <w:t xml:space="preserve">Министерство </w:t>
      </w:r>
      <w:r w:rsidRPr="00732013">
        <w:rPr>
          <w:spacing w:val="5"/>
          <w:w w:val="104"/>
          <w:lang w:val="ru-RU"/>
        </w:rPr>
        <w:t>юстиции на доработку.</w:t>
      </w:r>
    </w:p>
    <w:p w:rsidR="00947052" w:rsidRPr="00732013" w:rsidRDefault="00947052" w:rsidP="00732013">
      <w:pPr>
        <w:pStyle w:val="H23G"/>
        <w:spacing w:before="0"/>
        <w:ind w:right="1267"/>
        <w:rPr>
          <w:spacing w:val="5"/>
          <w:w w:val="104"/>
        </w:rPr>
      </w:pPr>
      <w:r w:rsidRPr="00732013">
        <w:rPr>
          <w:spacing w:val="5"/>
          <w:w w:val="104"/>
        </w:rPr>
        <w:t>Ответ</w:t>
      </w:r>
      <w:r w:rsidRPr="00732013">
        <w:rPr>
          <w:spacing w:val="5"/>
          <w:w w:val="104"/>
          <w:lang w:val="en-US"/>
        </w:rPr>
        <w:t xml:space="preserve"> </w:t>
      </w:r>
      <w:r w:rsidRPr="00732013">
        <w:rPr>
          <w:spacing w:val="5"/>
          <w:w w:val="104"/>
        </w:rPr>
        <w:t>по</w:t>
      </w:r>
      <w:r w:rsidRPr="00732013">
        <w:rPr>
          <w:spacing w:val="5"/>
          <w:w w:val="104"/>
          <w:lang w:val="en-US"/>
        </w:rPr>
        <w:t xml:space="preserve"> </w:t>
      </w:r>
      <w:r w:rsidRPr="00732013">
        <w:rPr>
          <w:spacing w:val="5"/>
          <w:w w:val="104"/>
        </w:rPr>
        <w:t>пункту 20</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118.</w:t>
      </w:r>
      <w:r w:rsidRPr="00732013">
        <w:rPr>
          <w:spacing w:val="5"/>
          <w:w w:val="104"/>
          <w:lang w:val="ru-RU"/>
        </w:rPr>
        <w:tab/>
        <w:t xml:space="preserve">По данным ЛИТЕКО в 2012 году и первой половине 2013 года окружные суды рассмотрели три дела о снижении возраста вступления в брак в соответствии с пунктом 2 статьи 3.14 Гражданского кодекса, которую упоминал Комитет. Все ходатайства были поданы женщинами. Одно ходатайство (от 16-летней девушки) о разрешении на вступление в брак до достижения законного возраста было отклонено, а два ходатайства (от 17-летних девушек) были удовлетворены. Ввиду того что ЛИТЕКО не ведет сбор сведений о национальности заявителей, подающих ходатайства о снижении возраста вступления в брак в соответствии с пунктом 2 статьи 3.14 Гражданского кодекса, сообщить запрашиваемую информацию не представляется возможным. </w:t>
      </w:r>
    </w:p>
    <w:p w:rsidR="00947052" w:rsidRPr="00732013" w:rsidRDefault="00947052" w:rsidP="00732013">
      <w:pPr>
        <w:pStyle w:val="SingleTxtG"/>
        <w:spacing w:line="240" w:lineRule="exact"/>
        <w:ind w:right="1267"/>
        <w:rPr>
          <w:spacing w:val="5"/>
          <w:w w:val="104"/>
          <w:lang w:val="ru-RU"/>
        </w:rPr>
      </w:pPr>
      <w:r w:rsidRPr="00732013">
        <w:rPr>
          <w:spacing w:val="5"/>
          <w:w w:val="104"/>
          <w:lang w:val="ru-RU"/>
        </w:rPr>
        <w:t>119.</w:t>
      </w:r>
      <w:r w:rsidRPr="00732013">
        <w:rPr>
          <w:spacing w:val="5"/>
          <w:w w:val="104"/>
          <w:lang w:val="ru-RU"/>
        </w:rPr>
        <w:tab/>
        <w:t>В соответствии с пунктом 1 статьи 3.17 Гражданского кодекса доли супругов в общей совместной собственности считаются равными независимо от того, один из супругов или оба супруга осуществляют трудовую деятельность, и независимо от доходов, получаемых любым из супругов или обоими супругами. Суд может отойти от принципа равных долей супругов и своим решением изменить эти доли, но только по ограниченному кругу оснований, предусмотренных статьей 3.123 Гражданского кодекса, а именно с учетом интересов несовершеннолетних детей, состояния здоровья или финансового положения одного из супругов или иных существенных обстоятельств. При применении данной статьи суд должен определить необходимую степень отхода от принципа равенства долей, чтобы защитить интересы как более слабого супруга, так и детей. Следует отметить, что такое толкование принципов раздела имущества соответствует правоприменительной практике Верховного суда Литвы при рассмотрении дел о разделе имущества, касающихся как супругов, так и партнеров</w:t>
      </w:r>
      <w:r w:rsidRPr="00732013">
        <w:rPr>
          <w:rStyle w:val="FootnoteReference"/>
          <w:spacing w:val="5"/>
          <w:w w:val="104"/>
          <w:sz w:val="20"/>
        </w:rPr>
        <w:footnoteReference w:id="63"/>
      </w:r>
      <w:r w:rsidRPr="00732013">
        <w:rPr>
          <w:spacing w:val="5"/>
          <w:w w:val="104"/>
          <w:lang w:val="ru-RU"/>
        </w:rPr>
        <w:t>.</w:t>
      </w:r>
    </w:p>
    <w:p w:rsidR="00947052" w:rsidRPr="00732013" w:rsidRDefault="00315D5F" w:rsidP="00732013">
      <w:pPr>
        <w:pStyle w:val="SingleTxtG"/>
        <w:spacing w:line="240" w:lineRule="exact"/>
        <w:ind w:right="1267"/>
        <w:jc w:val="center"/>
        <w:rPr>
          <w:spacing w:val="5"/>
          <w:w w:val="104"/>
          <w:sz w:val="24"/>
          <w:szCs w:val="24"/>
          <w:lang w:val="en-US"/>
        </w:rPr>
      </w:pPr>
      <w:r w:rsidRPr="00732013">
        <w:rPr>
          <w:spacing w:val="5"/>
          <w:w w:val="104"/>
          <w:lang w:val="en-US"/>
        </w:rPr>
        <w:t>____________</w:t>
      </w:r>
    </w:p>
    <w:sectPr w:rsidR="00947052" w:rsidRPr="00732013" w:rsidSect="00EE186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code="1"/>
      <w:pgMar w:top="1741" w:right="1196" w:bottom="1899" w:left="1196" w:header="578" w:footer="1032"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14T14:59:00Z" w:initials="Start">
    <w:p w:rsidR="008A58AA" w:rsidRDefault="008A58A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NO&gt;&gt;N1421460R&lt;&lt;ODS JOB NO&gt;&gt;</w:t>
      </w:r>
    </w:p>
    <w:p w:rsidR="008A58AA" w:rsidRDefault="008A58AA">
      <w:pPr>
        <w:pStyle w:val="CommentText"/>
      </w:pPr>
      <w:r>
        <w:t>&lt;&lt;ODS DOC SYMBOL1&gt;&gt;CEDAW/C/LTU/Q/5/Add.1&lt;&lt;ODS DOC SYMBOL1&gt;&gt;</w:t>
      </w:r>
    </w:p>
    <w:p w:rsidR="008A58AA" w:rsidRDefault="008A58A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045" w:rsidRDefault="00D22045"/>
  </w:endnote>
  <w:endnote w:type="continuationSeparator" w:id="0">
    <w:p w:rsidR="00D22045" w:rsidRDefault="00D22045"/>
  </w:endnote>
  <w:endnote w:type="continuationNotice" w:id="1">
    <w:p w:rsidR="00D22045" w:rsidRDefault="00D2204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AA" w:rsidRPr="00866E29" w:rsidRDefault="008A58AA" w:rsidP="00866E29">
    <w:pPr>
      <w:pStyle w:val="Footer"/>
      <w:tabs>
        <w:tab w:val="right" w:pos="9638"/>
      </w:tabs>
    </w:pPr>
    <w:r w:rsidRPr="00866E29">
      <w:rPr>
        <w:b/>
        <w:sz w:val="18"/>
      </w:rPr>
      <w:fldChar w:fldCharType="begin"/>
    </w:r>
    <w:r w:rsidRPr="00866E29">
      <w:rPr>
        <w:b/>
        <w:sz w:val="18"/>
      </w:rPr>
      <w:instrText xml:space="preserve"> PAGE  \* MERGEFORMAT </w:instrText>
    </w:r>
    <w:r w:rsidRPr="00866E29">
      <w:rPr>
        <w:b/>
        <w:sz w:val="18"/>
      </w:rPr>
      <w:fldChar w:fldCharType="separate"/>
    </w:r>
    <w:r w:rsidR="00765E69">
      <w:rPr>
        <w:b/>
        <w:noProof/>
        <w:sz w:val="18"/>
      </w:rPr>
      <w:t>2</w:t>
    </w:r>
    <w:r w:rsidRPr="00866E29">
      <w:rPr>
        <w:b/>
        <w:sz w:val="18"/>
      </w:rPr>
      <w:fldChar w:fldCharType="end"/>
    </w:r>
    <w:r>
      <w:rPr>
        <w:b/>
        <w:sz w:val="18"/>
        <w:lang w:val="en-US"/>
      </w:rPr>
      <w:t>/38</w:t>
    </w:r>
    <w:r>
      <w:rPr>
        <w:sz w:val="18"/>
      </w:rPr>
      <w:tab/>
    </w:r>
    <w:r w:rsidRPr="00732013">
      <w:rPr>
        <w:sz w:val="18"/>
      </w:rPr>
      <w:t>14-21460</w:t>
    </w:r>
    <w:r>
      <w:rPr>
        <w:sz w:val="18"/>
      </w:rPr>
      <w:t xml:space="preserve"> 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AA" w:rsidRPr="00866E29" w:rsidRDefault="008A58AA" w:rsidP="00356269">
    <w:pPr>
      <w:pStyle w:val="Footer"/>
      <w:tabs>
        <w:tab w:val="right" w:pos="9638"/>
      </w:tabs>
      <w:jc w:val="right"/>
      <w:rPr>
        <w:b/>
        <w:sz w:val="18"/>
      </w:rPr>
    </w:pPr>
    <w:r w:rsidRPr="00732013">
      <w:t>14-21460</w:t>
    </w:r>
    <w:r>
      <w:t xml:space="preserve"> X</w:t>
    </w:r>
    <w:r>
      <w:tab/>
    </w:r>
    <w:r w:rsidRPr="00866E29">
      <w:rPr>
        <w:b/>
        <w:sz w:val="18"/>
      </w:rPr>
      <w:fldChar w:fldCharType="begin"/>
    </w:r>
    <w:r w:rsidRPr="00866E29">
      <w:rPr>
        <w:b/>
        <w:sz w:val="18"/>
      </w:rPr>
      <w:instrText xml:space="preserve"> PAGE  \* MERGEFORMAT </w:instrText>
    </w:r>
    <w:r w:rsidRPr="00866E29">
      <w:rPr>
        <w:b/>
        <w:sz w:val="18"/>
      </w:rPr>
      <w:fldChar w:fldCharType="separate"/>
    </w:r>
    <w:r w:rsidR="00765E69">
      <w:rPr>
        <w:b/>
        <w:noProof/>
        <w:sz w:val="18"/>
      </w:rPr>
      <w:t>3</w:t>
    </w:r>
    <w:r w:rsidRPr="00866E29">
      <w:rPr>
        <w:b/>
        <w:sz w:val="18"/>
      </w:rPr>
      <w:fldChar w:fldCharType="end"/>
    </w:r>
    <w:r>
      <w:rPr>
        <w:b/>
        <w:sz w:val="18"/>
      </w:rPr>
      <w:t>/38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30"/>
      <w:gridCol w:w="5033"/>
    </w:tblGrid>
    <w:tr w:rsidR="008A58AA" w:rsidTr="00F1254A">
      <w:tblPrEx>
        <w:tblCellMar>
          <w:top w:w="0" w:type="dxa"/>
          <w:bottom w:w="0" w:type="dxa"/>
        </w:tblCellMar>
      </w:tblPrEx>
      <w:tc>
        <w:tcPr>
          <w:tcW w:w="3830" w:type="dxa"/>
        </w:tcPr>
        <w:p w:rsidR="008A58AA" w:rsidRDefault="008A58AA" w:rsidP="00F1254A">
          <w:pPr>
            <w:pStyle w:val="ReleaseDate"/>
          </w:pPr>
          <w:r>
            <w:t>14-21460</w:t>
          </w:r>
          <w:r>
            <w:rPr>
              <w:lang w:val="en-US"/>
            </w:rPr>
            <w:t>X</w:t>
          </w:r>
          <w:r>
            <w:t xml:space="preserve"> (R)    130314    130314</w:t>
          </w:r>
        </w:p>
        <w:p w:rsidR="008A58AA" w:rsidRPr="0044539F" w:rsidRDefault="008A58AA" w:rsidP="00F1254A">
          <w:pPr>
            <w:spacing w:before="80" w:line="210" w:lineRule="exact"/>
            <w:rPr>
              <w:rFonts w:ascii="Barcode 3 of 9 by request" w:hAnsi="Barcode 3 of 9 by request"/>
              <w:sz w:val="24"/>
            </w:rPr>
          </w:pPr>
          <w:fldSimple w:instr=" DOCVARIABLE &quot;Barcode&quot; \* MERGEFORMAT ">
            <w:r>
              <w:rPr>
                <w:rFonts w:ascii="Barcode 3 of 9 by request" w:hAnsi="Barcode 3 of 9 by request"/>
                <w:sz w:val="24"/>
              </w:rPr>
              <w:t>*142146*</w:t>
            </w:r>
          </w:fldSimple>
        </w:p>
      </w:tc>
      <w:tc>
        <w:tcPr>
          <w:tcW w:w="5033" w:type="dxa"/>
        </w:tcPr>
        <w:p w:rsidR="008A58AA" w:rsidRDefault="008A58AA" w:rsidP="00F1254A">
          <w:pPr>
            <w:pStyle w:val="Footer"/>
            <w:spacing w:line="240" w:lineRule="atLeast"/>
            <w:rPr>
              <w:b/>
              <w:sz w:val="20"/>
            </w:rPr>
          </w:pPr>
          <w:r w:rsidRPr="0044539F">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r>
  </w:tbl>
  <w:p w:rsidR="008A58AA" w:rsidRPr="00866E29" w:rsidRDefault="008A58AA" w:rsidP="00F1254A">
    <w:pPr>
      <w:pStyle w:val="Footer"/>
      <w:tabs>
        <w:tab w:val="center" w:pos="5292"/>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045" w:rsidRPr="000B175B" w:rsidRDefault="00D22045" w:rsidP="000B175B">
      <w:pPr>
        <w:tabs>
          <w:tab w:val="right" w:pos="2155"/>
        </w:tabs>
        <w:spacing w:after="80"/>
        <w:ind w:left="680"/>
        <w:rPr>
          <w:u w:val="single"/>
        </w:rPr>
      </w:pPr>
      <w:r>
        <w:rPr>
          <w:u w:val="single"/>
        </w:rPr>
        <w:tab/>
      </w:r>
    </w:p>
  </w:footnote>
  <w:footnote w:type="continuationSeparator" w:id="0">
    <w:p w:rsidR="00D22045" w:rsidRPr="00FC68B7" w:rsidRDefault="00D22045" w:rsidP="00FC68B7">
      <w:pPr>
        <w:tabs>
          <w:tab w:val="left" w:pos="2155"/>
        </w:tabs>
        <w:spacing w:after="80"/>
        <w:ind w:left="680"/>
        <w:rPr>
          <w:u w:val="single"/>
        </w:rPr>
      </w:pPr>
      <w:r>
        <w:rPr>
          <w:u w:val="single"/>
        </w:rPr>
        <w:tab/>
      </w:r>
    </w:p>
  </w:footnote>
  <w:footnote w:type="continuationNotice" w:id="1">
    <w:p w:rsidR="00D22045" w:rsidRDefault="00D22045"/>
  </w:footnote>
  <w:footnote w:id="2">
    <w:p w:rsidR="008A58AA" w:rsidRPr="00732013" w:rsidRDefault="008A58AA" w:rsidP="00732013">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Pr>
          <w:szCs w:val="18"/>
          <w:lang w:val="en-US"/>
        </w:rPr>
        <w:tab/>
      </w:r>
      <w:r w:rsidRPr="00732013">
        <w:rPr>
          <w:rStyle w:val="FootnoteReference"/>
          <w:spacing w:val="5"/>
          <w:w w:val="103"/>
          <w:szCs w:val="18"/>
          <w:lang w:val="ru-RU"/>
        </w:rPr>
        <w:t>*</w:t>
      </w:r>
      <w:r w:rsidRPr="00732013">
        <w:rPr>
          <w:spacing w:val="5"/>
          <w:w w:val="103"/>
          <w:szCs w:val="18"/>
          <w:lang w:val="ru-RU"/>
        </w:rPr>
        <w:tab/>
        <w:t>Настоящий документ выпускается без официального редактирования.</w:t>
      </w:r>
    </w:p>
  </w:footnote>
  <w:footnote w:id="3">
    <w:p w:rsidR="008A58AA" w:rsidRPr="00732013" w:rsidRDefault="008A58AA" w:rsidP="00732013">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lang w:val="en-US"/>
        </w:rPr>
        <w:tab/>
      </w:r>
      <w:r w:rsidRPr="00732013">
        <w:rPr>
          <w:rStyle w:val="FootnoteReference"/>
          <w:spacing w:val="5"/>
          <w:w w:val="103"/>
          <w:szCs w:val="18"/>
          <w:lang w:val="ru-RU"/>
        </w:rPr>
        <w:t>**</w:t>
      </w:r>
      <w:r w:rsidRPr="00732013">
        <w:rPr>
          <w:spacing w:val="5"/>
          <w:w w:val="103"/>
          <w:szCs w:val="18"/>
          <w:lang w:val="ru-RU"/>
        </w:rPr>
        <w:tab/>
        <w:t>Приложения к настоящему документу.</w:t>
      </w:r>
    </w:p>
  </w:footnote>
  <w:footnote w:id="4">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lang w:val="ru-RU"/>
        </w:rPr>
        <w:tab/>
      </w:r>
      <w:r w:rsidRPr="00732013">
        <w:rPr>
          <w:rStyle w:val="FootnoteReference"/>
          <w:spacing w:val="5"/>
          <w:w w:val="103"/>
          <w:szCs w:val="18"/>
        </w:rPr>
        <w:footnoteRef/>
      </w:r>
      <w:r w:rsidRPr="00732013">
        <w:rPr>
          <w:spacing w:val="5"/>
          <w:w w:val="103"/>
          <w:szCs w:val="18"/>
          <w:lang w:val="ru-RU"/>
        </w:rPr>
        <w:tab/>
      </w:r>
      <w:r w:rsidRPr="00732013">
        <w:rPr>
          <w:spacing w:val="5"/>
          <w:w w:val="103"/>
          <w:szCs w:val="18"/>
        </w:rPr>
        <w:t>http</w:t>
      </w:r>
      <w:r w:rsidRPr="00732013">
        <w:rPr>
          <w:spacing w:val="5"/>
          <w:w w:val="103"/>
          <w:szCs w:val="18"/>
          <w:lang w:val="ru-RU"/>
        </w:rPr>
        <w:t>://</w:t>
      </w:r>
      <w:r w:rsidRPr="00732013">
        <w:rPr>
          <w:spacing w:val="5"/>
          <w:w w:val="103"/>
          <w:szCs w:val="18"/>
        </w:rPr>
        <w:t>liteko</w:t>
      </w:r>
      <w:r w:rsidRPr="00732013">
        <w:rPr>
          <w:spacing w:val="5"/>
          <w:w w:val="103"/>
          <w:szCs w:val="18"/>
          <w:lang w:val="ru-RU"/>
        </w:rPr>
        <w:t>.</w:t>
      </w:r>
      <w:r w:rsidRPr="00732013">
        <w:rPr>
          <w:spacing w:val="5"/>
          <w:w w:val="103"/>
          <w:szCs w:val="18"/>
        </w:rPr>
        <w:t>teismai</w:t>
      </w:r>
      <w:r w:rsidRPr="00732013">
        <w:rPr>
          <w:spacing w:val="5"/>
          <w:w w:val="103"/>
          <w:szCs w:val="18"/>
          <w:lang w:val="ru-RU"/>
        </w:rPr>
        <w:t>.</w:t>
      </w:r>
      <w:r w:rsidRPr="00732013">
        <w:rPr>
          <w:spacing w:val="5"/>
          <w:w w:val="103"/>
          <w:szCs w:val="18"/>
        </w:rPr>
        <w:t>lt</w:t>
      </w:r>
      <w:r w:rsidRPr="00732013">
        <w:rPr>
          <w:spacing w:val="5"/>
          <w:w w:val="103"/>
          <w:szCs w:val="18"/>
          <w:lang w:val="ru-RU"/>
        </w:rPr>
        <w:t>/</w:t>
      </w:r>
      <w:r w:rsidRPr="00732013">
        <w:rPr>
          <w:spacing w:val="5"/>
          <w:w w:val="103"/>
          <w:szCs w:val="18"/>
        </w:rPr>
        <w:t>viesasprendimupaieska</w:t>
      </w:r>
      <w:r w:rsidRPr="00732013">
        <w:rPr>
          <w:spacing w:val="5"/>
          <w:w w:val="103"/>
          <w:szCs w:val="18"/>
          <w:lang w:val="ru-RU"/>
        </w:rPr>
        <w:t>/</w:t>
      </w:r>
      <w:r w:rsidRPr="00732013">
        <w:rPr>
          <w:spacing w:val="5"/>
          <w:w w:val="103"/>
          <w:szCs w:val="18"/>
        </w:rPr>
        <w:t>detalipaieska</w:t>
      </w:r>
      <w:r w:rsidRPr="00732013">
        <w:rPr>
          <w:spacing w:val="5"/>
          <w:w w:val="103"/>
          <w:szCs w:val="18"/>
          <w:lang w:val="ru-RU"/>
        </w:rPr>
        <w:t>.</w:t>
      </w:r>
      <w:r w:rsidRPr="00732013">
        <w:rPr>
          <w:spacing w:val="5"/>
          <w:w w:val="103"/>
          <w:szCs w:val="18"/>
        </w:rPr>
        <w:t>aspx</w:t>
      </w:r>
      <w:r w:rsidRPr="00732013">
        <w:rPr>
          <w:spacing w:val="5"/>
          <w:w w:val="103"/>
          <w:szCs w:val="18"/>
          <w:lang w:val="ru-RU"/>
        </w:rPr>
        <w:t>?</w:t>
      </w:r>
      <w:r w:rsidRPr="00732013">
        <w:rPr>
          <w:spacing w:val="5"/>
          <w:w w:val="103"/>
          <w:szCs w:val="18"/>
        </w:rPr>
        <w:t>detali</w:t>
      </w:r>
      <w:r w:rsidRPr="00732013">
        <w:rPr>
          <w:spacing w:val="5"/>
          <w:w w:val="103"/>
          <w:szCs w:val="18"/>
          <w:lang w:val="ru-RU"/>
        </w:rPr>
        <w:t>=2</w:t>
      </w:r>
    </w:p>
  </w:footnote>
  <w:footnote w:id="5">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lang w:val="ru-RU"/>
        </w:rPr>
        <w:tab/>
      </w:r>
      <w:r w:rsidRPr="00732013">
        <w:rPr>
          <w:rStyle w:val="FootnoteReference"/>
          <w:spacing w:val="5"/>
          <w:w w:val="103"/>
          <w:szCs w:val="18"/>
        </w:rPr>
        <w:footnoteRef/>
      </w:r>
      <w:r w:rsidRPr="00732013">
        <w:rPr>
          <w:spacing w:val="5"/>
          <w:w w:val="103"/>
          <w:szCs w:val="18"/>
          <w:lang w:val="ru-RU"/>
        </w:rPr>
        <w:tab/>
        <w:t>Утверждена 17 декабря 2004 года постановлением № 306 Совета судей "О классификации административных, уголовных и гражданских дел и процедурных решений судов по данным делам".</w:t>
      </w:r>
    </w:p>
  </w:footnote>
  <w:footnote w:id="6">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rPr>
      </w:pPr>
      <w:r w:rsidRPr="00732013">
        <w:rPr>
          <w:spacing w:val="5"/>
          <w:w w:val="103"/>
          <w:szCs w:val="18"/>
          <w:lang w:val="ru-RU"/>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"Официальный вестник"</w:t>
      </w:r>
      <w:r w:rsidRPr="00732013">
        <w:rPr>
          <w:spacing w:val="5"/>
          <w:w w:val="103"/>
          <w:szCs w:val="18"/>
        </w:rPr>
        <w:t>, 2000</w:t>
      </w:r>
      <w:r w:rsidRPr="00732013">
        <w:rPr>
          <w:spacing w:val="5"/>
          <w:w w:val="103"/>
          <w:szCs w:val="18"/>
          <w:lang w:val="ru-RU"/>
        </w:rPr>
        <w:t> год</w:t>
      </w:r>
      <w:r w:rsidRPr="00732013">
        <w:rPr>
          <w:spacing w:val="5"/>
          <w:w w:val="103"/>
          <w:szCs w:val="18"/>
        </w:rPr>
        <w:t xml:space="preserve">, </w:t>
      </w:r>
      <w:r w:rsidRPr="00732013">
        <w:rPr>
          <w:spacing w:val="5"/>
          <w:w w:val="103"/>
          <w:szCs w:val="18"/>
          <w:lang w:val="ru-RU"/>
        </w:rPr>
        <w:t>№</w:t>
      </w:r>
      <w:r w:rsidRPr="00732013">
        <w:rPr>
          <w:spacing w:val="5"/>
          <w:w w:val="103"/>
          <w:szCs w:val="18"/>
        </w:rPr>
        <w:t xml:space="preserve"> 89</w:t>
      </w:r>
      <w:r w:rsidRPr="00732013">
        <w:rPr>
          <w:spacing w:val="5"/>
          <w:w w:val="103"/>
          <w:szCs w:val="18"/>
          <w:lang w:val="ru-RU"/>
        </w:rPr>
        <w:t>-</w:t>
      </w:r>
      <w:r w:rsidRPr="00732013">
        <w:rPr>
          <w:spacing w:val="5"/>
          <w:w w:val="103"/>
          <w:szCs w:val="18"/>
        </w:rPr>
        <w:t xml:space="preserve">2741 </w:t>
      </w:r>
      <w:r w:rsidRPr="00732013">
        <w:rPr>
          <w:spacing w:val="5"/>
          <w:w w:val="103"/>
          <w:szCs w:val="18"/>
          <w:lang w:val="ru-RU"/>
        </w:rPr>
        <w:t>с поправками.</w:t>
      </w:r>
    </w:p>
  </w:footnote>
  <w:footnote w:id="7">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rPr>
        <w:tab/>
      </w:r>
      <w:r w:rsidRPr="00732013">
        <w:rPr>
          <w:rStyle w:val="FootnoteReference"/>
          <w:spacing w:val="5"/>
          <w:w w:val="103"/>
          <w:szCs w:val="18"/>
        </w:rPr>
        <w:footnoteRef/>
      </w:r>
      <w:r w:rsidRPr="00732013">
        <w:rPr>
          <w:spacing w:val="5"/>
          <w:w w:val="103"/>
          <w:szCs w:val="18"/>
          <w:lang w:val="ru-RU"/>
        </w:rPr>
        <w:tab/>
        <w:t>Утверждена 4 мая 2010 года постановлением правительства № 530 Литовской Республики ("Официальный вестник", 2010 год, № 56-2757).</w:t>
      </w:r>
    </w:p>
  </w:footnote>
  <w:footnote w:id="8">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lang w:val="ru-RU"/>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 xml:space="preserve">В соответствии с изданным </w:t>
      </w:r>
      <w:r w:rsidRPr="00732013">
        <w:rPr>
          <w:spacing w:val="5"/>
          <w:w w:val="103"/>
          <w:szCs w:val="18"/>
        </w:rPr>
        <w:t xml:space="preserve">21 </w:t>
      </w:r>
      <w:r w:rsidRPr="00732013">
        <w:rPr>
          <w:spacing w:val="5"/>
          <w:w w:val="103"/>
          <w:szCs w:val="18"/>
          <w:lang w:val="ru-RU"/>
        </w:rPr>
        <w:t>октября</w:t>
      </w:r>
      <w:r w:rsidRPr="00732013">
        <w:rPr>
          <w:spacing w:val="5"/>
          <w:w w:val="103"/>
          <w:szCs w:val="18"/>
        </w:rPr>
        <w:t xml:space="preserve"> 2004</w:t>
      </w:r>
      <w:r w:rsidRPr="00732013">
        <w:rPr>
          <w:spacing w:val="5"/>
          <w:w w:val="103"/>
          <w:szCs w:val="18"/>
          <w:lang w:val="ru-RU"/>
        </w:rPr>
        <w:t> года приказом №</w:t>
      </w:r>
      <w:r w:rsidRPr="00732013">
        <w:rPr>
          <w:spacing w:val="5"/>
          <w:w w:val="103"/>
          <w:szCs w:val="18"/>
        </w:rPr>
        <w:t xml:space="preserve"> A1</w:t>
      </w:r>
      <w:r w:rsidRPr="00732013">
        <w:rPr>
          <w:spacing w:val="5"/>
          <w:w w:val="103"/>
          <w:szCs w:val="18"/>
          <w:lang w:val="ru-RU"/>
        </w:rPr>
        <w:t>-</w:t>
      </w:r>
      <w:r w:rsidRPr="00732013">
        <w:rPr>
          <w:spacing w:val="5"/>
          <w:w w:val="103"/>
          <w:szCs w:val="18"/>
        </w:rPr>
        <w:t xml:space="preserve">238 </w:t>
      </w:r>
      <w:r w:rsidRPr="00732013">
        <w:rPr>
          <w:spacing w:val="5"/>
          <w:w w:val="103"/>
          <w:szCs w:val="18"/>
          <w:lang w:val="ru-RU"/>
        </w:rPr>
        <w:t>министра социальной защиты и труда</w:t>
      </w:r>
      <w:r w:rsidRPr="00732013">
        <w:rPr>
          <w:spacing w:val="5"/>
          <w:w w:val="103"/>
          <w:szCs w:val="18"/>
        </w:rPr>
        <w:t xml:space="preserve"> "</w:t>
      </w:r>
      <w:r w:rsidRPr="00732013">
        <w:rPr>
          <w:spacing w:val="5"/>
          <w:w w:val="103"/>
          <w:szCs w:val="18"/>
          <w:lang w:val="ru-RU"/>
        </w:rPr>
        <w:t>Об утверждении процедуры предоставления государственной поддержки для целей интеграции иностранцев, которым предоставляется убежище в Литовской Республике</w:t>
      </w:r>
      <w:r w:rsidRPr="00732013">
        <w:rPr>
          <w:spacing w:val="5"/>
          <w:w w:val="103"/>
          <w:szCs w:val="18"/>
          <w:lang w:val="en-US"/>
        </w:rPr>
        <w:t>"</w:t>
      </w:r>
      <w:r w:rsidRPr="00732013">
        <w:rPr>
          <w:spacing w:val="5"/>
          <w:w w:val="103"/>
          <w:szCs w:val="18"/>
        </w:rPr>
        <w:t xml:space="preserve"> (</w:t>
      </w:r>
      <w:r w:rsidRPr="00732013">
        <w:rPr>
          <w:spacing w:val="5"/>
          <w:w w:val="103"/>
          <w:szCs w:val="18"/>
          <w:lang w:val="ru-RU"/>
        </w:rPr>
        <w:t>"Официальный вестник"</w:t>
      </w:r>
      <w:r w:rsidRPr="00732013">
        <w:rPr>
          <w:spacing w:val="5"/>
          <w:w w:val="103"/>
          <w:szCs w:val="18"/>
        </w:rPr>
        <w:t>, 2004</w:t>
      </w:r>
      <w:r w:rsidRPr="00732013">
        <w:rPr>
          <w:spacing w:val="5"/>
          <w:w w:val="103"/>
          <w:szCs w:val="18"/>
          <w:lang w:val="ru-RU"/>
        </w:rPr>
        <w:t> год</w:t>
      </w:r>
      <w:r w:rsidRPr="00732013">
        <w:rPr>
          <w:spacing w:val="5"/>
          <w:w w:val="103"/>
          <w:szCs w:val="18"/>
        </w:rPr>
        <w:t xml:space="preserve">, </w:t>
      </w:r>
      <w:r w:rsidRPr="00732013">
        <w:rPr>
          <w:spacing w:val="5"/>
          <w:w w:val="103"/>
          <w:szCs w:val="18"/>
          <w:lang w:val="ru-RU"/>
        </w:rPr>
        <w:t>№ </w:t>
      </w:r>
      <w:r w:rsidRPr="00732013">
        <w:rPr>
          <w:spacing w:val="5"/>
          <w:w w:val="103"/>
          <w:szCs w:val="18"/>
        </w:rPr>
        <w:t>157-5741)</w:t>
      </w:r>
      <w:r w:rsidRPr="00732013">
        <w:rPr>
          <w:spacing w:val="5"/>
          <w:w w:val="103"/>
          <w:szCs w:val="18"/>
          <w:lang w:val="ru-RU"/>
        </w:rPr>
        <w:t>.</w:t>
      </w:r>
    </w:p>
  </w:footnote>
  <w:footnote w:id="9">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rPr>
      </w:pPr>
      <w:r w:rsidRPr="00732013">
        <w:rPr>
          <w:spacing w:val="5"/>
          <w:w w:val="103"/>
          <w:szCs w:val="18"/>
        </w:rPr>
        <w:tab/>
      </w:r>
      <w:r w:rsidRPr="00732013">
        <w:rPr>
          <w:rStyle w:val="FootnoteReference"/>
          <w:spacing w:val="5"/>
          <w:w w:val="103"/>
          <w:szCs w:val="18"/>
        </w:rPr>
        <w:footnoteRef/>
      </w:r>
      <w:r w:rsidRPr="00732013">
        <w:rPr>
          <w:spacing w:val="5"/>
          <w:w w:val="103"/>
          <w:szCs w:val="18"/>
        </w:rPr>
        <w:tab/>
        <w:t>http://www.consilium.europa.eu/uedocs/cms_data/docs/pressdata/en/lsa/139978.pdf</w:t>
      </w:r>
      <w:r>
        <w:rPr>
          <w:spacing w:val="5"/>
          <w:w w:val="103"/>
          <w:szCs w:val="18"/>
        </w:rPr>
        <w:t>.</w:t>
      </w:r>
    </w:p>
  </w:footnote>
  <w:footnote w:id="10">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rPr>
      </w:pPr>
      <w:r w:rsidRPr="00732013">
        <w:rPr>
          <w:spacing w:val="5"/>
          <w:w w:val="103"/>
          <w:szCs w:val="18"/>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"Официальный вестник"</w:t>
      </w:r>
      <w:r w:rsidRPr="00732013">
        <w:rPr>
          <w:spacing w:val="5"/>
          <w:w w:val="103"/>
          <w:szCs w:val="18"/>
        </w:rPr>
        <w:t>, 1998</w:t>
      </w:r>
      <w:r w:rsidRPr="00732013">
        <w:rPr>
          <w:spacing w:val="5"/>
          <w:w w:val="103"/>
          <w:szCs w:val="18"/>
          <w:lang w:val="ru-RU"/>
        </w:rPr>
        <w:t> год</w:t>
      </w:r>
      <w:r w:rsidRPr="00732013">
        <w:rPr>
          <w:spacing w:val="5"/>
          <w:w w:val="103"/>
          <w:szCs w:val="18"/>
        </w:rPr>
        <w:t xml:space="preserve">, </w:t>
      </w:r>
      <w:r w:rsidRPr="00732013">
        <w:rPr>
          <w:spacing w:val="5"/>
          <w:w w:val="103"/>
          <w:szCs w:val="18"/>
          <w:lang w:val="ru-RU"/>
        </w:rPr>
        <w:t>№ </w:t>
      </w:r>
      <w:r w:rsidRPr="00732013">
        <w:rPr>
          <w:spacing w:val="5"/>
          <w:w w:val="103"/>
          <w:szCs w:val="18"/>
        </w:rPr>
        <w:t>112</w:t>
      </w:r>
      <w:r w:rsidRPr="00732013">
        <w:rPr>
          <w:spacing w:val="5"/>
          <w:w w:val="103"/>
          <w:szCs w:val="18"/>
          <w:lang w:val="ru-RU"/>
        </w:rPr>
        <w:t>-</w:t>
      </w:r>
      <w:r w:rsidRPr="00732013">
        <w:rPr>
          <w:spacing w:val="5"/>
          <w:w w:val="103"/>
          <w:szCs w:val="18"/>
        </w:rPr>
        <w:t>3100</w:t>
      </w:r>
      <w:r w:rsidRPr="00732013">
        <w:rPr>
          <w:spacing w:val="5"/>
          <w:w w:val="103"/>
          <w:szCs w:val="18"/>
          <w:lang w:val="ru-RU"/>
        </w:rPr>
        <w:t xml:space="preserve"> с поправками.</w:t>
      </w:r>
    </w:p>
  </w:footnote>
  <w:footnote w:id="11">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"Официальный вестник"</w:t>
      </w:r>
      <w:r w:rsidRPr="00732013">
        <w:rPr>
          <w:spacing w:val="5"/>
          <w:w w:val="103"/>
          <w:szCs w:val="18"/>
        </w:rPr>
        <w:t>, 2013</w:t>
      </w:r>
      <w:r w:rsidRPr="00732013">
        <w:rPr>
          <w:spacing w:val="5"/>
          <w:w w:val="103"/>
          <w:szCs w:val="18"/>
          <w:lang w:val="ru-RU"/>
        </w:rPr>
        <w:t> год</w:t>
      </w:r>
      <w:r w:rsidRPr="00732013">
        <w:rPr>
          <w:spacing w:val="5"/>
          <w:w w:val="103"/>
          <w:szCs w:val="18"/>
        </w:rPr>
        <w:t xml:space="preserve">, </w:t>
      </w:r>
      <w:r w:rsidRPr="00732013">
        <w:rPr>
          <w:spacing w:val="5"/>
          <w:w w:val="103"/>
          <w:szCs w:val="18"/>
          <w:lang w:val="ru-RU"/>
        </w:rPr>
        <w:t>№ </w:t>
      </w:r>
      <w:r w:rsidRPr="00732013">
        <w:rPr>
          <w:spacing w:val="5"/>
          <w:w w:val="103"/>
          <w:szCs w:val="18"/>
        </w:rPr>
        <w:t>79</w:t>
      </w:r>
      <w:r w:rsidRPr="00732013">
        <w:rPr>
          <w:spacing w:val="5"/>
          <w:w w:val="103"/>
          <w:szCs w:val="18"/>
          <w:lang w:val="ru-RU"/>
        </w:rPr>
        <w:t>-</w:t>
      </w:r>
      <w:r w:rsidRPr="00732013">
        <w:rPr>
          <w:spacing w:val="5"/>
          <w:w w:val="103"/>
          <w:szCs w:val="18"/>
        </w:rPr>
        <w:t>3993</w:t>
      </w:r>
      <w:r w:rsidRPr="00732013">
        <w:rPr>
          <w:spacing w:val="5"/>
          <w:w w:val="103"/>
          <w:szCs w:val="18"/>
          <w:lang w:val="ru-RU"/>
        </w:rPr>
        <w:t>.</w:t>
      </w:r>
    </w:p>
  </w:footnote>
  <w:footnote w:id="12">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rPr>
      </w:pPr>
      <w:r w:rsidRPr="00732013">
        <w:rPr>
          <w:spacing w:val="5"/>
          <w:w w:val="103"/>
          <w:szCs w:val="18"/>
        </w:rPr>
        <w:tab/>
      </w:r>
      <w:r w:rsidRPr="00732013">
        <w:rPr>
          <w:rStyle w:val="FootnoteReference"/>
          <w:spacing w:val="5"/>
          <w:w w:val="103"/>
          <w:szCs w:val="18"/>
        </w:rPr>
        <w:footnoteRef/>
      </w:r>
      <w:r w:rsidRPr="00732013">
        <w:rPr>
          <w:spacing w:val="5"/>
          <w:w w:val="103"/>
          <w:szCs w:val="18"/>
        </w:rPr>
        <w:tab/>
        <w:t>http://www.socmin.lt/index.php?1974321278</w:t>
      </w:r>
      <w:r>
        <w:rPr>
          <w:spacing w:val="5"/>
          <w:w w:val="103"/>
          <w:szCs w:val="18"/>
        </w:rPr>
        <w:t>.</w:t>
      </w:r>
    </w:p>
  </w:footnote>
  <w:footnote w:id="13">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rPr>
      </w:pPr>
      <w:r w:rsidRPr="00732013">
        <w:rPr>
          <w:spacing w:val="5"/>
          <w:w w:val="103"/>
          <w:szCs w:val="18"/>
        </w:rPr>
        <w:tab/>
      </w:r>
      <w:r w:rsidRPr="00732013">
        <w:rPr>
          <w:rStyle w:val="FootnoteReference"/>
          <w:spacing w:val="5"/>
          <w:w w:val="103"/>
          <w:szCs w:val="18"/>
        </w:rPr>
        <w:footnoteRef/>
      </w:r>
      <w:r w:rsidRPr="00732013">
        <w:rPr>
          <w:spacing w:val="5"/>
          <w:w w:val="103"/>
          <w:szCs w:val="18"/>
        </w:rPr>
        <w:tab/>
        <w:t>http://www.lygybe.lt/download/160/laikinųjų%20specialiųjų%20priemonių%20taikymo%</w:t>
      </w:r>
      <w:r w:rsidRPr="00732013">
        <w:rPr>
          <w:spacing w:val="5"/>
          <w:w w:val="103"/>
          <w:szCs w:val="18"/>
        </w:rPr>
        <w:br/>
        <w:t>20rekomendacijos.pdf</w:t>
      </w:r>
      <w:r>
        <w:rPr>
          <w:spacing w:val="5"/>
          <w:w w:val="103"/>
          <w:szCs w:val="18"/>
        </w:rPr>
        <w:t>.</w:t>
      </w:r>
    </w:p>
  </w:footnote>
  <w:footnote w:id="14">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Утверждена</w:t>
      </w:r>
      <w:r w:rsidRPr="00732013">
        <w:rPr>
          <w:spacing w:val="5"/>
          <w:w w:val="103"/>
          <w:szCs w:val="18"/>
        </w:rPr>
        <w:t xml:space="preserve"> 26 </w:t>
      </w:r>
      <w:r w:rsidRPr="00732013">
        <w:rPr>
          <w:spacing w:val="5"/>
          <w:w w:val="103"/>
          <w:szCs w:val="18"/>
          <w:lang w:val="ru-RU"/>
        </w:rPr>
        <w:t>сентября</w:t>
      </w:r>
      <w:r w:rsidRPr="00732013">
        <w:rPr>
          <w:spacing w:val="5"/>
          <w:w w:val="103"/>
          <w:szCs w:val="18"/>
        </w:rPr>
        <w:t xml:space="preserve"> 2005</w:t>
      </w:r>
      <w:r w:rsidRPr="00732013">
        <w:rPr>
          <w:spacing w:val="5"/>
          <w:w w:val="103"/>
          <w:szCs w:val="18"/>
          <w:lang w:val="ru-RU"/>
        </w:rPr>
        <w:t> года постановлением № </w:t>
      </w:r>
      <w:r w:rsidRPr="00732013">
        <w:rPr>
          <w:spacing w:val="5"/>
          <w:w w:val="103"/>
          <w:szCs w:val="18"/>
        </w:rPr>
        <w:t>1042</w:t>
      </w:r>
      <w:r w:rsidRPr="00732013">
        <w:rPr>
          <w:spacing w:val="5"/>
          <w:w w:val="103"/>
          <w:szCs w:val="18"/>
          <w:lang w:val="ru-RU"/>
        </w:rPr>
        <w:t xml:space="preserve"> правительства Литовской Республики</w:t>
      </w:r>
      <w:r w:rsidRPr="00732013">
        <w:rPr>
          <w:spacing w:val="5"/>
          <w:w w:val="103"/>
          <w:szCs w:val="18"/>
        </w:rPr>
        <w:t xml:space="preserve"> (</w:t>
      </w:r>
      <w:r w:rsidRPr="00732013">
        <w:rPr>
          <w:spacing w:val="5"/>
          <w:w w:val="103"/>
          <w:szCs w:val="18"/>
          <w:lang w:val="ru-RU"/>
        </w:rPr>
        <w:t>"Официальный вестник"</w:t>
      </w:r>
      <w:r w:rsidRPr="00732013">
        <w:rPr>
          <w:spacing w:val="5"/>
          <w:w w:val="103"/>
          <w:szCs w:val="18"/>
        </w:rPr>
        <w:t>, 2005</w:t>
      </w:r>
      <w:r w:rsidRPr="00732013">
        <w:rPr>
          <w:spacing w:val="5"/>
          <w:w w:val="103"/>
          <w:szCs w:val="18"/>
          <w:lang w:val="ru-RU"/>
        </w:rPr>
        <w:t> год</w:t>
      </w:r>
      <w:r w:rsidRPr="00732013">
        <w:rPr>
          <w:spacing w:val="5"/>
          <w:w w:val="103"/>
          <w:szCs w:val="18"/>
        </w:rPr>
        <w:t xml:space="preserve">, </w:t>
      </w:r>
      <w:r w:rsidRPr="00732013">
        <w:rPr>
          <w:spacing w:val="5"/>
          <w:w w:val="103"/>
          <w:szCs w:val="18"/>
          <w:lang w:val="ru-RU"/>
        </w:rPr>
        <w:t>№</w:t>
      </w:r>
      <w:r w:rsidRPr="00732013">
        <w:rPr>
          <w:spacing w:val="5"/>
          <w:w w:val="103"/>
          <w:szCs w:val="18"/>
        </w:rPr>
        <w:t xml:space="preserve"> 116</w:t>
      </w:r>
      <w:r w:rsidRPr="00732013">
        <w:rPr>
          <w:spacing w:val="5"/>
          <w:w w:val="103"/>
          <w:szCs w:val="18"/>
          <w:lang w:val="ru-RU"/>
        </w:rPr>
        <w:t>-</w:t>
      </w:r>
      <w:r w:rsidRPr="00732013">
        <w:rPr>
          <w:spacing w:val="5"/>
          <w:w w:val="103"/>
          <w:szCs w:val="18"/>
        </w:rPr>
        <w:t>4202)</w:t>
      </w:r>
      <w:r w:rsidRPr="00732013">
        <w:rPr>
          <w:spacing w:val="5"/>
          <w:w w:val="103"/>
          <w:szCs w:val="18"/>
          <w:lang w:val="ru-RU"/>
        </w:rPr>
        <w:t>.</w:t>
      </w:r>
    </w:p>
  </w:footnote>
  <w:footnote w:id="15">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rPr>
      </w:pPr>
      <w:r w:rsidRPr="00732013">
        <w:rPr>
          <w:spacing w:val="5"/>
          <w:w w:val="103"/>
          <w:szCs w:val="18"/>
        </w:rPr>
        <w:tab/>
      </w:r>
      <w:r w:rsidRPr="00732013">
        <w:rPr>
          <w:rStyle w:val="FootnoteReference"/>
          <w:spacing w:val="5"/>
          <w:w w:val="103"/>
          <w:szCs w:val="18"/>
        </w:rPr>
        <w:footnoteRef/>
      </w:r>
      <w:r w:rsidRPr="00732013">
        <w:rPr>
          <w:spacing w:val="5"/>
          <w:w w:val="103"/>
          <w:szCs w:val="18"/>
        </w:rPr>
        <w:tab/>
      </w:r>
      <w:hyperlink r:id="rId1" w:history="1">
        <w:r w:rsidRPr="00732013">
          <w:rPr>
            <w:rStyle w:val="Hyperlink"/>
            <w:color w:val="000000"/>
            <w:spacing w:val="5"/>
            <w:w w:val="103"/>
            <w:szCs w:val="18"/>
          </w:rPr>
          <w:t>http://www.bukstipri.lt/uploads/MV_padeties_pokyciai_2009.pdf</w:t>
        </w:r>
      </w:hyperlink>
      <w:r>
        <w:rPr>
          <w:rStyle w:val="Hyperlink"/>
          <w:color w:val="000000"/>
          <w:spacing w:val="5"/>
          <w:w w:val="103"/>
          <w:szCs w:val="18"/>
        </w:rPr>
        <w:t>.</w:t>
      </w:r>
    </w:p>
  </w:footnote>
  <w:footnote w:id="16">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rPr>
      </w:pPr>
      <w:r w:rsidRPr="00732013">
        <w:rPr>
          <w:spacing w:val="5"/>
          <w:w w:val="103"/>
          <w:szCs w:val="18"/>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Учебный курс был подготовлен в</w:t>
      </w:r>
      <w:r w:rsidRPr="00732013">
        <w:rPr>
          <w:spacing w:val="5"/>
          <w:w w:val="103"/>
          <w:szCs w:val="18"/>
        </w:rPr>
        <w:t xml:space="preserve"> 2012</w:t>
      </w:r>
      <w:r w:rsidRPr="00732013">
        <w:rPr>
          <w:spacing w:val="5"/>
          <w:w w:val="103"/>
          <w:szCs w:val="18"/>
          <w:lang w:val="ru-RU"/>
        </w:rPr>
        <w:t> году Министерством социальной защиты и труда совместно с Женским информационным центром</w:t>
      </w:r>
      <w:r w:rsidRPr="00732013">
        <w:rPr>
          <w:spacing w:val="5"/>
          <w:w w:val="103"/>
          <w:szCs w:val="18"/>
        </w:rPr>
        <w:t>.</w:t>
      </w:r>
    </w:p>
  </w:footnote>
  <w:footnote w:id="17">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rPr>
      </w:pPr>
      <w:r w:rsidRPr="00732013">
        <w:rPr>
          <w:spacing w:val="5"/>
          <w:w w:val="103"/>
          <w:szCs w:val="18"/>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"Официальный вестник"</w:t>
      </w:r>
      <w:r w:rsidRPr="00732013">
        <w:rPr>
          <w:spacing w:val="5"/>
          <w:w w:val="103"/>
          <w:szCs w:val="18"/>
        </w:rPr>
        <w:t>, 2006</w:t>
      </w:r>
      <w:r w:rsidRPr="00732013">
        <w:rPr>
          <w:spacing w:val="5"/>
          <w:w w:val="103"/>
          <w:szCs w:val="18"/>
          <w:lang w:val="ru-RU"/>
        </w:rPr>
        <w:t> год</w:t>
      </w:r>
      <w:r w:rsidRPr="00732013">
        <w:rPr>
          <w:spacing w:val="5"/>
          <w:w w:val="103"/>
          <w:szCs w:val="18"/>
        </w:rPr>
        <w:t xml:space="preserve">, </w:t>
      </w:r>
      <w:r w:rsidRPr="00732013">
        <w:rPr>
          <w:spacing w:val="5"/>
          <w:w w:val="103"/>
          <w:szCs w:val="18"/>
          <w:lang w:val="ru-RU"/>
        </w:rPr>
        <w:t>№</w:t>
      </w:r>
      <w:r w:rsidRPr="00732013">
        <w:rPr>
          <w:spacing w:val="5"/>
          <w:w w:val="103"/>
          <w:szCs w:val="18"/>
        </w:rPr>
        <w:t xml:space="preserve"> 82</w:t>
      </w:r>
      <w:r w:rsidRPr="00732013">
        <w:rPr>
          <w:spacing w:val="5"/>
          <w:w w:val="103"/>
          <w:szCs w:val="18"/>
          <w:lang w:val="ru-RU"/>
        </w:rPr>
        <w:t>-</w:t>
      </w:r>
      <w:r w:rsidRPr="00732013">
        <w:rPr>
          <w:spacing w:val="5"/>
          <w:w w:val="103"/>
          <w:szCs w:val="18"/>
        </w:rPr>
        <w:t>3254</w:t>
      </w:r>
      <w:r w:rsidRPr="00732013">
        <w:rPr>
          <w:spacing w:val="5"/>
          <w:w w:val="103"/>
          <w:szCs w:val="18"/>
          <w:lang w:val="ru-RU"/>
        </w:rPr>
        <w:t>, с поправками.</w:t>
      </w:r>
    </w:p>
  </w:footnote>
  <w:footnote w:id="18">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rPr>
        <w:tab/>
      </w:r>
      <w:r w:rsidRPr="00732013">
        <w:rPr>
          <w:rStyle w:val="FootnoteReference"/>
          <w:spacing w:val="5"/>
          <w:w w:val="103"/>
          <w:szCs w:val="18"/>
        </w:rPr>
        <w:footnoteRef/>
      </w:r>
      <w:r w:rsidRPr="00732013">
        <w:rPr>
          <w:spacing w:val="5"/>
          <w:w w:val="103"/>
          <w:szCs w:val="18"/>
          <w:lang w:val="ru-RU"/>
        </w:rPr>
        <w:tab/>
        <w:t>Утвержден 2 ноября 2011 года постановлением № 1281 правительства Литовской Республики ("Официальный вестник", 2011 год, № 134-6362).</w:t>
      </w:r>
    </w:p>
  </w:footnote>
  <w:footnote w:id="19">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rPr>
      </w:pPr>
      <w:r w:rsidRPr="00732013">
        <w:rPr>
          <w:spacing w:val="5"/>
          <w:w w:val="103"/>
          <w:szCs w:val="18"/>
          <w:lang w:val="ru-RU"/>
        </w:rPr>
        <w:tab/>
      </w:r>
      <w:r w:rsidRPr="00732013">
        <w:rPr>
          <w:rStyle w:val="FootnoteReference"/>
          <w:spacing w:val="5"/>
          <w:w w:val="103"/>
          <w:szCs w:val="18"/>
        </w:rPr>
        <w:footnoteRef/>
      </w:r>
      <w:r w:rsidRPr="00732013">
        <w:rPr>
          <w:spacing w:val="5"/>
          <w:w w:val="103"/>
          <w:szCs w:val="18"/>
        </w:rPr>
        <w:tab/>
      </w:r>
      <w:r w:rsidRPr="00732013">
        <w:rPr>
          <w:iCs/>
          <w:spacing w:val="5"/>
          <w:w w:val="103"/>
          <w:szCs w:val="18"/>
        </w:rPr>
        <w:t>Dosta</w:t>
      </w:r>
      <w:r w:rsidRPr="00732013">
        <w:rPr>
          <w:spacing w:val="5"/>
          <w:w w:val="103"/>
          <w:szCs w:val="18"/>
        </w:rPr>
        <w:t xml:space="preserve"> </w:t>
      </w:r>
      <w:r w:rsidRPr="00732013">
        <w:rPr>
          <w:spacing w:val="5"/>
          <w:w w:val="103"/>
          <w:szCs w:val="18"/>
          <w:lang w:val="ru-RU"/>
        </w:rPr>
        <w:t>означает "хватит"</w:t>
      </w:r>
      <w:r w:rsidRPr="00732013">
        <w:rPr>
          <w:i/>
          <w:spacing w:val="5"/>
          <w:w w:val="103"/>
          <w:szCs w:val="18"/>
          <w:lang w:val="ru-RU"/>
        </w:rPr>
        <w:t xml:space="preserve"> </w:t>
      </w:r>
      <w:r w:rsidRPr="00732013">
        <w:rPr>
          <w:spacing w:val="5"/>
          <w:w w:val="103"/>
          <w:szCs w:val="18"/>
          <w:lang w:val="ru-RU"/>
        </w:rPr>
        <w:t>на одном из диалектов народности рома</w:t>
      </w:r>
      <w:r w:rsidRPr="00732013">
        <w:rPr>
          <w:spacing w:val="5"/>
          <w:w w:val="103"/>
          <w:szCs w:val="18"/>
        </w:rPr>
        <w:t>.</w:t>
      </w:r>
    </w:p>
  </w:footnote>
  <w:footnote w:id="20">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lang w:val="ru-RU"/>
        </w:rPr>
        <w:tab/>
      </w:r>
      <w:r w:rsidRPr="00732013">
        <w:rPr>
          <w:rStyle w:val="FootnoteReference"/>
          <w:spacing w:val="5"/>
          <w:w w:val="103"/>
          <w:szCs w:val="18"/>
        </w:rPr>
        <w:footnoteRef/>
      </w:r>
      <w:r w:rsidRPr="00732013">
        <w:rPr>
          <w:spacing w:val="5"/>
          <w:w w:val="103"/>
          <w:szCs w:val="18"/>
          <w:lang w:val="ru-RU"/>
        </w:rPr>
        <w:tab/>
        <w:t>"Процедура рассмотрения проектов учебников" включает приложение "Формат рассмотрения содержания исходного текста учебника/комплекта учебников".</w:t>
      </w:r>
    </w:p>
  </w:footnote>
  <w:footnote w:id="21">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color w:val="000000"/>
          <w:spacing w:val="5"/>
          <w:w w:val="103"/>
          <w:szCs w:val="18"/>
          <w:lang w:val="ru-RU"/>
        </w:rPr>
      </w:pPr>
      <w:r w:rsidRPr="00732013">
        <w:rPr>
          <w:spacing w:val="5"/>
          <w:w w:val="103"/>
          <w:szCs w:val="18"/>
          <w:lang w:val="ru-RU"/>
        </w:rPr>
        <w:tab/>
      </w:r>
      <w:r w:rsidRPr="00732013">
        <w:rPr>
          <w:rStyle w:val="FootnoteReference"/>
          <w:spacing w:val="5"/>
          <w:w w:val="103"/>
          <w:szCs w:val="18"/>
        </w:rPr>
        <w:footnoteRef/>
      </w:r>
      <w:r w:rsidRPr="00732013">
        <w:rPr>
          <w:spacing w:val="5"/>
          <w:w w:val="103"/>
          <w:szCs w:val="18"/>
          <w:lang w:val="ru-RU"/>
        </w:rPr>
        <w:tab/>
        <w:t>С полной информацией можно ознакомиться на сайте</w:t>
      </w:r>
      <w:r w:rsidRPr="00732013">
        <w:rPr>
          <w:color w:val="000000"/>
          <w:spacing w:val="5"/>
          <w:w w:val="103"/>
          <w:szCs w:val="18"/>
          <w:lang w:val="ru-RU"/>
        </w:rPr>
        <w:t>:</w:t>
      </w:r>
    </w:p>
  </w:footnote>
  <w:footnote w:id="22">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lang w:val="ru-RU"/>
        </w:rPr>
        <w:tab/>
      </w:r>
      <w:r w:rsidRPr="00732013">
        <w:rPr>
          <w:rStyle w:val="FootnoteReference"/>
          <w:spacing w:val="5"/>
          <w:w w:val="103"/>
          <w:szCs w:val="18"/>
        </w:rPr>
        <w:footnoteRef/>
      </w:r>
      <w:r w:rsidRPr="00732013">
        <w:rPr>
          <w:spacing w:val="5"/>
          <w:w w:val="103"/>
          <w:szCs w:val="18"/>
          <w:lang w:val="ru-RU"/>
        </w:rPr>
        <w:tab/>
        <w:t>Постановление № 1066 правительства Литовской Республики от 14 сентября 2011 года "Имплементация Закона Литовской Республики о защите от насилия в семье" ("Официальный вестник", 2011 год, № 115-5400).</w:t>
      </w:r>
    </w:p>
  </w:footnote>
  <w:footnote w:id="23">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lang w:val="ru-RU"/>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"Официальный вестник"</w:t>
      </w:r>
      <w:r w:rsidRPr="00732013">
        <w:rPr>
          <w:color w:val="000000"/>
          <w:spacing w:val="5"/>
          <w:w w:val="103"/>
          <w:szCs w:val="18"/>
        </w:rPr>
        <w:t>, 2011</w:t>
      </w:r>
      <w:r w:rsidRPr="00732013">
        <w:rPr>
          <w:color w:val="000000"/>
          <w:spacing w:val="5"/>
          <w:w w:val="103"/>
          <w:szCs w:val="18"/>
          <w:lang w:val="ru-RU"/>
        </w:rPr>
        <w:t> год</w:t>
      </w:r>
      <w:r w:rsidRPr="00732013">
        <w:rPr>
          <w:color w:val="000000"/>
          <w:spacing w:val="5"/>
          <w:w w:val="103"/>
          <w:szCs w:val="18"/>
        </w:rPr>
        <w:t xml:space="preserve">, </w:t>
      </w:r>
      <w:r w:rsidRPr="00732013">
        <w:rPr>
          <w:color w:val="000000"/>
          <w:spacing w:val="5"/>
          <w:w w:val="103"/>
          <w:szCs w:val="18"/>
          <w:lang w:val="ru-RU"/>
        </w:rPr>
        <w:t>№</w:t>
      </w:r>
      <w:r w:rsidRPr="00732013">
        <w:rPr>
          <w:color w:val="000000"/>
          <w:spacing w:val="5"/>
          <w:w w:val="103"/>
          <w:szCs w:val="18"/>
        </w:rPr>
        <w:t xml:space="preserve"> 72-3475</w:t>
      </w:r>
      <w:r w:rsidRPr="00732013">
        <w:rPr>
          <w:color w:val="000000"/>
          <w:spacing w:val="5"/>
          <w:w w:val="103"/>
          <w:szCs w:val="18"/>
          <w:lang w:val="ru-RU"/>
        </w:rPr>
        <w:t>.</w:t>
      </w:r>
    </w:p>
  </w:footnote>
  <w:footnote w:id="24">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Утверждена</w:t>
      </w:r>
      <w:r w:rsidRPr="00732013">
        <w:rPr>
          <w:spacing w:val="5"/>
          <w:w w:val="103"/>
          <w:szCs w:val="18"/>
        </w:rPr>
        <w:t xml:space="preserve"> 31 </w:t>
      </w:r>
      <w:r w:rsidRPr="00732013">
        <w:rPr>
          <w:spacing w:val="5"/>
          <w:w w:val="103"/>
          <w:szCs w:val="18"/>
          <w:lang w:val="ru-RU"/>
        </w:rPr>
        <w:t>января</w:t>
      </w:r>
      <w:r w:rsidRPr="00732013">
        <w:rPr>
          <w:spacing w:val="5"/>
          <w:w w:val="103"/>
          <w:szCs w:val="18"/>
        </w:rPr>
        <w:t xml:space="preserve"> 2012</w:t>
      </w:r>
      <w:r w:rsidRPr="00732013">
        <w:rPr>
          <w:spacing w:val="5"/>
          <w:w w:val="103"/>
          <w:szCs w:val="18"/>
          <w:lang w:val="ru-RU"/>
        </w:rPr>
        <w:t> года приказом №</w:t>
      </w:r>
      <w:r w:rsidRPr="00732013">
        <w:rPr>
          <w:spacing w:val="5"/>
          <w:w w:val="103"/>
          <w:szCs w:val="18"/>
        </w:rPr>
        <w:t xml:space="preserve"> 5-V-84 </w:t>
      </w:r>
      <w:r w:rsidRPr="00732013">
        <w:rPr>
          <w:spacing w:val="5"/>
          <w:w w:val="103"/>
          <w:szCs w:val="18"/>
          <w:lang w:val="ru-RU"/>
        </w:rPr>
        <w:t xml:space="preserve">Генерального комиссара полиции Литвы </w:t>
      </w:r>
      <w:r w:rsidRPr="00732013">
        <w:rPr>
          <w:spacing w:val="5"/>
          <w:w w:val="103"/>
          <w:szCs w:val="18"/>
        </w:rPr>
        <w:t>(</w:t>
      </w:r>
      <w:r w:rsidRPr="00732013">
        <w:rPr>
          <w:spacing w:val="5"/>
          <w:w w:val="103"/>
          <w:szCs w:val="18"/>
          <w:lang w:val="ru-RU"/>
        </w:rPr>
        <w:t>"Официальный вестник"</w:t>
      </w:r>
      <w:r w:rsidRPr="00732013">
        <w:rPr>
          <w:spacing w:val="5"/>
          <w:w w:val="103"/>
          <w:szCs w:val="18"/>
        </w:rPr>
        <w:t>, 2012</w:t>
      </w:r>
      <w:r w:rsidRPr="00732013">
        <w:rPr>
          <w:spacing w:val="5"/>
          <w:w w:val="103"/>
          <w:szCs w:val="18"/>
          <w:lang w:val="ru-RU"/>
        </w:rPr>
        <w:t> год</w:t>
      </w:r>
      <w:r w:rsidRPr="00732013">
        <w:rPr>
          <w:spacing w:val="5"/>
          <w:w w:val="103"/>
          <w:szCs w:val="18"/>
        </w:rPr>
        <w:t xml:space="preserve">, </w:t>
      </w:r>
      <w:r w:rsidRPr="00732013">
        <w:rPr>
          <w:spacing w:val="5"/>
          <w:w w:val="103"/>
          <w:szCs w:val="18"/>
          <w:lang w:val="ru-RU"/>
        </w:rPr>
        <w:t>№</w:t>
      </w:r>
      <w:r w:rsidRPr="00732013">
        <w:rPr>
          <w:spacing w:val="5"/>
          <w:w w:val="103"/>
          <w:szCs w:val="18"/>
        </w:rPr>
        <w:t xml:space="preserve"> 16-740)</w:t>
      </w:r>
      <w:r w:rsidRPr="00732013">
        <w:rPr>
          <w:spacing w:val="5"/>
          <w:w w:val="103"/>
          <w:szCs w:val="18"/>
          <w:lang w:val="ru-RU"/>
        </w:rPr>
        <w:t>.</w:t>
      </w:r>
    </w:p>
  </w:footnote>
  <w:footnote w:id="25">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Утверждена</w:t>
      </w:r>
      <w:r w:rsidRPr="00732013">
        <w:rPr>
          <w:spacing w:val="5"/>
          <w:w w:val="103"/>
          <w:szCs w:val="18"/>
        </w:rPr>
        <w:t xml:space="preserve"> 14 </w:t>
      </w:r>
      <w:r w:rsidRPr="00732013">
        <w:rPr>
          <w:spacing w:val="5"/>
          <w:w w:val="103"/>
          <w:szCs w:val="18"/>
          <w:lang w:val="ru-RU"/>
        </w:rPr>
        <w:t>декабря</w:t>
      </w:r>
      <w:r w:rsidRPr="00732013">
        <w:rPr>
          <w:spacing w:val="5"/>
          <w:w w:val="103"/>
          <w:szCs w:val="18"/>
        </w:rPr>
        <w:t xml:space="preserve"> 2011 год</w:t>
      </w:r>
      <w:r w:rsidRPr="00732013">
        <w:rPr>
          <w:spacing w:val="5"/>
          <w:w w:val="103"/>
          <w:szCs w:val="18"/>
          <w:lang w:val="ru-RU"/>
        </w:rPr>
        <w:t>а приказом №</w:t>
      </w:r>
      <w:r w:rsidRPr="00732013">
        <w:rPr>
          <w:spacing w:val="5"/>
          <w:w w:val="103"/>
          <w:szCs w:val="18"/>
        </w:rPr>
        <w:t xml:space="preserve"> 5-V-1115 </w:t>
      </w:r>
      <w:r w:rsidRPr="00732013">
        <w:rPr>
          <w:spacing w:val="5"/>
          <w:w w:val="103"/>
          <w:szCs w:val="18"/>
          <w:lang w:val="ru-RU"/>
        </w:rPr>
        <w:t xml:space="preserve">Генерального комиссара полиции Литвы </w:t>
      </w:r>
      <w:r w:rsidRPr="00732013">
        <w:rPr>
          <w:spacing w:val="5"/>
          <w:w w:val="103"/>
          <w:szCs w:val="18"/>
        </w:rPr>
        <w:t>(</w:t>
      </w:r>
      <w:r w:rsidRPr="00732013">
        <w:rPr>
          <w:spacing w:val="5"/>
          <w:w w:val="103"/>
          <w:szCs w:val="18"/>
          <w:lang w:val="ru-RU"/>
        </w:rPr>
        <w:t>"Официальный вестник"</w:t>
      </w:r>
      <w:r w:rsidRPr="00732013">
        <w:rPr>
          <w:spacing w:val="5"/>
          <w:w w:val="103"/>
          <w:szCs w:val="18"/>
        </w:rPr>
        <w:t>, 2011</w:t>
      </w:r>
      <w:r w:rsidRPr="00732013">
        <w:rPr>
          <w:spacing w:val="5"/>
          <w:w w:val="103"/>
          <w:szCs w:val="18"/>
          <w:lang w:val="ru-RU"/>
        </w:rPr>
        <w:t> год</w:t>
      </w:r>
      <w:r w:rsidRPr="00732013">
        <w:rPr>
          <w:spacing w:val="5"/>
          <w:w w:val="103"/>
          <w:szCs w:val="18"/>
        </w:rPr>
        <w:t xml:space="preserve">, </w:t>
      </w:r>
      <w:r w:rsidRPr="00732013">
        <w:rPr>
          <w:spacing w:val="5"/>
          <w:w w:val="103"/>
          <w:szCs w:val="18"/>
          <w:lang w:val="ru-RU"/>
        </w:rPr>
        <w:t>№</w:t>
      </w:r>
      <w:r w:rsidRPr="00732013">
        <w:rPr>
          <w:spacing w:val="5"/>
          <w:w w:val="103"/>
          <w:szCs w:val="18"/>
        </w:rPr>
        <w:t xml:space="preserve"> 154-7330)</w:t>
      </w:r>
      <w:r w:rsidRPr="00732013">
        <w:rPr>
          <w:spacing w:val="5"/>
          <w:w w:val="103"/>
          <w:szCs w:val="18"/>
          <w:lang w:val="ru-RU"/>
        </w:rPr>
        <w:t>.</w:t>
      </w:r>
    </w:p>
  </w:footnote>
  <w:footnote w:id="26">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Утверждена</w:t>
      </w:r>
      <w:r w:rsidRPr="00732013">
        <w:rPr>
          <w:spacing w:val="5"/>
          <w:w w:val="103"/>
          <w:szCs w:val="18"/>
        </w:rPr>
        <w:t xml:space="preserve"> 30</w:t>
      </w:r>
      <w:r w:rsidRPr="00732013">
        <w:rPr>
          <w:spacing w:val="5"/>
          <w:w w:val="103"/>
          <w:szCs w:val="18"/>
          <w:lang w:val="ru-RU"/>
        </w:rPr>
        <w:t> ноября</w:t>
      </w:r>
      <w:r w:rsidRPr="00732013">
        <w:rPr>
          <w:spacing w:val="5"/>
          <w:w w:val="103"/>
          <w:szCs w:val="18"/>
        </w:rPr>
        <w:t xml:space="preserve"> 2011 год</w:t>
      </w:r>
      <w:r w:rsidRPr="00732013">
        <w:rPr>
          <w:spacing w:val="5"/>
          <w:w w:val="103"/>
          <w:szCs w:val="18"/>
          <w:lang w:val="ru-RU"/>
        </w:rPr>
        <w:t>а приказом №</w:t>
      </w:r>
      <w:r w:rsidRPr="00732013">
        <w:rPr>
          <w:spacing w:val="5"/>
          <w:w w:val="103"/>
          <w:szCs w:val="18"/>
        </w:rPr>
        <w:t xml:space="preserve"> 5-V-1061 </w:t>
      </w:r>
      <w:r w:rsidRPr="00732013">
        <w:rPr>
          <w:spacing w:val="5"/>
          <w:w w:val="103"/>
          <w:szCs w:val="18"/>
          <w:lang w:val="ru-RU"/>
        </w:rPr>
        <w:t xml:space="preserve">Генерального комиссара полиции Литвы </w:t>
      </w:r>
      <w:r w:rsidRPr="00732013">
        <w:rPr>
          <w:spacing w:val="5"/>
          <w:w w:val="103"/>
          <w:szCs w:val="18"/>
        </w:rPr>
        <w:t>(</w:t>
      </w:r>
      <w:r w:rsidRPr="00732013">
        <w:rPr>
          <w:spacing w:val="5"/>
          <w:w w:val="103"/>
          <w:szCs w:val="18"/>
          <w:lang w:val="ru-RU"/>
        </w:rPr>
        <w:t>"Официальный вестник"</w:t>
      </w:r>
      <w:r w:rsidRPr="00732013">
        <w:rPr>
          <w:spacing w:val="5"/>
          <w:w w:val="103"/>
          <w:szCs w:val="18"/>
        </w:rPr>
        <w:t>, 2011</w:t>
      </w:r>
      <w:r w:rsidRPr="00732013">
        <w:rPr>
          <w:spacing w:val="5"/>
          <w:w w:val="103"/>
          <w:szCs w:val="18"/>
          <w:lang w:val="ru-RU"/>
        </w:rPr>
        <w:t> год</w:t>
      </w:r>
      <w:r w:rsidRPr="00732013">
        <w:rPr>
          <w:spacing w:val="5"/>
          <w:w w:val="103"/>
          <w:szCs w:val="18"/>
        </w:rPr>
        <w:t xml:space="preserve">, </w:t>
      </w:r>
      <w:r w:rsidRPr="00732013">
        <w:rPr>
          <w:spacing w:val="5"/>
          <w:w w:val="103"/>
          <w:szCs w:val="18"/>
          <w:lang w:val="ru-RU"/>
        </w:rPr>
        <w:t>№</w:t>
      </w:r>
      <w:r w:rsidRPr="00732013">
        <w:rPr>
          <w:spacing w:val="5"/>
          <w:w w:val="103"/>
          <w:szCs w:val="18"/>
        </w:rPr>
        <w:t xml:space="preserve"> 150-7091)</w:t>
      </w:r>
      <w:r w:rsidRPr="00732013">
        <w:rPr>
          <w:spacing w:val="5"/>
          <w:w w:val="103"/>
          <w:szCs w:val="18"/>
          <w:lang w:val="ru-RU"/>
        </w:rPr>
        <w:t>.</w:t>
      </w:r>
    </w:p>
  </w:footnote>
  <w:footnote w:id="27">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lang w:val="ru-RU"/>
        </w:rPr>
      </w:pPr>
      <w:r w:rsidRPr="00732013">
        <w:rPr>
          <w:spacing w:val="5"/>
          <w:w w:val="103"/>
          <w:szCs w:val="18"/>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Утверждена</w:t>
      </w:r>
      <w:r w:rsidRPr="00732013">
        <w:rPr>
          <w:spacing w:val="5"/>
          <w:w w:val="103"/>
          <w:szCs w:val="18"/>
        </w:rPr>
        <w:t xml:space="preserve"> 19 </w:t>
      </w:r>
      <w:r w:rsidRPr="00732013">
        <w:rPr>
          <w:spacing w:val="5"/>
          <w:w w:val="103"/>
          <w:szCs w:val="18"/>
          <w:lang w:val="ru-RU"/>
        </w:rPr>
        <w:t>декабря</w:t>
      </w:r>
      <w:r w:rsidRPr="00732013">
        <w:rPr>
          <w:spacing w:val="5"/>
          <w:w w:val="103"/>
          <w:szCs w:val="18"/>
        </w:rPr>
        <w:t xml:space="preserve"> 2011 год</w:t>
      </w:r>
      <w:r w:rsidRPr="00732013">
        <w:rPr>
          <w:spacing w:val="5"/>
          <w:w w:val="103"/>
          <w:szCs w:val="18"/>
          <w:lang w:val="ru-RU"/>
        </w:rPr>
        <w:t>а приказом №</w:t>
      </w:r>
      <w:r w:rsidRPr="00732013">
        <w:rPr>
          <w:spacing w:val="5"/>
          <w:w w:val="103"/>
          <w:szCs w:val="18"/>
        </w:rPr>
        <w:t xml:space="preserve"> A1-534/V-1072/1V-931 </w:t>
      </w:r>
      <w:r w:rsidRPr="00732013">
        <w:rPr>
          <w:spacing w:val="5"/>
          <w:w w:val="103"/>
          <w:szCs w:val="18"/>
          <w:lang w:val="ru-RU"/>
        </w:rPr>
        <w:t xml:space="preserve">министра социальной защиты и труда, министра здравоохранения и министра внутренних дел </w:t>
      </w:r>
      <w:r w:rsidRPr="00732013">
        <w:rPr>
          <w:spacing w:val="5"/>
          <w:w w:val="103"/>
          <w:szCs w:val="18"/>
        </w:rPr>
        <w:t>(</w:t>
      </w:r>
      <w:r w:rsidRPr="00732013">
        <w:rPr>
          <w:spacing w:val="5"/>
          <w:w w:val="103"/>
          <w:szCs w:val="18"/>
          <w:lang w:val="ru-RU"/>
        </w:rPr>
        <w:t>"Официальный вестник"</w:t>
      </w:r>
      <w:r w:rsidRPr="00732013">
        <w:rPr>
          <w:spacing w:val="5"/>
          <w:w w:val="103"/>
          <w:szCs w:val="18"/>
        </w:rPr>
        <w:t>, 2011</w:t>
      </w:r>
      <w:r w:rsidRPr="00732013">
        <w:rPr>
          <w:spacing w:val="5"/>
          <w:w w:val="103"/>
          <w:szCs w:val="18"/>
          <w:lang w:val="ru-RU"/>
        </w:rPr>
        <w:t> год</w:t>
      </w:r>
      <w:r w:rsidRPr="00732013">
        <w:rPr>
          <w:spacing w:val="5"/>
          <w:w w:val="103"/>
          <w:szCs w:val="18"/>
        </w:rPr>
        <w:t xml:space="preserve">, </w:t>
      </w:r>
      <w:r w:rsidRPr="00732013">
        <w:rPr>
          <w:spacing w:val="5"/>
          <w:w w:val="103"/>
          <w:szCs w:val="18"/>
          <w:lang w:val="ru-RU"/>
        </w:rPr>
        <w:t>№</w:t>
      </w:r>
      <w:r w:rsidRPr="00732013">
        <w:rPr>
          <w:spacing w:val="5"/>
          <w:w w:val="103"/>
          <w:szCs w:val="18"/>
        </w:rPr>
        <w:t xml:space="preserve"> 159-7530)</w:t>
      </w:r>
      <w:r w:rsidRPr="00732013">
        <w:rPr>
          <w:spacing w:val="5"/>
          <w:w w:val="103"/>
          <w:szCs w:val="18"/>
          <w:lang w:val="ru-RU"/>
        </w:rPr>
        <w:t>.</w:t>
      </w:r>
    </w:p>
  </w:footnote>
  <w:footnote w:id="28">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szCs w:val="18"/>
        </w:rPr>
      </w:pPr>
      <w:r w:rsidRPr="00732013">
        <w:rPr>
          <w:spacing w:val="5"/>
          <w:w w:val="103"/>
          <w:szCs w:val="18"/>
        </w:rPr>
        <w:tab/>
      </w:r>
      <w:r w:rsidRPr="00732013">
        <w:rPr>
          <w:rStyle w:val="FootnoteReference"/>
          <w:spacing w:val="5"/>
          <w:w w:val="103"/>
          <w:szCs w:val="18"/>
        </w:rPr>
        <w:footnoteRef/>
      </w:r>
      <w:r w:rsidRPr="00732013">
        <w:rPr>
          <w:spacing w:val="5"/>
          <w:w w:val="103"/>
          <w:szCs w:val="18"/>
        </w:rPr>
        <w:tab/>
      </w:r>
      <w:r w:rsidRPr="00732013">
        <w:rPr>
          <w:spacing w:val="5"/>
          <w:w w:val="103"/>
          <w:szCs w:val="18"/>
          <w:lang w:val="ru-RU"/>
        </w:rPr>
        <w:t>Приказ №</w:t>
      </w:r>
      <w:r w:rsidRPr="00732013">
        <w:rPr>
          <w:spacing w:val="5"/>
          <w:w w:val="103"/>
          <w:szCs w:val="18"/>
        </w:rPr>
        <w:t xml:space="preserve"> 5-V-196 </w:t>
      </w:r>
      <w:r w:rsidRPr="00732013">
        <w:rPr>
          <w:spacing w:val="5"/>
          <w:w w:val="103"/>
          <w:szCs w:val="18"/>
          <w:lang w:val="ru-RU"/>
        </w:rPr>
        <w:t xml:space="preserve">Генерального комиссара полиции от </w:t>
      </w:r>
      <w:r w:rsidRPr="00732013">
        <w:rPr>
          <w:spacing w:val="5"/>
          <w:w w:val="103"/>
          <w:szCs w:val="18"/>
        </w:rPr>
        <w:t xml:space="preserve">7 </w:t>
      </w:r>
      <w:r w:rsidRPr="00732013">
        <w:rPr>
          <w:spacing w:val="5"/>
          <w:w w:val="103"/>
          <w:szCs w:val="18"/>
          <w:lang w:val="ru-RU"/>
        </w:rPr>
        <w:t>марта</w:t>
      </w:r>
      <w:r w:rsidRPr="00732013">
        <w:rPr>
          <w:spacing w:val="5"/>
          <w:w w:val="103"/>
          <w:szCs w:val="18"/>
        </w:rPr>
        <w:t xml:space="preserve"> 2013 год</w:t>
      </w:r>
      <w:r w:rsidRPr="00732013">
        <w:rPr>
          <w:spacing w:val="5"/>
          <w:w w:val="103"/>
          <w:szCs w:val="18"/>
          <w:lang w:val="ru-RU"/>
        </w:rPr>
        <w:t>а.</w:t>
      </w:r>
    </w:p>
  </w:footnote>
  <w:footnote w:id="29">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rPr>
        <w:tab/>
      </w:r>
      <w:r w:rsidRPr="00732013">
        <w:rPr>
          <w:rStyle w:val="FootnoteReference"/>
          <w:spacing w:val="5"/>
          <w:w w:val="103"/>
        </w:rPr>
        <w:footnoteRef/>
      </w:r>
      <w:r w:rsidRPr="00732013">
        <w:rPr>
          <w:spacing w:val="5"/>
          <w:w w:val="103"/>
        </w:rPr>
        <w:tab/>
        <w:t>http://www.policija.lt/index.php?id=14172</w:t>
      </w:r>
    </w:p>
  </w:footnote>
  <w:footnote w:id="30">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Утверждена</w:t>
      </w:r>
      <w:r w:rsidRPr="00732013">
        <w:rPr>
          <w:spacing w:val="5"/>
          <w:w w:val="103"/>
        </w:rPr>
        <w:t xml:space="preserve"> 22</w:t>
      </w:r>
      <w:r w:rsidRPr="00732013">
        <w:rPr>
          <w:spacing w:val="5"/>
          <w:w w:val="103"/>
          <w:lang w:val="ru-RU"/>
        </w:rPr>
        <w:t> декабря</w:t>
      </w:r>
      <w:r w:rsidRPr="00732013">
        <w:rPr>
          <w:spacing w:val="5"/>
          <w:w w:val="103"/>
        </w:rPr>
        <w:t xml:space="preserve"> 2006</w:t>
      </w:r>
      <w:r w:rsidRPr="00732013">
        <w:rPr>
          <w:spacing w:val="5"/>
          <w:w w:val="103"/>
          <w:lang w:val="ru-RU"/>
        </w:rPr>
        <w:t> года постановлением № </w:t>
      </w:r>
      <w:r w:rsidRPr="00732013">
        <w:rPr>
          <w:spacing w:val="5"/>
          <w:w w:val="103"/>
        </w:rPr>
        <w:t xml:space="preserve">1330 </w:t>
      </w:r>
      <w:r w:rsidRPr="00732013">
        <w:rPr>
          <w:spacing w:val="5"/>
          <w:w w:val="103"/>
          <w:lang w:val="ru-RU"/>
        </w:rPr>
        <w:t>правительства Литовской</w:t>
      </w:r>
      <w:r w:rsidRPr="00732013">
        <w:rPr>
          <w:spacing w:val="5"/>
          <w:w w:val="103"/>
        </w:rPr>
        <w:t xml:space="preserve"> </w:t>
      </w:r>
      <w:r w:rsidRPr="00732013">
        <w:rPr>
          <w:spacing w:val="5"/>
          <w:w w:val="103"/>
          <w:lang w:val="ru-RU"/>
        </w:rPr>
        <w:t>Республики</w:t>
      </w:r>
      <w:r w:rsidRPr="00732013">
        <w:rPr>
          <w:spacing w:val="5"/>
          <w:w w:val="103"/>
        </w:rPr>
        <w:t xml:space="preserve"> (</w:t>
      </w:r>
      <w:r w:rsidRPr="00732013">
        <w:rPr>
          <w:spacing w:val="5"/>
          <w:w w:val="103"/>
          <w:lang w:val="ru-RU"/>
        </w:rPr>
        <w:t>"Официальный вестник",</w:t>
      </w:r>
      <w:r w:rsidRPr="00732013">
        <w:rPr>
          <w:spacing w:val="5"/>
          <w:w w:val="103"/>
        </w:rPr>
        <w:t xml:space="preserve"> 2006</w:t>
      </w:r>
      <w:r w:rsidRPr="00732013">
        <w:rPr>
          <w:spacing w:val="5"/>
          <w:w w:val="103"/>
          <w:lang w:val="ru-RU"/>
        </w:rPr>
        <w:t> год</w:t>
      </w:r>
      <w:r w:rsidRPr="00732013">
        <w:rPr>
          <w:spacing w:val="5"/>
          <w:w w:val="103"/>
        </w:rPr>
        <w:t xml:space="preserve">, </w:t>
      </w:r>
      <w:r w:rsidRPr="00732013">
        <w:rPr>
          <w:spacing w:val="5"/>
          <w:w w:val="103"/>
          <w:lang w:val="ru-RU"/>
        </w:rPr>
        <w:t>№</w:t>
      </w:r>
      <w:r w:rsidRPr="00732013">
        <w:rPr>
          <w:spacing w:val="5"/>
          <w:w w:val="103"/>
        </w:rPr>
        <w:t xml:space="preserve"> 144</w:t>
      </w:r>
      <w:r w:rsidRPr="00732013">
        <w:rPr>
          <w:spacing w:val="5"/>
          <w:w w:val="103"/>
          <w:lang w:val="ru-RU"/>
        </w:rPr>
        <w:t>-</w:t>
      </w:r>
      <w:r w:rsidRPr="00732013">
        <w:rPr>
          <w:spacing w:val="5"/>
          <w:w w:val="103"/>
        </w:rPr>
        <w:t>5474)</w:t>
      </w:r>
      <w:r w:rsidRPr="00732013">
        <w:rPr>
          <w:spacing w:val="5"/>
          <w:w w:val="103"/>
          <w:lang w:val="ru-RU"/>
        </w:rPr>
        <w:t>.</w:t>
      </w:r>
    </w:p>
  </w:footnote>
  <w:footnote w:id="31">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Утверждена</w:t>
      </w:r>
      <w:r w:rsidRPr="00732013">
        <w:rPr>
          <w:spacing w:val="5"/>
          <w:w w:val="103"/>
        </w:rPr>
        <w:t xml:space="preserve"> 9 </w:t>
      </w:r>
      <w:r w:rsidRPr="00732013">
        <w:rPr>
          <w:spacing w:val="5"/>
          <w:w w:val="103"/>
          <w:lang w:val="ru-RU"/>
        </w:rPr>
        <w:t>сентября</w:t>
      </w:r>
      <w:r w:rsidRPr="00732013">
        <w:rPr>
          <w:spacing w:val="5"/>
          <w:w w:val="103"/>
        </w:rPr>
        <w:t xml:space="preserve"> 2009 </w:t>
      </w:r>
      <w:r w:rsidRPr="00732013">
        <w:rPr>
          <w:spacing w:val="5"/>
          <w:w w:val="103"/>
          <w:lang w:val="ru-RU"/>
        </w:rPr>
        <w:t>года постановлением №</w:t>
      </w:r>
      <w:r w:rsidRPr="00732013">
        <w:rPr>
          <w:spacing w:val="5"/>
          <w:w w:val="103"/>
        </w:rPr>
        <w:t xml:space="preserve"> 1104 </w:t>
      </w:r>
      <w:r w:rsidRPr="00732013">
        <w:rPr>
          <w:spacing w:val="5"/>
          <w:w w:val="103"/>
          <w:lang w:val="ru-RU"/>
        </w:rPr>
        <w:t>правительства Литовской</w:t>
      </w:r>
      <w:r w:rsidRPr="00732013">
        <w:rPr>
          <w:spacing w:val="5"/>
          <w:w w:val="103"/>
        </w:rPr>
        <w:t xml:space="preserve"> </w:t>
      </w:r>
      <w:r w:rsidRPr="00732013">
        <w:rPr>
          <w:spacing w:val="5"/>
          <w:w w:val="103"/>
          <w:lang w:val="ru-RU"/>
        </w:rPr>
        <w:t>Республики</w:t>
      </w:r>
      <w:r w:rsidRPr="00732013">
        <w:rPr>
          <w:spacing w:val="5"/>
          <w:w w:val="103"/>
        </w:rPr>
        <w:t xml:space="preserve"> (</w:t>
      </w:r>
      <w:r w:rsidRPr="00732013">
        <w:rPr>
          <w:spacing w:val="5"/>
          <w:w w:val="103"/>
          <w:lang w:val="ru-RU"/>
        </w:rPr>
        <w:t>"Официальный вестник"</w:t>
      </w:r>
      <w:r w:rsidRPr="00732013">
        <w:rPr>
          <w:spacing w:val="5"/>
          <w:w w:val="103"/>
        </w:rPr>
        <w:t>, 2009</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112</w:t>
      </w:r>
      <w:r w:rsidRPr="00732013">
        <w:rPr>
          <w:spacing w:val="5"/>
          <w:w w:val="103"/>
          <w:lang w:val="ru-RU"/>
        </w:rPr>
        <w:t>-</w:t>
      </w:r>
      <w:r w:rsidRPr="00732013">
        <w:rPr>
          <w:spacing w:val="5"/>
          <w:w w:val="103"/>
        </w:rPr>
        <w:t>4761)</w:t>
      </w:r>
      <w:r w:rsidRPr="00732013">
        <w:rPr>
          <w:spacing w:val="5"/>
          <w:w w:val="103"/>
          <w:lang w:val="ru-RU"/>
        </w:rPr>
        <w:t>.</w:t>
      </w:r>
    </w:p>
  </w:footnote>
  <w:footnote w:id="32">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rPr>
        <w:tab/>
      </w:r>
      <w:r w:rsidRPr="00732013">
        <w:rPr>
          <w:rStyle w:val="FootnoteReference"/>
          <w:spacing w:val="5"/>
          <w:w w:val="103"/>
        </w:rPr>
        <w:footnoteRef/>
      </w:r>
      <w:r w:rsidRPr="00732013">
        <w:rPr>
          <w:spacing w:val="5"/>
          <w:w w:val="103"/>
        </w:rPr>
        <w:tab/>
      </w:r>
      <w:hyperlink r:id="rId2" w:history="1">
        <w:r w:rsidRPr="00732013">
          <w:rPr>
            <w:rStyle w:val="Hyperlink"/>
            <w:spacing w:val="5"/>
            <w:w w:val="103"/>
          </w:rPr>
          <w:t>http://www.vrm.lt/lit/Prekybos-zmonemis-prevencijos-ir-kontroles-programa/246/1</w:t>
        </w:r>
      </w:hyperlink>
    </w:p>
  </w:footnote>
  <w:footnote w:id="33">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По одному человеку в Чешской Республике, Германии</w:t>
      </w:r>
      <w:r w:rsidRPr="00732013">
        <w:rPr>
          <w:spacing w:val="5"/>
          <w:w w:val="103"/>
        </w:rPr>
        <w:t xml:space="preserve"> </w:t>
      </w:r>
      <w:r w:rsidRPr="00732013">
        <w:rPr>
          <w:spacing w:val="5"/>
          <w:w w:val="103"/>
          <w:lang w:val="ru-RU"/>
        </w:rPr>
        <w:t>и Испании</w:t>
      </w:r>
      <w:r w:rsidRPr="00732013">
        <w:rPr>
          <w:spacing w:val="5"/>
          <w:w w:val="103"/>
        </w:rPr>
        <w:t>.</w:t>
      </w:r>
    </w:p>
  </w:footnote>
  <w:footnote w:id="34">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По одному человеку в Нидерландах и Ирландии</w:t>
      </w:r>
      <w:r w:rsidRPr="00732013">
        <w:rPr>
          <w:spacing w:val="5"/>
          <w:w w:val="103"/>
        </w:rPr>
        <w:t xml:space="preserve">, </w:t>
      </w:r>
      <w:r w:rsidRPr="00732013">
        <w:rPr>
          <w:spacing w:val="5"/>
          <w:w w:val="103"/>
          <w:lang w:val="ru-RU"/>
        </w:rPr>
        <w:t>по два человека в Испании и Соединенном Королевстве</w:t>
      </w:r>
      <w:r w:rsidRPr="00732013">
        <w:rPr>
          <w:spacing w:val="5"/>
          <w:w w:val="103"/>
        </w:rPr>
        <w:t>.</w:t>
      </w:r>
    </w:p>
  </w:footnote>
  <w:footnote w:id="35">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Утверждена</w:t>
      </w:r>
      <w:r w:rsidRPr="00732013">
        <w:rPr>
          <w:spacing w:val="5"/>
          <w:w w:val="103"/>
        </w:rPr>
        <w:t xml:space="preserve"> 14 </w:t>
      </w:r>
      <w:r w:rsidRPr="00732013">
        <w:rPr>
          <w:spacing w:val="5"/>
          <w:w w:val="103"/>
          <w:lang w:val="ru-RU"/>
        </w:rPr>
        <w:t>ноября</w:t>
      </w:r>
      <w:r w:rsidRPr="00732013">
        <w:rPr>
          <w:spacing w:val="5"/>
          <w:w w:val="103"/>
        </w:rPr>
        <w:t xml:space="preserve"> 2012</w:t>
      </w:r>
      <w:r w:rsidRPr="00732013">
        <w:rPr>
          <w:spacing w:val="5"/>
          <w:w w:val="103"/>
          <w:lang w:val="ru-RU"/>
        </w:rPr>
        <w:t xml:space="preserve"> года постановлением № </w:t>
      </w:r>
      <w:r w:rsidRPr="00732013">
        <w:rPr>
          <w:spacing w:val="5"/>
          <w:w w:val="103"/>
        </w:rPr>
        <w:t xml:space="preserve">1381 </w:t>
      </w:r>
      <w:r w:rsidRPr="00732013">
        <w:rPr>
          <w:spacing w:val="5"/>
          <w:w w:val="103"/>
          <w:lang w:val="ru-RU"/>
        </w:rPr>
        <w:t>правительства Литовской Республики</w:t>
      </w:r>
      <w:r w:rsidRPr="00732013">
        <w:rPr>
          <w:spacing w:val="5"/>
          <w:w w:val="103"/>
        </w:rPr>
        <w:t xml:space="preserve"> (</w:t>
      </w:r>
      <w:r w:rsidRPr="00732013">
        <w:rPr>
          <w:spacing w:val="5"/>
          <w:w w:val="103"/>
          <w:lang w:val="ru-RU"/>
        </w:rPr>
        <w:t>"Официальный вестник"</w:t>
      </w:r>
      <w:r w:rsidRPr="00732013">
        <w:rPr>
          <w:spacing w:val="5"/>
          <w:w w:val="103"/>
        </w:rPr>
        <w:t>, 2012</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135</w:t>
      </w:r>
      <w:r w:rsidRPr="00732013">
        <w:rPr>
          <w:spacing w:val="5"/>
          <w:w w:val="103"/>
          <w:lang w:val="ru-RU"/>
        </w:rPr>
        <w:t>-</w:t>
      </w:r>
      <w:r w:rsidRPr="00732013">
        <w:rPr>
          <w:spacing w:val="5"/>
          <w:w w:val="103"/>
        </w:rPr>
        <w:t>6897)</w:t>
      </w:r>
      <w:r w:rsidRPr="00732013">
        <w:rPr>
          <w:spacing w:val="5"/>
          <w:w w:val="103"/>
          <w:lang w:val="ru-RU"/>
        </w:rPr>
        <w:t>.</w:t>
      </w:r>
    </w:p>
  </w:footnote>
  <w:footnote w:id="36">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rPr>
        <w:tab/>
      </w:r>
      <w:r w:rsidRPr="00732013">
        <w:rPr>
          <w:rStyle w:val="FootnoteReference"/>
          <w:spacing w:val="5"/>
          <w:w w:val="103"/>
        </w:rPr>
        <w:footnoteRef/>
      </w:r>
      <w:r w:rsidRPr="00732013">
        <w:rPr>
          <w:spacing w:val="5"/>
          <w:w w:val="103"/>
        </w:rPr>
        <w:tab/>
        <w:t>http://www.policija.lt/</w:t>
      </w:r>
    </w:p>
  </w:footnote>
  <w:footnote w:id="37">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"Официальный вестник"</w:t>
      </w:r>
      <w:r w:rsidRPr="00732013">
        <w:rPr>
          <w:spacing w:val="5"/>
          <w:w w:val="103"/>
        </w:rPr>
        <w:t>, 2004</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73</w:t>
      </w:r>
      <w:r w:rsidRPr="00732013">
        <w:rPr>
          <w:spacing w:val="5"/>
          <w:w w:val="103"/>
          <w:lang w:val="ru-RU"/>
        </w:rPr>
        <w:t>-</w:t>
      </w:r>
      <w:r w:rsidRPr="00732013">
        <w:rPr>
          <w:spacing w:val="5"/>
          <w:w w:val="103"/>
        </w:rPr>
        <w:t>2539</w:t>
      </w:r>
      <w:r w:rsidRPr="00732013">
        <w:rPr>
          <w:spacing w:val="5"/>
          <w:w w:val="103"/>
          <w:lang w:val="ru-RU"/>
        </w:rPr>
        <w:t xml:space="preserve"> с поправками.</w:t>
      </w:r>
    </w:p>
  </w:footnote>
  <w:footnote w:id="38">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lang w:val="ru-RU"/>
        </w:rPr>
        <w:tab/>
        <w:t xml:space="preserve">Помещения Центра подготовлены в соответствии с постановлением правительства Литовской Республики № 430 от 18 апреля 2012 года </w:t>
      </w:r>
      <w:r w:rsidRPr="00732013">
        <w:rPr>
          <w:rStyle w:val="Strong"/>
          <w:b w:val="0"/>
          <w:spacing w:val="5"/>
          <w:w w:val="103"/>
          <w:lang w:val="ru-RU"/>
        </w:rPr>
        <w:t>"</w:t>
      </w:r>
      <w:r w:rsidRPr="00732013">
        <w:rPr>
          <w:rStyle w:val="Strong"/>
          <w:b w:val="0"/>
          <w:spacing w:val="5"/>
          <w:w w:val="103"/>
        </w:rPr>
        <w:t>O</w:t>
      </w:r>
      <w:r w:rsidRPr="00732013">
        <w:rPr>
          <w:rStyle w:val="Strong"/>
          <w:b w:val="0"/>
          <w:spacing w:val="5"/>
          <w:w w:val="103"/>
          <w:lang w:val="ru-RU"/>
        </w:rPr>
        <w:t>б утверждении процедуры предоставления периода времени для самоопределения, в течение которого иностранному лицу, которое является или являлось жертвой преступлений, сопряженных с торговлей людьми, требуется принять решение о том, будет ли оно сотрудничать с органами предварительного расследования или судом" ("</w:t>
      </w:r>
      <w:r w:rsidRPr="00732013">
        <w:rPr>
          <w:spacing w:val="5"/>
          <w:w w:val="103"/>
          <w:lang w:val="ru-RU"/>
        </w:rPr>
        <w:t>Официальный вестник", 2012 год, № 49-2385</w:t>
      </w:r>
      <w:r w:rsidRPr="00732013">
        <w:rPr>
          <w:rStyle w:val="Strong"/>
          <w:b w:val="0"/>
          <w:spacing w:val="5"/>
          <w:w w:val="103"/>
          <w:lang w:val="ru-RU"/>
        </w:rPr>
        <w:t>).</w:t>
      </w:r>
    </w:p>
  </w:footnote>
  <w:footnote w:id="39">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lang w:val="ru-RU"/>
        </w:rPr>
        <w:tab/>
      </w:r>
      <w:r w:rsidRPr="00732013">
        <w:rPr>
          <w:rStyle w:val="FootnoteReference"/>
          <w:spacing w:val="5"/>
          <w:w w:val="103"/>
        </w:rPr>
        <w:footnoteRef/>
      </w:r>
      <w:r w:rsidRPr="00732013">
        <w:rPr>
          <w:spacing w:val="5"/>
          <w:w w:val="103"/>
        </w:rPr>
        <w:tab/>
      </w:r>
      <w:r w:rsidRPr="00732013">
        <w:rPr>
          <w:spacing w:val="5"/>
          <w:w w:val="103"/>
          <w:lang w:val="ru-RU"/>
        </w:rPr>
        <w:t>Утверждена</w:t>
      </w:r>
      <w:r w:rsidRPr="00732013">
        <w:rPr>
          <w:spacing w:val="5"/>
          <w:w w:val="103"/>
        </w:rPr>
        <w:t xml:space="preserve"> 3 </w:t>
      </w:r>
      <w:r w:rsidRPr="00732013">
        <w:rPr>
          <w:spacing w:val="5"/>
          <w:w w:val="103"/>
          <w:lang w:val="ru-RU"/>
        </w:rPr>
        <w:t>января</w:t>
      </w:r>
      <w:r w:rsidRPr="00732013">
        <w:rPr>
          <w:spacing w:val="5"/>
          <w:w w:val="103"/>
        </w:rPr>
        <w:t xml:space="preserve"> 2011</w:t>
      </w:r>
      <w:r w:rsidRPr="00732013">
        <w:rPr>
          <w:spacing w:val="5"/>
          <w:w w:val="103"/>
          <w:lang w:val="ru-RU"/>
        </w:rPr>
        <w:t xml:space="preserve"> года распоряжением №</w:t>
      </w:r>
      <w:r w:rsidRPr="00732013">
        <w:rPr>
          <w:spacing w:val="5"/>
          <w:w w:val="103"/>
        </w:rPr>
        <w:t xml:space="preserve"> A1-2 </w:t>
      </w:r>
      <w:r w:rsidRPr="00732013">
        <w:rPr>
          <w:spacing w:val="5"/>
          <w:w w:val="103"/>
          <w:lang w:val="ru-RU"/>
        </w:rPr>
        <w:t xml:space="preserve">министра социальной защиты и труда </w:t>
      </w:r>
      <w:r w:rsidRPr="00732013">
        <w:rPr>
          <w:spacing w:val="5"/>
          <w:w w:val="103"/>
        </w:rPr>
        <w:t>(</w:t>
      </w:r>
      <w:r w:rsidRPr="00732013">
        <w:rPr>
          <w:spacing w:val="5"/>
          <w:w w:val="103"/>
          <w:lang w:val="ru-RU"/>
        </w:rPr>
        <w:t>"Официальный вестник"</w:t>
      </w:r>
      <w:r w:rsidRPr="00732013">
        <w:rPr>
          <w:spacing w:val="5"/>
          <w:w w:val="103"/>
        </w:rPr>
        <w:t>, 2011</w:t>
      </w:r>
      <w:r w:rsidRPr="00732013">
        <w:rPr>
          <w:spacing w:val="5"/>
          <w:w w:val="103"/>
          <w:lang w:val="ru-RU"/>
        </w:rPr>
        <w:t> год</w:t>
      </w:r>
      <w:r w:rsidRPr="00732013">
        <w:rPr>
          <w:spacing w:val="5"/>
          <w:w w:val="103"/>
        </w:rPr>
        <w:t xml:space="preserve">, </w:t>
      </w:r>
      <w:r w:rsidRPr="00732013">
        <w:rPr>
          <w:spacing w:val="5"/>
          <w:w w:val="103"/>
          <w:lang w:val="ru-RU"/>
        </w:rPr>
        <w:t>№</w:t>
      </w:r>
      <w:r w:rsidRPr="00732013">
        <w:rPr>
          <w:spacing w:val="5"/>
          <w:w w:val="103"/>
        </w:rPr>
        <w:t xml:space="preserve"> 2-81)</w:t>
      </w:r>
      <w:r w:rsidRPr="00732013">
        <w:rPr>
          <w:spacing w:val="5"/>
          <w:w w:val="103"/>
          <w:lang w:val="ru-RU"/>
        </w:rPr>
        <w:t>.</w:t>
      </w:r>
    </w:p>
  </w:footnote>
  <w:footnote w:id="40">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Утверждена</w:t>
      </w:r>
      <w:r w:rsidRPr="00732013">
        <w:rPr>
          <w:spacing w:val="5"/>
          <w:w w:val="103"/>
        </w:rPr>
        <w:t xml:space="preserve"> 2 </w:t>
      </w:r>
      <w:r w:rsidRPr="00732013">
        <w:rPr>
          <w:spacing w:val="5"/>
          <w:w w:val="103"/>
          <w:lang w:val="ru-RU"/>
        </w:rPr>
        <w:t>июня</w:t>
      </w:r>
      <w:r w:rsidRPr="00732013">
        <w:rPr>
          <w:spacing w:val="5"/>
          <w:w w:val="103"/>
        </w:rPr>
        <w:t xml:space="preserve"> 2008</w:t>
      </w:r>
      <w:r w:rsidRPr="00732013">
        <w:rPr>
          <w:spacing w:val="5"/>
          <w:w w:val="103"/>
          <w:lang w:val="ru-RU"/>
        </w:rPr>
        <w:t xml:space="preserve"> года распоряжением № </w:t>
      </w:r>
      <w:r w:rsidRPr="00732013">
        <w:rPr>
          <w:spacing w:val="5"/>
          <w:w w:val="103"/>
        </w:rPr>
        <w:t xml:space="preserve">ISAK-1600 </w:t>
      </w:r>
      <w:r w:rsidRPr="00732013">
        <w:rPr>
          <w:spacing w:val="5"/>
          <w:w w:val="103"/>
          <w:lang w:val="ru-RU"/>
        </w:rPr>
        <w:t>министра образования и науки</w:t>
      </w:r>
      <w:r w:rsidRPr="00732013">
        <w:rPr>
          <w:spacing w:val="5"/>
          <w:w w:val="103"/>
        </w:rPr>
        <w:t xml:space="preserve"> (</w:t>
      </w:r>
      <w:r w:rsidRPr="00732013">
        <w:rPr>
          <w:spacing w:val="5"/>
          <w:w w:val="103"/>
          <w:lang w:val="ru-RU"/>
        </w:rPr>
        <w:t>"Официальный вестник"</w:t>
      </w:r>
      <w:r w:rsidRPr="00732013">
        <w:rPr>
          <w:spacing w:val="5"/>
          <w:w w:val="103"/>
        </w:rPr>
        <w:t>, 2008</w:t>
      </w:r>
      <w:r w:rsidRPr="00732013">
        <w:rPr>
          <w:spacing w:val="5"/>
          <w:w w:val="103"/>
          <w:lang w:val="ru-RU"/>
        </w:rPr>
        <w:t> год</w:t>
      </w:r>
      <w:r w:rsidRPr="00732013">
        <w:rPr>
          <w:spacing w:val="5"/>
          <w:w w:val="103"/>
        </w:rPr>
        <w:t xml:space="preserve">, </w:t>
      </w:r>
      <w:r w:rsidRPr="00732013">
        <w:rPr>
          <w:spacing w:val="5"/>
          <w:w w:val="103"/>
          <w:lang w:val="ru-RU"/>
        </w:rPr>
        <w:t>№</w:t>
      </w:r>
      <w:r w:rsidRPr="00732013">
        <w:rPr>
          <w:spacing w:val="5"/>
          <w:w w:val="103"/>
        </w:rPr>
        <w:t xml:space="preserve"> 67-2537)</w:t>
      </w:r>
      <w:r w:rsidRPr="00732013">
        <w:rPr>
          <w:spacing w:val="5"/>
          <w:w w:val="103"/>
          <w:lang w:val="ru-RU"/>
        </w:rPr>
        <w:t>.</w:t>
      </w:r>
    </w:p>
  </w:footnote>
  <w:footnote w:id="41">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rPr>
        <w:tab/>
      </w:r>
      <w:r w:rsidRPr="00732013">
        <w:rPr>
          <w:rStyle w:val="FootnoteReference"/>
          <w:spacing w:val="5"/>
          <w:w w:val="103"/>
        </w:rPr>
        <w:footnoteRef/>
      </w:r>
      <w:r w:rsidRPr="00732013">
        <w:rPr>
          <w:spacing w:val="5"/>
          <w:w w:val="103"/>
        </w:rPr>
        <w:tab/>
        <w:t>http://lma.lt/media/k2/attachments/LL_moksle.pdf</w:t>
      </w:r>
    </w:p>
  </w:footnote>
  <w:footnote w:id="42">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Для более подробной информации по проекту см.</w:t>
      </w:r>
    </w:p>
  </w:footnote>
  <w:footnote w:id="43">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lang w:val="ru-RU"/>
        </w:rPr>
        <w:tab/>
        <w:t xml:space="preserve">В настоящее время данная система модернизируется в соответствии с постановлением правительства Литовской Республики № 466 от 25 апреля 2012 года и постановлением правительства Литовской Республики № 889 от 4 августа 1997 года "Об утверждении процедуры учета детей, проживающих на территории муниципалитетов" с внесенными изменениями (Официальный вестник, 2012 год, </w:t>
      </w:r>
      <w:r w:rsidRPr="00732013">
        <w:rPr>
          <w:spacing w:val="5"/>
          <w:w w:val="103"/>
        </w:rPr>
        <w:t>No</w:t>
      </w:r>
      <w:r w:rsidRPr="00732013">
        <w:rPr>
          <w:spacing w:val="5"/>
          <w:w w:val="103"/>
          <w:lang w:val="ru-RU"/>
        </w:rPr>
        <w:t xml:space="preserve"> 50-2473).</w:t>
      </w:r>
    </w:p>
  </w:footnote>
  <w:footnote w:id="44">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lang w:val="ru-RU"/>
        </w:rPr>
        <w:tab/>
      </w:r>
      <w:r w:rsidRPr="00732013">
        <w:rPr>
          <w:rStyle w:val="FootnoteReference"/>
          <w:spacing w:val="5"/>
          <w:w w:val="103"/>
        </w:rPr>
        <w:footnoteRef/>
      </w:r>
      <w:r w:rsidRPr="00732013">
        <w:rPr>
          <w:spacing w:val="5"/>
          <w:w w:val="103"/>
        </w:rPr>
        <w:tab/>
        <w:t>http://ec.europa.eu/justice/gender-equality/files/documents/130530_annual_report_en.pdf</w:t>
      </w:r>
    </w:p>
  </w:footnote>
  <w:footnote w:id="45">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rPr>
        <w:tab/>
      </w:r>
      <w:r w:rsidRPr="00732013">
        <w:rPr>
          <w:rStyle w:val="FootnoteReference"/>
          <w:spacing w:val="5"/>
          <w:w w:val="103"/>
        </w:rPr>
        <w:footnoteRef/>
      </w:r>
      <w:r w:rsidRPr="00732013">
        <w:rPr>
          <w:spacing w:val="5"/>
          <w:w w:val="103"/>
        </w:rPr>
        <w:tab/>
        <w:t>http://www.lrs.lt/pls/proj/dokpaieska.showdoc_l?p_id=208534&amp;p_fix=n&amp;p_gov=n</w:t>
      </w:r>
    </w:p>
  </w:footnote>
  <w:footnote w:id="46">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rPr>
        <w:tab/>
      </w:r>
      <w:r w:rsidRPr="00732013">
        <w:rPr>
          <w:rStyle w:val="FootnoteReference"/>
          <w:spacing w:val="5"/>
          <w:w w:val="103"/>
        </w:rPr>
        <w:footnoteRef/>
      </w:r>
      <w:r w:rsidRPr="00732013">
        <w:rPr>
          <w:spacing w:val="5"/>
          <w:w w:val="103"/>
        </w:rPr>
        <w:tab/>
        <w:t>http://www.facebook.com/pages/Super-Tėvelis</w:t>
      </w:r>
    </w:p>
  </w:footnote>
  <w:footnote w:id="47">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Постановление правительства Литовской Республики № </w:t>
      </w:r>
      <w:r w:rsidRPr="00732013">
        <w:rPr>
          <w:spacing w:val="5"/>
          <w:w w:val="103"/>
        </w:rPr>
        <w:t>920</w:t>
      </w:r>
      <w:r w:rsidRPr="00732013">
        <w:rPr>
          <w:spacing w:val="5"/>
          <w:w w:val="103"/>
          <w:lang w:val="ru-RU"/>
        </w:rPr>
        <w:t xml:space="preserve"> от </w:t>
      </w:r>
      <w:r w:rsidRPr="00732013">
        <w:rPr>
          <w:spacing w:val="5"/>
          <w:w w:val="103"/>
        </w:rPr>
        <w:t>14</w:t>
      </w:r>
      <w:r w:rsidRPr="00732013">
        <w:rPr>
          <w:spacing w:val="5"/>
          <w:w w:val="103"/>
          <w:lang w:val="ru-RU"/>
        </w:rPr>
        <w:t> октября</w:t>
      </w:r>
      <w:r w:rsidRPr="00732013">
        <w:rPr>
          <w:spacing w:val="5"/>
          <w:w w:val="103"/>
        </w:rPr>
        <w:t xml:space="preserve"> 2013</w:t>
      </w:r>
      <w:r w:rsidRPr="00732013">
        <w:rPr>
          <w:spacing w:val="5"/>
          <w:w w:val="103"/>
          <w:lang w:val="ru-RU"/>
        </w:rPr>
        <w:t> года</w:t>
      </w:r>
      <w:r w:rsidRPr="00732013">
        <w:rPr>
          <w:spacing w:val="5"/>
          <w:w w:val="103"/>
        </w:rPr>
        <w:t xml:space="preserve"> (</w:t>
      </w:r>
      <w:r w:rsidRPr="00732013">
        <w:rPr>
          <w:spacing w:val="5"/>
          <w:w w:val="103"/>
          <w:lang w:val="ru-RU"/>
        </w:rPr>
        <w:t>"Официальный вестник"</w:t>
      </w:r>
      <w:r w:rsidRPr="00732013">
        <w:rPr>
          <w:spacing w:val="5"/>
          <w:w w:val="103"/>
        </w:rPr>
        <w:t>, 2013</w:t>
      </w:r>
      <w:r w:rsidRPr="00732013">
        <w:rPr>
          <w:spacing w:val="5"/>
          <w:w w:val="103"/>
          <w:lang w:val="ru-RU"/>
        </w:rPr>
        <w:t> год</w:t>
      </w:r>
      <w:r w:rsidRPr="00732013">
        <w:rPr>
          <w:spacing w:val="5"/>
          <w:w w:val="103"/>
        </w:rPr>
        <w:t xml:space="preserve">, </w:t>
      </w:r>
      <w:r w:rsidRPr="00732013">
        <w:rPr>
          <w:spacing w:val="5"/>
          <w:w w:val="103"/>
          <w:lang w:val="ru-RU"/>
        </w:rPr>
        <w:t>№</w:t>
      </w:r>
      <w:r w:rsidRPr="00732013">
        <w:rPr>
          <w:spacing w:val="5"/>
          <w:w w:val="103"/>
        </w:rPr>
        <w:t xml:space="preserve"> 109-5378)</w:t>
      </w:r>
      <w:r w:rsidRPr="00732013">
        <w:rPr>
          <w:spacing w:val="5"/>
          <w:w w:val="103"/>
          <w:lang w:val="ru-RU"/>
        </w:rPr>
        <w:t>.</w:t>
      </w:r>
    </w:p>
  </w:footnote>
  <w:footnote w:id="48">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В частности,</w:t>
      </w:r>
      <w:r w:rsidRPr="00732013">
        <w:rPr>
          <w:spacing w:val="5"/>
          <w:w w:val="103"/>
        </w:rPr>
        <w:t xml:space="preserve"> </w:t>
      </w:r>
      <w:r w:rsidRPr="00732013">
        <w:rPr>
          <w:spacing w:val="5"/>
          <w:w w:val="103"/>
          <w:lang w:val="ru-RU"/>
        </w:rPr>
        <w:t>пункт </w:t>
      </w:r>
      <w:r w:rsidRPr="00732013">
        <w:rPr>
          <w:spacing w:val="5"/>
          <w:w w:val="103"/>
        </w:rPr>
        <w:t>80</w:t>
      </w:r>
      <w:r w:rsidRPr="00732013">
        <w:rPr>
          <w:spacing w:val="5"/>
          <w:w w:val="103"/>
          <w:lang w:val="ru-RU"/>
        </w:rPr>
        <w:t xml:space="preserve"> решения Европейского суда по правам человека № </w:t>
      </w:r>
      <w:r w:rsidRPr="00732013">
        <w:rPr>
          <w:spacing w:val="5"/>
          <w:w w:val="103"/>
        </w:rPr>
        <w:t xml:space="preserve">53924/00 </w:t>
      </w:r>
      <w:r w:rsidRPr="00732013">
        <w:rPr>
          <w:spacing w:val="5"/>
          <w:w w:val="103"/>
          <w:lang w:val="ru-RU"/>
        </w:rPr>
        <w:t>от</w:t>
      </w:r>
      <w:r w:rsidRPr="00732013">
        <w:rPr>
          <w:spacing w:val="5"/>
          <w:w w:val="103"/>
        </w:rPr>
        <w:t xml:space="preserve"> 8</w:t>
      </w:r>
      <w:r w:rsidRPr="00732013">
        <w:rPr>
          <w:spacing w:val="5"/>
          <w:w w:val="103"/>
          <w:lang w:val="ru-RU"/>
        </w:rPr>
        <w:t> июля</w:t>
      </w:r>
      <w:r w:rsidRPr="00732013">
        <w:rPr>
          <w:spacing w:val="5"/>
          <w:w w:val="103"/>
        </w:rPr>
        <w:t xml:space="preserve"> 2004</w:t>
      </w:r>
      <w:r w:rsidRPr="00732013">
        <w:rPr>
          <w:spacing w:val="5"/>
          <w:w w:val="103"/>
          <w:lang w:val="ru-RU"/>
        </w:rPr>
        <w:t> года по делу</w:t>
      </w:r>
      <w:r w:rsidRPr="00732013">
        <w:rPr>
          <w:spacing w:val="5"/>
          <w:w w:val="103"/>
        </w:rPr>
        <w:t xml:space="preserve"> </w:t>
      </w:r>
      <w:r w:rsidRPr="00732013">
        <w:rPr>
          <w:spacing w:val="5"/>
          <w:w w:val="103"/>
          <w:lang w:val="en-US"/>
        </w:rPr>
        <w:t>"</w:t>
      </w:r>
      <w:r w:rsidRPr="00732013">
        <w:rPr>
          <w:spacing w:val="5"/>
          <w:w w:val="103"/>
          <w:lang w:val="ru-RU"/>
        </w:rPr>
        <w:t>Во против Франции</w:t>
      </w:r>
      <w:r w:rsidRPr="00732013">
        <w:rPr>
          <w:spacing w:val="5"/>
          <w:w w:val="103"/>
          <w:lang w:val="en-US"/>
        </w:rPr>
        <w:t xml:space="preserve">" </w:t>
      </w:r>
      <w:r w:rsidRPr="00732013">
        <w:rPr>
          <w:spacing w:val="5"/>
          <w:w w:val="103"/>
          <w:lang w:val="ru-RU"/>
        </w:rPr>
        <w:t xml:space="preserve">устанавливает, что нерожденного ребенка нельзя рассматривать как </w:t>
      </w:r>
      <w:r w:rsidRPr="00732013">
        <w:rPr>
          <w:spacing w:val="5"/>
          <w:w w:val="103"/>
          <w:lang w:val="en-US"/>
        </w:rPr>
        <w:t>"</w:t>
      </w:r>
      <w:r w:rsidRPr="00732013">
        <w:rPr>
          <w:spacing w:val="5"/>
          <w:w w:val="103"/>
          <w:lang w:val="ru-RU"/>
        </w:rPr>
        <w:t>личность</w:t>
      </w:r>
      <w:r w:rsidRPr="00732013">
        <w:rPr>
          <w:spacing w:val="5"/>
          <w:w w:val="103"/>
          <w:lang w:val="en-US"/>
        </w:rPr>
        <w:t>"</w:t>
      </w:r>
      <w:r w:rsidRPr="00732013">
        <w:rPr>
          <w:spacing w:val="5"/>
          <w:w w:val="103"/>
          <w:lang w:val="ru-RU"/>
        </w:rPr>
        <w:t xml:space="preserve">, находящуюся под прямой защитой статьи  2 Европейской конвенции о защите прав человека и основных свобод, и что если нерожденный и имеет </w:t>
      </w:r>
      <w:r w:rsidRPr="00732013">
        <w:rPr>
          <w:spacing w:val="5"/>
          <w:w w:val="103"/>
          <w:lang w:val="en-US"/>
        </w:rPr>
        <w:t>"</w:t>
      </w:r>
      <w:r w:rsidRPr="00732013">
        <w:rPr>
          <w:spacing w:val="5"/>
          <w:w w:val="103"/>
          <w:lang w:val="ru-RU"/>
        </w:rPr>
        <w:t>право</w:t>
      </w:r>
      <w:r w:rsidRPr="00732013">
        <w:rPr>
          <w:spacing w:val="5"/>
          <w:w w:val="103"/>
          <w:lang w:val="en-US"/>
        </w:rPr>
        <w:t>"</w:t>
      </w:r>
      <w:r w:rsidRPr="00732013">
        <w:rPr>
          <w:spacing w:val="5"/>
          <w:w w:val="103"/>
          <w:lang w:val="ru-RU"/>
        </w:rPr>
        <w:t xml:space="preserve"> на </w:t>
      </w:r>
      <w:r w:rsidRPr="00732013">
        <w:rPr>
          <w:spacing w:val="5"/>
          <w:w w:val="103"/>
          <w:lang w:val="en-US"/>
        </w:rPr>
        <w:t>"</w:t>
      </w:r>
      <w:r w:rsidRPr="00732013">
        <w:rPr>
          <w:spacing w:val="5"/>
          <w:w w:val="103"/>
          <w:lang w:val="ru-RU"/>
        </w:rPr>
        <w:t>жизнь</w:t>
      </w:r>
      <w:r w:rsidRPr="00732013">
        <w:rPr>
          <w:spacing w:val="5"/>
          <w:w w:val="103"/>
          <w:lang w:val="en-US"/>
        </w:rPr>
        <w:t>"</w:t>
      </w:r>
      <w:r w:rsidRPr="00732013">
        <w:rPr>
          <w:spacing w:val="5"/>
          <w:w w:val="103"/>
          <w:lang w:val="ru-RU"/>
        </w:rPr>
        <w:t>, то оно имплицитно ограничивается правами и интересами матери</w:t>
      </w:r>
      <w:r w:rsidRPr="00732013">
        <w:rPr>
          <w:spacing w:val="5"/>
          <w:w w:val="103"/>
        </w:rPr>
        <w:t>.</w:t>
      </w:r>
    </w:p>
  </w:footnote>
  <w:footnote w:id="49">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t>No XIP-2502(3)</w:t>
      </w:r>
      <w:r w:rsidRPr="00732013">
        <w:rPr>
          <w:spacing w:val="5"/>
          <w:w w:val="103"/>
          <w:lang w:val="ru-RU"/>
        </w:rPr>
        <w:t>.</w:t>
      </w:r>
    </w:p>
  </w:footnote>
  <w:footnote w:id="50">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Утверждено</w:t>
      </w:r>
      <w:r w:rsidRPr="00732013">
        <w:rPr>
          <w:spacing w:val="5"/>
          <w:w w:val="103"/>
        </w:rPr>
        <w:t xml:space="preserve"> 7 </w:t>
      </w:r>
      <w:r w:rsidRPr="00732013">
        <w:rPr>
          <w:spacing w:val="5"/>
          <w:w w:val="103"/>
          <w:lang w:val="ru-RU"/>
        </w:rPr>
        <w:t>февраля</w:t>
      </w:r>
      <w:r w:rsidRPr="00732013">
        <w:rPr>
          <w:spacing w:val="5"/>
          <w:w w:val="103"/>
        </w:rPr>
        <w:t xml:space="preserve"> 2007</w:t>
      </w:r>
      <w:r w:rsidRPr="00732013">
        <w:rPr>
          <w:spacing w:val="5"/>
          <w:w w:val="103"/>
          <w:lang w:val="ru-RU"/>
        </w:rPr>
        <w:t xml:space="preserve"> года распоряжением №</w:t>
      </w:r>
      <w:r w:rsidRPr="00732013">
        <w:rPr>
          <w:spacing w:val="5"/>
          <w:w w:val="103"/>
        </w:rPr>
        <w:t xml:space="preserve"> ISAK-179 </w:t>
      </w:r>
      <w:r w:rsidRPr="00732013">
        <w:rPr>
          <w:spacing w:val="5"/>
          <w:w w:val="103"/>
          <w:lang w:val="ru-RU"/>
        </w:rPr>
        <w:t xml:space="preserve">министра образования и науки </w:t>
      </w:r>
      <w:r w:rsidRPr="00732013">
        <w:rPr>
          <w:spacing w:val="5"/>
          <w:w w:val="103"/>
        </w:rPr>
        <w:t>(</w:t>
      </w:r>
      <w:r w:rsidRPr="00732013">
        <w:rPr>
          <w:spacing w:val="5"/>
          <w:w w:val="103"/>
          <w:lang w:val="ru-RU"/>
        </w:rPr>
        <w:t>"Официальный вестник"</w:t>
      </w:r>
      <w:r w:rsidRPr="00732013">
        <w:rPr>
          <w:spacing w:val="5"/>
          <w:w w:val="103"/>
        </w:rPr>
        <w:t>, 2007</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19-740)</w:t>
      </w:r>
      <w:r w:rsidRPr="00732013">
        <w:rPr>
          <w:spacing w:val="5"/>
          <w:w w:val="103"/>
          <w:lang w:val="ru-RU"/>
        </w:rPr>
        <w:t>.</w:t>
      </w:r>
    </w:p>
  </w:footnote>
  <w:footnote w:id="51">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"Официальный вестник"</w:t>
      </w:r>
      <w:r w:rsidRPr="00732013">
        <w:rPr>
          <w:spacing w:val="5"/>
          <w:w w:val="103"/>
        </w:rPr>
        <w:t>, 2000</w:t>
      </w:r>
      <w:r w:rsidRPr="00732013">
        <w:rPr>
          <w:spacing w:val="5"/>
          <w:w w:val="103"/>
          <w:lang w:val="ru-RU"/>
        </w:rPr>
        <w:t> год</w:t>
      </w:r>
      <w:r w:rsidRPr="00732013">
        <w:rPr>
          <w:spacing w:val="5"/>
          <w:w w:val="103"/>
        </w:rPr>
        <w:t xml:space="preserve">, </w:t>
      </w:r>
      <w:r w:rsidRPr="00732013">
        <w:rPr>
          <w:spacing w:val="5"/>
          <w:w w:val="103"/>
          <w:lang w:val="ru-RU"/>
        </w:rPr>
        <w:t>№</w:t>
      </w:r>
      <w:r w:rsidRPr="00732013">
        <w:rPr>
          <w:spacing w:val="5"/>
          <w:w w:val="103"/>
        </w:rPr>
        <w:t xml:space="preserve"> </w:t>
      </w:r>
      <w:r w:rsidRPr="00732013">
        <w:rPr>
          <w:spacing w:val="5"/>
          <w:w w:val="103"/>
          <w:lang w:val="ru-RU"/>
        </w:rPr>
        <w:t> </w:t>
      </w:r>
      <w:r w:rsidRPr="00732013">
        <w:rPr>
          <w:spacing w:val="5"/>
          <w:w w:val="103"/>
        </w:rPr>
        <w:t>4-2262</w:t>
      </w:r>
      <w:r w:rsidRPr="00732013">
        <w:rPr>
          <w:spacing w:val="5"/>
          <w:w w:val="103"/>
          <w:lang w:val="ru-RU"/>
        </w:rPr>
        <w:t xml:space="preserve"> с поправками.</w:t>
      </w:r>
    </w:p>
  </w:footnote>
  <w:footnote w:id="52">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"Официальный вестник"</w:t>
      </w:r>
      <w:r w:rsidRPr="00732013">
        <w:rPr>
          <w:spacing w:val="5"/>
          <w:w w:val="103"/>
        </w:rPr>
        <w:t>, 1996</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102-2317; 2009</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145-6425</w:t>
      </w:r>
      <w:r w:rsidRPr="00732013">
        <w:rPr>
          <w:spacing w:val="5"/>
          <w:w w:val="103"/>
          <w:lang w:val="ru-RU"/>
        </w:rPr>
        <w:t>.</w:t>
      </w:r>
    </w:p>
  </w:footnote>
  <w:footnote w:id="53">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"Официальный вестник"</w:t>
      </w:r>
      <w:r w:rsidRPr="00732013">
        <w:rPr>
          <w:spacing w:val="5"/>
          <w:w w:val="103"/>
        </w:rPr>
        <w:t>, 1992</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 xml:space="preserve"> 14–378; 2002</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116–5188</w:t>
      </w:r>
      <w:r w:rsidRPr="00732013">
        <w:rPr>
          <w:spacing w:val="5"/>
          <w:w w:val="103"/>
          <w:lang w:val="ru-RU"/>
        </w:rPr>
        <w:t>.</w:t>
      </w:r>
    </w:p>
  </w:footnote>
  <w:footnote w:id="54">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Нормы установлены постановлением правительства Литовской Республики № 670 от</w:t>
      </w:r>
      <w:r w:rsidRPr="00732013">
        <w:rPr>
          <w:spacing w:val="5"/>
          <w:w w:val="103"/>
        </w:rPr>
        <w:t xml:space="preserve"> 23</w:t>
      </w:r>
      <w:r w:rsidRPr="00732013">
        <w:rPr>
          <w:spacing w:val="5"/>
          <w:w w:val="103"/>
          <w:lang w:val="ru-RU"/>
        </w:rPr>
        <w:t> мая</w:t>
      </w:r>
      <w:r w:rsidRPr="00732013">
        <w:rPr>
          <w:spacing w:val="5"/>
          <w:w w:val="103"/>
        </w:rPr>
        <w:t xml:space="preserve"> 2003</w:t>
      </w:r>
      <w:r w:rsidRPr="00732013">
        <w:rPr>
          <w:spacing w:val="5"/>
          <w:w w:val="103"/>
          <w:lang w:val="ru-RU"/>
        </w:rPr>
        <w:t> года</w:t>
      </w:r>
      <w:r w:rsidRPr="00732013">
        <w:rPr>
          <w:spacing w:val="5"/>
          <w:w w:val="103"/>
        </w:rPr>
        <w:t xml:space="preserve"> "</w:t>
      </w:r>
      <w:r w:rsidRPr="00732013">
        <w:rPr>
          <w:spacing w:val="5"/>
          <w:w w:val="103"/>
          <w:lang w:val="ru-RU"/>
        </w:rPr>
        <w:t>Об установлении норм годового дохода и имущества, служащих основанием для получения права на муниципальное социальное жилье или улучшение жилищных условий</w:t>
      </w:r>
      <w:r w:rsidRPr="00732013">
        <w:rPr>
          <w:spacing w:val="5"/>
          <w:w w:val="103"/>
        </w:rPr>
        <w:t>" (</w:t>
      </w:r>
      <w:r w:rsidRPr="00732013">
        <w:rPr>
          <w:spacing w:val="5"/>
          <w:w w:val="103"/>
          <w:lang w:val="ru-RU"/>
        </w:rPr>
        <w:t>"Официальный вестник"</w:t>
      </w:r>
      <w:r w:rsidRPr="00732013">
        <w:rPr>
          <w:spacing w:val="5"/>
          <w:w w:val="103"/>
        </w:rPr>
        <w:t>, 2003</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52</w:t>
      </w:r>
      <w:r w:rsidRPr="00732013">
        <w:rPr>
          <w:spacing w:val="5"/>
          <w:w w:val="103"/>
          <w:lang w:val="ru-RU"/>
        </w:rPr>
        <w:t>-</w:t>
      </w:r>
      <w:r w:rsidRPr="00732013">
        <w:rPr>
          <w:spacing w:val="5"/>
          <w:w w:val="103"/>
        </w:rPr>
        <w:t>2345; 2007</w:t>
      </w:r>
      <w:r w:rsidRPr="00732013">
        <w:rPr>
          <w:spacing w:val="5"/>
          <w:w w:val="103"/>
          <w:lang w:val="ru-RU"/>
        </w:rPr>
        <w:t> год</w:t>
      </w:r>
      <w:r w:rsidRPr="00732013">
        <w:rPr>
          <w:spacing w:val="5"/>
          <w:w w:val="103"/>
        </w:rPr>
        <w:t xml:space="preserve">, </w:t>
      </w:r>
      <w:r w:rsidRPr="00732013">
        <w:rPr>
          <w:spacing w:val="5"/>
          <w:w w:val="103"/>
          <w:lang w:val="ru-RU"/>
        </w:rPr>
        <w:t>№</w:t>
      </w:r>
      <w:r w:rsidRPr="00732013">
        <w:rPr>
          <w:spacing w:val="5"/>
          <w:w w:val="103"/>
        </w:rPr>
        <w:t xml:space="preserve"> 73-2897) </w:t>
      </w:r>
      <w:r w:rsidRPr="00732013">
        <w:rPr>
          <w:spacing w:val="5"/>
          <w:w w:val="103"/>
          <w:lang w:val="ru-RU"/>
        </w:rPr>
        <w:t>и постановлением правительства Литовской Республики № </w:t>
      </w:r>
      <w:r w:rsidRPr="00732013">
        <w:rPr>
          <w:spacing w:val="5"/>
          <w:w w:val="103"/>
        </w:rPr>
        <w:t>1162</w:t>
      </w:r>
      <w:r w:rsidRPr="00732013">
        <w:rPr>
          <w:spacing w:val="5"/>
          <w:w w:val="103"/>
          <w:lang w:val="ru-RU"/>
        </w:rPr>
        <w:t xml:space="preserve"> от </w:t>
      </w:r>
      <w:r w:rsidRPr="00732013">
        <w:rPr>
          <w:spacing w:val="5"/>
          <w:w w:val="103"/>
        </w:rPr>
        <w:t>23</w:t>
      </w:r>
      <w:r w:rsidRPr="00732013">
        <w:rPr>
          <w:spacing w:val="5"/>
          <w:w w:val="103"/>
          <w:lang w:val="ru-RU"/>
        </w:rPr>
        <w:t> </w:t>
      </w:r>
      <w:r w:rsidRPr="00732013">
        <w:rPr>
          <w:spacing w:val="5"/>
          <w:w w:val="103"/>
        </w:rPr>
        <w:t xml:space="preserve"> </w:t>
      </w:r>
      <w:r w:rsidRPr="00732013">
        <w:rPr>
          <w:spacing w:val="5"/>
          <w:w w:val="103"/>
          <w:lang w:val="ru-RU"/>
        </w:rPr>
        <w:t>октября</w:t>
      </w:r>
      <w:r w:rsidRPr="00732013">
        <w:rPr>
          <w:spacing w:val="5"/>
          <w:w w:val="103"/>
        </w:rPr>
        <w:t xml:space="preserve"> 1997</w:t>
      </w:r>
      <w:r w:rsidRPr="00732013">
        <w:rPr>
          <w:spacing w:val="5"/>
          <w:w w:val="103"/>
          <w:lang w:val="ru-RU"/>
        </w:rPr>
        <w:t> года</w:t>
      </w:r>
      <w:r w:rsidRPr="00732013">
        <w:rPr>
          <w:spacing w:val="5"/>
          <w:w w:val="103"/>
        </w:rPr>
        <w:t xml:space="preserve"> "</w:t>
      </w:r>
      <w:r w:rsidRPr="00732013">
        <w:rPr>
          <w:spacing w:val="5"/>
          <w:w w:val="103"/>
          <w:lang w:val="ru-RU"/>
        </w:rPr>
        <w:t>Об утверждении процедуры предоставления государственных кредитов на жилье</w:t>
      </w:r>
      <w:r w:rsidRPr="00732013">
        <w:rPr>
          <w:spacing w:val="5"/>
          <w:w w:val="103"/>
        </w:rPr>
        <w:t>" (</w:t>
      </w:r>
      <w:r w:rsidRPr="00732013">
        <w:rPr>
          <w:spacing w:val="5"/>
          <w:w w:val="103"/>
          <w:lang w:val="ru-RU"/>
        </w:rPr>
        <w:t>"Официальный вестник"</w:t>
      </w:r>
      <w:r w:rsidRPr="00732013">
        <w:rPr>
          <w:spacing w:val="5"/>
          <w:w w:val="103"/>
        </w:rPr>
        <w:t>, 1997</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97-2458; 2007</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73-2901)</w:t>
      </w:r>
      <w:r w:rsidRPr="00732013">
        <w:rPr>
          <w:spacing w:val="5"/>
          <w:w w:val="103"/>
          <w:lang w:val="ru-RU"/>
        </w:rPr>
        <w:t>.</w:t>
      </w:r>
    </w:p>
  </w:footnote>
  <w:footnote w:id="55">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Утверждена</w:t>
      </w:r>
      <w:r w:rsidRPr="00732013">
        <w:rPr>
          <w:spacing w:val="5"/>
          <w:w w:val="103"/>
        </w:rPr>
        <w:t xml:space="preserve"> 15</w:t>
      </w:r>
      <w:r w:rsidRPr="00732013">
        <w:rPr>
          <w:spacing w:val="5"/>
          <w:w w:val="103"/>
          <w:lang w:val="ru-RU"/>
        </w:rPr>
        <w:t> апреля</w:t>
      </w:r>
      <w:r w:rsidRPr="00732013">
        <w:rPr>
          <w:spacing w:val="5"/>
          <w:w w:val="103"/>
        </w:rPr>
        <w:t xml:space="preserve"> 2009</w:t>
      </w:r>
      <w:r w:rsidRPr="00732013">
        <w:rPr>
          <w:spacing w:val="5"/>
          <w:w w:val="103"/>
          <w:lang w:val="ru-RU"/>
        </w:rPr>
        <w:t xml:space="preserve"> года постановлением № </w:t>
      </w:r>
      <w:r w:rsidRPr="00732013">
        <w:rPr>
          <w:spacing w:val="5"/>
          <w:w w:val="103"/>
        </w:rPr>
        <w:t xml:space="preserve">317 </w:t>
      </w:r>
      <w:r w:rsidRPr="00732013">
        <w:rPr>
          <w:spacing w:val="5"/>
          <w:w w:val="103"/>
          <w:lang w:val="ru-RU"/>
        </w:rPr>
        <w:t xml:space="preserve">правительства Литовской Республики </w:t>
      </w:r>
      <w:r w:rsidRPr="00732013">
        <w:rPr>
          <w:spacing w:val="5"/>
          <w:w w:val="103"/>
        </w:rPr>
        <w:t>(</w:t>
      </w:r>
      <w:r w:rsidRPr="00732013">
        <w:rPr>
          <w:spacing w:val="5"/>
          <w:w w:val="103"/>
          <w:lang w:val="ru-RU"/>
        </w:rPr>
        <w:t>"Официальный вестник"</w:t>
      </w:r>
      <w:r w:rsidRPr="00732013">
        <w:rPr>
          <w:spacing w:val="5"/>
          <w:w w:val="103"/>
        </w:rPr>
        <w:t>, 2009</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49-1964)</w:t>
      </w:r>
    </w:p>
  </w:footnote>
  <w:footnote w:id="56">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Сеть включает</w:t>
      </w:r>
      <w:r w:rsidRPr="00732013">
        <w:rPr>
          <w:spacing w:val="5"/>
          <w:w w:val="103"/>
        </w:rPr>
        <w:t xml:space="preserve"> </w:t>
      </w:r>
      <w:r w:rsidRPr="00732013">
        <w:rPr>
          <w:spacing w:val="5"/>
          <w:w w:val="103"/>
          <w:lang w:val="ru-RU"/>
        </w:rPr>
        <w:t>Литовский форум инвалидов</w:t>
      </w:r>
      <w:r w:rsidRPr="00732013">
        <w:rPr>
          <w:spacing w:val="5"/>
          <w:w w:val="103"/>
        </w:rPr>
        <w:t xml:space="preserve"> (NLF), </w:t>
      </w:r>
      <w:r w:rsidRPr="00732013">
        <w:rPr>
          <w:spacing w:val="5"/>
          <w:w w:val="103"/>
          <w:lang w:val="ru-RU"/>
        </w:rPr>
        <w:t>Лигу геев Литвы</w:t>
      </w:r>
      <w:r w:rsidRPr="00732013">
        <w:rPr>
          <w:spacing w:val="5"/>
          <w:w w:val="103"/>
        </w:rPr>
        <w:t xml:space="preserve"> (LGL), </w:t>
      </w:r>
      <w:r w:rsidRPr="00732013">
        <w:rPr>
          <w:spacing w:val="5"/>
          <w:w w:val="103"/>
          <w:lang w:val="ru-RU"/>
        </w:rPr>
        <w:t>Женский информационный центр</w:t>
      </w:r>
      <w:r w:rsidRPr="00732013">
        <w:rPr>
          <w:spacing w:val="5"/>
          <w:w w:val="103"/>
        </w:rPr>
        <w:t xml:space="preserve"> (MIC), </w:t>
      </w:r>
      <w:r w:rsidRPr="00732013">
        <w:rPr>
          <w:spacing w:val="5"/>
          <w:w w:val="103"/>
          <w:lang w:val="ru-RU"/>
        </w:rPr>
        <w:t>Дом национальных общин</w:t>
      </w:r>
      <w:r w:rsidRPr="00732013">
        <w:rPr>
          <w:spacing w:val="5"/>
          <w:w w:val="103"/>
        </w:rPr>
        <w:t xml:space="preserve"> (TBN), </w:t>
      </w:r>
      <w:r w:rsidRPr="00732013">
        <w:rPr>
          <w:spacing w:val="5"/>
          <w:w w:val="103"/>
          <w:lang w:val="ru-RU"/>
        </w:rPr>
        <w:t xml:space="preserve">Исследовательско-информационный центр новых религий </w:t>
      </w:r>
      <w:r w:rsidRPr="00732013">
        <w:rPr>
          <w:spacing w:val="5"/>
          <w:w w:val="103"/>
        </w:rPr>
        <w:t xml:space="preserve">(NRTIC), </w:t>
      </w:r>
      <w:r w:rsidRPr="00732013">
        <w:rPr>
          <w:spacing w:val="5"/>
          <w:w w:val="103"/>
          <w:lang w:val="ru-RU"/>
        </w:rPr>
        <w:t>Литовский союз пенсионеров</w:t>
      </w:r>
      <w:r w:rsidRPr="00732013">
        <w:rPr>
          <w:spacing w:val="5"/>
          <w:w w:val="103"/>
        </w:rPr>
        <w:t xml:space="preserve"> (Bočiai), </w:t>
      </w:r>
      <w:r w:rsidRPr="00732013">
        <w:rPr>
          <w:spacing w:val="5"/>
          <w:w w:val="103"/>
          <w:lang w:val="ru-RU"/>
        </w:rPr>
        <w:t xml:space="preserve">Литовский союз молодежи </w:t>
      </w:r>
      <w:r w:rsidRPr="00732013">
        <w:rPr>
          <w:spacing w:val="5"/>
          <w:w w:val="103"/>
        </w:rPr>
        <w:t>(LiJOT).</w:t>
      </w:r>
    </w:p>
  </w:footnote>
  <w:footnote w:id="57">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Утверждена</w:t>
      </w:r>
      <w:r w:rsidRPr="00732013">
        <w:rPr>
          <w:spacing w:val="5"/>
          <w:w w:val="103"/>
        </w:rPr>
        <w:t xml:space="preserve"> 28</w:t>
      </w:r>
      <w:r w:rsidRPr="00732013">
        <w:rPr>
          <w:spacing w:val="5"/>
          <w:w w:val="103"/>
          <w:lang w:val="ru-RU"/>
        </w:rPr>
        <w:t> ноября</w:t>
      </w:r>
      <w:r w:rsidRPr="00732013">
        <w:rPr>
          <w:spacing w:val="5"/>
          <w:w w:val="103"/>
        </w:rPr>
        <w:t xml:space="preserve"> 2012</w:t>
      </w:r>
      <w:r w:rsidRPr="00732013">
        <w:rPr>
          <w:spacing w:val="5"/>
          <w:w w:val="103"/>
          <w:lang w:val="ru-RU"/>
        </w:rPr>
        <w:t> года постановлением № </w:t>
      </w:r>
      <w:r w:rsidRPr="00732013">
        <w:rPr>
          <w:spacing w:val="5"/>
          <w:w w:val="103"/>
        </w:rPr>
        <w:t xml:space="preserve">1482 </w:t>
      </w:r>
      <w:r w:rsidRPr="00732013">
        <w:rPr>
          <w:spacing w:val="5"/>
          <w:w w:val="103"/>
          <w:lang w:val="ru-RU"/>
        </w:rPr>
        <w:t xml:space="preserve">правительства Литовской Республики </w:t>
      </w:r>
      <w:r w:rsidRPr="00732013">
        <w:rPr>
          <w:spacing w:val="5"/>
          <w:w w:val="103"/>
        </w:rPr>
        <w:t>(</w:t>
      </w:r>
      <w:r w:rsidRPr="00732013">
        <w:rPr>
          <w:spacing w:val="5"/>
          <w:w w:val="103"/>
          <w:lang w:val="ru-RU"/>
        </w:rPr>
        <w:t>"Официальный вестник"</w:t>
      </w:r>
      <w:r w:rsidRPr="00732013">
        <w:rPr>
          <w:spacing w:val="5"/>
          <w:w w:val="103"/>
        </w:rPr>
        <w:t>, 2012</w:t>
      </w:r>
      <w:r w:rsidRPr="00732013">
        <w:rPr>
          <w:spacing w:val="5"/>
          <w:w w:val="103"/>
          <w:lang w:val="ru-RU"/>
        </w:rPr>
        <w:t> год,</w:t>
      </w:r>
      <w:r w:rsidRPr="00732013">
        <w:rPr>
          <w:spacing w:val="5"/>
          <w:w w:val="103"/>
        </w:rPr>
        <w:t xml:space="preserve"> </w:t>
      </w:r>
      <w:r w:rsidRPr="00732013">
        <w:rPr>
          <w:spacing w:val="5"/>
          <w:w w:val="103"/>
          <w:lang w:val="ru-RU"/>
        </w:rPr>
        <w:t>№</w:t>
      </w:r>
      <w:r w:rsidRPr="00732013">
        <w:rPr>
          <w:spacing w:val="5"/>
          <w:w w:val="103"/>
        </w:rPr>
        <w:t xml:space="preserve"> 144</w:t>
      </w:r>
      <w:r w:rsidRPr="00732013">
        <w:rPr>
          <w:spacing w:val="5"/>
          <w:w w:val="103"/>
          <w:lang w:val="ru-RU"/>
        </w:rPr>
        <w:t>-</w:t>
      </w:r>
      <w:r w:rsidRPr="00732013">
        <w:rPr>
          <w:spacing w:val="5"/>
          <w:w w:val="103"/>
        </w:rPr>
        <w:t>7430)</w:t>
      </w:r>
      <w:r w:rsidRPr="00732013">
        <w:rPr>
          <w:spacing w:val="5"/>
          <w:w w:val="103"/>
          <w:lang w:val="ru-RU"/>
        </w:rPr>
        <w:t>.</w:t>
      </w:r>
    </w:p>
  </w:footnote>
  <w:footnote w:id="58">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Утверждена</w:t>
      </w:r>
      <w:r w:rsidRPr="00732013">
        <w:rPr>
          <w:spacing w:val="5"/>
          <w:w w:val="103"/>
        </w:rPr>
        <w:t xml:space="preserve"> 25</w:t>
      </w:r>
      <w:r w:rsidRPr="00732013">
        <w:rPr>
          <w:spacing w:val="5"/>
          <w:w w:val="103"/>
          <w:lang w:val="ru-RU"/>
        </w:rPr>
        <w:t> сентября</w:t>
      </w:r>
      <w:r w:rsidRPr="00732013">
        <w:rPr>
          <w:spacing w:val="5"/>
          <w:w w:val="103"/>
        </w:rPr>
        <w:t xml:space="preserve"> 2013</w:t>
      </w:r>
      <w:r w:rsidRPr="00732013">
        <w:rPr>
          <w:spacing w:val="5"/>
          <w:w w:val="103"/>
          <w:lang w:val="ru-RU"/>
        </w:rPr>
        <w:t> года постановлением № </w:t>
      </w:r>
      <w:r w:rsidRPr="00732013">
        <w:rPr>
          <w:spacing w:val="5"/>
          <w:w w:val="103"/>
        </w:rPr>
        <w:t xml:space="preserve">878 </w:t>
      </w:r>
      <w:r w:rsidRPr="00732013">
        <w:rPr>
          <w:spacing w:val="5"/>
          <w:w w:val="103"/>
          <w:lang w:val="ru-RU"/>
        </w:rPr>
        <w:t xml:space="preserve">правительства Литовской Республики </w:t>
      </w:r>
      <w:r w:rsidRPr="00732013">
        <w:rPr>
          <w:rStyle w:val="Strong"/>
          <w:b w:val="0"/>
          <w:spacing w:val="5"/>
          <w:w w:val="103"/>
        </w:rPr>
        <w:t>(</w:t>
      </w:r>
      <w:r w:rsidRPr="00732013">
        <w:rPr>
          <w:rStyle w:val="Strong"/>
          <w:b w:val="0"/>
          <w:spacing w:val="5"/>
          <w:w w:val="103"/>
          <w:lang w:val="ru-RU"/>
        </w:rPr>
        <w:t>"</w:t>
      </w:r>
      <w:r w:rsidRPr="00732013">
        <w:rPr>
          <w:spacing w:val="5"/>
          <w:w w:val="103"/>
          <w:lang w:val="ru-RU"/>
        </w:rPr>
        <w:t>Официальный вестник"</w:t>
      </w:r>
      <w:r w:rsidRPr="00732013">
        <w:rPr>
          <w:rStyle w:val="Strong"/>
          <w:b w:val="0"/>
          <w:spacing w:val="5"/>
          <w:w w:val="103"/>
        </w:rPr>
        <w:t>, 2013</w:t>
      </w:r>
      <w:r w:rsidRPr="00732013">
        <w:rPr>
          <w:rStyle w:val="Strong"/>
          <w:b w:val="0"/>
          <w:spacing w:val="5"/>
          <w:w w:val="103"/>
          <w:lang w:val="ru-RU"/>
        </w:rPr>
        <w:t> год</w:t>
      </w:r>
      <w:r w:rsidRPr="00732013">
        <w:rPr>
          <w:rStyle w:val="Strong"/>
          <w:b w:val="0"/>
          <w:spacing w:val="5"/>
          <w:w w:val="103"/>
        </w:rPr>
        <w:t xml:space="preserve">, </w:t>
      </w:r>
      <w:r w:rsidRPr="00732013">
        <w:rPr>
          <w:rStyle w:val="Strong"/>
          <w:b w:val="0"/>
          <w:spacing w:val="5"/>
          <w:w w:val="103"/>
          <w:lang w:val="ru-RU"/>
        </w:rPr>
        <w:t>№</w:t>
      </w:r>
      <w:r w:rsidRPr="00732013">
        <w:rPr>
          <w:rStyle w:val="Strong"/>
          <w:b w:val="0"/>
          <w:spacing w:val="5"/>
          <w:w w:val="103"/>
        </w:rPr>
        <w:t xml:space="preserve"> 105</w:t>
      </w:r>
      <w:r w:rsidRPr="00732013">
        <w:rPr>
          <w:rStyle w:val="Strong"/>
          <w:b w:val="0"/>
          <w:spacing w:val="5"/>
          <w:w w:val="103"/>
          <w:lang w:val="ru-RU"/>
        </w:rPr>
        <w:t>-</w:t>
      </w:r>
      <w:r w:rsidRPr="00732013">
        <w:rPr>
          <w:rStyle w:val="Strong"/>
          <w:b w:val="0"/>
          <w:spacing w:val="5"/>
          <w:w w:val="103"/>
        </w:rPr>
        <w:t>5154)</w:t>
      </w:r>
      <w:r w:rsidRPr="00732013">
        <w:rPr>
          <w:rStyle w:val="Strong"/>
          <w:b w:val="0"/>
          <w:spacing w:val="5"/>
          <w:w w:val="103"/>
          <w:lang w:val="ru-RU"/>
        </w:rPr>
        <w:t>.</w:t>
      </w:r>
    </w:p>
  </w:footnote>
  <w:footnote w:id="59">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Утвержден</w:t>
      </w:r>
      <w:r w:rsidRPr="00732013">
        <w:rPr>
          <w:spacing w:val="5"/>
          <w:w w:val="103"/>
        </w:rPr>
        <w:t xml:space="preserve"> 22</w:t>
      </w:r>
      <w:r w:rsidRPr="00732013">
        <w:rPr>
          <w:spacing w:val="5"/>
          <w:w w:val="103"/>
          <w:lang w:val="ru-RU"/>
        </w:rPr>
        <w:t> октября</w:t>
      </w:r>
      <w:r w:rsidRPr="00732013">
        <w:rPr>
          <w:spacing w:val="5"/>
          <w:w w:val="103"/>
        </w:rPr>
        <w:t xml:space="preserve"> 2013</w:t>
      </w:r>
      <w:r w:rsidRPr="00732013">
        <w:rPr>
          <w:spacing w:val="5"/>
          <w:w w:val="103"/>
          <w:lang w:val="ru-RU"/>
        </w:rPr>
        <w:t> года распоряжением № </w:t>
      </w:r>
      <w:r w:rsidRPr="00732013">
        <w:rPr>
          <w:spacing w:val="5"/>
          <w:w w:val="103"/>
        </w:rPr>
        <w:t>A1-588</w:t>
      </w:r>
      <w:r w:rsidRPr="00732013">
        <w:rPr>
          <w:spacing w:val="5"/>
          <w:w w:val="103"/>
          <w:lang w:val="ru-RU"/>
        </w:rPr>
        <w:t xml:space="preserve"> министра социальной безопасности и труда.</w:t>
      </w:r>
    </w:p>
  </w:footnote>
  <w:footnote w:id="60">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"Официальный вестник"</w:t>
      </w:r>
      <w:r w:rsidRPr="00732013">
        <w:rPr>
          <w:spacing w:val="5"/>
          <w:w w:val="103"/>
        </w:rPr>
        <w:t>, 1996</w:t>
      </w:r>
      <w:r w:rsidRPr="00732013">
        <w:rPr>
          <w:spacing w:val="5"/>
          <w:w w:val="103"/>
          <w:lang w:val="ru-RU"/>
        </w:rPr>
        <w:t> год</w:t>
      </w:r>
      <w:r w:rsidRPr="00732013">
        <w:rPr>
          <w:spacing w:val="5"/>
          <w:w w:val="103"/>
        </w:rPr>
        <w:t xml:space="preserve">, </w:t>
      </w:r>
      <w:r w:rsidRPr="00732013">
        <w:rPr>
          <w:spacing w:val="5"/>
          <w:w w:val="103"/>
          <w:lang w:val="ru-RU"/>
        </w:rPr>
        <w:t>№ </w:t>
      </w:r>
      <w:r w:rsidRPr="00732013">
        <w:rPr>
          <w:spacing w:val="5"/>
          <w:w w:val="103"/>
        </w:rPr>
        <w:t>55</w:t>
      </w:r>
      <w:r w:rsidRPr="00732013">
        <w:rPr>
          <w:spacing w:val="5"/>
          <w:w w:val="103"/>
          <w:lang w:val="ru-RU"/>
        </w:rPr>
        <w:t>-</w:t>
      </w:r>
      <w:r w:rsidRPr="00732013">
        <w:rPr>
          <w:spacing w:val="5"/>
          <w:w w:val="103"/>
        </w:rPr>
        <w:t>1287; 2009</w:t>
      </w:r>
      <w:r w:rsidRPr="00732013">
        <w:rPr>
          <w:spacing w:val="5"/>
          <w:w w:val="103"/>
          <w:lang w:val="ru-RU"/>
        </w:rPr>
        <w:t> год</w:t>
      </w:r>
      <w:r w:rsidRPr="00732013">
        <w:rPr>
          <w:spacing w:val="5"/>
          <w:w w:val="103"/>
        </w:rPr>
        <w:t xml:space="preserve">, </w:t>
      </w:r>
      <w:r w:rsidRPr="00732013">
        <w:rPr>
          <w:spacing w:val="5"/>
          <w:w w:val="103"/>
          <w:lang w:val="ru-RU"/>
        </w:rPr>
        <w:t>№</w:t>
      </w:r>
      <w:r w:rsidRPr="00732013">
        <w:rPr>
          <w:spacing w:val="5"/>
          <w:w w:val="103"/>
        </w:rPr>
        <w:t xml:space="preserve"> 93</w:t>
      </w:r>
      <w:r w:rsidRPr="00732013">
        <w:rPr>
          <w:spacing w:val="5"/>
          <w:w w:val="103"/>
          <w:lang w:val="ru-RU"/>
        </w:rPr>
        <w:t>-</w:t>
      </w:r>
      <w:r w:rsidRPr="00732013">
        <w:rPr>
          <w:spacing w:val="5"/>
          <w:w w:val="103"/>
        </w:rPr>
        <w:t>3983</w:t>
      </w:r>
      <w:r w:rsidRPr="00732013">
        <w:rPr>
          <w:spacing w:val="5"/>
          <w:w w:val="103"/>
          <w:lang w:val="ru-RU"/>
        </w:rPr>
        <w:t>.</w:t>
      </w:r>
    </w:p>
  </w:footnote>
  <w:footnote w:id="61">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rPr>
        <w:tab/>
      </w:r>
      <w:r w:rsidRPr="00732013">
        <w:rPr>
          <w:spacing w:val="5"/>
          <w:w w:val="103"/>
          <w:lang w:val="ru-RU"/>
        </w:rPr>
        <w:t>Утверждены</w:t>
      </w:r>
      <w:r w:rsidRPr="00732013">
        <w:rPr>
          <w:spacing w:val="5"/>
          <w:w w:val="103"/>
        </w:rPr>
        <w:t xml:space="preserve"> 10</w:t>
      </w:r>
      <w:r w:rsidRPr="00732013">
        <w:rPr>
          <w:spacing w:val="5"/>
          <w:w w:val="103"/>
          <w:lang w:val="ru-RU"/>
        </w:rPr>
        <w:t> февраля</w:t>
      </w:r>
      <w:r w:rsidRPr="00732013">
        <w:rPr>
          <w:spacing w:val="5"/>
          <w:w w:val="103"/>
        </w:rPr>
        <w:t xml:space="preserve"> 2011</w:t>
      </w:r>
      <w:r w:rsidRPr="00732013">
        <w:rPr>
          <w:spacing w:val="5"/>
          <w:w w:val="103"/>
          <w:lang w:val="ru-RU"/>
        </w:rPr>
        <w:t xml:space="preserve"> года распоряжением №</w:t>
      </w:r>
      <w:r w:rsidRPr="00732013">
        <w:rPr>
          <w:spacing w:val="5"/>
          <w:w w:val="103"/>
        </w:rPr>
        <w:t xml:space="preserve"> V-117 </w:t>
      </w:r>
      <w:r w:rsidRPr="00732013">
        <w:rPr>
          <w:spacing w:val="5"/>
          <w:w w:val="103"/>
          <w:lang w:val="ru-RU"/>
        </w:rPr>
        <w:t>министра здравоохранения</w:t>
      </w:r>
      <w:r w:rsidRPr="00732013">
        <w:rPr>
          <w:spacing w:val="5"/>
          <w:w w:val="103"/>
        </w:rPr>
        <w:t xml:space="preserve"> (</w:t>
      </w:r>
      <w:r w:rsidRPr="00732013">
        <w:rPr>
          <w:spacing w:val="5"/>
          <w:w w:val="103"/>
          <w:lang w:val="ru-RU"/>
        </w:rPr>
        <w:t>"Официальный вестник"</w:t>
      </w:r>
      <w:r w:rsidRPr="00732013">
        <w:rPr>
          <w:spacing w:val="5"/>
          <w:w w:val="103"/>
        </w:rPr>
        <w:t>, 2011</w:t>
      </w:r>
      <w:r w:rsidRPr="00732013">
        <w:rPr>
          <w:spacing w:val="5"/>
          <w:w w:val="103"/>
          <w:lang w:val="ru-RU"/>
        </w:rPr>
        <w:t> год</w:t>
      </w:r>
      <w:r w:rsidRPr="00732013">
        <w:rPr>
          <w:spacing w:val="5"/>
          <w:w w:val="103"/>
        </w:rPr>
        <w:t xml:space="preserve">, </w:t>
      </w:r>
      <w:r w:rsidRPr="00732013">
        <w:rPr>
          <w:spacing w:val="5"/>
          <w:w w:val="103"/>
          <w:lang w:val="ru-RU"/>
        </w:rPr>
        <w:t>№</w:t>
      </w:r>
      <w:r w:rsidRPr="00732013">
        <w:rPr>
          <w:spacing w:val="5"/>
          <w:w w:val="103"/>
        </w:rPr>
        <w:t xml:space="preserve"> 19</w:t>
      </w:r>
      <w:r w:rsidRPr="00732013">
        <w:rPr>
          <w:spacing w:val="5"/>
          <w:w w:val="103"/>
          <w:lang w:val="ru-RU"/>
        </w:rPr>
        <w:t>-</w:t>
      </w:r>
      <w:r w:rsidRPr="00732013">
        <w:rPr>
          <w:spacing w:val="5"/>
          <w:w w:val="103"/>
        </w:rPr>
        <w:t>934)</w:t>
      </w:r>
      <w:r w:rsidRPr="00732013">
        <w:rPr>
          <w:spacing w:val="5"/>
          <w:w w:val="103"/>
          <w:lang w:val="ru-RU"/>
        </w:rPr>
        <w:t>.</w:t>
      </w:r>
    </w:p>
  </w:footnote>
  <w:footnote w:id="62">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rPr>
        <w:tab/>
      </w:r>
      <w:r w:rsidRPr="00732013">
        <w:rPr>
          <w:rStyle w:val="FootnoteReference"/>
          <w:spacing w:val="5"/>
          <w:w w:val="103"/>
        </w:rPr>
        <w:footnoteRef/>
      </w:r>
      <w:r w:rsidRPr="00732013">
        <w:rPr>
          <w:spacing w:val="5"/>
          <w:w w:val="103"/>
          <w:lang w:val="ru-RU"/>
        </w:rPr>
        <w:tab/>
        <w:t xml:space="preserve">Данный вопрос подробно освещен в принятом 28 сентября 2011 года постановлении № 21/2008 Конституционного суда Литвы. </w:t>
      </w:r>
    </w:p>
  </w:footnote>
  <w:footnote w:id="63">
    <w:p w:rsidR="008A58AA" w:rsidRPr="00732013" w:rsidRDefault="008A58AA" w:rsidP="00F1254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3"/>
          <w:lang w:val="ru-RU"/>
        </w:rPr>
      </w:pPr>
      <w:r w:rsidRPr="00732013">
        <w:rPr>
          <w:spacing w:val="5"/>
          <w:w w:val="103"/>
          <w:lang w:val="ru-RU"/>
        </w:rPr>
        <w:tab/>
      </w:r>
      <w:r w:rsidRPr="00732013">
        <w:rPr>
          <w:rStyle w:val="FootnoteReference"/>
          <w:spacing w:val="5"/>
          <w:w w:val="103"/>
        </w:rPr>
        <w:footnoteRef/>
      </w:r>
      <w:r w:rsidRPr="00732013">
        <w:rPr>
          <w:spacing w:val="5"/>
          <w:w w:val="103"/>
          <w:lang w:val="ru-RU"/>
        </w:rPr>
        <w:tab/>
        <w:t>См., например, постановление Верховного суда Литвы по гражданскому делу № 3</w:t>
      </w:r>
      <w:r w:rsidRPr="00732013">
        <w:rPr>
          <w:spacing w:val="5"/>
          <w:w w:val="103"/>
        </w:rPr>
        <w:t>K</w:t>
      </w:r>
      <w:r w:rsidRPr="00732013">
        <w:rPr>
          <w:spacing w:val="5"/>
          <w:w w:val="103"/>
          <w:lang w:val="ru-RU"/>
        </w:rPr>
        <w:noBreakHyphen/>
      </w:r>
      <w:r w:rsidRPr="00732013">
        <w:rPr>
          <w:spacing w:val="5"/>
          <w:w w:val="103"/>
        </w:rPr>
        <w:t>P</w:t>
      </w:r>
      <w:r w:rsidRPr="00732013">
        <w:rPr>
          <w:spacing w:val="5"/>
          <w:w w:val="103"/>
          <w:lang w:val="ru-RU"/>
        </w:rPr>
        <w:noBreakHyphen/>
        <w:t>186/2010 от 20 мая 2010 года и постановление Верховного суда Литвы по гражданскому делу № 3</w:t>
      </w:r>
      <w:r w:rsidRPr="00732013">
        <w:rPr>
          <w:spacing w:val="5"/>
          <w:w w:val="103"/>
        </w:rPr>
        <w:t>K</w:t>
      </w:r>
      <w:r w:rsidRPr="00732013">
        <w:rPr>
          <w:spacing w:val="5"/>
          <w:w w:val="103"/>
          <w:lang w:val="ru-RU"/>
        </w:rPr>
        <w:noBreakHyphen/>
        <w:t>3</w:t>
      </w:r>
      <w:r w:rsidRPr="00732013">
        <w:rPr>
          <w:spacing w:val="5"/>
          <w:w w:val="103"/>
          <w:lang w:val="ru-RU"/>
        </w:rPr>
        <w:noBreakHyphen/>
        <w:t xml:space="preserve">482/2010 от 30 ноября 2010 года.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AA" w:rsidRPr="00866E29" w:rsidRDefault="008A58AA" w:rsidP="00EE1867">
    <w:pPr>
      <w:pStyle w:val="Header"/>
      <w:spacing w:before="560"/>
    </w:pPr>
    <w:r>
      <w:t>CEDAW/C/LTU/Q/5/Add.1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AA" w:rsidRPr="00866E29" w:rsidRDefault="008A58AA" w:rsidP="00EE1867">
    <w:pPr>
      <w:pStyle w:val="Header"/>
      <w:spacing w:before="560"/>
      <w:jc w:val="right"/>
    </w:pPr>
    <w:r>
      <w:t>CEDAW/C/LTU/Q/5/Add.1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7"/>
      <w:gridCol w:w="5227"/>
      <w:gridCol w:w="27"/>
      <w:gridCol w:w="142"/>
      <w:gridCol w:w="76"/>
      <w:gridCol w:w="3140"/>
    </w:tblGrid>
    <w:tr w:rsidR="008A58AA" w:rsidTr="00E5613A">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8A58AA" w:rsidRDefault="008A58AA" w:rsidP="00E5613A">
          <w:pPr>
            <w:pStyle w:val="HCh"/>
            <w:tabs>
              <w:tab w:val="left" w:pos="1260"/>
            </w:tabs>
            <w:spacing w:after="80"/>
            <w:ind w:right="0"/>
            <w:rPr>
              <w:b w:val="0"/>
              <w:spacing w:val="2"/>
              <w:w w:val="96"/>
            </w:rPr>
          </w:pPr>
          <w:r>
            <w:rPr>
              <w:b w:val="0"/>
              <w:spacing w:val="2"/>
              <w:w w:val="96"/>
            </w:rPr>
            <w:tab/>
          </w:r>
          <w:r>
            <w:rPr>
              <w:b w:val="0"/>
              <w:spacing w:val="2"/>
              <w:w w:val="96"/>
              <w:lang w:val="en-US"/>
            </w:rPr>
            <w:tab/>
          </w:r>
          <w:r>
            <w:rPr>
              <w:b w:val="0"/>
              <w:spacing w:val="2"/>
              <w:w w:val="96"/>
            </w:rPr>
            <w:t>Организация Объединенных Наций</w:t>
          </w:r>
        </w:p>
      </w:tc>
      <w:tc>
        <w:tcPr>
          <w:tcW w:w="142" w:type="dxa"/>
          <w:tcBorders>
            <w:top w:val="nil"/>
            <w:left w:val="nil"/>
            <w:bottom w:val="nil"/>
            <w:right w:val="nil"/>
          </w:tcBorders>
          <w:vAlign w:val="bottom"/>
        </w:tcPr>
        <w:p w:rsidR="008A58AA" w:rsidRDefault="008A58AA" w:rsidP="00E5613A">
          <w:pPr>
            <w:pStyle w:val="Header"/>
            <w:pBdr>
              <w:bottom w:val="none" w:sz="0" w:space="0" w:color="auto"/>
            </w:pBdr>
            <w:spacing w:after="120"/>
          </w:pPr>
        </w:p>
      </w:tc>
      <w:tc>
        <w:tcPr>
          <w:tcW w:w="3216" w:type="dxa"/>
          <w:gridSpan w:val="2"/>
          <w:tcBorders>
            <w:top w:val="nil"/>
            <w:left w:val="nil"/>
            <w:bottom w:val="nil"/>
            <w:right w:val="nil"/>
          </w:tcBorders>
          <w:vAlign w:val="bottom"/>
        </w:tcPr>
        <w:p w:rsidR="008A58AA" w:rsidRPr="00D71187" w:rsidRDefault="008A58AA" w:rsidP="00E5613A">
          <w:pPr>
            <w:pStyle w:val="Header"/>
            <w:pBdr>
              <w:bottom w:val="none" w:sz="0" w:space="0" w:color="auto"/>
            </w:pBdr>
            <w:spacing w:after="20"/>
            <w:jc w:val="right"/>
            <w:rPr>
              <w:b w:val="0"/>
              <w:sz w:val="20"/>
              <w:lang w:val="en-US"/>
            </w:rPr>
          </w:pPr>
          <w:r w:rsidRPr="00D71187">
            <w:rPr>
              <w:b w:val="0"/>
              <w:sz w:val="40"/>
            </w:rPr>
            <w:t>CEDAW</w:t>
          </w:r>
          <w:r w:rsidRPr="00D71187">
            <w:rPr>
              <w:b w:val="0"/>
              <w:sz w:val="20"/>
            </w:rPr>
            <w:t>/C/</w:t>
          </w:r>
          <w:r>
            <w:rPr>
              <w:b w:val="0"/>
              <w:sz w:val="20"/>
            </w:rPr>
            <w:t>LTU/Q/5/Add.1</w:t>
          </w:r>
        </w:p>
      </w:tc>
    </w:tr>
    <w:tr w:rsidR="008A58AA" w:rsidRPr="006E65D0" w:rsidTr="00E5613A">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8A58AA" w:rsidRDefault="008A58AA" w:rsidP="00E5613A">
          <w:pPr>
            <w:pStyle w:val="Header"/>
            <w:pBdr>
              <w:bottom w:val="none" w:sz="0" w:space="0" w:color="auto"/>
            </w:pBdr>
            <w:spacing w:before="109"/>
          </w:pPr>
          <w:r>
            <w:t xml:space="preserve"> </w:t>
          </w:r>
          <w:r w:rsidRPr="003549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_unlogo" style="width:55.5pt;height:47.25pt;visibility:visible">
                <v:imagedata r:id="rId1" o:title="_unlogo"/>
              </v:shape>
            </w:pict>
          </w:r>
        </w:p>
        <w:p w:rsidR="008A58AA" w:rsidRDefault="008A58AA" w:rsidP="00E5613A">
          <w:pPr>
            <w:pStyle w:val="Header"/>
            <w:pBdr>
              <w:bottom w:val="none" w:sz="0" w:space="0" w:color="auto"/>
            </w:pBdr>
            <w:spacing w:before="109"/>
          </w:pPr>
        </w:p>
      </w:tc>
      <w:tc>
        <w:tcPr>
          <w:tcW w:w="5227" w:type="dxa"/>
          <w:tcBorders>
            <w:left w:val="nil"/>
            <w:bottom w:val="single" w:sz="12" w:space="0" w:color="auto"/>
            <w:right w:val="nil"/>
          </w:tcBorders>
        </w:tcPr>
        <w:p w:rsidR="008A58AA" w:rsidRPr="006E65D0" w:rsidRDefault="008A58AA" w:rsidP="00E5613A">
          <w:pPr>
            <w:pStyle w:val="XLarge"/>
            <w:spacing w:before="109" w:line="330" w:lineRule="exact"/>
            <w:rPr>
              <w:sz w:val="34"/>
            </w:rPr>
          </w:pPr>
          <w:r>
            <w:rPr>
              <w:sz w:val="34"/>
            </w:rPr>
            <w:t xml:space="preserve">Конвенция о ликвидации </w:t>
          </w:r>
          <w:r>
            <w:rPr>
              <w:sz w:val="34"/>
            </w:rPr>
            <w:br/>
            <w:t xml:space="preserve">всех форм дискриминации </w:t>
          </w:r>
          <w:r>
            <w:rPr>
              <w:sz w:val="34"/>
            </w:rPr>
            <w:br/>
            <w:t>в отношении женщин</w:t>
          </w:r>
        </w:p>
      </w:tc>
      <w:tc>
        <w:tcPr>
          <w:tcW w:w="245" w:type="dxa"/>
          <w:gridSpan w:val="3"/>
          <w:tcBorders>
            <w:left w:val="nil"/>
            <w:bottom w:val="single" w:sz="12" w:space="0" w:color="auto"/>
            <w:right w:val="nil"/>
          </w:tcBorders>
        </w:tcPr>
        <w:p w:rsidR="008A58AA" w:rsidRPr="00947E45" w:rsidRDefault="008A58AA" w:rsidP="00E5613A">
          <w:pPr>
            <w:pStyle w:val="Header"/>
            <w:pBdr>
              <w:bottom w:val="none" w:sz="0" w:space="0" w:color="auto"/>
            </w:pBdr>
            <w:spacing w:before="109"/>
            <w:rPr>
              <w:lang w:val="ru-RU"/>
            </w:rPr>
          </w:pPr>
        </w:p>
      </w:tc>
      <w:tc>
        <w:tcPr>
          <w:tcW w:w="3140" w:type="dxa"/>
          <w:tcBorders>
            <w:left w:val="nil"/>
            <w:bottom w:val="single" w:sz="12" w:space="0" w:color="auto"/>
            <w:right w:val="nil"/>
          </w:tcBorders>
        </w:tcPr>
        <w:p w:rsidR="008A58AA" w:rsidRPr="006E65D0" w:rsidRDefault="008A58AA" w:rsidP="00E5613A">
          <w:pPr>
            <w:spacing w:before="240"/>
          </w:pPr>
          <w:r w:rsidRPr="003358A9">
            <w:rPr>
              <w:lang w:val="en-US"/>
            </w:rPr>
            <w:t>Distr</w:t>
          </w:r>
          <w:r w:rsidRPr="006E65D0">
            <w:t xml:space="preserve">.: </w:t>
          </w:r>
          <w:r w:rsidRPr="003358A9">
            <w:rPr>
              <w:lang w:val="en-US"/>
            </w:rPr>
            <w:t>General</w:t>
          </w:r>
        </w:p>
        <w:p w:rsidR="008A58AA" w:rsidRPr="006E65D0" w:rsidRDefault="008A58AA" w:rsidP="00E5613A">
          <w:r>
            <w:t>23</w:t>
          </w:r>
          <w:r w:rsidRPr="006E65D0">
            <w:t xml:space="preserve"> </w:t>
          </w:r>
          <w:r>
            <w:rPr>
              <w:lang w:val="en-US"/>
            </w:rPr>
            <w:t>January</w:t>
          </w:r>
          <w:r w:rsidRPr="006E65D0">
            <w:t xml:space="preserve"> 201</w:t>
          </w:r>
          <w:r>
            <w:t>4</w:t>
          </w:r>
        </w:p>
        <w:p w:rsidR="008A58AA" w:rsidRPr="006E65D0" w:rsidRDefault="008A58AA" w:rsidP="00E5613A">
          <w:r>
            <w:rPr>
              <w:lang w:val="en-US"/>
            </w:rPr>
            <w:t>Russian</w:t>
          </w:r>
        </w:p>
        <w:p w:rsidR="008A58AA" w:rsidRPr="006E65D0" w:rsidRDefault="008A58AA" w:rsidP="00E5613A">
          <w:r w:rsidRPr="003358A9">
            <w:rPr>
              <w:lang w:val="en-US"/>
            </w:rPr>
            <w:t>Original</w:t>
          </w:r>
          <w:r w:rsidRPr="006E65D0">
            <w:t xml:space="preserve">: </w:t>
          </w:r>
          <w:r>
            <w:rPr>
              <w:lang w:val="en-US"/>
            </w:rPr>
            <w:t>English</w:t>
          </w:r>
        </w:p>
      </w:tc>
    </w:tr>
  </w:tbl>
  <w:p w:rsidR="008A58AA" w:rsidRDefault="008A58AA" w:rsidP="00EE1867">
    <w:pPr>
      <w:pStyle w:val="Header"/>
      <w:pBdr>
        <w:bottom w:val="none" w:sz="0" w:space="0" w:color="auto"/>
      </w:pBdr>
      <w:spacing w:line="8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AB28AF"/>
    <w:multiLevelType w:val="hybridMultilevel"/>
    <w:tmpl w:val="447A8708"/>
    <w:lvl w:ilvl="0" w:tplc="D772D894">
      <w:start w:val="4"/>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552353"/>
    <w:multiLevelType w:val="hybridMultilevel"/>
    <w:tmpl w:val="D0FE544A"/>
    <w:lvl w:ilvl="0" w:tplc="6F4C4056">
      <w:start w:val="1"/>
      <w:numFmt w:val="decimal"/>
      <w:lvlText w:val="%1."/>
      <w:lvlJc w:val="left"/>
      <w:pPr>
        <w:ind w:left="720" w:hanging="360"/>
      </w:pPr>
      <w:rPr>
        <w:b w:val="0"/>
        <w:bCs w:val="0"/>
        <w:i w:val="0"/>
        <w:i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1"/>
  </w:num>
  <w:num w:numId="14">
    <w:abstractNumId w:val="10"/>
  </w:num>
  <w:num w:numId="15">
    <w:abstractNumId w:val="16"/>
  </w:num>
  <w:num w:numId="16">
    <w:abstractNumId w:val="14"/>
  </w:num>
  <w:num w:numId="17">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146*"/>
    <w:docVar w:name="FooterJN" w:val="14-2146"/>
    <w:docVar w:name="Jobn" w:val="14-2146 (R)"/>
    <w:docVar w:name="JobNo" w:val="1421460"/>
    <w:docVar w:name="sss1" w:val="CEDAW/C/LTU/Q/5/Add.1"/>
    <w:docVar w:name="Symbol1" w:val="CEDAW/C/LTU/Q/5/Add.1"/>
  </w:docVars>
  <w:rsids>
    <w:rsidRoot w:val="00866E29"/>
    <w:rsid w:val="000012E8"/>
    <w:rsid w:val="00002A03"/>
    <w:rsid w:val="00005BDD"/>
    <w:rsid w:val="0000713A"/>
    <w:rsid w:val="000073A7"/>
    <w:rsid w:val="00012B9A"/>
    <w:rsid w:val="00015A94"/>
    <w:rsid w:val="000179FE"/>
    <w:rsid w:val="00020352"/>
    <w:rsid w:val="00021469"/>
    <w:rsid w:val="000224DB"/>
    <w:rsid w:val="000240EC"/>
    <w:rsid w:val="0002571B"/>
    <w:rsid w:val="00030B53"/>
    <w:rsid w:val="00030B86"/>
    <w:rsid w:val="000319F7"/>
    <w:rsid w:val="00032795"/>
    <w:rsid w:val="00032FF2"/>
    <w:rsid w:val="000360F1"/>
    <w:rsid w:val="00037B6C"/>
    <w:rsid w:val="00037FE9"/>
    <w:rsid w:val="000410D8"/>
    <w:rsid w:val="00041115"/>
    <w:rsid w:val="000412A6"/>
    <w:rsid w:val="0004311C"/>
    <w:rsid w:val="00050F6B"/>
    <w:rsid w:val="00051743"/>
    <w:rsid w:val="000523E8"/>
    <w:rsid w:val="000551DC"/>
    <w:rsid w:val="00055986"/>
    <w:rsid w:val="0005728E"/>
    <w:rsid w:val="00057C63"/>
    <w:rsid w:val="000601D6"/>
    <w:rsid w:val="000608F8"/>
    <w:rsid w:val="00065138"/>
    <w:rsid w:val="000667E0"/>
    <w:rsid w:val="0006774D"/>
    <w:rsid w:val="0007109A"/>
    <w:rsid w:val="00072C8C"/>
    <w:rsid w:val="00073095"/>
    <w:rsid w:val="000733B5"/>
    <w:rsid w:val="0007340C"/>
    <w:rsid w:val="00077460"/>
    <w:rsid w:val="00077485"/>
    <w:rsid w:val="000827F9"/>
    <w:rsid w:val="000830A8"/>
    <w:rsid w:val="00084288"/>
    <w:rsid w:val="0008468C"/>
    <w:rsid w:val="000856F3"/>
    <w:rsid w:val="00085F57"/>
    <w:rsid w:val="000860AC"/>
    <w:rsid w:val="00090EB6"/>
    <w:rsid w:val="00091341"/>
    <w:rsid w:val="00091C1A"/>
    <w:rsid w:val="00092DD2"/>
    <w:rsid w:val="000931C0"/>
    <w:rsid w:val="00093E1B"/>
    <w:rsid w:val="00094707"/>
    <w:rsid w:val="0009487B"/>
    <w:rsid w:val="00094D66"/>
    <w:rsid w:val="000959B3"/>
    <w:rsid w:val="00095F2A"/>
    <w:rsid w:val="000A2926"/>
    <w:rsid w:val="000A5D3B"/>
    <w:rsid w:val="000A68A7"/>
    <w:rsid w:val="000B175B"/>
    <w:rsid w:val="000B1F0F"/>
    <w:rsid w:val="000B20DF"/>
    <w:rsid w:val="000B2282"/>
    <w:rsid w:val="000B3A0F"/>
    <w:rsid w:val="000B4EF7"/>
    <w:rsid w:val="000B559E"/>
    <w:rsid w:val="000B613C"/>
    <w:rsid w:val="000C1462"/>
    <w:rsid w:val="000C2D2E"/>
    <w:rsid w:val="000C2F12"/>
    <w:rsid w:val="000C446D"/>
    <w:rsid w:val="000C6852"/>
    <w:rsid w:val="000D13D8"/>
    <w:rsid w:val="000D30A0"/>
    <w:rsid w:val="000D3535"/>
    <w:rsid w:val="000D4643"/>
    <w:rsid w:val="000D5047"/>
    <w:rsid w:val="000D6B70"/>
    <w:rsid w:val="000D734E"/>
    <w:rsid w:val="000E0415"/>
    <w:rsid w:val="000E32BA"/>
    <w:rsid w:val="000E70F0"/>
    <w:rsid w:val="000F0EC7"/>
    <w:rsid w:val="000F11EB"/>
    <w:rsid w:val="000F1FAF"/>
    <w:rsid w:val="000F1FD5"/>
    <w:rsid w:val="000F4B79"/>
    <w:rsid w:val="00100341"/>
    <w:rsid w:val="00101C14"/>
    <w:rsid w:val="00104FC6"/>
    <w:rsid w:val="001055D7"/>
    <w:rsid w:val="001063E7"/>
    <w:rsid w:val="00106FF1"/>
    <w:rsid w:val="001103AA"/>
    <w:rsid w:val="001129A5"/>
    <w:rsid w:val="00113044"/>
    <w:rsid w:val="00115986"/>
    <w:rsid w:val="00116764"/>
    <w:rsid w:val="00116CCE"/>
    <w:rsid w:val="001219E7"/>
    <w:rsid w:val="00122537"/>
    <w:rsid w:val="001233DA"/>
    <w:rsid w:val="00123DBF"/>
    <w:rsid w:val="00132CD1"/>
    <w:rsid w:val="00133B27"/>
    <w:rsid w:val="00134894"/>
    <w:rsid w:val="001365B6"/>
    <w:rsid w:val="00136B6E"/>
    <w:rsid w:val="001405F8"/>
    <w:rsid w:val="0014074F"/>
    <w:rsid w:val="00140919"/>
    <w:rsid w:val="00141589"/>
    <w:rsid w:val="00142C29"/>
    <w:rsid w:val="00143323"/>
    <w:rsid w:val="0014482F"/>
    <w:rsid w:val="00144EC9"/>
    <w:rsid w:val="001464F3"/>
    <w:rsid w:val="001510CB"/>
    <w:rsid w:val="001551CA"/>
    <w:rsid w:val="00155467"/>
    <w:rsid w:val="00155717"/>
    <w:rsid w:val="00155D10"/>
    <w:rsid w:val="001570EA"/>
    <w:rsid w:val="001602FA"/>
    <w:rsid w:val="001609A9"/>
    <w:rsid w:val="00160A63"/>
    <w:rsid w:val="00161528"/>
    <w:rsid w:val="001619D0"/>
    <w:rsid w:val="0016262F"/>
    <w:rsid w:val="001665A3"/>
    <w:rsid w:val="0016670D"/>
    <w:rsid w:val="001674CB"/>
    <w:rsid w:val="0016768A"/>
    <w:rsid w:val="00171446"/>
    <w:rsid w:val="0017286D"/>
    <w:rsid w:val="00174995"/>
    <w:rsid w:val="001750A2"/>
    <w:rsid w:val="001769C0"/>
    <w:rsid w:val="00177EAC"/>
    <w:rsid w:val="0018038C"/>
    <w:rsid w:val="00180D95"/>
    <w:rsid w:val="001813AB"/>
    <w:rsid w:val="00181B7F"/>
    <w:rsid w:val="00182D65"/>
    <w:rsid w:val="00186588"/>
    <w:rsid w:val="0018711F"/>
    <w:rsid w:val="00190869"/>
    <w:rsid w:val="00190CBF"/>
    <w:rsid w:val="0019119F"/>
    <w:rsid w:val="00191906"/>
    <w:rsid w:val="00191B90"/>
    <w:rsid w:val="00194DF6"/>
    <w:rsid w:val="001954AA"/>
    <w:rsid w:val="001977A4"/>
    <w:rsid w:val="001A2CC2"/>
    <w:rsid w:val="001A32CC"/>
    <w:rsid w:val="001A3C9B"/>
    <w:rsid w:val="001A40D3"/>
    <w:rsid w:val="001A5BCF"/>
    <w:rsid w:val="001A6B9B"/>
    <w:rsid w:val="001A6DCC"/>
    <w:rsid w:val="001B03F4"/>
    <w:rsid w:val="001B14F5"/>
    <w:rsid w:val="001B1CD5"/>
    <w:rsid w:val="001B2C9F"/>
    <w:rsid w:val="001B30B9"/>
    <w:rsid w:val="001B3D13"/>
    <w:rsid w:val="001B4B04"/>
    <w:rsid w:val="001B52A5"/>
    <w:rsid w:val="001B5806"/>
    <w:rsid w:val="001B705D"/>
    <w:rsid w:val="001C2382"/>
    <w:rsid w:val="001C33DC"/>
    <w:rsid w:val="001C3AF2"/>
    <w:rsid w:val="001C6399"/>
    <w:rsid w:val="001C6663"/>
    <w:rsid w:val="001C7895"/>
    <w:rsid w:val="001C7E37"/>
    <w:rsid w:val="001D00DE"/>
    <w:rsid w:val="001D26DF"/>
    <w:rsid w:val="001D3FA7"/>
    <w:rsid w:val="001D47B3"/>
    <w:rsid w:val="001D5B07"/>
    <w:rsid w:val="001D61E4"/>
    <w:rsid w:val="001D6B35"/>
    <w:rsid w:val="001D74F2"/>
    <w:rsid w:val="001E0138"/>
    <w:rsid w:val="001E0B7C"/>
    <w:rsid w:val="001E1E9F"/>
    <w:rsid w:val="001E500F"/>
    <w:rsid w:val="001E5AA0"/>
    <w:rsid w:val="001F153F"/>
    <w:rsid w:val="001F2441"/>
    <w:rsid w:val="001F251C"/>
    <w:rsid w:val="001F4D02"/>
    <w:rsid w:val="001F6A75"/>
    <w:rsid w:val="001F6AFD"/>
    <w:rsid w:val="001F6BCE"/>
    <w:rsid w:val="002004AB"/>
    <w:rsid w:val="00202DA8"/>
    <w:rsid w:val="00202FC8"/>
    <w:rsid w:val="00204EFB"/>
    <w:rsid w:val="00207AE2"/>
    <w:rsid w:val="00207D49"/>
    <w:rsid w:val="002106C8"/>
    <w:rsid w:val="00210DA3"/>
    <w:rsid w:val="00211E0B"/>
    <w:rsid w:val="00212CED"/>
    <w:rsid w:val="002142BC"/>
    <w:rsid w:val="0021447C"/>
    <w:rsid w:val="00215855"/>
    <w:rsid w:val="00215BE2"/>
    <w:rsid w:val="00217305"/>
    <w:rsid w:val="00217A18"/>
    <w:rsid w:val="00221826"/>
    <w:rsid w:val="00221C22"/>
    <w:rsid w:val="002240F6"/>
    <w:rsid w:val="00226AF9"/>
    <w:rsid w:val="002276A5"/>
    <w:rsid w:val="00230896"/>
    <w:rsid w:val="0023121B"/>
    <w:rsid w:val="002327D0"/>
    <w:rsid w:val="002332BA"/>
    <w:rsid w:val="0023417B"/>
    <w:rsid w:val="002342C2"/>
    <w:rsid w:val="002371F9"/>
    <w:rsid w:val="002378D8"/>
    <w:rsid w:val="002409A0"/>
    <w:rsid w:val="00242C66"/>
    <w:rsid w:val="00247B4C"/>
    <w:rsid w:val="0025271B"/>
    <w:rsid w:val="00252791"/>
    <w:rsid w:val="00254BE4"/>
    <w:rsid w:val="00254F50"/>
    <w:rsid w:val="00255327"/>
    <w:rsid w:val="00255F88"/>
    <w:rsid w:val="00264E56"/>
    <w:rsid w:val="00265011"/>
    <w:rsid w:val="00265BF8"/>
    <w:rsid w:val="00267E39"/>
    <w:rsid w:val="00270DC1"/>
    <w:rsid w:val="002736CA"/>
    <w:rsid w:val="0027479B"/>
    <w:rsid w:val="00274E3E"/>
    <w:rsid w:val="002750C0"/>
    <w:rsid w:val="002752EC"/>
    <w:rsid w:val="0027595C"/>
    <w:rsid w:val="00275C42"/>
    <w:rsid w:val="002763A2"/>
    <w:rsid w:val="00277E3F"/>
    <w:rsid w:val="00280430"/>
    <w:rsid w:val="00284756"/>
    <w:rsid w:val="002861AE"/>
    <w:rsid w:val="0028798A"/>
    <w:rsid w:val="00287A2E"/>
    <w:rsid w:val="002900DE"/>
    <w:rsid w:val="0029148A"/>
    <w:rsid w:val="00292402"/>
    <w:rsid w:val="00293BC6"/>
    <w:rsid w:val="002944D3"/>
    <w:rsid w:val="0029733D"/>
    <w:rsid w:val="002A09E5"/>
    <w:rsid w:val="002A0A8C"/>
    <w:rsid w:val="002A12A4"/>
    <w:rsid w:val="002A25E1"/>
    <w:rsid w:val="002A3897"/>
    <w:rsid w:val="002A4EC7"/>
    <w:rsid w:val="002A7683"/>
    <w:rsid w:val="002B0464"/>
    <w:rsid w:val="002B13BC"/>
    <w:rsid w:val="002B1DD7"/>
    <w:rsid w:val="002B6071"/>
    <w:rsid w:val="002B68CD"/>
    <w:rsid w:val="002B6F06"/>
    <w:rsid w:val="002C1AE6"/>
    <w:rsid w:val="002C1E81"/>
    <w:rsid w:val="002C1E85"/>
    <w:rsid w:val="002C1F94"/>
    <w:rsid w:val="002C24B0"/>
    <w:rsid w:val="002C2CD1"/>
    <w:rsid w:val="002C409B"/>
    <w:rsid w:val="002C4B73"/>
    <w:rsid w:val="002C4BF3"/>
    <w:rsid w:val="002C6D5C"/>
    <w:rsid w:val="002D1D7B"/>
    <w:rsid w:val="002D1ED0"/>
    <w:rsid w:val="002D2253"/>
    <w:rsid w:val="002D2C47"/>
    <w:rsid w:val="002D2D32"/>
    <w:rsid w:val="002D49DD"/>
    <w:rsid w:val="002D647C"/>
    <w:rsid w:val="002D69CB"/>
    <w:rsid w:val="002E095E"/>
    <w:rsid w:val="002E2A93"/>
    <w:rsid w:val="002E3431"/>
    <w:rsid w:val="002E45EC"/>
    <w:rsid w:val="002E659B"/>
    <w:rsid w:val="002E693E"/>
    <w:rsid w:val="002F05E7"/>
    <w:rsid w:val="002F10BE"/>
    <w:rsid w:val="002F175C"/>
    <w:rsid w:val="002F2941"/>
    <w:rsid w:val="002F3AA0"/>
    <w:rsid w:val="002F4C8D"/>
    <w:rsid w:val="002F4EA9"/>
    <w:rsid w:val="0030017B"/>
    <w:rsid w:val="00301B75"/>
    <w:rsid w:val="0030252E"/>
    <w:rsid w:val="003030B3"/>
    <w:rsid w:val="00303196"/>
    <w:rsid w:val="00303545"/>
    <w:rsid w:val="00304BB4"/>
    <w:rsid w:val="003052EA"/>
    <w:rsid w:val="00306C59"/>
    <w:rsid w:val="00307725"/>
    <w:rsid w:val="0031063C"/>
    <w:rsid w:val="003116A0"/>
    <w:rsid w:val="00311911"/>
    <w:rsid w:val="003121E6"/>
    <w:rsid w:val="00312A5E"/>
    <w:rsid w:val="00313933"/>
    <w:rsid w:val="00313BC3"/>
    <w:rsid w:val="00313D9A"/>
    <w:rsid w:val="00314229"/>
    <w:rsid w:val="003147EE"/>
    <w:rsid w:val="00314DBF"/>
    <w:rsid w:val="00315D5F"/>
    <w:rsid w:val="00316206"/>
    <w:rsid w:val="00316264"/>
    <w:rsid w:val="003164CA"/>
    <w:rsid w:val="0031693A"/>
    <w:rsid w:val="0032202F"/>
    <w:rsid w:val="00322447"/>
    <w:rsid w:val="00322799"/>
    <w:rsid w:val="003229D8"/>
    <w:rsid w:val="003241CF"/>
    <w:rsid w:val="00325EE1"/>
    <w:rsid w:val="003262E9"/>
    <w:rsid w:val="003305AB"/>
    <w:rsid w:val="00330E2F"/>
    <w:rsid w:val="00332E15"/>
    <w:rsid w:val="003337B6"/>
    <w:rsid w:val="00334957"/>
    <w:rsid w:val="00334982"/>
    <w:rsid w:val="00337DD5"/>
    <w:rsid w:val="00337DFB"/>
    <w:rsid w:val="003404EA"/>
    <w:rsid w:val="00340B9D"/>
    <w:rsid w:val="00341DBE"/>
    <w:rsid w:val="00344F8A"/>
    <w:rsid w:val="00350BA4"/>
    <w:rsid w:val="00352709"/>
    <w:rsid w:val="0035399F"/>
    <w:rsid w:val="003539F5"/>
    <w:rsid w:val="00354024"/>
    <w:rsid w:val="003540D4"/>
    <w:rsid w:val="003542B8"/>
    <w:rsid w:val="003551A3"/>
    <w:rsid w:val="00356269"/>
    <w:rsid w:val="00357461"/>
    <w:rsid w:val="0035767F"/>
    <w:rsid w:val="00360AAA"/>
    <w:rsid w:val="00360C74"/>
    <w:rsid w:val="0036206B"/>
    <w:rsid w:val="0036407B"/>
    <w:rsid w:val="00364C5B"/>
    <w:rsid w:val="0036582C"/>
    <w:rsid w:val="00365BC6"/>
    <w:rsid w:val="003669D5"/>
    <w:rsid w:val="00371178"/>
    <w:rsid w:val="003724F1"/>
    <w:rsid w:val="00375215"/>
    <w:rsid w:val="003807D4"/>
    <w:rsid w:val="00380E1D"/>
    <w:rsid w:val="003814AC"/>
    <w:rsid w:val="003829E8"/>
    <w:rsid w:val="00383D30"/>
    <w:rsid w:val="00390637"/>
    <w:rsid w:val="003908A3"/>
    <w:rsid w:val="003928AE"/>
    <w:rsid w:val="0039362D"/>
    <w:rsid w:val="00394100"/>
    <w:rsid w:val="00395B4D"/>
    <w:rsid w:val="003A0EE8"/>
    <w:rsid w:val="003A1E03"/>
    <w:rsid w:val="003A4810"/>
    <w:rsid w:val="003A5A1C"/>
    <w:rsid w:val="003A6520"/>
    <w:rsid w:val="003A6810"/>
    <w:rsid w:val="003A6F84"/>
    <w:rsid w:val="003B0D84"/>
    <w:rsid w:val="003B2F59"/>
    <w:rsid w:val="003B3B57"/>
    <w:rsid w:val="003B42DD"/>
    <w:rsid w:val="003B4343"/>
    <w:rsid w:val="003B51B0"/>
    <w:rsid w:val="003B630C"/>
    <w:rsid w:val="003C0519"/>
    <w:rsid w:val="003C0BB6"/>
    <w:rsid w:val="003C2CC4"/>
    <w:rsid w:val="003C3825"/>
    <w:rsid w:val="003C6198"/>
    <w:rsid w:val="003C6A3D"/>
    <w:rsid w:val="003C71E5"/>
    <w:rsid w:val="003C79E4"/>
    <w:rsid w:val="003C7E91"/>
    <w:rsid w:val="003D0654"/>
    <w:rsid w:val="003D1273"/>
    <w:rsid w:val="003D2684"/>
    <w:rsid w:val="003D4B23"/>
    <w:rsid w:val="003D7BE4"/>
    <w:rsid w:val="003E01DB"/>
    <w:rsid w:val="003E0C2A"/>
    <w:rsid w:val="003E5156"/>
    <w:rsid w:val="003E55DA"/>
    <w:rsid w:val="003E76D8"/>
    <w:rsid w:val="003F7C5D"/>
    <w:rsid w:val="0040009F"/>
    <w:rsid w:val="00400CD9"/>
    <w:rsid w:val="0040395A"/>
    <w:rsid w:val="00403E04"/>
    <w:rsid w:val="00404272"/>
    <w:rsid w:val="00405437"/>
    <w:rsid w:val="00405DDC"/>
    <w:rsid w:val="00406D17"/>
    <w:rsid w:val="00410C89"/>
    <w:rsid w:val="004117E0"/>
    <w:rsid w:val="004153C6"/>
    <w:rsid w:val="00415E1C"/>
    <w:rsid w:val="004173CE"/>
    <w:rsid w:val="00421925"/>
    <w:rsid w:val="00422E2B"/>
    <w:rsid w:val="004249FE"/>
    <w:rsid w:val="00425751"/>
    <w:rsid w:val="00425E09"/>
    <w:rsid w:val="0042667E"/>
    <w:rsid w:val="00426ECA"/>
    <w:rsid w:val="004306EB"/>
    <w:rsid w:val="00431DB0"/>
    <w:rsid w:val="004325CB"/>
    <w:rsid w:val="0043457C"/>
    <w:rsid w:val="00435425"/>
    <w:rsid w:val="004369F9"/>
    <w:rsid w:val="00441886"/>
    <w:rsid w:val="0044309B"/>
    <w:rsid w:val="004435A3"/>
    <w:rsid w:val="00443670"/>
    <w:rsid w:val="0045147E"/>
    <w:rsid w:val="00452CAE"/>
    <w:rsid w:val="004543A9"/>
    <w:rsid w:val="0045495B"/>
    <w:rsid w:val="004557A2"/>
    <w:rsid w:val="00456444"/>
    <w:rsid w:val="00464989"/>
    <w:rsid w:val="00464CD7"/>
    <w:rsid w:val="00464D2A"/>
    <w:rsid w:val="00464FD4"/>
    <w:rsid w:val="00464FF9"/>
    <w:rsid w:val="004653F6"/>
    <w:rsid w:val="00465E45"/>
    <w:rsid w:val="0046652D"/>
    <w:rsid w:val="004701DE"/>
    <w:rsid w:val="00470777"/>
    <w:rsid w:val="004708CF"/>
    <w:rsid w:val="0047102A"/>
    <w:rsid w:val="00474555"/>
    <w:rsid w:val="00474CBC"/>
    <w:rsid w:val="00474F26"/>
    <w:rsid w:val="00475ADE"/>
    <w:rsid w:val="00477365"/>
    <w:rsid w:val="00480197"/>
    <w:rsid w:val="00480667"/>
    <w:rsid w:val="00481188"/>
    <w:rsid w:val="00481348"/>
    <w:rsid w:val="00481520"/>
    <w:rsid w:val="004835FC"/>
    <w:rsid w:val="004844B6"/>
    <w:rsid w:val="00484908"/>
    <w:rsid w:val="00485299"/>
    <w:rsid w:val="0048774E"/>
    <w:rsid w:val="00491F3A"/>
    <w:rsid w:val="004934FB"/>
    <w:rsid w:val="004956B1"/>
    <w:rsid w:val="00495867"/>
    <w:rsid w:val="00496301"/>
    <w:rsid w:val="0049667F"/>
    <w:rsid w:val="00496D62"/>
    <w:rsid w:val="004A0A84"/>
    <w:rsid w:val="004A0B80"/>
    <w:rsid w:val="004A2503"/>
    <w:rsid w:val="004A4608"/>
    <w:rsid w:val="004A4D43"/>
    <w:rsid w:val="004A535F"/>
    <w:rsid w:val="004A6C51"/>
    <w:rsid w:val="004A7C3F"/>
    <w:rsid w:val="004B0179"/>
    <w:rsid w:val="004B0EDF"/>
    <w:rsid w:val="004B142C"/>
    <w:rsid w:val="004B1E57"/>
    <w:rsid w:val="004B280A"/>
    <w:rsid w:val="004B3CA2"/>
    <w:rsid w:val="004B5591"/>
    <w:rsid w:val="004B64BA"/>
    <w:rsid w:val="004C02EE"/>
    <w:rsid w:val="004C1E24"/>
    <w:rsid w:val="004C1FDA"/>
    <w:rsid w:val="004C27E3"/>
    <w:rsid w:val="004C3130"/>
    <w:rsid w:val="004C4683"/>
    <w:rsid w:val="004C48E9"/>
    <w:rsid w:val="004C4FA0"/>
    <w:rsid w:val="004C76DF"/>
    <w:rsid w:val="004C7B94"/>
    <w:rsid w:val="004C7FA2"/>
    <w:rsid w:val="004D25E4"/>
    <w:rsid w:val="004D276F"/>
    <w:rsid w:val="004D3249"/>
    <w:rsid w:val="004D476D"/>
    <w:rsid w:val="004D53AA"/>
    <w:rsid w:val="004E4D43"/>
    <w:rsid w:val="004E5945"/>
    <w:rsid w:val="004F0385"/>
    <w:rsid w:val="004F2140"/>
    <w:rsid w:val="004F3E8A"/>
    <w:rsid w:val="004F55E6"/>
    <w:rsid w:val="004F5B33"/>
    <w:rsid w:val="005005F6"/>
    <w:rsid w:val="00503097"/>
    <w:rsid w:val="00504F96"/>
    <w:rsid w:val="0050686C"/>
    <w:rsid w:val="00507151"/>
    <w:rsid w:val="00511FB1"/>
    <w:rsid w:val="00512956"/>
    <w:rsid w:val="0051364D"/>
    <w:rsid w:val="00514EE5"/>
    <w:rsid w:val="005165EF"/>
    <w:rsid w:val="00516618"/>
    <w:rsid w:val="00517B36"/>
    <w:rsid w:val="00522676"/>
    <w:rsid w:val="005255BA"/>
    <w:rsid w:val="005258E0"/>
    <w:rsid w:val="005264EC"/>
    <w:rsid w:val="00526A2D"/>
    <w:rsid w:val="00530553"/>
    <w:rsid w:val="0053137B"/>
    <w:rsid w:val="00532719"/>
    <w:rsid w:val="00532C8D"/>
    <w:rsid w:val="0053378E"/>
    <w:rsid w:val="00533AE4"/>
    <w:rsid w:val="00535A8C"/>
    <w:rsid w:val="00536FCD"/>
    <w:rsid w:val="005415D0"/>
    <w:rsid w:val="005420F2"/>
    <w:rsid w:val="005423F8"/>
    <w:rsid w:val="00542816"/>
    <w:rsid w:val="005436A1"/>
    <w:rsid w:val="00543752"/>
    <w:rsid w:val="00545E67"/>
    <w:rsid w:val="0054716A"/>
    <w:rsid w:val="00550056"/>
    <w:rsid w:val="00553383"/>
    <w:rsid w:val="00554870"/>
    <w:rsid w:val="0055496A"/>
    <w:rsid w:val="00554B90"/>
    <w:rsid w:val="00554CDA"/>
    <w:rsid w:val="0055655E"/>
    <w:rsid w:val="005579FD"/>
    <w:rsid w:val="00557F86"/>
    <w:rsid w:val="005611F0"/>
    <w:rsid w:val="00564A0E"/>
    <w:rsid w:val="00565495"/>
    <w:rsid w:val="00565B67"/>
    <w:rsid w:val="00565FBD"/>
    <w:rsid w:val="005675CF"/>
    <w:rsid w:val="00567AB5"/>
    <w:rsid w:val="00567B95"/>
    <w:rsid w:val="005709AA"/>
    <w:rsid w:val="005718EE"/>
    <w:rsid w:val="00571ED7"/>
    <w:rsid w:val="005758A4"/>
    <w:rsid w:val="00575DAB"/>
    <w:rsid w:val="00575EDF"/>
    <w:rsid w:val="005766F6"/>
    <w:rsid w:val="00576A6B"/>
    <w:rsid w:val="005772B5"/>
    <w:rsid w:val="00577CF4"/>
    <w:rsid w:val="00580898"/>
    <w:rsid w:val="005829B1"/>
    <w:rsid w:val="00587840"/>
    <w:rsid w:val="00587C63"/>
    <w:rsid w:val="005919B6"/>
    <w:rsid w:val="005948B5"/>
    <w:rsid w:val="00594928"/>
    <w:rsid w:val="005953F4"/>
    <w:rsid w:val="005A0050"/>
    <w:rsid w:val="005A337E"/>
    <w:rsid w:val="005A3EA7"/>
    <w:rsid w:val="005A567A"/>
    <w:rsid w:val="005A5926"/>
    <w:rsid w:val="005A5D82"/>
    <w:rsid w:val="005A658F"/>
    <w:rsid w:val="005A65B9"/>
    <w:rsid w:val="005A71BF"/>
    <w:rsid w:val="005A7CDD"/>
    <w:rsid w:val="005B0971"/>
    <w:rsid w:val="005B18E4"/>
    <w:rsid w:val="005B36EA"/>
    <w:rsid w:val="005B3A62"/>
    <w:rsid w:val="005B3B7D"/>
    <w:rsid w:val="005B3DB3"/>
    <w:rsid w:val="005B3DD1"/>
    <w:rsid w:val="005B5E1E"/>
    <w:rsid w:val="005B61CF"/>
    <w:rsid w:val="005B7600"/>
    <w:rsid w:val="005C05D2"/>
    <w:rsid w:val="005C452D"/>
    <w:rsid w:val="005C53C3"/>
    <w:rsid w:val="005C5775"/>
    <w:rsid w:val="005C6A79"/>
    <w:rsid w:val="005C718A"/>
    <w:rsid w:val="005D0007"/>
    <w:rsid w:val="005D23CB"/>
    <w:rsid w:val="005D439D"/>
    <w:rsid w:val="005D7898"/>
    <w:rsid w:val="005E09DA"/>
    <w:rsid w:val="005E14BC"/>
    <w:rsid w:val="005E1532"/>
    <w:rsid w:val="005E1FAC"/>
    <w:rsid w:val="005E6790"/>
    <w:rsid w:val="005F076E"/>
    <w:rsid w:val="005F20E3"/>
    <w:rsid w:val="005F22FC"/>
    <w:rsid w:val="005F5FBB"/>
    <w:rsid w:val="006001EE"/>
    <w:rsid w:val="00600EF6"/>
    <w:rsid w:val="00601ECC"/>
    <w:rsid w:val="00601FCF"/>
    <w:rsid w:val="006043ED"/>
    <w:rsid w:val="00604FAA"/>
    <w:rsid w:val="006054B1"/>
    <w:rsid w:val="00605B42"/>
    <w:rsid w:val="00606061"/>
    <w:rsid w:val="0060691C"/>
    <w:rsid w:val="006101FD"/>
    <w:rsid w:val="00611730"/>
    <w:rsid w:val="00611848"/>
    <w:rsid w:val="00611FC4"/>
    <w:rsid w:val="00612006"/>
    <w:rsid w:val="00613220"/>
    <w:rsid w:val="00613457"/>
    <w:rsid w:val="00616D55"/>
    <w:rsid w:val="006176FB"/>
    <w:rsid w:val="006248BD"/>
    <w:rsid w:val="006250EA"/>
    <w:rsid w:val="006270AB"/>
    <w:rsid w:val="00630035"/>
    <w:rsid w:val="0063012E"/>
    <w:rsid w:val="006307F8"/>
    <w:rsid w:val="00634089"/>
    <w:rsid w:val="006342E6"/>
    <w:rsid w:val="00634560"/>
    <w:rsid w:val="00637AEB"/>
    <w:rsid w:val="00640B26"/>
    <w:rsid w:val="0064177A"/>
    <w:rsid w:val="0064645C"/>
    <w:rsid w:val="00647191"/>
    <w:rsid w:val="006475EC"/>
    <w:rsid w:val="0064767C"/>
    <w:rsid w:val="00650B3C"/>
    <w:rsid w:val="00652A18"/>
    <w:rsid w:val="0065318D"/>
    <w:rsid w:val="00654235"/>
    <w:rsid w:val="00656043"/>
    <w:rsid w:val="00656226"/>
    <w:rsid w:val="0065682D"/>
    <w:rsid w:val="00657271"/>
    <w:rsid w:val="0066051C"/>
    <w:rsid w:val="0066053A"/>
    <w:rsid w:val="00660B6A"/>
    <w:rsid w:val="006627BA"/>
    <w:rsid w:val="006661CA"/>
    <w:rsid w:val="0066686B"/>
    <w:rsid w:val="0066777D"/>
    <w:rsid w:val="00670A43"/>
    <w:rsid w:val="00671A8C"/>
    <w:rsid w:val="0067312A"/>
    <w:rsid w:val="00673C82"/>
    <w:rsid w:val="00681928"/>
    <w:rsid w:val="00681B07"/>
    <w:rsid w:val="006826E8"/>
    <w:rsid w:val="00682BAB"/>
    <w:rsid w:val="00682E95"/>
    <w:rsid w:val="006844E7"/>
    <w:rsid w:val="0068464F"/>
    <w:rsid w:val="00684AD2"/>
    <w:rsid w:val="00687BE5"/>
    <w:rsid w:val="00691DD0"/>
    <w:rsid w:val="006924B7"/>
    <w:rsid w:val="0069330C"/>
    <w:rsid w:val="006945D5"/>
    <w:rsid w:val="00694FCC"/>
    <w:rsid w:val="00696244"/>
    <w:rsid w:val="00696DD1"/>
    <w:rsid w:val="00696E14"/>
    <w:rsid w:val="006A011C"/>
    <w:rsid w:val="006A041A"/>
    <w:rsid w:val="006A0D8C"/>
    <w:rsid w:val="006A12E9"/>
    <w:rsid w:val="006A1969"/>
    <w:rsid w:val="006A1C44"/>
    <w:rsid w:val="006B25BE"/>
    <w:rsid w:val="006B298C"/>
    <w:rsid w:val="006B2A70"/>
    <w:rsid w:val="006B4BDB"/>
    <w:rsid w:val="006B4C49"/>
    <w:rsid w:val="006C1BA7"/>
    <w:rsid w:val="006C1DB4"/>
    <w:rsid w:val="006C28B8"/>
    <w:rsid w:val="006C29E9"/>
    <w:rsid w:val="006C2B75"/>
    <w:rsid w:val="006C4805"/>
    <w:rsid w:val="006C586A"/>
    <w:rsid w:val="006C6D30"/>
    <w:rsid w:val="006C7F0A"/>
    <w:rsid w:val="006D0108"/>
    <w:rsid w:val="006D0D06"/>
    <w:rsid w:val="006D1953"/>
    <w:rsid w:val="006D2C70"/>
    <w:rsid w:val="006D4841"/>
    <w:rsid w:val="006D7780"/>
    <w:rsid w:val="006D788C"/>
    <w:rsid w:val="006E2451"/>
    <w:rsid w:val="006E546E"/>
    <w:rsid w:val="006E564B"/>
    <w:rsid w:val="006E5E66"/>
    <w:rsid w:val="006E6A0D"/>
    <w:rsid w:val="006E731E"/>
    <w:rsid w:val="006F028B"/>
    <w:rsid w:val="006F2F6E"/>
    <w:rsid w:val="006F3A75"/>
    <w:rsid w:val="006F58CD"/>
    <w:rsid w:val="006F7A04"/>
    <w:rsid w:val="006F7C9F"/>
    <w:rsid w:val="00700481"/>
    <w:rsid w:val="00701290"/>
    <w:rsid w:val="00702C51"/>
    <w:rsid w:val="00703690"/>
    <w:rsid w:val="007043FF"/>
    <w:rsid w:val="0070488C"/>
    <w:rsid w:val="00705803"/>
    <w:rsid w:val="00705B63"/>
    <w:rsid w:val="007061BE"/>
    <w:rsid w:val="00707315"/>
    <w:rsid w:val="00707F13"/>
    <w:rsid w:val="00711513"/>
    <w:rsid w:val="00712501"/>
    <w:rsid w:val="00713621"/>
    <w:rsid w:val="007158A3"/>
    <w:rsid w:val="007174CA"/>
    <w:rsid w:val="007206A4"/>
    <w:rsid w:val="007216DD"/>
    <w:rsid w:val="00724131"/>
    <w:rsid w:val="00724373"/>
    <w:rsid w:val="007253F8"/>
    <w:rsid w:val="0072560E"/>
    <w:rsid w:val="00725B01"/>
    <w:rsid w:val="0072632A"/>
    <w:rsid w:val="00726DAE"/>
    <w:rsid w:val="0072776E"/>
    <w:rsid w:val="00727D77"/>
    <w:rsid w:val="00730E4E"/>
    <w:rsid w:val="00732013"/>
    <w:rsid w:val="00733099"/>
    <w:rsid w:val="00737EC0"/>
    <w:rsid w:val="00740A72"/>
    <w:rsid w:val="00741BCD"/>
    <w:rsid w:val="00742E8A"/>
    <w:rsid w:val="00743747"/>
    <w:rsid w:val="00743825"/>
    <w:rsid w:val="00747A0C"/>
    <w:rsid w:val="007537D4"/>
    <w:rsid w:val="0075472C"/>
    <w:rsid w:val="00754B87"/>
    <w:rsid w:val="007573B0"/>
    <w:rsid w:val="00762229"/>
    <w:rsid w:val="007636E9"/>
    <w:rsid w:val="00763DE0"/>
    <w:rsid w:val="00765E69"/>
    <w:rsid w:val="00766B54"/>
    <w:rsid w:val="00770587"/>
    <w:rsid w:val="00773A76"/>
    <w:rsid w:val="00773E5A"/>
    <w:rsid w:val="00774CF6"/>
    <w:rsid w:val="00777234"/>
    <w:rsid w:val="007805F4"/>
    <w:rsid w:val="00780BA1"/>
    <w:rsid w:val="0078295A"/>
    <w:rsid w:val="00783023"/>
    <w:rsid w:val="00785377"/>
    <w:rsid w:val="007861C7"/>
    <w:rsid w:val="0079047A"/>
    <w:rsid w:val="0079091F"/>
    <w:rsid w:val="0079393D"/>
    <w:rsid w:val="0079412F"/>
    <w:rsid w:val="00795F3C"/>
    <w:rsid w:val="00797398"/>
    <w:rsid w:val="00797CAE"/>
    <w:rsid w:val="007A154A"/>
    <w:rsid w:val="007A1F5F"/>
    <w:rsid w:val="007A2D4B"/>
    <w:rsid w:val="007A3007"/>
    <w:rsid w:val="007A5CE9"/>
    <w:rsid w:val="007B112D"/>
    <w:rsid w:val="007B554F"/>
    <w:rsid w:val="007B5ED4"/>
    <w:rsid w:val="007B69EB"/>
    <w:rsid w:val="007B6BA5"/>
    <w:rsid w:val="007B6DDE"/>
    <w:rsid w:val="007B6F00"/>
    <w:rsid w:val="007C2565"/>
    <w:rsid w:val="007C3390"/>
    <w:rsid w:val="007C4AF2"/>
    <w:rsid w:val="007C4F4B"/>
    <w:rsid w:val="007C4FEA"/>
    <w:rsid w:val="007C7E81"/>
    <w:rsid w:val="007D1687"/>
    <w:rsid w:val="007D1C0A"/>
    <w:rsid w:val="007D67B7"/>
    <w:rsid w:val="007E0486"/>
    <w:rsid w:val="007E3497"/>
    <w:rsid w:val="007E405C"/>
    <w:rsid w:val="007E61A6"/>
    <w:rsid w:val="007E6332"/>
    <w:rsid w:val="007E7010"/>
    <w:rsid w:val="007E7154"/>
    <w:rsid w:val="007E7158"/>
    <w:rsid w:val="007E754D"/>
    <w:rsid w:val="007E759F"/>
    <w:rsid w:val="007F163F"/>
    <w:rsid w:val="007F1BC9"/>
    <w:rsid w:val="007F5C28"/>
    <w:rsid w:val="007F6462"/>
    <w:rsid w:val="007F6611"/>
    <w:rsid w:val="007F678F"/>
    <w:rsid w:val="007F6E2C"/>
    <w:rsid w:val="007F74E1"/>
    <w:rsid w:val="008050C9"/>
    <w:rsid w:val="008055A1"/>
    <w:rsid w:val="008111EF"/>
    <w:rsid w:val="008117BF"/>
    <w:rsid w:val="00814A50"/>
    <w:rsid w:val="00814F69"/>
    <w:rsid w:val="0081606E"/>
    <w:rsid w:val="008209D8"/>
    <w:rsid w:val="00821832"/>
    <w:rsid w:val="0082216D"/>
    <w:rsid w:val="0082240E"/>
    <w:rsid w:val="008242D7"/>
    <w:rsid w:val="00824ED4"/>
    <w:rsid w:val="00832BC2"/>
    <w:rsid w:val="00832D01"/>
    <w:rsid w:val="00840D4C"/>
    <w:rsid w:val="00842BED"/>
    <w:rsid w:val="0084367F"/>
    <w:rsid w:val="008450F8"/>
    <w:rsid w:val="008479B2"/>
    <w:rsid w:val="00850873"/>
    <w:rsid w:val="0085288D"/>
    <w:rsid w:val="0085480D"/>
    <w:rsid w:val="008551EC"/>
    <w:rsid w:val="0085694F"/>
    <w:rsid w:val="00856CE2"/>
    <w:rsid w:val="00857AC8"/>
    <w:rsid w:val="008606CE"/>
    <w:rsid w:val="00862FDF"/>
    <w:rsid w:val="00866A4C"/>
    <w:rsid w:val="00866E29"/>
    <w:rsid w:val="0087137D"/>
    <w:rsid w:val="0087308B"/>
    <w:rsid w:val="00874448"/>
    <w:rsid w:val="0088083F"/>
    <w:rsid w:val="0088084B"/>
    <w:rsid w:val="008872CE"/>
    <w:rsid w:val="008879AF"/>
    <w:rsid w:val="0089081B"/>
    <w:rsid w:val="00890DB3"/>
    <w:rsid w:val="00890EA1"/>
    <w:rsid w:val="0089187E"/>
    <w:rsid w:val="00896966"/>
    <w:rsid w:val="00896FE0"/>
    <w:rsid w:val="00897749"/>
    <w:rsid w:val="008979B1"/>
    <w:rsid w:val="008A02DE"/>
    <w:rsid w:val="008A0F1C"/>
    <w:rsid w:val="008A1202"/>
    <w:rsid w:val="008A211E"/>
    <w:rsid w:val="008A22D7"/>
    <w:rsid w:val="008A464D"/>
    <w:rsid w:val="008A493B"/>
    <w:rsid w:val="008A58AA"/>
    <w:rsid w:val="008A610A"/>
    <w:rsid w:val="008A6B25"/>
    <w:rsid w:val="008A6C4F"/>
    <w:rsid w:val="008A6FB2"/>
    <w:rsid w:val="008A7180"/>
    <w:rsid w:val="008A726E"/>
    <w:rsid w:val="008B1755"/>
    <w:rsid w:val="008B1C77"/>
    <w:rsid w:val="008B2335"/>
    <w:rsid w:val="008B64A0"/>
    <w:rsid w:val="008B6B86"/>
    <w:rsid w:val="008C002C"/>
    <w:rsid w:val="008C0AD2"/>
    <w:rsid w:val="008C1D0D"/>
    <w:rsid w:val="008C23B8"/>
    <w:rsid w:val="008C334F"/>
    <w:rsid w:val="008C3D59"/>
    <w:rsid w:val="008C4CFF"/>
    <w:rsid w:val="008C513C"/>
    <w:rsid w:val="008C621C"/>
    <w:rsid w:val="008D08D1"/>
    <w:rsid w:val="008D1DB6"/>
    <w:rsid w:val="008D31F9"/>
    <w:rsid w:val="008D45AD"/>
    <w:rsid w:val="008E1BE3"/>
    <w:rsid w:val="008E2AF9"/>
    <w:rsid w:val="008E3A86"/>
    <w:rsid w:val="008E5FD3"/>
    <w:rsid w:val="008E76FD"/>
    <w:rsid w:val="008E799B"/>
    <w:rsid w:val="008F02C3"/>
    <w:rsid w:val="008F0EA2"/>
    <w:rsid w:val="008F0FEA"/>
    <w:rsid w:val="008F1397"/>
    <w:rsid w:val="008F147B"/>
    <w:rsid w:val="008F6BFE"/>
    <w:rsid w:val="008F6DEC"/>
    <w:rsid w:val="009138B7"/>
    <w:rsid w:val="00914298"/>
    <w:rsid w:val="00914C7A"/>
    <w:rsid w:val="00915744"/>
    <w:rsid w:val="0091640C"/>
    <w:rsid w:val="00916CE9"/>
    <w:rsid w:val="00921040"/>
    <w:rsid w:val="009216F2"/>
    <w:rsid w:val="009223CA"/>
    <w:rsid w:val="00923CCF"/>
    <w:rsid w:val="00924401"/>
    <w:rsid w:val="00924BBF"/>
    <w:rsid w:val="00924F69"/>
    <w:rsid w:val="00925310"/>
    <w:rsid w:val="009253F5"/>
    <w:rsid w:val="00925A06"/>
    <w:rsid w:val="00927A3F"/>
    <w:rsid w:val="00927A4F"/>
    <w:rsid w:val="00930DB7"/>
    <w:rsid w:val="00931210"/>
    <w:rsid w:val="00931831"/>
    <w:rsid w:val="00932D60"/>
    <w:rsid w:val="00932D9E"/>
    <w:rsid w:val="009336C0"/>
    <w:rsid w:val="00934DE3"/>
    <w:rsid w:val="009369F6"/>
    <w:rsid w:val="009371F1"/>
    <w:rsid w:val="0093757D"/>
    <w:rsid w:val="00937986"/>
    <w:rsid w:val="00940F93"/>
    <w:rsid w:val="00940FBA"/>
    <w:rsid w:val="00942AAD"/>
    <w:rsid w:val="009430F0"/>
    <w:rsid w:val="00943AE3"/>
    <w:rsid w:val="0094628A"/>
    <w:rsid w:val="00947052"/>
    <w:rsid w:val="00947B71"/>
    <w:rsid w:val="0095027A"/>
    <w:rsid w:val="009513AC"/>
    <w:rsid w:val="0095167C"/>
    <w:rsid w:val="00952289"/>
    <w:rsid w:val="009528ED"/>
    <w:rsid w:val="0095311F"/>
    <w:rsid w:val="00953E2F"/>
    <w:rsid w:val="00954E17"/>
    <w:rsid w:val="00954F80"/>
    <w:rsid w:val="00955368"/>
    <w:rsid w:val="00955435"/>
    <w:rsid w:val="0095782A"/>
    <w:rsid w:val="009603EF"/>
    <w:rsid w:val="00961F9E"/>
    <w:rsid w:val="00962D10"/>
    <w:rsid w:val="00963812"/>
    <w:rsid w:val="009655A8"/>
    <w:rsid w:val="009663D1"/>
    <w:rsid w:val="009668CF"/>
    <w:rsid w:val="0097034D"/>
    <w:rsid w:val="009703E7"/>
    <w:rsid w:val="009709F3"/>
    <w:rsid w:val="00970EC3"/>
    <w:rsid w:val="00972AE6"/>
    <w:rsid w:val="0097367B"/>
    <w:rsid w:val="00973942"/>
    <w:rsid w:val="00974848"/>
    <w:rsid w:val="00975ADF"/>
    <w:rsid w:val="009868FD"/>
    <w:rsid w:val="0099145A"/>
    <w:rsid w:val="00992F06"/>
    <w:rsid w:val="009972CF"/>
    <w:rsid w:val="00997A7C"/>
    <w:rsid w:val="009A0DEB"/>
    <w:rsid w:val="009A19C3"/>
    <w:rsid w:val="009A3671"/>
    <w:rsid w:val="009A4F60"/>
    <w:rsid w:val="009A6161"/>
    <w:rsid w:val="009A6589"/>
    <w:rsid w:val="009A6EE7"/>
    <w:rsid w:val="009A7420"/>
    <w:rsid w:val="009A75C0"/>
    <w:rsid w:val="009B24A3"/>
    <w:rsid w:val="009B2B87"/>
    <w:rsid w:val="009B4A1B"/>
    <w:rsid w:val="009B5FEA"/>
    <w:rsid w:val="009B6F24"/>
    <w:rsid w:val="009B7072"/>
    <w:rsid w:val="009B7C81"/>
    <w:rsid w:val="009C006E"/>
    <w:rsid w:val="009C0EE8"/>
    <w:rsid w:val="009C14AA"/>
    <w:rsid w:val="009C1E2F"/>
    <w:rsid w:val="009C2EAC"/>
    <w:rsid w:val="009C4F99"/>
    <w:rsid w:val="009C5CCE"/>
    <w:rsid w:val="009C78C0"/>
    <w:rsid w:val="009D7DC1"/>
    <w:rsid w:val="009E274A"/>
    <w:rsid w:val="009E4A40"/>
    <w:rsid w:val="009E4D0A"/>
    <w:rsid w:val="009E63FC"/>
    <w:rsid w:val="009F0156"/>
    <w:rsid w:val="009F0AF0"/>
    <w:rsid w:val="009F0D70"/>
    <w:rsid w:val="009F67EB"/>
    <w:rsid w:val="009F6F77"/>
    <w:rsid w:val="00A01489"/>
    <w:rsid w:val="00A02176"/>
    <w:rsid w:val="00A02A59"/>
    <w:rsid w:val="00A03B4E"/>
    <w:rsid w:val="00A03F54"/>
    <w:rsid w:val="00A052E2"/>
    <w:rsid w:val="00A06A19"/>
    <w:rsid w:val="00A105D5"/>
    <w:rsid w:val="00A10EBF"/>
    <w:rsid w:val="00A135F4"/>
    <w:rsid w:val="00A13F7E"/>
    <w:rsid w:val="00A1603D"/>
    <w:rsid w:val="00A16611"/>
    <w:rsid w:val="00A17406"/>
    <w:rsid w:val="00A22D0E"/>
    <w:rsid w:val="00A23634"/>
    <w:rsid w:val="00A24E9A"/>
    <w:rsid w:val="00A25FA3"/>
    <w:rsid w:val="00A26ECE"/>
    <w:rsid w:val="00A32944"/>
    <w:rsid w:val="00A34A64"/>
    <w:rsid w:val="00A34BD3"/>
    <w:rsid w:val="00A3550F"/>
    <w:rsid w:val="00A36945"/>
    <w:rsid w:val="00A36C9B"/>
    <w:rsid w:val="00A37370"/>
    <w:rsid w:val="00A4238F"/>
    <w:rsid w:val="00A43A26"/>
    <w:rsid w:val="00A447AF"/>
    <w:rsid w:val="00A44D29"/>
    <w:rsid w:val="00A45FF5"/>
    <w:rsid w:val="00A46FF5"/>
    <w:rsid w:val="00A472A3"/>
    <w:rsid w:val="00A50A60"/>
    <w:rsid w:val="00A5116B"/>
    <w:rsid w:val="00A51E9A"/>
    <w:rsid w:val="00A52C04"/>
    <w:rsid w:val="00A53205"/>
    <w:rsid w:val="00A542BD"/>
    <w:rsid w:val="00A54C86"/>
    <w:rsid w:val="00A5708F"/>
    <w:rsid w:val="00A573E6"/>
    <w:rsid w:val="00A57893"/>
    <w:rsid w:val="00A57E3A"/>
    <w:rsid w:val="00A61CCD"/>
    <w:rsid w:val="00A627C8"/>
    <w:rsid w:val="00A6309C"/>
    <w:rsid w:val="00A72365"/>
    <w:rsid w:val="00A72819"/>
    <w:rsid w:val="00A728E3"/>
    <w:rsid w:val="00A72EC0"/>
    <w:rsid w:val="00A72F22"/>
    <w:rsid w:val="00A73407"/>
    <w:rsid w:val="00A748A6"/>
    <w:rsid w:val="00A75DC2"/>
    <w:rsid w:val="00A776B4"/>
    <w:rsid w:val="00A80399"/>
    <w:rsid w:val="00A811B5"/>
    <w:rsid w:val="00A83CE8"/>
    <w:rsid w:val="00A848C3"/>
    <w:rsid w:val="00A85531"/>
    <w:rsid w:val="00A871BF"/>
    <w:rsid w:val="00A87B7F"/>
    <w:rsid w:val="00A87CB5"/>
    <w:rsid w:val="00A9030E"/>
    <w:rsid w:val="00A909E9"/>
    <w:rsid w:val="00A927D4"/>
    <w:rsid w:val="00A929E0"/>
    <w:rsid w:val="00A92EFB"/>
    <w:rsid w:val="00A93152"/>
    <w:rsid w:val="00A94361"/>
    <w:rsid w:val="00AA3CC6"/>
    <w:rsid w:val="00AA743E"/>
    <w:rsid w:val="00AB09F8"/>
    <w:rsid w:val="00AB0E03"/>
    <w:rsid w:val="00AB0E4D"/>
    <w:rsid w:val="00AB19CD"/>
    <w:rsid w:val="00AB490E"/>
    <w:rsid w:val="00AB4D52"/>
    <w:rsid w:val="00AB6B70"/>
    <w:rsid w:val="00AB7691"/>
    <w:rsid w:val="00AB7E71"/>
    <w:rsid w:val="00AC0FFC"/>
    <w:rsid w:val="00AC1552"/>
    <w:rsid w:val="00AC3613"/>
    <w:rsid w:val="00AC408A"/>
    <w:rsid w:val="00AC410A"/>
    <w:rsid w:val="00AC45FD"/>
    <w:rsid w:val="00AD0163"/>
    <w:rsid w:val="00AD0687"/>
    <w:rsid w:val="00AD19A6"/>
    <w:rsid w:val="00AD2682"/>
    <w:rsid w:val="00AD2DE2"/>
    <w:rsid w:val="00AD354F"/>
    <w:rsid w:val="00AD3E06"/>
    <w:rsid w:val="00AD47A9"/>
    <w:rsid w:val="00AD52A2"/>
    <w:rsid w:val="00AD71D7"/>
    <w:rsid w:val="00AD7798"/>
    <w:rsid w:val="00AE03D4"/>
    <w:rsid w:val="00AE06D0"/>
    <w:rsid w:val="00AE0AFF"/>
    <w:rsid w:val="00AE103E"/>
    <w:rsid w:val="00AE11F7"/>
    <w:rsid w:val="00AE3CB3"/>
    <w:rsid w:val="00AE3ED8"/>
    <w:rsid w:val="00AE49DA"/>
    <w:rsid w:val="00AE706C"/>
    <w:rsid w:val="00AF38B8"/>
    <w:rsid w:val="00AF49E0"/>
    <w:rsid w:val="00AF5FFD"/>
    <w:rsid w:val="00AF606E"/>
    <w:rsid w:val="00B0114B"/>
    <w:rsid w:val="00B031A1"/>
    <w:rsid w:val="00B0326D"/>
    <w:rsid w:val="00B03583"/>
    <w:rsid w:val="00B04945"/>
    <w:rsid w:val="00B0499C"/>
    <w:rsid w:val="00B05106"/>
    <w:rsid w:val="00B05B45"/>
    <w:rsid w:val="00B06775"/>
    <w:rsid w:val="00B10E78"/>
    <w:rsid w:val="00B11EE1"/>
    <w:rsid w:val="00B12374"/>
    <w:rsid w:val="00B152B9"/>
    <w:rsid w:val="00B156CE"/>
    <w:rsid w:val="00B22500"/>
    <w:rsid w:val="00B240B4"/>
    <w:rsid w:val="00B2488D"/>
    <w:rsid w:val="00B25BC3"/>
    <w:rsid w:val="00B25DB9"/>
    <w:rsid w:val="00B2798B"/>
    <w:rsid w:val="00B30179"/>
    <w:rsid w:val="00B32B6B"/>
    <w:rsid w:val="00B32D37"/>
    <w:rsid w:val="00B332FC"/>
    <w:rsid w:val="00B33648"/>
    <w:rsid w:val="00B341B3"/>
    <w:rsid w:val="00B34843"/>
    <w:rsid w:val="00B34E1E"/>
    <w:rsid w:val="00B40A32"/>
    <w:rsid w:val="00B42AB1"/>
    <w:rsid w:val="00B4300E"/>
    <w:rsid w:val="00B4340A"/>
    <w:rsid w:val="00B461B6"/>
    <w:rsid w:val="00B47469"/>
    <w:rsid w:val="00B50217"/>
    <w:rsid w:val="00B51711"/>
    <w:rsid w:val="00B524E7"/>
    <w:rsid w:val="00B54414"/>
    <w:rsid w:val="00B56A51"/>
    <w:rsid w:val="00B56B98"/>
    <w:rsid w:val="00B56E9C"/>
    <w:rsid w:val="00B64652"/>
    <w:rsid w:val="00B6467C"/>
    <w:rsid w:val="00B646AE"/>
    <w:rsid w:val="00B64B1F"/>
    <w:rsid w:val="00B6553F"/>
    <w:rsid w:val="00B6697B"/>
    <w:rsid w:val="00B66EF5"/>
    <w:rsid w:val="00B725D1"/>
    <w:rsid w:val="00B74F27"/>
    <w:rsid w:val="00B75843"/>
    <w:rsid w:val="00B7660E"/>
    <w:rsid w:val="00B81E12"/>
    <w:rsid w:val="00B824D1"/>
    <w:rsid w:val="00B82B35"/>
    <w:rsid w:val="00B834AF"/>
    <w:rsid w:val="00B8427C"/>
    <w:rsid w:val="00B843E4"/>
    <w:rsid w:val="00B84D9E"/>
    <w:rsid w:val="00B86BB2"/>
    <w:rsid w:val="00B87181"/>
    <w:rsid w:val="00B8726A"/>
    <w:rsid w:val="00B922C7"/>
    <w:rsid w:val="00B92806"/>
    <w:rsid w:val="00B94259"/>
    <w:rsid w:val="00B95497"/>
    <w:rsid w:val="00B96E36"/>
    <w:rsid w:val="00B973FA"/>
    <w:rsid w:val="00B976B7"/>
    <w:rsid w:val="00BA02C9"/>
    <w:rsid w:val="00BB020D"/>
    <w:rsid w:val="00BB1239"/>
    <w:rsid w:val="00BB24EA"/>
    <w:rsid w:val="00BB2C9D"/>
    <w:rsid w:val="00BB3517"/>
    <w:rsid w:val="00BB5BD1"/>
    <w:rsid w:val="00BC29A7"/>
    <w:rsid w:val="00BC5D91"/>
    <w:rsid w:val="00BC6A65"/>
    <w:rsid w:val="00BC74E9"/>
    <w:rsid w:val="00BD2713"/>
    <w:rsid w:val="00BD3C52"/>
    <w:rsid w:val="00BD4223"/>
    <w:rsid w:val="00BD43E3"/>
    <w:rsid w:val="00BD44A4"/>
    <w:rsid w:val="00BD55E3"/>
    <w:rsid w:val="00BD6E1A"/>
    <w:rsid w:val="00BE086F"/>
    <w:rsid w:val="00BE1C06"/>
    <w:rsid w:val="00BE23CA"/>
    <w:rsid w:val="00BE3DAA"/>
    <w:rsid w:val="00BE3DD2"/>
    <w:rsid w:val="00BE3E03"/>
    <w:rsid w:val="00BE63B1"/>
    <w:rsid w:val="00BE709C"/>
    <w:rsid w:val="00BE7CCE"/>
    <w:rsid w:val="00BF04B9"/>
    <w:rsid w:val="00BF0626"/>
    <w:rsid w:val="00BF09BA"/>
    <w:rsid w:val="00BF2586"/>
    <w:rsid w:val="00BF50EF"/>
    <w:rsid w:val="00BF5F6A"/>
    <w:rsid w:val="00BF68A8"/>
    <w:rsid w:val="00BF775D"/>
    <w:rsid w:val="00BF7806"/>
    <w:rsid w:val="00C015E8"/>
    <w:rsid w:val="00C028F5"/>
    <w:rsid w:val="00C02C0E"/>
    <w:rsid w:val="00C07275"/>
    <w:rsid w:val="00C072ED"/>
    <w:rsid w:val="00C1019C"/>
    <w:rsid w:val="00C1409F"/>
    <w:rsid w:val="00C14B6F"/>
    <w:rsid w:val="00C1657E"/>
    <w:rsid w:val="00C1770B"/>
    <w:rsid w:val="00C17D9F"/>
    <w:rsid w:val="00C21F4D"/>
    <w:rsid w:val="00C2265A"/>
    <w:rsid w:val="00C2286C"/>
    <w:rsid w:val="00C22D92"/>
    <w:rsid w:val="00C22EC9"/>
    <w:rsid w:val="00C234E4"/>
    <w:rsid w:val="00C26B9F"/>
    <w:rsid w:val="00C319E7"/>
    <w:rsid w:val="00C3206E"/>
    <w:rsid w:val="00C36550"/>
    <w:rsid w:val="00C36AAE"/>
    <w:rsid w:val="00C373ED"/>
    <w:rsid w:val="00C37ED8"/>
    <w:rsid w:val="00C37EE5"/>
    <w:rsid w:val="00C45A84"/>
    <w:rsid w:val="00C461DD"/>
    <w:rsid w:val="00C463DD"/>
    <w:rsid w:val="00C46862"/>
    <w:rsid w:val="00C4724C"/>
    <w:rsid w:val="00C475AB"/>
    <w:rsid w:val="00C52396"/>
    <w:rsid w:val="00C53A77"/>
    <w:rsid w:val="00C57A16"/>
    <w:rsid w:val="00C604A9"/>
    <w:rsid w:val="00C60E0E"/>
    <w:rsid w:val="00C615E5"/>
    <w:rsid w:val="00C61EB6"/>
    <w:rsid w:val="00C62520"/>
    <w:rsid w:val="00C629A0"/>
    <w:rsid w:val="00C62ABA"/>
    <w:rsid w:val="00C62EA3"/>
    <w:rsid w:val="00C637F4"/>
    <w:rsid w:val="00C63C2B"/>
    <w:rsid w:val="00C66CCB"/>
    <w:rsid w:val="00C67625"/>
    <w:rsid w:val="00C721F1"/>
    <w:rsid w:val="00C72BEB"/>
    <w:rsid w:val="00C745C3"/>
    <w:rsid w:val="00C75FB9"/>
    <w:rsid w:val="00C76648"/>
    <w:rsid w:val="00C77CF2"/>
    <w:rsid w:val="00C802E1"/>
    <w:rsid w:val="00C81034"/>
    <w:rsid w:val="00C829F2"/>
    <w:rsid w:val="00C84019"/>
    <w:rsid w:val="00C847D6"/>
    <w:rsid w:val="00C84D94"/>
    <w:rsid w:val="00C86A5C"/>
    <w:rsid w:val="00C86B33"/>
    <w:rsid w:val="00C86DBF"/>
    <w:rsid w:val="00C9035B"/>
    <w:rsid w:val="00C90989"/>
    <w:rsid w:val="00C90B74"/>
    <w:rsid w:val="00C90F16"/>
    <w:rsid w:val="00C93C55"/>
    <w:rsid w:val="00C94FD9"/>
    <w:rsid w:val="00C977CF"/>
    <w:rsid w:val="00CA075F"/>
    <w:rsid w:val="00CA2A67"/>
    <w:rsid w:val="00CA30AD"/>
    <w:rsid w:val="00CA3DDF"/>
    <w:rsid w:val="00CA56EA"/>
    <w:rsid w:val="00CA56EF"/>
    <w:rsid w:val="00CA5AAA"/>
    <w:rsid w:val="00CA64FC"/>
    <w:rsid w:val="00CA717B"/>
    <w:rsid w:val="00CB0445"/>
    <w:rsid w:val="00CB0AAF"/>
    <w:rsid w:val="00CB3F85"/>
    <w:rsid w:val="00CB6632"/>
    <w:rsid w:val="00CB6686"/>
    <w:rsid w:val="00CC00AC"/>
    <w:rsid w:val="00CC0F97"/>
    <w:rsid w:val="00CC1898"/>
    <w:rsid w:val="00CC24D2"/>
    <w:rsid w:val="00CC2C71"/>
    <w:rsid w:val="00CC5F39"/>
    <w:rsid w:val="00CD0409"/>
    <w:rsid w:val="00CD0747"/>
    <w:rsid w:val="00CD0F87"/>
    <w:rsid w:val="00CD1BEC"/>
    <w:rsid w:val="00CD3EF5"/>
    <w:rsid w:val="00CD4080"/>
    <w:rsid w:val="00CD4EAC"/>
    <w:rsid w:val="00CD7B14"/>
    <w:rsid w:val="00CD7CB0"/>
    <w:rsid w:val="00CE18F4"/>
    <w:rsid w:val="00CE4A8F"/>
    <w:rsid w:val="00CE71BC"/>
    <w:rsid w:val="00CE7307"/>
    <w:rsid w:val="00CE79B0"/>
    <w:rsid w:val="00CF1436"/>
    <w:rsid w:val="00CF19EC"/>
    <w:rsid w:val="00CF3A57"/>
    <w:rsid w:val="00CF41EC"/>
    <w:rsid w:val="00CF736C"/>
    <w:rsid w:val="00D01DB9"/>
    <w:rsid w:val="00D03722"/>
    <w:rsid w:val="00D0389E"/>
    <w:rsid w:val="00D04105"/>
    <w:rsid w:val="00D06E87"/>
    <w:rsid w:val="00D070A3"/>
    <w:rsid w:val="00D07690"/>
    <w:rsid w:val="00D1058A"/>
    <w:rsid w:val="00D106ED"/>
    <w:rsid w:val="00D10BAF"/>
    <w:rsid w:val="00D10E79"/>
    <w:rsid w:val="00D12DAD"/>
    <w:rsid w:val="00D13711"/>
    <w:rsid w:val="00D13AD1"/>
    <w:rsid w:val="00D163A9"/>
    <w:rsid w:val="00D16B8B"/>
    <w:rsid w:val="00D2031B"/>
    <w:rsid w:val="00D20619"/>
    <w:rsid w:val="00D218CB"/>
    <w:rsid w:val="00D218EA"/>
    <w:rsid w:val="00D22045"/>
    <w:rsid w:val="00D23B01"/>
    <w:rsid w:val="00D25FE2"/>
    <w:rsid w:val="00D267BD"/>
    <w:rsid w:val="00D2755E"/>
    <w:rsid w:val="00D30191"/>
    <w:rsid w:val="00D32D0A"/>
    <w:rsid w:val="00D33B13"/>
    <w:rsid w:val="00D36B02"/>
    <w:rsid w:val="00D36DFA"/>
    <w:rsid w:val="00D40B9F"/>
    <w:rsid w:val="00D4149A"/>
    <w:rsid w:val="00D43252"/>
    <w:rsid w:val="00D45180"/>
    <w:rsid w:val="00D4592F"/>
    <w:rsid w:val="00D45DDF"/>
    <w:rsid w:val="00D4607C"/>
    <w:rsid w:val="00D465D6"/>
    <w:rsid w:val="00D47442"/>
    <w:rsid w:val="00D504CD"/>
    <w:rsid w:val="00D50AB6"/>
    <w:rsid w:val="00D51E7F"/>
    <w:rsid w:val="00D51F48"/>
    <w:rsid w:val="00D531A8"/>
    <w:rsid w:val="00D54929"/>
    <w:rsid w:val="00D55B98"/>
    <w:rsid w:val="00D56B9B"/>
    <w:rsid w:val="00D606A0"/>
    <w:rsid w:val="00D606F8"/>
    <w:rsid w:val="00D63FF5"/>
    <w:rsid w:val="00D64AF3"/>
    <w:rsid w:val="00D672DD"/>
    <w:rsid w:val="00D7106B"/>
    <w:rsid w:val="00D733D5"/>
    <w:rsid w:val="00D73E53"/>
    <w:rsid w:val="00D755BC"/>
    <w:rsid w:val="00D768ED"/>
    <w:rsid w:val="00D76945"/>
    <w:rsid w:val="00D76E49"/>
    <w:rsid w:val="00D7767E"/>
    <w:rsid w:val="00D80097"/>
    <w:rsid w:val="00D80922"/>
    <w:rsid w:val="00D80EAD"/>
    <w:rsid w:val="00D8162D"/>
    <w:rsid w:val="00D81A7A"/>
    <w:rsid w:val="00D82026"/>
    <w:rsid w:val="00D82720"/>
    <w:rsid w:val="00D82AA4"/>
    <w:rsid w:val="00D82FF0"/>
    <w:rsid w:val="00D8458C"/>
    <w:rsid w:val="00D855E7"/>
    <w:rsid w:val="00D90B9C"/>
    <w:rsid w:val="00D91D51"/>
    <w:rsid w:val="00D92C70"/>
    <w:rsid w:val="00D938DF"/>
    <w:rsid w:val="00D978C6"/>
    <w:rsid w:val="00DA07CD"/>
    <w:rsid w:val="00DA11C8"/>
    <w:rsid w:val="00DA3C1C"/>
    <w:rsid w:val="00DA43BF"/>
    <w:rsid w:val="00DA47D3"/>
    <w:rsid w:val="00DA5771"/>
    <w:rsid w:val="00DA6C1A"/>
    <w:rsid w:val="00DA79DF"/>
    <w:rsid w:val="00DA7C37"/>
    <w:rsid w:val="00DB230F"/>
    <w:rsid w:val="00DB2F26"/>
    <w:rsid w:val="00DB4BD4"/>
    <w:rsid w:val="00DB5802"/>
    <w:rsid w:val="00DB699D"/>
    <w:rsid w:val="00DB70CC"/>
    <w:rsid w:val="00DC0D8F"/>
    <w:rsid w:val="00DC1E2C"/>
    <w:rsid w:val="00DC42BE"/>
    <w:rsid w:val="00DC4FAA"/>
    <w:rsid w:val="00DC6795"/>
    <w:rsid w:val="00DC683F"/>
    <w:rsid w:val="00DC7C1F"/>
    <w:rsid w:val="00DD1A91"/>
    <w:rsid w:val="00DD2DF2"/>
    <w:rsid w:val="00DD3C3E"/>
    <w:rsid w:val="00DD4AC0"/>
    <w:rsid w:val="00DD50E8"/>
    <w:rsid w:val="00DD7A11"/>
    <w:rsid w:val="00DE0130"/>
    <w:rsid w:val="00DE246B"/>
    <w:rsid w:val="00DE2770"/>
    <w:rsid w:val="00DE2E1F"/>
    <w:rsid w:val="00DE30DB"/>
    <w:rsid w:val="00DE31C5"/>
    <w:rsid w:val="00DE32BC"/>
    <w:rsid w:val="00DE653E"/>
    <w:rsid w:val="00DF1DB0"/>
    <w:rsid w:val="00DF233E"/>
    <w:rsid w:val="00DF565F"/>
    <w:rsid w:val="00DF695D"/>
    <w:rsid w:val="00DF7282"/>
    <w:rsid w:val="00DF72A7"/>
    <w:rsid w:val="00E00501"/>
    <w:rsid w:val="00E02323"/>
    <w:rsid w:val="00E0317B"/>
    <w:rsid w:val="00E052AB"/>
    <w:rsid w:val="00E109FB"/>
    <w:rsid w:val="00E12AF5"/>
    <w:rsid w:val="00E20A21"/>
    <w:rsid w:val="00E20A6E"/>
    <w:rsid w:val="00E20C4A"/>
    <w:rsid w:val="00E20C5E"/>
    <w:rsid w:val="00E20E40"/>
    <w:rsid w:val="00E228BD"/>
    <w:rsid w:val="00E23741"/>
    <w:rsid w:val="00E23BA1"/>
    <w:rsid w:val="00E267A3"/>
    <w:rsid w:val="00E27052"/>
    <w:rsid w:val="00E30B0A"/>
    <w:rsid w:val="00E30E3C"/>
    <w:rsid w:val="00E3260F"/>
    <w:rsid w:val="00E336D3"/>
    <w:rsid w:val="00E34636"/>
    <w:rsid w:val="00E37C5B"/>
    <w:rsid w:val="00E41D75"/>
    <w:rsid w:val="00E432C8"/>
    <w:rsid w:val="00E448C8"/>
    <w:rsid w:val="00E45B93"/>
    <w:rsid w:val="00E47876"/>
    <w:rsid w:val="00E50001"/>
    <w:rsid w:val="00E54161"/>
    <w:rsid w:val="00E55AD7"/>
    <w:rsid w:val="00E5613A"/>
    <w:rsid w:val="00E60B9B"/>
    <w:rsid w:val="00E61B61"/>
    <w:rsid w:val="00E61D3D"/>
    <w:rsid w:val="00E6247C"/>
    <w:rsid w:val="00E63389"/>
    <w:rsid w:val="00E65498"/>
    <w:rsid w:val="00E66D65"/>
    <w:rsid w:val="00E66EA6"/>
    <w:rsid w:val="00E670B8"/>
    <w:rsid w:val="00E71BC8"/>
    <w:rsid w:val="00E72090"/>
    <w:rsid w:val="00E7260F"/>
    <w:rsid w:val="00E72A49"/>
    <w:rsid w:val="00E72F3D"/>
    <w:rsid w:val="00E73563"/>
    <w:rsid w:val="00E73EC3"/>
    <w:rsid w:val="00E748B3"/>
    <w:rsid w:val="00E74F0B"/>
    <w:rsid w:val="00E751BD"/>
    <w:rsid w:val="00E771C9"/>
    <w:rsid w:val="00E77581"/>
    <w:rsid w:val="00E80AF0"/>
    <w:rsid w:val="00E8169C"/>
    <w:rsid w:val="00E827D0"/>
    <w:rsid w:val="00E82F01"/>
    <w:rsid w:val="00E83DC6"/>
    <w:rsid w:val="00E84342"/>
    <w:rsid w:val="00E84507"/>
    <w:rsid w:val="00E86ABC"/>
    <w:rsid w:val="00E909C0"/>
    <w:rsid w:val="00E93227"/>
    <w:rsid w:val="00E94317"/>
    <w:rsid w:val="00E950F5"/>
    <w:rsid w:val="00E95611"/>
    <w:rsid w:val="00E96630"/>
    <w:rsid w:val="00EA0B35"/>
    <w:rsid w:val="00EA0F23"/>
    <w:rsid w:val="00EA5AD8"/>
    <w:rsid w:val="00EB2BCC"/>
    <w:rsid w:val="00EB4CF3"/>
    <w:rsid w:val="00EB69BB"/>
    <w:rsid w:val="00EC0B56"/>
    <w:rsid w:val="00EC23CA"/>
    <w:rsid w:val="00EC2523"/>
    <w:rsid w:val="00EC3C95"/>
    <w:rsid w:val="00EC5170"/>
    <w:rsid w:val="00EC5E5D"/>
    <w:rsid w:val="00EC622F"/>
    <w:rsid w:val="00EC6A95"/>
    <w:rsid w:val="00ED091D"/>
    <w:rsid w:val="00ED0E4F"/>
    <w:rsid w:val="00ED1E18"/>
    <w:rsid w:val="00ED32A3"/>
    <w:rsid w:val="00ED616A"/>
    <w:rsid w:val="00ED6370"/>
    <w:rsid w:val="00ED6FFE"/>
    <w:rsid w:val="00ED7A2A"/>
    <w:rsid w:val="00ED7EA0"/>
    <w:rsid w:val="00EE0337"/>
    <w:rsid w:val="00EE0CB1"/>
    <w:rsid w:val="00EE1867"/>
    <w:rsid w:val="00EE47D4"/>
    <w:rsid w:val="00EE5580"/>
    <w:rsid w:val="00EE6939"/>
    <w:rsid w:val="00EE7026"/>
    <w:rsid w:val="00EE7E0A"/>
    <w:rsid w:val="00EF0537"/>
    <w:rsid w:val="00EF1840"/>
    <w:rsid w:val="00EF185B"/>
    <w:rsid w:val="00EF1D7F"/>
    <w:rsid w:val="00EF239D"/>
    <w:rsid w:val="00EF6A5C"/>
    <w:rsid w:val="00F01449"/>
    <w:rsid w:val="00F01D87"/>
    <w:rsid w:val="00F0341E"/>
    <w:rsid w:val="00F052C3"/>
    <w:rsid w:val="00F05A21"/>
    <w:rsid w:val="00F06B82"/>
    <w:rsid w:val="00F07EBD"/>
    <w:rsid w:val="00F10182"/>
    <w:rsid w:val="00F115D2"/>
    <w:rsid w:val="00F1254A"/>
    <w:rsid w:val="00F154A0"/>
    <w:rsid w:val="00F15C8F"/>
    <w:rsid w:val="00F17E65"/>
    <w:rsid w:val="00F22007"/>
    <w:rsid w:val="00F222FA"/>
    <w:rsid w:val="00F2243A"/>
    <w:rsid w:val="00F22487"/>
    <w:rsid w:val="00F239A4"/>
    <w:rsid w:val="00F239D3"/>
    <w:rsid w:val="00F24553"/>
    <w:rsid w:val="00F271D2"/>
    <w:rsid w:val="00F276F4"/>
    <w:rsid w:val="00F30EB9"/>
    <w:rsid w:val="00F3109D"/>
    <w:rsid w:val="00F31717"/>
    <w:rsid w:val="00F3228A"/>
    <w:rsid w:val="00F322E1"/>
    <w:rsid w:val="00F32B3C"/>
    <w:rsid w:val="00F34583"/>
    <w:rsid w:val="00F34767"/>
    <w:rsid w:val="00F34A7C"/>
    <w:rsid w:val="00F4121F"/>
    <w:rsid w:val="00F42714"/>
    <w:rsid w:val="00F44C7E"/>
    <w:rsid w:val="00F47AD7"/>
    <w:rsid w:val="00F504DF"/>
    <w:rsid w:val="00F51949"/>
    <w:rsid w:val="00F54D2B"/>
    <w:rsid w:val="00F54FEB"/>
    <w:rsid w:val="00F55965"/>
    <w:rsid w:val="00F55DB1"/>
    <w:rsid w:val="00F56D8D"/>
    <w:rsid w:val="00F6074E"/>
    <w:rsid w:val="00F6120E"/>
    <w:rsid w:val="00F66467"/>
    <w:rsid w:val="00F7439B"/>
    <w:rsid w:val="00F749B8"/>
    <w:rsid w:val="00F74FAA"/>
    <w:rsid w:val="00F76B37"/>
    <w:rsid w:val="00F77675"/>
    <w:rsid w:val="00F77EE5"/>
    <w:rsid w:val="00F818AC"/>
    <w:rsid w:val="00F84D3B"/>
    <w:rsid w:val="00F8634F"/>
    <w:rsid w:val="00F86E98"/>
    <w:rsid w:val="00F874EF"/>
    <w:rsid w:val="00F9185F"/>
    <w:rsid w:val="00F93C08"/>
    <w:rsid w:val="00F94C7D"/>
    <w:rsid w:val="00F95D19"/>
    <w:rsid w:val="00F9614E"/>
    <w:rsid w:val="00F9649F"/>
    <w:rsid w:val="00FA0AC1"/>
    <w:rsid w:val="00FA2626"/>
    <w:rsid w:val="00FA271C"/>
    <w:rsid w:val="00FA3CB1"/>
    <w:rsid w:val="00FA6903"/>
    <w:rsid w:val="00FA7314"/>
    <w:rsid w:val="00FB1099"/>
    <w:rsid w:val="00FB33AA"/>
    <w:rsid w:val="00FB41F9"/>
    <w:rsid w:val="00FB4B0A"/>
    <w:rsid w:val="00FB6075"/>
    <w:rsid w:val="00FB76FC"/>
    <w:rsid w:val="00FC0D26"/>
    <w:rsid w:val="00FC1F8A"/>
    <w:rsid w:val="00FC210B"/>
    <w:rsid w:val="00FC2891"/>
    <w:rsid w:val="00FC28FC"/>
    <w:rsid w:val="00FC3B00"/>
    <w:rsid w:val="00FC3FE9"/>
    <w:rsid w:val="00FC4237"/>
    <w:rsid w:val="00FC48DD"/>
    <w:rsid w:val="00FC5563"/>
    <w:rsid w:val="00FC6205"/>
    <w:rsid w:val="00FC679A"/>
    <w:rsid w:val="00FC68B7"/>
    <w:rsid w:val="00FC79E3"/>
    <w:rsid w:val="00FD14DF"/>
    <w:rsid w:val="00FD1A79"/>
    <w:rsid w:val="00FD3232"/>
    <w:rsid w:val="00FD3DAD"/>
    <w:rsid w:val="00FD6A7D"/>
    <w:rsid w:val="00FD7656"/>
    <w:rsid w:val="00FE18A4"/>
    <w:rsid w:val="00FE3D4F"/>
    <w:rsid w:val="00FE5C39"/>
    <w:rsid w:val="00FE6136"/>
    <w:rsid w:val="00FE7BD1"/>
    <w:rsid w:val="00FF43A8"/>
    <w:rsid w:val="00FF47F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rPr>
  </w:style>
  <w:style w:type="paragraph" w:styleId="Heading1">
    <w:name w:val="heading 1"/>
    <w:aliases w:val="Table_G"/>
    <w:basedOn w:val="SingleTxtG"/>
    <w:next w:val="SingleTxtG"/>
    <w:qFormat/>
    <w:rsid w:val="00E61D3D"/>
    <w:pPr>
      <w:spacing w:after="0"/>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A871BF"/>
    <w:pPr>
      <w:tabs>
        <w:tab w:val="left" w:pos="1741"/>
      </w:tabs>
      <w:spacing w:after="120" w:line="240" w:lineRule="auto"/>
      <w:ind w:left="1264" w:right="126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Ref,de nota al pie"/>
    <w:uiPriority w:val="99"/>
    <w:rsid w:val="00E61D3D"/>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rsid w:val="00E61D3D"/>
    <w:pPr>
      <w:tabs>
        <w:tab w:val="right" w:pos="1021"/>
      </w:tabs>
      <w:spacing w:line="220" w:lineRule="exact"/>
      <w:ind w:left="1134" w:right="1134" w:hanging="1134"/>
    </w:pPr>
    <w:rPr>
      <w:sz w:val="18"/>
      <w:lang/>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5613A"/>
    <w:pPr>
      <w:keepNext/>
      <w:keepLines/>
      <w:tabs>
        <w:tab w:val="right" w:pos="851"/>
      </w:tabs>
      <w:spacing w:before="120" w:after="120" w:line="240" w:lineRule="exact"/>
      <w:ind w:left="2528" w:right="1264" w:hanging="1264"/>
    </w:pPr>
    <w:rPr>
      <w:b/>
      <w:lang w:val="ru-RU"/>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0000FF"/>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E61D3D"/>
    <w:rPr>
      <w:color w:val="0000FF"/>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99"/>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link w:val="HeaderChar"/>
    <w:rsid w:val="00E61D3D"/>
    <w:pPr>
      <w:pBdr>
        <w:bottom w:val="single" w:sz="4" w:space="4" w:color="auto"/>
      </w:pBdr>
      <w:spacing w:line="240" w:lineRule="auto"/>
    </w:pPr>
    <w:rPr>
      <w:b/>
      <w:sz w:val="18"/>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uiPriority w:val="99"/>
    <w:rsid w:val="00866E29"/>
    <w:rPr>
      <w:sz w:val="18"/>
      <w:lang w:eastAsia="en-US"/>
    </w:rPr>
  </w:style>
  <w:style w:type="paragraph" w:customStyle="1" w:styleId="H1">
    <w:name w:val="_ H_1"/>
    <w:basedOn w:val="Normal"/>
    <w:next w:val="Normal"/>
    <w:rsid w:val="00315D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after="120" w:line="270" w:lineRule="exact"/>
      <w:ind w:left="2528" w:right="1264" w:hanging="1264"/>
      <w:outlineLvl w:val="0"/>
    </w:pPr>
    <w:rPr>
      <w:b/>
      <w:kern w:val="14"/>
      <w:sz w:val="24"/>
      <w:lang w:val="ru-RU"/>
    </w:rPr>
  </w:style>
  <w:style w:type="paragraph" w:styleId="BalloonText">
    <w:name w:val="Balloon Text"/>
    <w:basedOn w:val="Normal"/>
    <w:link w:val="BalloonTextChar"/>
    <w:rsid w:val="00CC0F97"/>
    <w:pPr>
      <w:spacing w:line="240" w:lineRule="auto"/>
    </w:pPr>
    <w:rPr>
      <w:rFonts w:ascii="Tahoma" w:hAnsi="Tahoma"/>
      <w:sz w:val="16"/>
      <w:szCs w:val="16"/>
    </w:rPr>
  </w:style>
  <w:style w:type="character" w:customStyle="1" w:styleId="BalloonTextChar">
    <w:name w:val="Balloon Text Char"/>
    <w:link w:val="BalloonText"/>
    <w:rsid w:val="00CC0F97"/>
    <w:rPr>
      <w:rFonts w:ascii="Tahoma" w:hAnsi="Tahoma" w:cs="Tahoma"/>
      <w:sz w:val="16"/>
      <w:szCs w:val="16"/>
      <w:lang w:val="en-GB" w:eastAsia="en-US"/>
    </w:rPr>
  </w:style>
  <w:style w:type="character" w:customStyle="1" w:styleId="HeaderChar">
    <w:name w:val="Header Char"/>
    <w:aliases w:val="6_G Char"/>
    <w:link w:val="Header"/>
    <w:rsid w:val="00EE1867"/>
    <w:rPr>
      <w:b/>
      <w:sz w:val="18"/>
      <w:lang w:val="en-GB" w:eastAsia="en-US" w:bidi="ar-SA"/>
    </w:rPr>
  </w:style>
  <w:style w:type="paragraph" w:customStyle="1" w:styleId="HCh">
    <w:name w:val="_ H _Ch"/>
    <w:basedOn w:val="H1"/>
    <w:next w:val="Normal"/>
    <w:rsid w:val="00EE1867"/>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21"/>
      </w:tabs>
      <w:spacing w:after="240" w:line="300" w:lineRule="exact"/>
      <w:ind w:left="1264"/>
    </w:pPr>
    <w:rPr>
      <w:sz w:val="28"/>
      <w:lang w:eastAsia="ru-RU"/>
    </w:rPr>
  </w:style>
  <w:style w:type="paragraph" w:customStyle="1" w:styleId="XLarge">
    <w:name w:val="XLarge"/>
    <w:basedOn w:val="Normal"/>
    <w:rsid w:val="00EE1867"/>
    <w:pPr>
      <w:keepNext/>
      <w:keepLines/>
      <w:tabs>
        <w:tab w:val="right" w:leader="dot" w:pos="360"/>
      </w:tabs>
      <w:spacing w:line="390" w:lineRule="exact"/>
      <w:outlineLvl w:val="0"/>
    </w:pPr>
    <w:rPr>
      <w:b/>
      <w:spacing w:val="-4"/>
      <w:w w:val="98"/>
      <w:kern w:val="14"/>
      <w:sz w:val="40"/>
      <w:lang w:val="ru-RU" w:eastAsia="ru-RU"/>
    </w:rPr>
  </w:style>
  <w:style w:type="paragraph" w:customStyle="1" w:styleId="ReleaseDate">
    <w:name w:val="ReleaseDate"/>
    <w:basedOn w:val="Normal"/>
    <w:next w:val="Normal"/>
    <w:autoRedefine/>
    <w:rsid w:val="0068464F"/>
    <w:pPr>
      <w:tabs>
        <w:tab w:val="left" w:pos="5031"/>
      </w:tabs>
      <w:suppressAutoHyphens w:val="0"/>
      <w:spacing w:line="240" w:lineRule="exact"/>
    </w:pPr>
    <w:rPr>
      <w:spacing w:val="4"/>
      <w:w w:val="103"/>
      <w:kern w:val="14"/>
      <w:lang w:val="ru-RU"/>
    </w:rPr>
  </w:style>
  <w:style w:type="paragraph" w:styleId="CommentSubject">
    <w:name w:val="annotation subject"/>
    <w:basedOn w:val="CommentText"/>
    <w:next w:val="CommentText"/>
    <w:semiHidden/>
    <w:rsid w:val="00732013"/>
    <w:rPr>
      <w:b/>
      <w:bCs/>
    </w:rPr>
  </w:style>
</w:styles>
</file>

<file path=word/webSettings.xml><?xml version="1.0" encoding="utf-8"?>
<w:webSettings xmlns:r="http://schemas.openxmlformats.org/officeDocument/2006/relationships" xmlns:w="http://schemas.openxmlformats.org/wordprocessingml/2006/main">
  <w:encoding w:val="windows-1251"/>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72.19.10.47/liteko/default.aspx?item=casecard&amp;id=5db9fcf2-cfae-475f-8390-d25837e5944a&amp;location=cdb" TargetMode="External"/><Relationship Id="rId18" Type="http://schemas.openxmlformats.org/officeDocument/2006/relationships/hyperlink" Target="http://172.19.10.47/liteko/default.aspx?item=casecard&amp;id=67628f88-235c-4772-b470-140cfe7bd44d&amp;location=cd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omments" Target="comments.xml"/><Relationship Id="rId12" Type="http://schemas.openxmlformats.org/officeDocument/2006/relationships/hyperlink" Target="http://172.19.10.47/liteko/default.aspx?item=casecard&amp;id=f82d794c-8634-45ed-9c51-48acc153f7fd" TargetMode="External"/><Relationship Id="rId17" Type="http://schemas.openxmlformats.org/officeDocument/2006/relationships/hyperlink" Target="http://www.bukstipri.l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lygus.l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72.19.10.47/liteko/default.aspx?item=casecard&amp;id=284399a3-b7b9-4a13-9cdd-7464803d65b8&amp;location=cdb"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172.19.10.47/liteko/default.aspx?item=casecard&amp;id=be36c914-53ee-427e-95c3-f0df6e0b01fe" TargetMode="External"/><Relationship Id="rId23" Type="http://schemas.openxmlformats.org/officeDocument/2006/relationships/footer" Target="footer2.xml"/><Relationship Id="rId10" Type="http://schemas.openxmlformats.org/officeDocument/2006/relationships/hyperlink" Target="http://172.19.10.47/liteko/default.aspx?item=casecard&amp;id=d21cc278-c289-44f7-a77d-93de705eddcb&amp;location=cdb" TargetMode="External"/><Relationship Id="rId19" Type="http://schemas.openxmlformats.org/officeDocument/2006/relationships/hyperlink" Target="http://undocs.org/ru/A/RES/2/3" TargetMode="External"/><Relationship Id="rId4" Type="http://schemas.openxmlformats.org/officeDocument/2006/relationships/webSettings" Target="webSettings.xml"/><Relationship Id="rId9" Type="http://schemas.openxmlformats.org/officeDocument/2006/relationships/hyperlink" Target="http://undocs.org/ru/CEDAW/C/LTU/5" TargetMode="External"/><Relationship Id="rId14" Type="http://schemas.openxmlformats.org/officeDocument/2006/relationships/hyperlink" Target="http://172.19.10.47/liteko/default.aspx?item=simsearch&amp;pid=full&amp;tpnr=ab25b02c-53dc-4a5f-af8c-f7428e380632&amp;location=cdb"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vrm.lt/lit/Prekybos-zmonemis-prevencijos-ir-kontroles-programa/246/1" TargetMode="External"/><Relationship Id="rId1" Type="http://schemas.openxmlformats.org/officeDocument/2006/relationships/hyperlink" Target="http://www.bukstipri.lt/uploads/MV_padeties_pokyciai_200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CEDAW_E.dotm</Template>
  <TotalTime>260</TotalTime>
  <Pages>1</Pages>
  <Words>15247</Words>
  <Characters>86913</Characters>
  <Application>Microsoft Office Outlook</Application>
  <DocSecurity>4</DocSecurity>
  <Lines>724</Lines>
  <Paragraphs>203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101957</CharactersWithSpaces>
  <SharedDoc>false</SharedDoc>
  <HLinks>
    <vt:vector size="78" baseType="variant">
      <vt:variant>
        <vt:i4>4063332</vt:i4>
      </vt:variant>
      <vt:variant>
        <vt:i4>30</vt:i4>
      </vt:variant>
      <vt:variant>
        <vt:i4>0</vt:i4>
      </vt:variant>
      <vt:variant>
        <vt:i4>5</vt:i4>
      </vt:variant>
      <vt:variant>
        <vt:lpwstr>http://undocs.org/ru/A/RES/2/3</vt:lpwstr>
      </vt:variant>
      <vt:variant>
        <vt:lpwstr/>
      </vt:variant>
      <vt:variant>
        <vt:i4>7405621</vt:i4>
      </vt:variant>
      <vt:variant>
        <vt:i4>27</vt:i4>
      </vt:variant>
      <vt:variant>
        <vt:i4>0</vt:i4>
      </vt:variant>
      <vt:variant>
        <vt:i4>5</vt:i4>
      </vt:variant>
      <vt:variant>
        <vt:lpwstr>http://172.19.10.47/liteko/default.aspx?item=casecard&amp;id=67628f88-235c-4772-b470-140cfe7bd44d&amp;location=cdb</vt:lpwstr>
      </vt:variant>
      <vt:variant>
        <vt:lpwstr/>
      </vt:variant>
      <vt:variant>
        <vt:i4>786455</vt:i4>
      </vt:variant>
      <vt:variant>
        <vt:i4>24</vt:i4>
      </vt:variant>
      <vt:variant>
        <vt:i4>0</vt:i4>
      </vt:variant>
      <vt:variant>
        <vt:i4>5</vt:i4>
      </vt:variant>
      <vt:variant>
        <vt:lpwstr>http://www.bukstipri.lt/</vt:lpwstr>
      </vt:variant>
      <vt:variant>
        <vt:lpwstr/>
      </vt:variant>
      <vt:variant>
        <vt:i4>1048582</vt:i4>
      </vt:variant>
      <vt:variant>
        <vt:i4>21</vt:i4>
      </vt:variant>
      <vt:variant>
        <vt:i4>0</vt:i4>
      </vt:variant>
      <vt:variant>
        <vt:i4>5</vt:i4>
      </vt:variant>
      <vt:variant>
        <vt:lpwstr>http://www.lygus.lt/</vt:lpwstr>
      </vt:variant>
      <vt:variant>
        <vt:lpwstr/>
      </vt:variant>
      <vt:variant>
        <vt:i4>655383</vt:i4>
      </vt:variant>
      <vt:variant>
        <vt:i4>18</vt:i4>
      </vt:variant>
      <vt:variant>
        <vt:i4>0</vt:i4>
      </vt:variant>
      <vt:variant>
        <vt:i4>5</vt:i4>
      </vt:variant>
      <vt:variant>
        <vt:lpwstr>http://172.19.10.47/liteko/default.aspx?item=casecard&amp;id=be36c914-53ee-427e-95c3-f0df6e0b01fe</vt:lpwstr>
      </vt:variant>
      <vt:variant>
        <vt:lpwstr/>
      </vt:variant>
      <vt:variant>
        <vt:i4>3342447</vt:i4>
      </vt:variant>
      <vt:variant>
        <vt:i4>15</vt:i4>
      </vt:variant>
      <vt:variant>
        <vt:i4>0</vt:i4>
      </vt:variant>
      <vt:variant>
        <vt:i4>5</vt:i4>
      </vt:variant>
      <vt:variant>
        <vt:lpwstr>http://172.19.10.47/liteko/default.aspx?item=simsearch&amp;pid=full&amp;tpnr=ab25b02c-53dc-4a5f-af8c-f7428e380632&amp;location=cdb</vt:lpwstr>
      </vt:variant>
      <vt:variant>
        <vt:lpwstr/>
      </vt:variant>
      <vt:variant>
        <vt:i4>7995450</vt:i4>
      </vt:variant>
      <vt:variant>
        <vt:i4>12</vt:i4>
      </vt:variant>
      <vt:variant>
        <vt:i4>0</vt:i4>
      </vt:variant>
      <vt:variant>
        <vt:i4>5</vt:i4>
      </vt:variant>
      <vt:variant>
        <vt:lpwstr>http://172.19.10.47/liteko/default.aspx?item=casecard&amp;id=5db9fcf2-cfae-475f-8390-d25837e5944a&amp;location=cdb</vt:lpwstr>
      </vt:variant>
      <vt:variant>
        <vt:lpwstr/>
      </vt:variant>
      <vt:variant>
        <vt:i4>6094922</vt:i4>
      </vt:variant>
      <vt:variant>
        <vt:i4>9</vt:i4>
      </vt:variant>
      <vt:variant>
        <vt:i4>0</vt:i4>
      </vt:variant>
      <vt:variant>
        <vt:i4>5</vt:i4>
      </vt:variant>
      <vt:variant>
        <vt:lpwstr>http://172.19.10.47/liteko/default.aspx?item=casecard&amp;id=f82d794c-8634-45ed-9c51-48acc153f7fd</vt:lpwstr>
      </vt:variant>
      <vt:variant>
        <vt:lpwstr/>
      </vt:variant>
      <vt:variant>
        <vt:i4>2752622</vt:i4>
      </vt:variant>
      <vt:variant>
        <vt:i4>6</vt:i4>
      </vt:variant>
      <vt:variant>
        <vt:i4>0</vt:i4>
      </vt:variant>
      <vt:variant>
        <vt:i4>5</vt:i4>
      </vt:variant>
      <vt:variant>
        <vt:lpwstr>http://172.19.10.47/liteko/default.aspx?item=casecard&amp;id=284399a3-b7b9-4a13-9cdd-7464803d65b8&amp;location=cdb</vt:lpwstr>
      </vt:variant>
      <vt:variant>
        <vt:lpwstr/>
      </vt:variant>
      <vt:variant>
        <vt:i4>7667817</vt:i4>
      </vt:variant>
      <vt:variant>
        <vt:i4>3</vt:i4>
      </vt:variant>
      <vt:variant>
        <vt:i4>0</vt:i4>
      </vt:variant>
      <vt:variant>
        <vt:i4>5</vt:i4>
      </vt:variant>
      <vt:variant>
        <vt:lpwstr>http://172.19.10.47/liteko/default.aspx?item=casecard&amp;id=d21cc278-c289-44f7-a77d-93de705eddcb&amp;location=cdb</vt:lpwstr>
      </vt:variant>
      <vt:variant>
        <vt:lpwstr/>
      </vt:variant>
      <vt:variant>
        <vt:i4>6291569</vt:i4>
      </vt:variant>
      <vt:variant>
        <vt:i4>0</vt:i4>
      </vt:variant>
      <vt:variant>
        <vt:i4>0</vt:i4>
      </vt:variant>
      <vt:variant>
        <vt:i4>5</vt:i4>
      </vt:variant>
      <vt:variant>
        <vt:lpwstr>http://undocs.org/ru/CEDAW/C/LTU/5</vt:lpwstr>
      </vt:variant>
      <vt:variant>
        <vt:lpwstr/>
      </vt:variant>
      <vt:variant>
        <vt:i4>6684720</vt:i4>
      </vt:variant>
      <vt:variant>
        <vt:i4>3</vt:i4>
      </vt:variant>
      <vt:variant>
        <vt:i4>0</vt:i4>
      </vt:variant>
      <vt:variant>
        <vt:i4>5</vt:i4>
      </vt:variant>
      <vt:variant>
        <vt:lpwstr>http://www.vrm.lt/lit/Prekybos-zmonemis-prevencijos-ir-kontroles-programa/246/1</vt:lpwstr>
      </vt:variant>
      <vt:variant>
        <vt:lpwstr/>
      </vt:variant>
      <vt:variant>
        <vt:i4>2752527</vt:i4>
      </vt:variant>
      <vt:variant>
        <vt:i4>0</vt:i4>
      </vt:variant>
      <vt:variant>
        <vt:i4>0</vt:i4>
      </vt:variant>
      <vt:variant>
        <vt:i4>5</vt:i4>
      </vt:variant>
      <vt:variant>
        <vt:lpwstr>http://www.bukstipri.lt/uploads/MV_padeties_pokyciai_2009.pdf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RTPU User</cp:lastModifiedBy>
  <cp:revision>33</cp:revision>
  <cp:lastPrinted>2014-03-13T12:29:00Z</cp:lastPrinted>
  <dcterms:created xsi:type="dcterms:W3CDTF">2014-03-07T08:35:00Z</dcterms:created>
  <dcterms:modified xsi:type="dcterms:W3CDTF">2014-03-14T13:39:00Z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1421460</vt:lpwstr>
  </property>
  <property fmtid="{D5CDD505-2E9C-101B-9397-08002B2CF9AE}" pid="3" name="Symbol1">
    <vt:lpwstr>CEDAW/C/LTU/Q/5/Add.1</vt:lpwstr>
  </property>
  <property fmtid="{D5CDD505-2E9C-101B-9397-08002B2CF9AE}" pid="4" name="sss1">
    <vt:lpwstr>CEDAW/C/LTU/Q/5/Add.1</vt:lpwstr>
  </property>
</Properties>
</file>