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B190B" w:rsidP="004B190B">
            <w:pPr>
              <w:bidi w:val="0"/>
              <w:spacing w:after="20"/>
              <w:jc w:val="left"/>
              <w:rPr>
                <w:szCs w:val="20"/>
              </w:rPr>
            </w:pPr>
            <w:r w:rsidRPr="004B190B">
              <w:rPr>
                <w:sz w:val="40"/>
                <w:szCs w:val="20"/>
              </w:rPr>
              <w:t>CAT</w:t>
            </w:r>
            <w:r>
              <w:rPr>
                <w:szCs w:val="20"/>
              </w:rPr>
              <w:t>/C/QAT/Q/2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B190B" w:rsidRDefault="004B190B" w:rsidP="004B190B">
            <w:pPr>
              <w:bidi w:val="0"/>
              <w:spacing w:before="240"/>
              <w:jc w:val="left"/>
            </w:pPr>
            <w:r>
              <w:t>Distr.: General</w:t>
            </w:r>
          </w:p>
          <w:p w:rsidR="004B190B" w:rsidRDefault="004B190B" w:rsidP="004B190B">
            <w:pPr>
              <w:bidi w:val="0"/>
              <w:jc w:val="left"/>
            </w:pPr>
            <w:r>
              <w:t>16 February 2011</w:t>
            </w:r>
          </w:p>
          <w:p w:rsidR="004B190B" w:rsidRDefault="004B190B" w:rsidP="004B190B">
            <w:pPr>
              <w:bidi w:val="0"/>
              <w:jc w:val="left"/>
            </w:pPr>
            <w:r>
              <w:t>Arabic</w:t>
            </w:r>
          </w:p>
          <w:p w:rsidR="00257225" w:rsidRPr="008B4BC6" w:rsidRDefault="004B190B" w:rsidP="004B190B">
            <w:pPr>
              <w:bidi w:val="0"/>
              <w:jc w:val="left"/>
            </w:pPr>
            <w:r>
              <w:t>Original: English</w:t>
            </w:r>
          </w:p>
        </w:tc>
      </w:tr>
    </w:tbl>
    <w:p w:rsidR="004B190B" w:rsidRPr="00EA65E3" w:rsidRDefault="004B190B" w:rsidP="004B190B">
      <w:pPr>
        <w:spacing w:before="120" w:line="380" w:lineRule="exact"/>
        <w:rPr>
          <w:rFonts w:hint="cs"/>
          <w:b/>
          <w:bCs/>
          <w:szCs w:val="36"/>
          <w:rtl/>
        </w:rPr>
      </w:pPr>
      <w:r w:rsidRPr="00EA65E3">
        <w:rPr>
          <w:b/>
          <w:bCs/>
          <w:szCs w:val="36"/>
          <w:rtl/>
        </w:rPr>
        <w:t>ل</w:t>
      </w:r>
      <w:r w:rsidRPr="00EA65E3">
        <w:rPr>
          <w:rFonts w:hint="cs"/>
          <w:b/>
          <w:bCs/>
          <w:szCs w:val="36"/>
          <w:rtl/>
        </w:rPr>
        <w:t>جن</w:t>
      </w:r>
      <w:r w:rsidRPr="00EA65E3">
        <w:rPr>
          <w:b/>
          <w:bCs/>
          <w:szCs w:val="36"/>
          <w:rtl/>
        </w:rPr>
        <w:t xml:space="preserve">ة </w:t>
      </w:r>
      <w:r w:rsidRPr="00EA65E3">
        <w:rPr>
          <w:rFonts w:hint="cs"/>
          <w:b/>
          <w:bCs/>
          <w:szCs w:val="36"/>
          <w:rtl/>
        </w:rPr>
        <w:t>مناهضة التعذيب</w:t>
      </w:r>
    </w:p>
    <w:p w:rsidR="004B190B" w:rsidRPr="00EA65E3" w:rsidRDefault="004B190B" w:rsidP="00356F62">
      <w:pPr>
        <w:spacing w:line="380" w:lineRule="exact"/>
        <w:rPr>
          <w:rFonts w:hint="cs"/>
          <w:b/>
          <w:bCs/>
          <w:sz w:val="30"/>
          <w:rtl/>
        </w:rPr>
      </w:pPr>
      <w:r w:rsidRPr="00EA65E3">
        <w:rPr>
          <w:rFonts w:hint="cs"/>
          <w:b/>
          <w:bCs/>
          <w:sz w:val="30"/>
          <w:rtl/>
        </w:rPr>
        <w:t>الدورة الخامسة والأربع</w:t>
      </w:r>
      <w:r w:rsidR="00356F62">
        <w:rPr>
          <w:rFonts w:hint="cs"/>
          <w:b/>
          <w:bCs/>
          <w:sz w:val="30"/>
          <w:rtl/>
        </w:rPr>
        <w:t>و</w:t>
      </w:r>
      <w:r w:rsidRPr="00EA65E3">
        <w:rPr>
          <w:rFonts w:hint="cs"/>
          <w:b/>
          <w:bCs/>
          <w:sz w:val="30"/>
          <w:rtl/>
        </w:rPr>
        <w:t>ن</w:t>
      </w:r>
    </w:p>
    <w:p w:rsidR="004B190B" w:rsidRPr="004B190B" w:rsidRDefault="004B190B" w:rsidP="004B190B">
      <w:pPr>
        <w:spacing w:line="380" w:lineRule="exact"/>
        <w:rPr>
          <w:rFonts w:hint="cs"/>
          <w:sz w:val="30"/>
          <w:rtl/>
        </w:rPr>
      </w:pPr>
      <w:r w:rsidRPr="004B190B">
        <w:rPr>
          <w:rFonts w:hint="cs"/>
          <w:sz w:val="30"/>
          <w:rtl/>
        </w:rPr>
        <w:t>1-19 تشرين الثاني/نوفمبر 2010</w:t>
      </w:r>
    </w:p>
    <w:p w:rsidR="004B190B" w:rsidRPr="00EA65E3" w:rsidRDefault="004B190B" w:rsidP="00EA4B98">
      <w:pPr>
        <w:pStyle w:val="HChGA"/>
        <w:rPr>
          <w:rFonts w:hint="cs"/>
          <w:caps/>
          <w:rtl/>
        </w:rPr>
      </w:pPr>
      <w:r w:rsidRPr="00EA65E3">
        <w:rPr>
          <w:rFonts w:hint="cs"/>
          <w:rtl/>
        </w:rPr>
        <w:tab/>
      </w:r>
      <w:r w:rsidRPr="00EA65E3">
        <w:rPr>
          <w:rFonts w:hint="cs"/>
          <w:rtl/>
        </w:rPr>
        <w:tab/>
      </w:r>
      <w:r w:rsidRPr="00EA65E3">
        <w:rPr>
          <w:rtl/>
          <w:lang w:bidi="ar-MA"/>
        </w:rPr>
        <w:t>قائمة بالمسائل السابقة لتقديم التقرير الدوري الثاني ل</w:t>
      </w:r>
      <w:r w:rsidRPr="00EA65E3">
        <w:rPr>
          <w:rFonts w:hint="cs"/>
          <w:rtl/>
          <w:lang w:bidi="ar-MA"/>
        </w:rPr>
        <w:t xml:space="preserve">قطر </w:t>
      </w:r>
      <w:r w:rsidRPr="00EA65E3">
        <w:rPr>
          <w:caps/>
          <w:lang w:bidi="ar-MA"/>
        </w:rPr>
        <w:t>(</w:t>
      </w:r>
      <w:r w:rsidRPr="00EA65E3">
        <w:rPr>
          <w:szCs w:val="22"/>
        </w:rPr>
        <w:t>CAT/C/QAT/2</w:t>
      </w:r>
      <w:r w:rsidRPr="00EA65E3">
        <w:rPr>
          <w:caps/>
          <w:lang w:bidi="ar-MA"/>
        </w:rPr>
        <w:t>)</w:t>
      </w:r>
      <w:r w:rsidR="005322B2" w:rsidRPr="005322B2">
        <w:rPr>
          <w:rStyle w:val="FootnoteReference"/>
          <w:caps/>
          <w:sz w:val="20"/>
          <w:vertAlign w:val="baseline"/>
          <w:rtl/>
        </w:rPr>
        <w:footnoteReference w:customMarkFollows="1" w:id="1"/>
        <w:t>*</w:t>
      </w:r>
    </w:p>
    <w:p w:rsidR="004B190B" w:rsidRPr="00EA65E3" w:rsidRDefault="004B190B" w:rsidP="00EA4B98">
      <w:pPr>
        <w:pStyle w:val="H1GA"/>
        <w:rPr>
          <w:rFonts w:hint="cs"/>
          <w:rtl/>
        </w:rPr>
      </w:pPr>
      <w:r w:rsidRPr="00EA65E3">
        <w:rPr>
          <w:rFonts w:hint="cs"/>
          <w:rtl/>
          <w:lang w:bidi="ar-MA"/>
        </w:rPr>
        <w:tab/>
      </w:r>
      <w:r w:rsidRPr="00EA65E3">
        <w:rPr>
          <w:rFonts w:hint="cs"/>
          <w:rtl/>
          <w:lang w:bidi="ar-MA"/>
        </w:rPr>
        <w:tab/>
      </w:r>
      <w:r w:rsidRPr="00EA65E3">
        <w:rPr>
          <w:rFonts w:hint="eastAsia"/>
          <w:rtl/>
          <w:lang w:bidi="ar-MA"/>
        </w:rPr>
        <w:t>معلومات</w:t>
      </w:r>
      <w:r w:rsidRPr="00EA65E3">
        <w:rPr>
          <w:rtl/>
          <w:lang w:bidi="ar-MA"/>
        </w:rPr>
        <w:t xml:space="preserve"> </w:t>
      </w:r>
      <w:r w:rsidRPr="00EA65E3">
        <w:rPr>
          <w:rFonts w:hint="eastAsia"/>
          <w:rtl/>
          <w:lang w:bidi="ar-MA"/>
        </w:rPr>
        <w:t>محددة</w:t>
      </w:r>
      <w:r w:rsidRPr="00EA65E3">
        <w:rPr>
          <w:rtl/>
          <w:lang w:bidi="ar-MA"/>
        </w:rPr>
        <w:t xml:space="preserve"> </w:t>
      </w:r>
      <w:r w:rsidRPr="00EA65E3">
        <w:rPr>
          <w:rFonts w:hint="eastAsia"/>
          <w:rtl/>
          <w:lang w:bidi="ar-MA"/>
        </w:rPr>
        <w:t>بشأن</w:t>
      </w:r>
      <w:r w:rsidRPr="00EA65E3">
        <w:rPr>
          <w:rtl/>
          <w:lang w:bidi="ar-MA"/>
        </w:rPr>
        <w:t xml:space="preserve"> </w:t>
      </w:r>
      <w:r w:rsidRPr="00EA65E3">
        <w:rPr>
          <w:rFonts w:hint="eastAsia"/>
          <w:rtl/>
          <w:lang w:bidi="ar-MA"/>
        </w:rPr>
        <w:t>تنفيذ</w:t>
      </w:r>
      <w:r w:rsidRPr="00EA65E3">
        <w:rPr>
          <w:rtl/>
          <w:lang w:bidi="ar-MA"/>
        </w:rPr>
        <w:t xml:space="preserve"> </w:t>
      </w:r>
      <w:r w:rsidRPr="00EA65E3">
        <w:rPr>
          <w:rFonts w:hint="eastAsia"/>
          <w:rtl/>
          <w:lang w:bidi="ar-MA"/>
        </w:rPr>
        <w:t>المواد</w:t>
      </w:r>
      <w:r w:rsidRPr="00EA65E3">
        <w:rPr>
          <w:rtl/>
          <w:lang w:bidi="ar-MA"/>
        </w:rPr>
        <w:t xml:space="preserve"> </w:t>
      </w:r>
      <w:r w:rsidRPr="00EA65E3">
        <w:rPr>
          <w:rFonts w:hint="eastAsia"/>
          <w:rtl/>
          <w:lang w:bidi="ar-MA"/>
        </w:rPr>
        <w:t>من</w:t>
      </w:r>
      <w:r w:rsidRPr="00EA65E3">
        <w:rPr>
          <w:rtl/>
          <w:lang w:bidi="ar-MA"/>
        </w:rPr>
        <w:t xml:space="preserve"> 1 </w:t>
      </w:r>
      <w:r w:rsidRPr="00EA65E3">
        <w:rPr>
          <w:rFonts w:hint="eastAsia"/>
          <w:rtl/>
          <w:lang w:bidi="ar-MA"/>
        </w:rPr>
        <w:t>إلى</w:t>
      </w:r>
      <w:r w:rsidRPr="00EA65E3">
        <w:rPr>
          <w:rtl/>
          <w:lang w:bidi="ar-MA"/>
        </w:rPr>
        <w:t xml:space="preserve"> 16 </w:t>
      </w:r>
      <w:r w:rsidRPr="00EA65E3">
        <w:rPr>
          <w:rFonts w:hint="eastAsia"/>
          <w:rtl/>
          <w:lang w:bidi="ar-MA"/>
        </w:rPr>
        <w:t>من</w:t>
      </w:r>
      <w:r w:rsidRPr="00EA65E3">
        <w:rPr>
          <w:rtl/>
          <w:lang w:bidi="ar-MA"/>
        </w:rPr>
        <w:t xml:space="preserve"> </w:t>
      </w:r>
      <w:r w:rsidRPr="00EA65E3">
        <w:rPr>
          <w:rFonts w:hint="eastAsia"/>
          <w:rtl/>
          <w:lang w:bidi="ar-MA"/>
        </w:rPr>
        <w:t>الاتفاقية،</w:t>
      </w:r>
      <w:r w:rsidRPr="00EA65E3">
        <w:rPr>
          <w:rFonts w:hint="cs"/>
          <w:rtl/>
          <w:lang w:bidi="ar-MA"/>
        </w:rPr>
        <w:t xml:space="preserve"> ب</w:t>
      </w:r>
      <w:r w:rsidRPr="00EA65E3">
        <w:rPr>
          <w:rFonts w:hint="eastAsia"/>
          <w:rtl/>
          <w:lang w:bidi="ar-MA"/>
        </w:rPr>
        <w:t>ما</w:t>
      </w:r>
      <w:r w:rsidRPr="00EA65E3">
        <w:rPr>
          <w:rtl/>
          <w:lang w:bidi="ar-MA"/>
        </w:rPr>
        <w:t xml:space="preserve"> </w:t>
      </w:r>
      <w:r w:rsidRPr="00EA65E3">
        <w:rPr>
          <w:rFonts w:hint="eastAsia"/>
          <w:rtl/>
          <w:lang w:bidi="ar-MA"/>
        </w:rPr>
        <w:t>في</w:t>
      </w:r>
      <w:r w:rsidRPr="00EA65E3">
        <w:rPr>
          <w:rtl/>
          <w:lang w:bidi="ar-MA"/>
        </w:rPr>
        <w:t xml:space="preserve"> </w:t>
      </w:r>
      <w:r w:rsidRPr="00EA65E3">
        <w:rPr>
          <w:rFonts w:hint="eastAsia"/>
          <w:rtl/>
          <w:lang w:bidi="ar-MA"/>
        </w:rPr>
        <w:t>ذلك</w:t>
      </w:r>
      <w:r w:rsidRPr="00EA65E3">
        <w:rPr>
          <w:rFonts w:hint="cs"/>
          <w:rtl/>
          <w:lang w:bidi="ar-MA"/>
        </w:rPr>
        <w:t xml:space="preserve"> </w:t>
      </w:r>
      <w:r>
        <w:rPr>
          <w:rFonts w:hint="cs"/>
          <w:rtl/>
          <w:lang w:bidi="ar-MA"/>
        </w:rPr>
        <w:t xml:space="preserve">المعلومات </w:t>
      </w:r>
      <w:r w:rsidRPr="00EA65E3">
        <w:rPr>
          <w:rFonts w:hint="eastAsia"/>
          <w:rtl/>
          <w:lang w:bidi="ar-MA"/>
        </w:rPr>
        <w:t>المتعلقة</w:t>
      </w:r>
      <w:r w:rsidRPr="00EA65E3">
        <w:rPr>
          <w:rtl/>
          <w:lang w:bidi="ar-MA"/>
        </w:rPr>
        <w:t xml:space="preserve"> </w:t>
      </w:r>
      <w:r w:rsidRPr="00EA65E3">
        <w:rPr>
          <w:rFonts w:hint="eastAsia"/>
          <w:rtl/>
          <w:lang w:bidi="ar-MA"/>
        </w:rPr>
        <w:t>بالتوصيات</w:t>
      </w:r>
      <w:r w:rsidRPr="00EA65E3">
        <w:rPr>
          <w:rtl/>
          <w:lang w:bidi="ar-MA"/>
        </w:rPr>
        <w:t xml:space="preserve"> </w:t>
      </w:r>
      <w:r w:rsidRPr="00EA65E3">
        <w:rPr>
          <w:rFonts w:hint="eastAsia"/>
          <w:rtl/>
          <w:lang w:bidi="ar-MA"/>
        </w:rPr>
        <w:t>السابقة</w:t>
      </w:r>
      <w:r w:rsidRPr="00EA65E3">
        <w:rPr>
          <w:rtl/>
          <w:lang w:bidi="ar-MA"/>
        </w:rPr>
        <w:t xml:space="preserve"> </w:t>
      </w:r>
      <w:r w:rsidRPr="00EA65E3">
        <w:rPr>
          <w:rFonts w:hint="eastAsia"/>
          <w:rtl/>
          <w:lang w:bidi="ar-MA"/>
        </w:rPr>
        <w:t>للجنة</w:t>
      </w:r>
    </w:p>
    <w:p w:rsidR="004B190B" w:rsidRPr="00EA65E3" w:rsidRDefault="004B190B" w:rsidP="00EA4B98">
      <w:pPr>
        <w:pStyle w:val="H23GA"/>
        <w:rPr>
          <w:rFonts w:hint="cs"/>
          <w:rtl/>
          <w:lang w:bidi="ar-MA"/>
        </w:rPr>
      </w:pPr>
      <w:r w:rsidRPr="00EA65E3">
        <w:rPr>
          <w:rFonts w:hint="cs"/>
          <w:rtl/>
          <w:lang w:bidi="ar-MA"/>
        </w:rPr>
        <w:tab/>
      </w:r>
      <w:r w:rsidRPr="00EA65E3">
        <w:rPr>
          <w:rFonts w:hint="cs"/>
          <w:rtl/>
          <w:lang w:bidi="ar-MA"/>
        </w:rPr>
        <w:tab/>
      </w:r>
      <w:r w:rsidRPr="00EA65E3">
        <w:rPr>
          <w:rFonts w:hint="eastAsia"/>
          <w:rtl/>
          <w:lang w:bidi="ar-MA"/>
        </w:rPr>
        <w:t>المادتان</w:t>
      </w:r>
      <w:r w:rsidRPr="00EA65E3">
        <w:rPr>
          <w:rtl/>
          <w:lang w:bidi="ar-MA"/>
        </w:rPr>
        <w:t xml:space="preserve"> 1 </w:t>
      </w:r>
      <w:r w:rsidRPr="00EA65E3">
        <w:rPr>
          <w:rFonts w:hint="eastAsia"/>
          <w:rtl/>
          <w:lang w:bidi="ar-MA"/>
        </w:rPr>
        <w:t>و</w:t>
      </w:r>
      <w:r w:rsidRPr="00EA65E3">
        <w:rPr>
          <w:rtl/>
          <w:lang w:bidi="ar-MA"/>
        </w:rPr>
        <w:t>4</w:t>
      </w:r>
    </w:p>
    <w:p w:rsidR="004B190B" w:rsidRDefault="004B190B" w:rsidP="002248EC">
      <w:pPr>
        <w:pStyle w:val="SingleTxtGA"/>
        <w:rPr>
          <w:rFonts w:hint="cs"/>
          <w:rtl/>
        </w:rPr>
      </w:pPr>
      <w:r w:rsidRPr="00EA65E3">
        <w:rPr>
          <w:rFonts w:hint="cs"/>
          <w:rtl/>
          <w:lang w:bidi="ar-MA"/>
        </w:rPr>
        <w:t>1</w:t>
      </w:r>
      <w:r w:rsidRPr="005322B2">
        <w:rPr>
          <w:rFonts w:hint="cs"/>
          <w:spacing w:val="-4"/>
          <w:rtl/>
          <w:lang w:bidi="ar-MA"/>
        </w:rPr>
        <w:t>-</w:t>
      </w:r>
      <w:r w:rsidRPr="005322B2">
        <w:rPr>
          <w:rFonts w:hint="cs"/>
          <w:spacing w:val="-4"/>
          <w:rtl/>
          <w:lang w:bidi="ar-MA"/>
        </w:rPr>
        <w:tab/>
        <w:t>إلحاقاً بتوصية اللجنة المقدمة في ملاحظاتها الختامية السابقة (الفقرة 10)</w:t>
      </w:r>
      <w:r w:rsidR="005322B2" w:rsidRPr="005322B2">
        <w:rPr>
          <w:spacing w:val="-4"/>
          <w:vertAlign w:val="superscript"/>
          <w:rtl/>
          <w:lang w:bidi="ar-MA"/>
        </w:rPr>
        <w:t>(</w:t>
      </w:r>
      <w:r w:rsidR="005322B2" w:rsidRPr="005322B2">
        <w:rPr>
          <w:rStyle w:val="FootnoteReference"/>
          <w:spacing w:val="-4"/>
          <w:rtl/>
          <w:lang w:bidi="ar-MA"/>
        </w:rPr>
        <w:footnoteReference w:id="2"/>
      </w:r>
      <w:r w:rsidR="005322B2" w:rsidRPr="005322B2">
        <w:rPr>
          <w:spacing w:val="-4"/>
          <w:vertAlign w:val="superscript"/>
          <w:rtl/>
          <w:lang w:bidi="ar-MA"/>
        </w:rPr>
        <w:t>)</w:t>
      </w:r>
      <w:r w:rsidR="002248EC">
        <w:rPr>
          <w:rFonts w:hint="cs"/>
          <w:spacing w:val="-4"/>
          <w:rtl/>
          <w:lang w:bidi="ar-MA"/>
        </w:rPr>
        <w:t>، يرجى تقديم معلومات ع</w:t>
      </w:r>
      <w:r w:rsidRPr="005322B2">
        <w:rPr>
          <w:rFonts w:hint="cs"/>
          <w:spacing w:val="-4"/>
          <w:rtl/>
          <w:lang w:bidi="ar-MA"/>
        </w:rPr>
        <w:t>ما اتخذته الدولة الطرف من تدابير رامية إلى اعتماد تعريف للتعذي</w:t>
      </w:r>
      <w:r w:rsidR="00EA4B98">
        <w:rPr>
          <w:rFonts w:hint="cs"/>
          <w:spacing w:val="-4"/>
          <w:rtl/>
          <w:lang w:bidi="ar-MA"/>
        </w:rPr>
        <w:t>ب في قانون العقوبات الداخلي يّتس</w:t>
      </w:r>
      <w:r w:rsidRPr="005322B2">
        <w:rPr>
          <w:rFonts w:hint="cs"/>
          <w:spacing w:val="-4"/>
          <w:rtl/>
          <w:lang w:bidi="ar-MA"/>
        </w:rPr>
        <w:t>ق تمام الاتساق مع المادة 1 من الاتفاقية</w:t>
      </w:r>
      <w:r w:rsidR="002248EC">
        <w:rPr>
          <w:rFonts w:hint="cs"/>
          <w:spacing w:val="-4"/>
          <w:rtl/>
          <w:lang w:bidi="ar-MA"/>
        </w:rPr>
        <w:t>،</w:t>
      </w:r>
      <w:r w:rsidRPr="005322B2">
        <w:rPr>
          <w:rFonts w:hint="cs"/>
          <w:spacing w:val="-4"/>
          <w:rtl/>
          <w:lang w:bidi="ar-MA"/>
        </w:rPr>
        <w:t xml:space="preserve"> وإلى ضمان تجريم جميع أفعال التعذيب بموجب </w:t>
      </w:r>
      <w:r w:rsidR="002248EC">
        <w:rPr>
          <w:rFonts w:hint="cs"/>
          <w:spacing w:val="-4"/>
          <w:rtl/>
          <w:lang w:bidi="ar-MA"/>
        </w:rPr>
        <w:t>ال</w:t>
      </w:r>
      <w:r w:rsidRPr="005322B2">
        <w:rPr>
          <w:rFonts w:hint="cs"/>
          <w:spacing w:val="-4"/>
          <w:rtl/>
          <w:lang w:bidi="ar-MA"/>
        </w:rPr>
        <w:t>قانون ال</w:t>
      </w:r>
      <w:r w:rsidR="002248EC">
        <w:rPr>
          <w:rFonts w:hint="cs"/>
          <w:spacing w:val="-4"/>
          <w:rtl/>
          <w:lang w:bidi="ar-MA"/>
        </w:rPr>
        <w:t>جنائي</w:t>
      </w:r>
      <w:r w:rsidRPr="005322B2">
        <w:rPr>
          <w:rFonts w:hint="cs"/>
          <w:spacing w:val="-4"/>
          <w:rtl/>
          <w:lang w:bidi="ar-MA"/>
        </w:rPr>
        <w:t xml:space="preserve"> والمعاقبة عليها بعقوبات مناسبة تراعي جسامة هذه الأفعال.</w:t>
      </w:r>
      <w:r w:rsidRPr="00EA65E3">
        <w:rPr>
          <w:rFonts w:hint="cs"/>
          <w:rtl/>
          <w:lang w:bidi="ar-MA"/>
        </w:rPr>
        <w:t xml:space="preserve"> </w:t>
      </w:r>
    </w:p>
    <w:p w:rsidR="003D0820" w:rsidRPr="00EA65E3" w:rsidRDefault="003D0820" w:rsidP="002248EC">
      <w:pPr>
        <w:pStyle w:val="SingleTxtGA"/>
        <w:rPr>
          <w:rFonts w:hint="cs"/>
          <w:rtl/>
        </w:rPr>
      </w:pPr>
    </w:p>
    <w:p w:rsidR="004B190B" w:rsidRPr="00EA65E3" w:rsidRDefault="00EA4B98" w:rsidP="005322B2">
      <w:pPr>
        <w:pStyle w:val="H1GA"/>
        <w:spacing w:before="120"/>
        <w:rPr>
          <w:rFonts w:hint="cs"/>
          <w:rtl/>
          <w:lang w:bidi="ar-MA"/>
        </w:rPr>
      </w:pPr>
      <w:r>
        <w:rPr>
          <w:rFonts w:hint="cs"/>
          <w:rtl/>
          <w:lang w:bidi="ar-MA"/>
        </w:rPr>
        <w:tab/>
      </w:r>
      <w:r w:rsidR="004B190B" w:rsidRPr="00EA65E3">
        <w:rPr>
          <w:rFonts w:hint="cs"/>
          <w:rtl/>
          <w:lang w:bidi="ar-MA"/>
        </w:rPr>
        <w:tab/>
        <w:t>المادة 2</w:t>
      </w:r>
      <w:r w:rsidR="005322B2" w:rsidRPr="00EA4B98">
        <w:rPr>
          <w:b w:val="0"/>
          <w:bCs w:val="0"/>
          <w:vertAlign w:val="superscript"/>
          <w:rtl/>
          <w:lang w:bidi="ar-MA"/>
        </w:rPr>
        <w:t>(</w:t>
      </w:r>
      <w:r w:rsidR="005322B2" w:rsidRPr="00EA4B98">
        <w:rPr>
          <w:rStyle w:val="FootnoteReference"/>
          <w:b/>
          <w:bCs w:val="0"/>
          <w:rtl/>
          <w:lang w:bidi="ar-MA"/>
        </w:rPr>
        <w:footnoteReference w:id="3"/>
      </w:r>
      <w:r w:rsidR="005322B2" w:rsidRPr="00EA4B98">
        <w:rPr>
          <w:b w:val="0"/>
          <w:bCs w:val="0"/>
          <w:vertAlign w:val="superscript"/>
          <w:rtl/>
          <w:lang w:bidi="ar-MA"/>
        </w:rPr>
        <w:t>)</w:t>
      </w:r>
    </w:p>
    <w:p w:rsidR="002D157A" w:rsidRDefault="004B190B" w:rsidP="00EA4B98">
      <w:pPr>
        <w:pStyle w:val="SingleTxtGA"/>
        <w:spacing w:line="360" w:lineRule="exact"/>
        <w:rPr>
          <w:rFonts w:hint="cs"/>
          <w:rtl/>
          <w:lang w:bidi="ar-MA"/>
        </w:rPr>
      </w:pPr>
      <w:r w:rsidRPr="00EA65E3">
        <w:rPr>
          <w:rFonts w:hint="cs"/>
          <w:rtl/>
          <w:lang w:bidi="ar-MA"/>
        </w:rPr>
        <w:t>2-</w:t>
      </w:r>
      <w:r w:rsidRPr="00EA65E3">
        <w:rPr>
          <w:rFonts w:hint="cs"/>
          <w:rtl/>
          <w:lang w:bidi="ar-MA"/>
        </w:rPr>
        <w:tab/>
        <w:t>يرجى تقديم معلومات مفصلة عن عدد الأشخاص الذين احتُجزوا بموجب قوانين الطوارئ، بما فيها قانون مكافحة الإرهاب الصادر عام 2004 وقانون حماية المجتمع، وعن متوسط مدد احتجازهم.</w:t>
      </w:r>
      <w:r w:rsidR="002248EC">
        <w:rPr>
          <w:rFonts w:hint="cs"/>
          <w:rtl/>
          <w:lang w:bidi="ar-MA"/>
        </w:rPr>
        <w:t xml:space="preserve"> كما يرجى تقديم معلومات مفصلة ع</w:t>
      </w:r>
      <w:r w:rsidRPr="00EA65E3">
        <w:rPr>
          <w:rFonts w:hint="cs"/>
          <w:rtl/>
          <w:lang w:bidi="ar-MA"/>
        </w:rPr>
        <w:t>ما إذا كانت الدولة الطرف تضمن وجود تدابير للطعن في قانونية الاحتجاز أو في مدته. وما دور اللجنة الوطنية لحقوق الإنسان في هذا الصدد أيضاً</w:t>
      </w:r>
      <w:r w:rsidR="005322B2">
        <w:rPr>
          <w:vertAlign w:val="superscript"/>
          <w:rtl/>
          <w:lang w:bidi="ar-MA"/>
        </w:rPr>
        <w:t>(</w:t>
      </w:r>
      <w:r w:rsidR="005322B2">
        <w:rPr>
          <w:rStyle w:val="FootnoteReference"/>
          <w:rtl/>
          <w:lang w:bidi="ar-MA"/>
        </w:rPr>
        <w:footnoteReference w:id="4"/>
      </w:r>
      <w:r w:rsidR="005322B2">
        <w:rPr>
          <w:vertAlign w:val="superscript"/>
          <w:rtl/>
          <w:lang w:bidi="ar-MA"/>
        </w:rPr>
        <w:t>)</w:t>
      </w:r>
      <w:r w:rsidRPr="00EA65E3">
        <w:rPr>
          <w:rFonts w:hint="cs"/>
          <w:rtl/>
          <w:lang w:bidi="ar-MA"/>
        </w:rPr>
        <w:t>؟</w:t>
      </w:r>
    </w:p>
    <w:p w:rsidR="004B190B" w:rsidRPr="00EA65E3" w:rsidRDefault="004B190B" w:rsidP="00EA4B98">
      <w:pPr>
        <w:pStyle w:val="SingleTxtGA"/>
        <w:spacing w:line="360" w:lineRule="exact"/>
        <w:rPr>
          <w:rFonts w:hint="cs"/>
          <w:rtl/>
          <w:lang w:bidi="ar-MA"/>
        </w:rPr>
      </w:pPr>
      <w:r w:rsidRPr="00EA65E3">
        <w:rPr>
          <w:rFonts w:hint="cs"/>
          <w:rtl/>
          <w:lang w:bidi="ar-MA"/>
        </w:rPr>
        <w:t>3-</w:t>
      </w:r>
      <w:r w:rsidRPr="00EA65E3">
        <w:rPr>
          <w:rFonts w:hint="cs"/>
          <w:rtl/>
          <w:lang w:bidi="ar-MA"/>
        </w:rPr>
        <w:tab/>
        <w:t>يرجى تقديم معلومات محدَّثة عن الضمانات القانونية المقدمة وغيرها من التدابير المتخذة من أجل ضمان إعلام الشخص المقبوض عليه فوراً بحقه في استشارة محامٍ وفي تلقي مساعدة قانونية مستقلة ومجانية إن لم يكن قادراً على تحمل أتعاب محامٍ خاص. ويرجى تقديم معلومات عن حق المحتجزين في الحصول السريع على مساعدة طبية مستقلة وحقهم في إبلاغ أحد أقربائهم بمكانهم. كما يرجى الإشارة إلى ما إذا كان متاحاً في جميع أماكن الاحتجاز بيان بحقوق المحتجزين كي يطلعوا عليه</w:t>
      </w:r>
      <w:r w:rsidR="005322B2">
        <w:rPr>
          <w:vertAlign w:val="superscript"/>
          <w:rtl/>
          <w:lang w:bidi="ar-MA"/>
        </w:rPr>
        <w:t>(</w:t>
      </w:r>
      <w:r w:rsidR="005322B2">
        <w:rPr>
          <w:rStyle w:val="FootnoteReference"/>
          <w:rtl/>
          <w:lang w:bidi="ar-MA"/>
        </w:rPr>
        <w:footnoteReference w:id="5"/>
      </w:r>
      <w:r w:rsidR="005322B2">
        <w:rPr>
          <w:vertAlign w:val="superscript"/>
          <w:rtl/>
          <w:lang w:bidi="ar-MA"/>
        </w:rPr>
        <w:t>)</w:t>
      </w:r>
      <w:r w:rsidRPr="00EA65E3">
        <w:rPr>
          <w:rFonts w:hint="cs"/>
          <w:rtl/>
          <w:lang w:bidi="ar-MA"/>
        </w:rPr>
        <w:t>.</w:t>
      </w:r>
    </w:p>
    <w:p w:rsidR="004B190B" w:rsidRPr="00B017EE" w:rsidRDefault="004B190B" w:rsidP="00EA4B98">
      <w:pPr>
        <w:pStyle w:val="SingleTxtGA"/>
        <w:spacing w:line="360" w:lineRule="exact"/>
        <w:rPr>
          <w:rFonts w:hint="cs"/>
          <w:spacing w:val="-4"/>
          <w:rtl/>
          <w:lang w:bidi="ar-MA"/>
        </w:rPr>
      </w:pPr>
      <w:r w:rsidRPr="00B017EE">
        <w:rPr>
          <w:rFonts w:hint="cs"/>
          <w:spacing w:val="-4"/>
          <w:rtl/>
          <w:lang w:bidi="ar-MA"/>
        </w:rPr>
        <w:t>4-</w:t>
      </w:r>
      <w:r w:rsidR="002D157A" w:rsidRPr="00B017EE">
        <w:rPr>
          <w:rFonts w:hint="cs"/>
          <w:spacing w:val="-4"/>
          <w:rtl/>
          <w:lang w:bidi="ar-MA"/>
        </w:rPr>
        <w:tab/>
      </w:r>
      <w:r w:rsidRPr="00B017EE">
        <w:rPr>
          <w:rFonts w:hint="cs"/>
          <w:spacing w:val="-4"/>
          <w:rtl/>
          <w:lang w:bidi="ar-MA"/>
        </w:rPr>
        <w:t>يرجى تقديم معلومات عما اتخذته الدولة الطرف من تدابير تهدف إلى منع الخروج عن قانون الإجراءات الجنائية الذي ينص على أن الحد الأقصى لمدة الاحتجاز على ذمة المحاكمة هو</w:t>
      </w:r>
      <w:r w:rsidR="00EA4B98">
        <w:rPr>
          <w:rFonts w:hint="eastAsia"/>
          <w:spacing w:val="-4"/>
          <w:rtl/>
          <w:lang w:bidi="ar-MA"/>
        </w:rPr>
        <w:t> </w:t>
      </w:r>
      <w:r w:rsidRPr="00B017EE">
        <w:rPr>
          <w:rFonts w:hint="cs"/>
          <w:spacing w:val="-4"/>
          <w:rtl/>
          <w:lang w:bidi="ar-MA"/>
        </w:rPr>
        <w:t>48 ساعة</w:t>
      </w:r>
      <w:r w:rsidR="005322B2" w:rsidRPr="00B017EE">
        <w:rPr>
          <w:spacing w:val="-4"/>
          <w:vertAlign w:val="superscript"/>
          <w:rtl/>
          <w:lang w:bidi="ar-MA"/>
        </w:rPr>
        <w:t>(</w:t>
      </w:r>
      <w:r w:rsidR="005322B2" w:rsidRPr="00B017EE">
        <w:rPr>
          <w:rStyle w:val="FootnoteReference"/>
          <w:spacing w:val="-4"/>
          <w:rtl/>
          <w:lang w:bidi="ar-MA"/>
        </w:rPr>
        <w:footnoteReference w:id="6"/>
      </w:r>
      <w:r w:rsidR="005322B2" w:rsidRPr="00B017EE">
        <w:rPr>
          <w:spacing w:val="-4"/>
          <w:vertAlign w:val="superscript"/>
          <w:rtl/>
          <w:lang w:bidi="ar-MA"/>
        </w:rPr>
        <w:t>)</w:t>
      </w:r>
      <w:r w:rsidRPr="00B017EE">
        <w:rPr>
          <w:rFonts w:hint="cs"/>
          <w:spacing w:val="-4"/>
          <w:rtl/>
          <w:lang w:bidi="ar-MA"/>
        </w:rPr>
        <w:t>.</w:t>
      </w:r>
      <w:r w:rsidR="005322B2" w:rsidRPr="00B017EE">
        <w:rPr>
          <w:rFonts w:hint="cs"/>
          <w:spacing w:val="-4"/>
          <w:rtl/>
          <w:lang w:bidi="ar-MA"/>
        </w:rPr>
        <w:t xml:space="preserve"> </w:t>
      </w:r>
      <w:r w:rsidRPr="00B017EE">
        <w:rPr>
          <w:rFonts w:hint="cs"/>
          <w:spacing w:val="-4"/>
          <w:rtl/>
          <w:lang w:bidi="ar-MA"/>
        </w:rPr>
        <w:t>ويرجى تقديم معلومات عما إذا كان إجراء الاحتجاز قد أجازه قاضٍ ويستند إلى آليات قضائية قائمة تسمح للمحتجزين بالطعن في قرارات احتجازهم</w:t>
      </w:r>
      <w:r w:rsidR="005322B2" w:rsidRPr="00B017EE">
        <w:rPr>
          <w:spacing w:val="-4"/>
          <w:vertAlign w:val="superscript"/>
          <w:rtl/>
          <w:lang w:bidi="ar-MA"/>
        </w:rPr>
        <w:t>(</w:t>
      </w:r>
      <w:r w:rsidR="005322B2" w:rsidRPr="00B017EE">
        <w:rPr>
          <w:rStyle w:val="FootnoteReference"/>
          <w:spacing w:val="-4"/>
          <w:rtl/>
          <w:lang w:bidi="ar-MA"/>
        </w:rPr>
        <w:footnoteReference w:id="7"/>
      </w:r>
      <w:r w:rsidR="005322B2" w:rsidRPr="00B017EE">
        <w:rPr>
          <w:spacing w:val="-4"/>
          <w:vertAlign w:val="superscript"/>
          <w:rtl/>
          <w:lang w:bidi="ar-MA"/>
        </w:rPr>
        <w:t>)</w:t>
      </w:r>
      <w:r w:rsidR="002248EC" w:rsidRPr="00B017EE">
        <w:rPr>
          <w:rFonts w:hint="cs"/>
          <w:spacing w:val="-4"/>
          <w:rtl/>
          <w:lang w:bidi="ar-MA"/>
        </w:rPr>
        <w:t>. يرجى أيضاً تقديم معلومات ع</w:t>
      </w:r>
      <w:r w:rsidR="000C1F54" w:rsidRPr="00B017EE">
        <w:rPr>
          <w:rFonts w:hint="cs"/>
          <w:spacing w:val="-4"/>
          <w:rtl/>
          <w:lang w:bidi="ar-MA"/>
        </w:rPr>
        <w:t>ن ال</w:t>
      </w:r>
      <w:r w:rsidRPr="00B017EE">
        <w:rPr>
          <w:rFonts w:hint="cs"/>
          <w:spacing w:val="-4"/>
          <w:rtl/>
          <w:lang w:bidi="ar-MA"/>
        </w:rPr>
        <w:t xml:space="preserve">تدابير </w:t>
      </w:r>
      <w:r w:rsidR="000C1F54" w:rsidRPr="00B017EE">
        <w:rPr>
          <w:rFonts w:hint="cs"/>
          <w:spacing w:val="-4"/>
          <w:rtl/>
          <w:lang w:bidi="ar-MA"/>
        </w:rPr>
        <w:t>المتخذة</w:t>
      </w:r>
      <w:r w:rsidRPr="00B017EE">
        <w:rPr>
          <w:rFonts w:hint="cs"/>
          <w:spacing w:val="-4"/>
          <w:rtl/>
          <w:lang w:bidi="ar-MA"/>
        </w:rPr>
        <w:t xml:space="preserve"> </w:t>
      </w:r>
      <w:r w:rsidR="000C1F54" w:rsidRPr="00B017EE">
        <w:rPr>
          <w:rFonts w:hint="cs"/>
          <w:spacing w:val="-4"/>
          <w:rtl/>
          <w:lang w:bidi="ar-MA"/>
        </w:rPr>
        <w:t>ل</w:t>
      </w:r>
      <w:r w:rsidRPr="00B017EE">
        <w:rPr>
          <w:rFonts w:hint="cs"/>
          <w:spacing w:val="-4"/>
          <w:rtl/>
          <w:lang w:bidi="ar-MA"/>
        </w:rPr>
        <w:t xml:space="preserve">تعزيز الضمانات القضائية الأساسية في الدولة الطرف. </w:t>
      </w:r>
    </w:p>
    <w:p w:rsidR="004B190B" w:rsidRPr="00EA65E3" w:rsidRDefault="002D157A" w:rsidP="00EA4B98">
      <w:pPr>
        <w:pStyle w:val="SingleTxtGA"/>
        <w:spacing w:line="360" w:lineRule="exact"/>
        <w:rPr>
          <w:rFonts w:hint="cs"/>
          <w:lang w:bidi="ar-MA"/>
        </w:rPr>
      </w:pPr>
      <w:r>
        <w:rPr>
          <w:rFonts w:hint="cs"/>
          <w:rtl/>
          <w:lang w:bidi="ar-MA"/>
        </w:rPr>
        <w:t>5-</w:t>
      </w:r>
      <w:r>
        <w:rPr>
          <w:rFonts w:hint="cs"/>
          <w:rtl/>
          <w:lang w:bidi="ar-MA"/>
        </w:rPr>
        <w:tab/>
      </w:r>
      <w:r w:rsidR="004B190B" w:rsidRPr="00EA65E3">
        <w:rPr>
          <w:rFonts w:hint="cs"/>
          <w:rtl/>
          <w:lang w:bidi="ar-MA"/>
        </w:rPr>
        <w:t xml:space="preserve">يرجى تقديم معلومات عما اتخذته الدولة الطرف من تدابير من أجل تسجيل جميع الأشخاص الذين تحتجزهم تحت ولايتها بتوثيق هوية الشخص المحتجز، وتاريخ احتجازه </w:t>
      </w:r>
      <w:r w:rsidR="000C1F54">
        <w:rPr>
          <w:rFonts w:hint="cs"/>
          <w:rtl/>
          <w:lang w:bidi="ar-MA"/>
        </w:rPr>
        <w:t>ووقته</w:t>
      </w:r>
      <w:r w:rsidR="004B190B" w:rsidRPr="00EA65E3">
        <w:rPr>
          <w:rFonts w:hint="cs"/>
          <w:rtl/>
          <w:lang w:bidi="ar-MA"/>
        </w:rPr>
        <w:t xml:space="preserve"> ومكانه، وهوية الجهة التي احتجزته، وسبب الاحتجاز، وتاريخ دخول الشخص المحتجز مرفق الاحتجاز </w:t>
      </w:r>
      <w:r w:rsidR="000C1F54">
        <w:rPr>
          <w:rFonts w:hint="cs"/>
          <w:rtl/>
          <w:lang w:bidi="ar-MA"/>
        </w:rPr>
        <w:t>ووقته</w:t>
      </w:r>
      <w:r w:rsidR="004B190B" w:rsidRPr="00EA65E3">
        <w:rPr>
          <w:rFonts w:hint="cs"/>
          <w:rtl/>
          <w:lang w:bidi="ar-MA"/>
        </w:rPr>
        <w:t xml:space="preserve">، وحالته الصحية لدى دخوله مرفق الاحتجاز وأي تغيرات تطرأ عليها، </w:t>
      </w:r>
      <w:r w:rsidR="00EA4B98">
        <w:rPr>
          <w:rFonts w:hint="cs"/>
          <w:rtl/>
          <w:lang w:bidi="ar-MA"/>
        </w:rPr>
        <w:t>ووقت</w:t>
      </w:r>
      <w:r w:rsidR="004B190B" w:rsidRPr="00EA65E3">
        <w:rPr>
          <w:rFonts w:hint="cs"/>
          <w:rtl/>
          <w:lang w:bidi="ar-MA"/>
        </w:rPr>
        <w:t xml:space="preserve"> الاستجواب ومكانه، مع </w:t>
      </w:r>
      <w:r w:rsidR="004B190B" w:rsidRPr="00EA65E3">
        <w:rPr>
          <w:rFonts w:hint="cs"/>
          <w:rtl/>
          <w:lang w:val="fr-CH"/>
        </w:rPr>
        <w:t>إيراد أسماء جميع المحققين</w:t>
      </w:r>
      <w:r w:rsidR="000C1F54">
        <w:rPr>
          <w:rFonts w:hint="cs"/>
          <w:rtl/>
          <w:lang w:val="fr-CH"/>
        </w:rPr>
        <w:t xml:space="preserve"> الحاضرين، إضافة إلى تاريخ ووقت</w:t>
      </w:r>
      <w:r w:rsidR="004B190B" w:rsidRPr="00EA65E3">
        <w:rPr>
          <w:rFonts w:hint="cs"/>
          <w:rtl/>
          <w:lang w:val="fr-CH"/>
        </w:rPr>
        <w:t xml:space="preserve"> الإفراج عن الشخص المحتجز أو نقله إلى مرفق احتجاز آخر. </w:t>
      </w:r>
    </w:p>
    <w:p w:rsidR="004B190B" w:rsidRPr="00EA65E3" w:rsidRDefault="002D157A" w:rsidP="000C1F54">
      <w:pPr>
        <w:pStyle w:val="SingleTxtGA"/>
        <w:rPr>
          <w:rFonts w:hint="cs"/>
          <w:lang w:bidi="ar-MA"/>
        </w:rPr>
      </w:pPr>
      <w:r>
        <w:rPr>
          <w:rFonts w:hint="cs"/>
          <w:rtl/>
          <w:lang w:bidi="ar-MA"/>
        </w:rPr>
        <w:t>6-</w:t>
      </w:r>
      <w:r>
        <w:rPr>
          <w:rFonts w:hint="cs"/>
          <w:rtl/>
          <w:lang w:bidi="ar-MA"/>
        </w:rPr>
        <w:tab/>
      </w:r>
      <w:r w:rsidR="004B190B" w:rsidRPr="00EA65E3">
        <w:rPr>
          <w:rFonts w:hint="cs"/>
          <w:rtl/>
          <w:lang w:bidi="ar-MA"/>
        </w:rPr>
        <w:t xml:space="preserve">يرجى تقديم معلومات مفصلة عن الجزاءات المفروضة كعقوبات جنائية على جرائم </w:t>
      </w:r>
      <w:r w:rsidR="004B190B" w:rsidRPr="00EA65E3">
        <w:rPr>
          <w:rFonts w:hint="cs"/>
          <w:rtl/>
        </w:rPr>
        <w:t xml:space="preserve">السرقة والحرابة والزنا والقذف وشرب الخمر والردة وعن عدد القضايا المتعلقة بها، على النحو المذكور في الفقرة 16 من </w:t>
      </w:r>
      <w:r w:rsidR="004B190B" w:rsidRPr="00EA65E3">
        <w:t>CAT/C/QAT/CO/1/Add.1</w:t>
      </w:r>
      <w:r w:rsidR="004B190B" w:rsidRPr="00EA65E3">
        <w:rPr>
          <w:rFonts w:hint="cs"/>
          <w:rtl/>
          <w:lang w:bidi="ar-MA"/>
        </w:rPr>
        <w:t xml:space="preserve">، التي تفيد بأن </w:t>
      </w:r>
      <w:r w:rsidR="004B190B" w:rsidRPr="00EA65E3">
        <w:rPr>
          <w:rFonts w:hint="cs"/>
          <w:rtl/>
        </w:rPr>
        <w:t xml:space="preserve">قانون العقوبات القطري </w:t>
      </w:r>
      <w:r w:rsidR="000C1F54">
        <w:rPr>
          <w:rFonts w:hint="cs"/>
          <w:rtl/>
        </w:rPr>
        <w:t>يأذن</w:t>
      </w:r>
      <w:r w:rsidR="004B190B" w:rsidRPr="00EA65E3">
        <w:rPr>
          <w:rFonts w:hint="cs"/>
          <w:rtl/>
        </w:rPr>
        <w:t xml:space="preserve"> </w:t>
      </w:r>
      <w:r w:rsidR="000C1F54">
        <w:rPr>
          <w:rFonts w:hint="cs"/>
          <w:rtl/>
        </w:rPr>
        <w:t>ب</w:t>
      </w:r>
      <w:r w:rsidR="004B190B" w:rsidRPr="00EA65E3">
        <w:rPr>
          <w:rFonts w:hint="cs"/>
          <w:rtl/>
        </w:rPr>
        <w:t xml:space="preserve">تطبيق </w:t>
      </w:r>
      <w:r w:rsidR="000C1F54">
        <w:rPr>
          <w:rFonts w:hint="cs"/>
          <w:rtl/>
        </w:rPr>
        <w:t>ال</w:t>
      </w:r>
      <w:r w:rsidR="004B190B" w:rsidRPr="00EA65E3">
        <w:rPr>
          <w:rFonts w:hint="cs"/>
          <w:rtl/>
        </w:rPr>
        <w:t>عقوبات "إذا كان المتهم أو المجني عليه مسلماً". ويرجى أيضاً تقديم معلومات مفصلة عن عملية مراجعة أحكام قانون العقوبات التي تنص على الجلد والرجم كعقوبات جنائية</w:t>
      </w:r>
      <w:r w:rsidR="005322B2">
        <w:rPr>
          <w:vertAlign w:val="superscript"/>
          <w:rtl/>
          <w:lang w:bidi="ar-MA"/>
        </w:rPr>
        <w:t>(</w:t>
      </w:r>
      <w:r w:rsidR="005322B2">
        <w:rPr>
          <w:rStyle w:val="FootnoteReference"/>
          <w:rtl/>
          <w:lang w:bidi="ar-MA"/>
        </w:rPr>
        <w:footnoteReference w:id="8"/>
      </w:r>
      <w:r w:rsidR="005322B2">
        <w:rPr>
          <w:vertAlign w:val="superscript"/>
          <w:rtl/>
          <w:lang w:bidi="ar-MA"/>
        </w:rPr>
        <w:t>)</w:t>
      </w:r>
      <w:r w:rsidR="004B190B" w:rsidRPr="00EA65E3">
        <w:rPr>
          <w:rFonts w:hint="cs"/>
          <w:rtl/>
        </w:rPr>
        <w:t>.</w:t>
      </w:r>
    </w:p>
    <w:p w:rsidR="004B190B" w:rsidRPr="00EA65E3" w:rsidRDefault="002D157A" w:rsidP="000C1F54">
      <w:pPr>
        <w:pStyle w:val="SingleTxtGA"/>
        <w:rPr>
          <w:rFonts w:hint="cs"/>
          <w:lang w:bidi="ar-MA"/>
        </w:rPr>
      </w:pPr>
      <w:r>
        <w:rPr>
          <w:rFonts w:hint="cs"/>
          <w:rtl/>
          <w:lang w:bidi="ar-MA"/>
        </w:rPr>
        <w:t>7-</w:t>
      </w:r>
      <w:r>
        <w:rPr>
          <w:rFonts w:hint="cs"/>
          <w:rtl/>
          <w:lang w:bidi="ar-MA"/>
        </w:rPr>
        <w:tab/>
      </w:r>
      <w:r w:rsidR="004B190B" w:rsidRPr="00EA65E3">
        <w:rPr>
          <w:rFonts w:hint="cs"/>
          <w:rtl/>
          <w:lang w:bidi="ar-MA"/>
        </w:rPr>
        <w:t>إلحاقاً بتوصية اللجنة ال</w:t>
      </w:r>
      <w:r w:rsidR="000C1F54">
        <w:rPr>
          <w:rFonts w:hint="cs"/>
          <w:rtl/>
          <w:lang w:bidi="ar-MA"/>
        </w:rPr>
        <w:t>وارد</w:t>
      </w:r>
      <w:r w:rsidR="004B190B" w:rsidRPr="00EA65E3">
        <w:rPr>
          <w:rFonts w:hint="cs"/>
          <w:rtl/>
          <w:lang w:bidi="ar-MA"/>
        </w:rPr>
        <w:t xml:space="preserve">ة في ملاحظاتها الختامية السابقة (الفقرة 17)، ما </w:t>
      </w:r>
      <w:r w:rsidR="000C1F54">
        <w:rPr>
          <w:rFonts w:hint="cs"/>
          <w:rtl/>
          <w:lang w:bidi="ar-MA"/>
        </w:rPr>
        <w:t xml:space="preserve">هي </w:t>
      </w:r>
      <w:r w:rsidR="004B190B" w:rsidRPr="00EA65E3">
        <w:rPr>
          <w:rFonts w:hint="cs"/>
          <w:rtl/>
          <w:lang w:bidi="ar-MA"/>
        </w:rPr>
        <w:t xml:space="preserve">الجهود التي بُذلت </w:t>
      </w:r>
      <w:r w:rsidR="000C1F54">
        <w:rPr>
          <w:rFonts w:hint="cs"/>
          <w:rtl/>
          <w:lang w:bidi="ar-MA"/>
        </w:rPr>
        <w:t>ل</w:t>
      </w:r>
      <w:r w:rsidR="004B190B" w:rsidRPr="00EA65E3">
        <w:rPr>
          <w:rFonts w:hint="cs"/>
          <w:rtl/>
          <w:lang w:bidi="ar-MA"/>
        </w:rPr>
        <w:t>ضمان تقيّد أنشطة اللجنة الوطنية لحقوق الإنسان تقيّداً كاملاً بمبادئ باريس، بما في ذلك ضمان استقلالها</w:t>
      </w:r>
      <w:r w:rsidR="005322B2">
        <w:rPr>
          <w:vertAlign w:val="superscript"/>
          <w:rtl/>
          <w:lang w:bidi="ar-MA"/>
        </w:rPr>
        <w:t>(</w:t>
      </w:r>
      <w:r w:rsidR="005322B2">
        <w:rPr>
          <w:rStyle w:val="FootnoteReference"/>
          <w:rtl/>
          <w:lang w:bidi="ar-MA"/>
        </w:rPr>
        <w:footnoteReference w:id="9"/>
      </w:r>
      <w:r w:rsidR="005322B2">
        <w:rPr>
          <w:vertAlign w:val="superscript"/>
          <w:rtl/>
          <w:lang w:bidi="ar-MA"/>
        </w:rPr>
        <w:t>)</w:t>
      </w:r>
      <w:r w:rsidR="004B190B" w:rsidRPr="00EA65E3">
        <w:rPr>
          <w:rFonts w:hint="cs"/>
          <w:rtl/>
          <w:lang w:bidi="ar-MA"/>
        </w:rPr>
        <w:t>؟</w:t>
      </w:r>
      <w:r w:rsidR="000C1F54">
        <w:rPr>
          <w:rFonts w:hint="cs"/>
          <w:rtl/>
        </w:rPr>
        <w:t xml:space="preserve"> </w:t>
      </w:r>
      <w:r w:rsidR="004B190B" w:rsidRPr="00EA65E3">
        <w:rPr>
          <w:rFonts w:hint="cs"/>
          <w:rtl/>
          <w:lang w:bidi="ar-MA"/>
        </w:rPr>
        <w:t xml:space="preserve">يرجى تقديم معلومات عن ولاية اللجنة الوطنية لحقوق الإنسان وعن مواردها المالية وكيفية تعيين أعضائها.  </w:t>
      </w:r>
    </w:p>
    <w:p w:rsidR="004B190B" w:rsidRPr="00EA65E3" w:rsidRDefault="004B190B" w:rsidP="000C1F54">
      <w:pPr>
        <w:pStyle w:val="SingleTxtGA"/>
        <w:rPr>
          <w:rFonts w:hint="cs"/>
          <w:rtl/>
        </w:rPr>
      </w:pPr>
      <w:r w:rsidRPr="00EA65E3">
        <w:rPr>
          <w:rFonts w:hint="cs"/>
          <w:rtl/>
        </w:rPr>
        <w:t>8-</w:t>
      </w:r>
      <w:r w:rsidRPr="00EA65E3">
        <w:rPr>
          <w:rFonts w:hint="cs"/>
          <w:rtl/>
        </w:rPr>
        <w:tab/>
      </w:r>
      <w:r w:rsidR="000C1F54">
        <w:rPr>
          <w:rFonts w:hint="cs"/>
          <w:rtl/>
          <w:lang w:bidi="ar-MA"/>
        </w:rPr>
        <w:t>إلحاقاً بتوصية اللجنة الوارد</w:t>
      </w:r>
      <w:r w:rsidRPr="00EA65E3">
        <w:rPr>
          <w:rFonts w:hint="cs"/>
          <w:rtl/>
          <w:lang w:bidi="ar-MA"/>
        </w:rPr>
        <w:t>ة في ملاحظاتها الختامية السابقة (الفقرة 22)، هل استحدثت الدولة الطرف تدابير رامية إلى منع ممارسة العنف ضد المرأة والمعاقبة عليه، بما في ذلك استحداث معايير إثبات عادلة</w:t>
      </w:r>
      <w:r w:rsidR="00F711E0">
        <w:rPr>
          <w:vertAlign w:val="superscript"/>
          <w:rtl/>
          <w:lang w:bidi="ar-MA"/>
        </w:rPr>
        <w:t>(</w:t>
      </w:r>
      <w:r w:rsidR="00F711E0">
        <w:rPr>
          <w:rStyle w:val="FootnoteReference"/>
          <w:rtl/>
          <w:lang w:bidi="ar-MA"/>
        </w:rPr>
        <w:footnoteReference w:id="10"/>
      </w:r>
      <w:r w:rsidR="00F711E0">
        <w:rPr>
          <w:vertAlign w:val="superscript"/>
          <w:rtl/>
          <w:lang w:bidi="ar-MA"/>
        </w:rPr>
        <w:t>)</w:t>
      </w:r>
      <w:r w:rsidRPr="00EA65E3">
        <w:rPr>
          <w:rFonts w:hint="cs"/>
          <w:rtl/>
          <w:lang w:bidi="ar-MA"/>
        </w:rPr>
        <w:t>؟</w:t>
      </w:r>
      <w:r w:rsidR="00F711E0">
        <w:rPr>
          <w:rFonts w:hint="cs"/>
          <w:rtl/>
          <w:lang w:bidi="ar-MA"/>
        </w:rPr>
        <w:t xml:space="preserve"> </w:t>
      </w:r>
      <w:r w:rsidRPr="00EA65E3">
        <w:rPr>
          <w:rFonts w:hint="cs"/>
          <w:rtl/>
          <w:lang w:bidi="ar-MA"/>
        </w:rPr>
        <w:t>يرجى تقديم معلومات عن ما اتخذته الدولة الطرف من تدابير لإلغاء جميع الأحكام التي تُجرّم مباشرة النشاط الجنسي بين البالغين ب</w:t>
      </w:r>
      <w:r w:rsidR="000C1F54">
        <w:rPr>
          <w:rFonts w:hint="cs"/>
          <w:rtl/>
          <w:lang w:bidi="ar-MA"/>
        </w:rPr>
        <w:t>التراضي</w:t>
      </w:r>
      <w:r w:rsidRPr="00EA65E3">
        <w:rPr>
          <w:rFonts w:hint="cs"/>
          <w:rtl/>
          <w:lang w:bidi="ar-MA"/>
        </w:rPr>
        <w:t xml:space="preserve">، بما في ذلك </w:t>
      </w:r>
      <w:r w:rsidR="000C1F54">
        <w:rPr>
          <w:rFonts w:hint="cs"/>
          <w:rtl/>
          <w:lang w:bidi="ar-MA"/>
        </w:rPr>
        <w:t xml:space="preserve">إلغاء عقوبة </w:t>
      </w:r>
      <w:r w:rsidRPr="00EA65E3">
        <w:rPr>
          <w:rFonts w:hint="cs"/>
          <w:rtl/>
        </w:rPr>
        <w:t>الإعدام</w:t>
      </w:r>
      <w:r w:rsidR="00F711E0">
        <w:rPr>
          <w:vertAlign w:val="superscript"/>
          <w:rtl/>
          <w:lang w:bidi="ar-MA"/>
        </w:rPr>
        <w:t>(</w:t>
      </w:r>
      <w:r w:rsidR="00F711E0">
        <w:rPr>
          <w:rStyle w:val="FootnoteReference"/>
          <w:rtl/>
          <w:lang w:bidi="ar-MA"/>
        </w:rPr>
        <w:footnoteReference w:id="11"/>
      </w:r>
      <w:r w:rsidR="00F711E0">
        <w:rPr>
          <w:vertAlign w:val="superscript"/>
          <w:rtl/>
          <w:lang w:bidi="ar-MA"/>
        </w:rPr>
        <w:t>)</w:t>
      </w:r>
      <w:r w:rsidRPr="00EA65E3">
        <w:rPr>
          <w:rFonts w:hint="cs"/>
          <w:rtl/>
        </w:rPr>
        <w:t>.</w:t>
      </w:r>
      <w:r w:rsidR="00F711E0">
        <w:rPr>
          <w:rFonts w:hint="cs"/>
          <w:rtl/>
        </w:rPr>
        <w:t xml:space="preserve"> </w:t>
      </w:r>
      <w:r w:rsidRPr="00EA65E3">
        <w:rPr>
          <w:rFonts w:hint="cs"/>
          <w:rtl/>
        </w:rPr>
        <w:t>كما يرجى تقديم معلومات عن سبب عدم قبول الدولة الطرف التوصيات المنبثقة عن الاستعراض الدوري الشامل المتعلقة بسحب تحفظات الدولة على اتفاقية القضاء على</w:t>
      </w:r>
      <w:r w:rsidR="000C1F54">
        <w:rPr>
          <w:rFonts w:hint="cs"/>
          <w:rtl/>
        </w:rPr>
        <w:t xml:space="preserve"> جميع أشكال التمييز ضد المرأة. </w:t>
      </w:r>
    </w:p>
    <w:p w:rsidR="004B190B" w:rsidRPr="00EA65E3" w:rsidRDefault="004B190B" w:rsidP="00EA4B98">
      <w:pPr>
        <w:pStyle w:val="SingleTxtGA"/>
        <w:rPr>
          <w:rFonts w:hint="cs"/>
          <w:rtl/>
        </w:rPr>
      </w:pPr>
      <w:r w:rsidRPr="00EA65E3">
        <w:rPr>
          <w:rFonts w:hint="cs"/>
          <w:rtl/>
        </w:rPr>
        <w:t>9-</w:t>
      </w:r>
      <w:r w:rsidR="002D157A">
        <w:rPr>
          <w:rFonts w:hint="cs"/>
          <w:rtl/>
        </w:rPr>
        <w:tab/>
      </w:r>
      <w:r w:rsidRPr="00EA65E3">
        <w:rPr>
          <w:rFonts w:hint="cs"/>
          <w:rtl/>
        </w:rPr>
        <w:t>يرجى تقديم معلومات عن تنفيذ المرسوم الأميري رقم 23 الصادر عام 2002 فيما</w:t>
      </w:r>
      <w:r w:rsidR="00EA4B98">
        <w:rPr>
          <w:rFonts w:hint="eastAsia"/>
          <w:rtl/>
        </w:rPr>
        <w:t> </w:t>
      </w:r>
      <w:r w:rsidRPr="00EA65E3">
        <w:rPr>
          <w:rFonts w:hint="cs"/>
          <w:rtl/>
        </w:rPr>
        <w:t xml:space="preserve">يتعلق بمكافحة العنف المنزلي وإساءة معاملة الأطفال. ويرجى تقديم بيانات إحصائية بشأن عدد الشكاوى التي تلقتها الجهات المعنية وجرى التحقيق فيها خلال الفترة المشمولة بالتقرير، فضلاً عن عدد المحاكمات والإدانات. </w:t>
      </w:r>
    </w:p>
    <w:p w:rsidR="004B190B" w:rsidRPr="00EA65E3" w:rsidRDefault="004B190B" w:rsidP="00E4598C">
      <w:pPr>
        <w:pStyle w:val="SingleTxtGA"/>
        <w:rPr>
          <w:rFonts w:hint="cs"/>
          <w:rtl/>
        </w:rPr>
      </w:pPr>
      <w:r w:rsidRPr="00EA65E3">
        <w:rPr>
          <w:rFonts w:hint="cs"/>
          <w:rtl/>
        </w:rPr>
        <w:t>10-</w:t>
      </w:r>
      <w:r w:rsidR="002D157A">
        <w:rPr>
          <w:rFonts w:hint="cs"/>
          <w:rtl/>
        </w:rPr>
        <w:tab/>
      </w:r>
      <w:r w:rsidRPr="00EA65E3">
        <w:rPr>
          <w:rFonts w:hint="cs"/>
          <w:rtl/>
        </w:rPr>
        <w:t xml:space="preserve">يرجى أيضاً تقديم بيانات إحصائية بشأن </w:t>
      </w:r>
      <w:r w:rsidRPr="00EA65E3">
        <w:rPr>
          <w:rtl/>
        </w:rPr>
        <w:t xml:space="preserve">انتشار العنف ضد المرأة في الدولة الطرف، </w:t>
      </w:r>
      <w:r w:rsidRPr="00EA65E3">
        <w:rPr>
          <w:rFonts w:hint="cs"/>
          <w:rtl/>
        </w:rPr>
        <w:t>بما في ذلك</w:t>
      </w:r>
      <w:r w:rsidRPr="00EA65E3">
        <w:rPr>
          <w:rtl/>
        </w:rPr>
        <w:t xml:space="preserve"> العنف </w:t>
      </w:r>
      <w:r w:rsidRPr="00EA65E3">
        <w:rPr>
          <w:rFonts w:hint="cs"/>
          <w:rtl/>
        </w:rPr>
        <w:t>الأسري</w:t>
      </w:r>
      <w:r w:rsidR="000C1F54">
        <w:rPr>
          <w:rFonts w:hint="cs"/>
          <w:rtl/>
        </w:rPr>
        <w:t>،</w:t>
      </w:r>
      <w:r w:rsidRPr="00EA65E3">
        <w:rPr>
          <w:rtl/>
        </w:rPr>
        <w:t xml:space="preserve"> والاتجار </w:t>
      </w:r>
      <w:r w:rsidRPr="00EA65E3">
        <w:rPr>
          <w:rFonts w:hint="cs"/>
          <w:rtl/>
        </w:rPr>
        <w:t>ب</w:t>
      </w:r>
      <w:r w:rsidRPr="00EA65E3">
        <w:rPr>
          <w:rtl/>
        </w:rPr>
        <w:t>النساء والفتيات</w:t>
      </w:r>
      <w:r w:rsidR="000C1F54">
        <w:rPr>
          <w:rFonts w:hint="cs"/>
          <w:rtl/>
        </w:rPr>
        <w:t>،</w:t>
      </w:r>
      <w:r w:rsidRPr="00EA65E3">
        <w:rPr>
          <w:rtl/>
        </w:rPr>
        <w:t xml:space="preserve"> والعنف ضد العاملات المهاجرات.</w:t>
      </w:r>
      <w:r w:rsidRPr="00EA65E3">
        <w:rPr>
          <w:rFonts w:hint="cs"/>
          <w:rtl/>
        </w:rPr>
        <w:t xml:space="preserve"> </w:t>
      </w:r>
      <w:r w:rsidRPr="00EA65E3">
        <w:rPr>
          <w:rtl/>
        </w:rPr>
        <w:t>وهل تحتاج المرأة إلى إذن وليها لتقديم شكوى جنائية، حتى وإن كانت</w:t>
      </w:r>
      <w:r w:rsidRPr="00EA65E3">
        <w:rPr>
          <w:rFonts w:hint="cs"/>
          <w:rtl/>
        </w:rPr>
        <w:t xml:space="preserve"> الشكوى</w:t>
      </w:r>
      <w:r w:rsidRPr="00EA65E3">
        <w:rPr>
          <w:rtl/>
        </w:rPr>
        <w:t xml:space="preserve"> موجهة ضد وليها؟ يرجى أيضاً </w:t>
      </w:r>
      <w:r w:rsidRPr="00EA65E3">
        <w:rPr>
          <w:rFonts w:hint="cs"/>
          <w:rtl/>
        </w:rPr>
        <w:t xml:space="preserve">بيان ما إذا </w:t>
      </w:r>
      <w:r w:rsidRPr="00EA65E3">
        <w:rPr>
          <w:rtl/>
        </w:rPr>
        <w:t>كانت الدولة الطرف قد شرعت في</w:t>
      </w:r>
      <w:r w:rsidRPr="00EA65E3">
        <w:rPr>
          <w:rFonts w:hint="cs"/>
          <w:rtl/>
        </w:rPr>
        <w:t xml:space="preserve"> وضع </w:t>
      </w:r>
      <w:r w:rsidRPr="00EA65E3">
        <w:rPr>
          <w:rtl/>
        </w:rPr>
        <w:t xml:space="preserve">أي برامج </w:t>
      </w:r>
      <w:r w:rsidRPr="00EA65E3">
        <w:rPr>
          <w:rFonts w:hint="cs"/>
          <w:rtl/>
        </w:rPr>
        <w:t>لإذكاء ال</w:t>
      </w:r>
      <w:r w:rsidRPr="00EA65E3">
        <w:rPr>
          <w:rtl/>
        </w:rPr>
        <w:t>وعي ب</w:t>
      </w:r>
      <w:r w:rsidRPr="00EA65E3">
        <w:rPr>
          <w:rFonts w:hint="cs"/>
          <w:rtl/>
        </w:rPr>
        <w:t xml:space="preserve">ظاهرة </w:t>
      </w:r>
      <w:r w:rsidRPr="00EA65E3">
        <w:rPr>
          <w:rtl/>
        </w:rPr>
        <w:t xml:space="preserve">العنف </w:t>
      </w:r>
      <w:r w:rsidRPr="00EA65E3">
        <w:rPr>
          <w:rFonts w:hint="cs"/>
          <w:rtl/>
        </w:rPr>
        <w:t xml:space="preserve">الأسري. </w:t>
      </w:r>
    </w:p>
    <w:p w:rsidR="004B190B" w:rsidRPr="00EA65E3" w:rsidRDefault="000C1F54" w:rsidP="000C1F54">
      <w:pPr>
        <w:pStyle w:val="SingleTxtGA"/>
        <w:rPr>
          <w:rFonts w:hint="cs"/>
          <w:rtl/>
        </w:rPr>
      </w:pPr>
      <w:r>
        <w:rPr>
          <w:rFonts w:hint="cs"/>
          <w:rtl/>
        </w:rPr>
        <w:t>11-</w:t>
      </w:r>
      <w:r>
        <w:rPr>
          <w:rFonts w:hint="cs"/>
          <w:rtl/>
        </w:rPr>
        <w:tab/>
      </w:r>
      <w:r w:rsidR="004B190B" w:rsidRPr="00EA65E3">
        <w:rPr>
          <w:rFonts w:hint="cs"/>
          <w:rtl/>
        </w:rPr>
        <w:t>وفقاً للمعلومات المعروضة على اللجنة، تواجه النساء ضحايا العنف، ولا</w:t>
      </w:r>
      <w:r w:rsidR="00EA4B98">
        <w:rPr>
          <w:rFonts w:hint="eastAsia"/>
          <w:rtl/>
        </w:rPr>
        <w:t> </w:t>
      </w:r>
      <w:proofErr w:type="spellStart"/>
      <w:r w:rsidR="004B190B" w:rsidRPr="00EA65E3">
        <w:rPr>
          <w:rFonts w:hint="cs"/>
          <w:rtl/>
        </w:rPr>
        <w:t>سيما</w:t>
      </w:r>
      <w:proofErr w:type="spellEnd"/>
      <w:r w:rsidR="004B190B" w:rsidRPr="00EA65E3">
        <w:rPr>
          <w:rFonts w:hint="cs"/>
          <w:rtl/>
        </w:rPr>
        <w:t xml:space="preserve"> العنف المنزلي، صعوبات </w:t>
      </w:r>
      <w:r>
        <w:rPr>
          <w:rFonts w:hint="cs"/>
          <w:rtl/>
        </w:rPr>
        <w:t>جم</w:t>
      </w:r>
      <w:r w:rsidR="004B190B" w:rsidRPr="00EA65E3">
        <w:rPr>
          <w:rFonts w:hint="cs"/>
          <w:rtl/>
        </w:rPr>
        <w:t>ة في تقديم شكا</w:t>
      </w:r>
      <w:r>
        <w:rPr>
          <w:rFonts w:hint="cs"/>
          <w:rtl/>
        </w:rPr>
        <w:t xml:space="preserve">وى إلى الشرطة في الدولة الطرف. </w:t>
      </w:r>
      <w:r w:rsidR="004B190B" w:rsidRPr="00EA65E3">
        <w:rPr>
          <w:rFonts w:hint="cs"/>
          <w:rtl/>
        </w:rPr>
        <w:t>يرجى تقديم معلومات محدّثة عن التدابير التي اتُّخذت لمنع ممارسة العنف ضد النساء والأطفال ومكافحته والمعاقبة عليه بقدرٍ ك</w:t>
      </w:r>
      <w:r>
        <w:rPr>
          <w:rFonts w:hint="cs"/>
          <w:rtl/>
        </w:rPr>
        <w:t>افٍ، بما في ذلك العنف المنزلي.</w:t>
      </w:r>
      <w:r w:rsidR="004B190B" w:rsidRPr="00EA65E3">
        <w:rPr>
          <w:rFonts w:hint="cs"/>
          <w:rtl/>
        </w:rPr>
        <w:t xml:space="preserve"> </w:t>
      </w:r>
      <w:r>
        <w:rPr>
          <w:rFonts w:hint="cs"/>
          <w:rtl/>
        </w:rPr>
        <w:t>و</w:t>
      </w:r>
      <w:r w:rsidR="004B190B" w:rsidRPr="00EA65E3">
        <w:rPr>
          <w:rFonts w:hint="cs"/>
          <w:rtl/>
        </w:rPr>
        <w:t xml:space="preserve">في هذا الصدد، </w:t>
      </w:r>
      <w:r w:rsidRPr="00EA65E3">
        <w:rPr>
          <w:rFonts w:hint="cs"/>
          <w:rtl/>
        </w:rPr>
        <w:t xml:space="preserve">يرجى </w:t>
      </w:r>
      <w:r w:rsidR="004B190B" w:rsidRPr="00EA65E3">
        <w:rPr>
          <w:rFonts w:hint="cs"/>
          <w:rtl/>
        </w:rPr>
        <w:t>بيان ما إذا كان هذا العنف مُجرّماً بموجب تشريعات الدولة الطرف.</w:t>
      </w:r>
    </w:p>
    <w:p w:rsidR="004B190B" w:rsidRPr="00EA65E3" w:rsidRDefault="004B190B" w:rsidP="000C1F54">
      <w:pPr>
        <w:pStyle w:val="SingleTxtGA"/>
        <w:rPr>
          <w:rFonts w:hint="cs"/>
          <w:rtl/>
        </w:rPr>
      </w:pPr>
      <w:r w:rsidRPr="00EA65E3">
        <w:rPr>
          <w:rFonts w:hint="cs"/>
          <w:rtl/>
        </w:rPr>
        <w:t>12-</w:t>
      </w:r>
      <w:r w:rsidRPr="00EA65E3">
        <w:rPr>
          <w:rFonts w:hint="cs"/>
          <w:rtl/>
        </w:rPr>
        <w:tab/>
        <w:t xml:space="preserve">يرجى تقديم معلومات عن تنفيذ القانون رقم 14/2004 الذي يُجرم العديد من الأفعال التي تبلغ حد الاتجار بالبشر. يرجى أيضاً تقديم بيانات إحصائية بشأن </w:t>
      </w:r>
      <w:r w:rsidR="000C1F54">
        <w:rPr>
          <w:rFonts w:hint="cs"/>
          <w:rtl/>
        </w:rPr>
        <w:t>حجم</w:t>
      </w:r>
      <w:r w:rsidRPr="00EA65E3">
        <w:rPr>
          <w:rFonts w:hint="cs"/>
          <w:rtl/>
        </w:rPr>
        <w:t xml:space="preserve"> الاتجار بالبغايا واستغلالهن في البلد، وعدد الشكاوى التي تلقتها الجهات المعنية وجرى التحقيق فيها خلال الفترة المشمولة بالتقرير، فضلاً عن عدد المحاكمات والإدانات</w:t>
      </w:r>
      <w:r w:rsidR="00F711E0">
        <w:rPr>
          <w:vertAlign w:val="superscript"/>
          <w:rtl/>
          <w:lang w:bidi="ar-MA"/>
        </w:rPr>
        <w:t>(</w:t>
      </w:r>
      <w:r w:rsidR="00F711E0">
        <w:rPr>
          <w:rStyle w:val="FootnoteReference"/>
          <w:rtl/>
          <w:lang w:bidi="ar-MA"/>
        </w:rPr>
        <w:footnoteReference w:id="12"/>
      </w:r>
      <w:r w:rsidR="00F711E0">
        <w:rPr>
          <w:vertAlign w:val="superscript"/>
          <w:rtl/>
          <w:lang w:bidi="ar-MA"/>
        </w:rPr>
        <w:t>)</w:t>
      </w:r>
      <w:r w:rsidRPr="00EA65E3">
        <w:rPr>
          <w:rFonts w:hint="cs"/>
          <w:rtl/>
        </w:rPr>
        <w:t>.</w:t>
      </w:r>
    </w:p>
    <w:p w:rsidR="004B190B" w:rsidRPr="00EA65E3" w:rsidRDefault="00132DEF" w:rsidP="002D157A">
      <w:pPr>
        <w:pStyle w:val="SingleTxtGA"/>
        <w:rPr>
          <w:rFonts w:hint="cs"/>
          <w:rtl/>
        </w:rPr>
      </w:pPr>
      <w:r>
        <w:rPr>
          <w:rFonts w:hint="cs"/>
          <w:rtl/>
        </w:rPr>
        <w:t>13-</w:t>
      </w:r>
      <w:r>
        <w:rPr>
          <w:rFonts w:hint="cs"/>
          <w:rtl/>
        </w:rPr>
        <w:tab/>
      </w:r>
      <w:r w:rsidR="004B190B" w:rsidRPr="00EA65E3">
        <w:rPr>
          <w:rFonts w:hint="cs"/>
          <w:rtl/>
        </w:rPr>
        <w:t xml:space="preserve">ما </w:t>
      </w:r>
      <w:r>
        <w:rPr>
          <w:rFonts w:hint="cs"/>
          <w:rtl/>
        </w:rPr>
        <w:t xml:space="preserve">هي </w:t>
      </w:r>
      <w:r w:rsidR="004B190B" w:rsidRPr="00EA65E3">
        <w:rPr>
          <w:rFonts w:hint="cs"/>
          <w:rtl/>
        </w:rPr>
        <w:t xml:space="preserve">التدابير التي اتخذتها الدولة الطرف لرفع الحد الأدنى لسن المسؤولية الجنائية من سبع سنوات إلى مستوى مقبول دولياً؟  </w:t>
      </w:r>
    </w:p>
    <w:p w:rsidR="004B190B" w:rsidRPr="00EA65E3" w:rsidRDefault="004B190B" w:rsidP="00132DEF">
      <w:pPr>
        <w:pStyle w:val="SingleTxtGA"/>
        <w:rPr>
          <w:rFonts w:hint="cs"/>
          <w:rtl/>
        </w:rPr>
      </w:pPr>
      <w:r w:rsidRPr="00EA65E3">
        <w:rPr>
          <w:rFonts w:hint="cs"/>
          <w:rtl/>
        </w:rPr>
        <w:t>14-</w:t>
      </w:r>
      <w:r w:rsidRPr="00EA65E3">
        <w:rPr>
          <w:rFonts w:hint="cs"/>
          <w:rtl/>
        </w:rPr>
        <w:tab/>
        <w:t>يرجى تقديم معلومات عن أي تدابير اتخذته</w:t>
      </w:r>
      <w:r w:rsidR="00E4598C">
        <w:rPr>
          <w:rFonts w:hint="cs"/>
          <w:rtl/>
        </w:rPr>
        <w:t>ا الدولة الطرف لتحقيق ما يلي:</w:t>
      </w:r>
    </w:p>
    <w:p w:rsidR="004B190B" w:rsidRPr="00EA65E3" w:rsidRDefault="004B190B" w:rsidP="00132DEF">
      <w:pPr>
        <w:pStyle w:val="SingleTxtGA"/>
        <w:rPr>
          <w:rFonts w:hint="cs"/>
          <w:rtl/>
          <w:lang w:bidi="ar-MA"/>
        </w:rPr>
      </w:pPr>
      <w:r w:rsidRPr="00EA65E3">
        <w:rPr>
          <w:rFonts w:hint="cs"/>
          <w:rtl/>
          <w:lang w:bidi="ar-MA"/>
        </w:rPr>
        <w:tab/>
        <w:t>(أ)</w:t>
      </w:r>
      <w:r w:rsidRPr="00EA65E3">
        <w:rPr>
          <w:rFonts w:hint="cs"/>
          <w:rtl/>
          <w:lang w:bidi="ar-MA"/>
        </w:rPr>
        <w:tab/>
        <w:t xml:space="preserve">فحص البيانات المتعلقة بالاتجار بالنساء والأطفال وضمان استخدام جميع البيانات لأغراض </w:t>
      </w:r>
      <w:r w:rsidR="00132DEF">
        <w:rPr>
          <w:rFonts w:hint="cs"/>
          <w:rtl/>
          <w:lang w:bidi="ar-MA"/>
        </w:rPr>
        <w:t>صياغة</w:t>
      </w:r>
      <w:r w:rsidRPr="00EA65E3">
        <w:rPr>
          <w:rFonts w:hint="cs"/>
          <w:rtl/>
          <w:lang w:bidi="ar-MA"/>
        </w:rPr>
        <w:t xml:space="preserve"> السياسات والبرامج والمشاريع ورصدها وتقييمها؛</w:t>
      </w:r>
    </w:p>
    <w:p w:rsidR="004B190B" w:rsidRPr="00EA65E3" w:rsidRDefault="002D157A" w:rsidP="002D157A">
      <w:pPr>
        <w:pStyle w:val="SingleTxtGA"/>
        <w:rPr>
          <w:rFonts w:hint="cs"/>
          <w:sz w:val="30"/>
          <w:rtl/>
        </w:rPr>
      </w:pPr>
      <w:r>
        <w:rPr>
          <w:rFonts w:hint="cs"/>
          <w:rtl/>
          <w:lang w:bidi="ar-MA"/>
        </w:rPr>
        <w:tab/>
      </w:r>
      <w:r w:rsidR="00132DEF">
        <w:rPr>
          <w:rFonts w:hint="cs"/>
          <w:rtl/>
          <w:lang w:bidi="ar-MA"/>
        </w:rPr>
        <w:t>(ب)</w:t>
      </w:r>
      <w:r w:rsidR="00132DEF">
        <w:rPr>
          <w:rFonts w:hint="cs"/>
          <w:rtl/>
          <w:lang w:bidi="ar-MA"/>
        </w:rPr>
        <w:tab/>
      </w:r>
      <w:r w:rsidR="004B190B" w:rsidRPr="00EA65E3">
        <w:rPr>
          <w:rFonts w:hint="cs"/>
          <w:rtl/>
          <w:lang w:val="fr-CH"/>
        </w:rPr>
        <w:t>تعزيز إجراءاتها المتعلقة بتحديد هوية الأطفال ضحايا الاتجار بهم في</w:t>
      </w:r>
      <w:r w:rsidR="00E4598C">
        <w:rPr>
          <w:rFonts w:hint="cs"/>
          <w:rtl/>
          <w:lang w:val="fr-CH"/>
        </w:rPr>
        <w:t xml:space="preserve">    </w:t>
      </w:r>
      <w:r w:rsidR="004B190B" w:rsidRPr="00EA65E3">
        <w:rPr>
          <w:rFonts w:hint="cs"/>
          <w:rtl/>
          <w:lang w:val="fr-CH"/>
        </w:rPr>
        <w:t xml:space="preserve"> وقت مبكر؛</w:t>
      </w:r>
    </w:p>
    <w:p w:rsidR="004B190B" w:rsidRPr="00EA65E3" w:rsidRDefault="002D157A" w:rsidP="00132DEF">
      <w:pPr>
        <w:pStyle w:val="SingleTxtGA"/>
        <w:rPr>
          <w:rFonts w:hint="cs"/>
          <w:rtl/>
          <w:lang w:val="fr-CH"/>
        </w:rPr>
      </w:pPr>
      <w:r>
        <w:rPr>
          <w:rFonts w:hint="cs"/>
          <w:rtl/>
          <w:lang w:val="fr-CH"/>
        </w:rPr>
        <w:tab/>
      </w:r>
      <w:r w:rsidR="004B190B" w:rsidRPr="00EA65E3">
        <w:rPr>
          <w:rFonts w:hint="cs"/>
          <w:rtl/>
          <w:lang w:val="fr-CH"/>
        </w:rPr>
        <w:t>(ج)</w:t>
      </w:r>
      <w:r>
        <w:rPr>
          <w:rFonts w:hint="cs"/>
          <w:rtl/>
          <w:lang w:val="fr-CH"/>
        </w:rPr>
        <w:tab/>
      </w:r>
      <w:r w:rsidR="004B190B" w:rsidRPr="00EA65E3">
        <w:rPr>
          <w:rFonts w:hint="cs"/>
          <w:rtl/>
          <w:lang w:val="fr-CH"/>
        </w:rPr>
        <w:t>السعي إلى عقد اتفاقات ثنائية ومتعددة الأطراف وبرامج تعاون مع البلدان الأصلية وبلدان المرور العابر بغية منع بيع الأطفال والاتجار بهم واختطافهم</w:t>
      </w:r>
      <w:r w:rsidR="00F711E0">
        <w:rPr>
          <w:vertAlign w:val="superscript"/>
          <w:rtl/>
          <w:lang w:bidi="ar-MA"/>
        </w:rPr>
        <w:t>(</w:t>
      </w:r>
      <w:r w:rsidR="00F711E0">
        <w:rPr>
          <w:rStyle w:val="FootnoteReference"/>
          <w:rtl/>
          <w:lang w:bidi="ar-MA"/>
        </w:rPr>
        <w:footnoteReference w:id="13"/>
      </w:r>
      <w:r w:rsidR="00F711E0">
        <w:rPr>
          <w:vertAlign w:val="superscript"/>
          <w:rtl/>
          <w:lang w:bidi="ar-MA"/>
        </w:rPr>
        <w:t>)</w:t>
      </w:r>
      <w:r w:rsidR="004B190B" w:rsidRPr="00EA65E3">
        <w:rPr>
          <w:rFonts w:hint="cs"/>
          <w:rtl/>
          <w:lang w:val="fr-CH"/>
        </w:rPr>
        <w:t>؛</w:t>
      </w:r>
    </w:p>
    <w:p w:rsidR="004B190B" w:rsidRPr="00EA65E3" w:rsidRDefault="002D157A" w:rsidP="00132DEF">
      <w:pPr>
        <w:pStyle w:val="SingleTxtGA"/>
        <w:rPr>
          <w:rFonts w:hint="cs"/>
          <w:rtl/>
          <w:lang w:val="fr-CH"/>
        </w:rPr>
      </w:pPr>
      <w:r>
        <w:rPr>
          <w:rFonts w:hint="cs"/>
          <w:rtl/>
          <w:lang w:val="fr-CH"/>
        </w:rPr>
        <w:tab/>
      </w:r>
      <w:r w:rsidR="004B190B" w:rsidRPr="00EA65E3">
        <w:rPr>
          <w:rFonts w:hint="cs"/>
          <w:rtl/>
          <w:lang w:val="fr-CH"/>
        </w:rPr>
        <w:t>(د)</w:t>
      </w:r>
      <w:r>
        <w:rPr>
          <w:rFonts w:hint="cs"/>
          <w:rtl/>
          <w:lang w:val="fr-CH"/>
        </w:rPr>
        <w:tab/>
      </w:r>
      <w:r w:rsidR="004B190B" w:rsidRPr="00EA65E3">
        <w:rPr>
          <w:rFonts w:hint="cs"/>
          <w:rtl/>
          <w:lang w:val="fr-CH"/>
        </w:rPr>
        <w:t xml:space="preserve">اتخاذ تدابير ملائمة تضمن المقاضاة الفورية لمرتكبي جرائم جنسية </w:t>
      </w:r>
      <w:r w:rsidR="00E4598C">
        <w:rPr>
          <w:rFonts w:hint="cs"/>
          <w:rtl/>
          <w:lang w:val="fr-CH"/>
        </w:rPr>
        <w:t xml:space="preserve">       </w:t>
      </w:r>
      <w:r w:rsidR="004B190B" w:rsidRPr="00EA65E3">
        <w:rPr>
          <w:rFonts w:hint="cs"/>
          <w:rtl/>
          <w:lang w:val="fr-CH"/>
        </w:rPr>
        <w:t>ضد الأطفال؛</w:t>
      </w:r>
    </w:p>
    <w:p w:rsidR="004B190B" w:rsidRPr="00EA65E3" w:rsidRDefault="002D157A" w:rsidP="00132DEF">
      <w:pPr>
        <w:pStyle w:val="SingleTxtGA"/>
        <w:rPr>
          <w:rFonts w:hint="cs"/>
          <w:rtl/>
          <w:lang w:val="fr-CH"/>
        </w:rPr>
      </w:pPr>
      <w:r>
        <w:rPr>
          <w:rFonts w:hint="cs"/>
          <w:rtl/>
          <w:lang w:val="fr-CH"/>
        </w:rPr>
        <w:tab/>
      </w:r>
      <w:r w:rsidR="004B190B" w:rsidRPr="00EA65E3">
        <w:rPr>
          <w:rFonts w:hint="cs"/>
          <w:rtl/>
          <w:lang w:val="fr-CH"/>
        </w:rPr>
        <w:t>(ﻫ)</w:t>
      </w:r>
      <w:r>
        <w:rPr>
          <w:rFonts w:hint="cs"/>
          <w:rtl/>
          <w:lang w:val="fr-CH"/>
        </w:rPr>
        <w:tab/>
      </w:r>
      <w:r w:rsidR="004B190B" w:rsidRPr="00EA65E3">
        <w:rPr>
          <w:rFonts w:hint="cs"/>
          <w:rtl/>
          <w:lang w:val="fr-CH"/>
        </w:rPr>
        <w:t>إنشاء نظام لقضاء الأحداث؛</w:t>
      </w:r>
    </w:p>
    <w:p w:rsidR="004B190B" w:rsidRPr="00EA65E3" w:rsidRDefault="002D157A" w:rsidP="00EA4B98">
      <w:pPr>
        <w:pStyle w:val="SingleTxtGA"/>
        <w:rPr>
          <w:rFonts w:hint="cs"/>
          <w:rtl/>
          <w:lang w:val="fr-CH"/>
        </w:rPr>
      </w:pPr>
      <w:r>
        <w:rPr>
          <w:rFonts w:hint="cs"/>
          <w:rtl/>
          <w:lang w:val="fr-CH"/>
        </w:rPr>
        <w:tab/>
      </w:r>
      <w:r w:rsidR="004B190B" w:rsidRPr="00EA65E3">
        <w:rPr>
          <w:rFonts w:hint="cs"/>
          <w:rtl/>
          <w:lang w:val="fr-CH"/>
        </w:rPr>
        <w:t>(و)</w:t>
      </w:r>
      <w:r>
        <w:rPr>
          <w:rFonts w:hint="cs"/>
          <w:rtl/>
          <w:lang w:val="fr-CH"/>
        </w:rPr>
        <w:tab/>
      </w:r>
      <w:r w:rsidR="004B190B" w:rsidRPr="00EA65E3">
        <w:rPr>
          <w:rFonts w:hint="cs"/>
          <w:rtl/>
          <w:lang w:val="fr-CH"/>
        </w:rPr>
        <w:t xml:space="preserve">ضمان عدم </w:t>
      </w:r>
      <w:r w:rsidR="00132DEF">
        <w:rPr>
          <w:rFonts w:hint="cs"/>
          <w:rtl/>
          <w:lang w:val="fr-CH"/>
        </w:rPr>
        <w:t>تجريم</w:t>
      </w:r>
      <w:r w:rsidR="004B190B" w:rsidRPr="00EA65E3">
        <w:rPr>
          <w:rFonts w:hint="cs"/>
          <w:rtl/>
          <w:lang w:val="fr-CH"/>
        </w:rPr>
        <w:t xml:space="preserve"> </w:t>
      </w:r>
      <w:r w:rsidR="00132DEF">
        <w:rPr>
          <w:rFonts w:hint="cs"/>
          <w:rtl/>
          <w:lang w:val="fr-CH"/>
        </w:rPr>
        <w:t>ا</w:t>
      </w:r>
      <w:r w:rsidR="004B190B" w:rsidRPr="00EA65E3">
        <w:rPr>
          <w:rFonts w:hint="cs"/>
          <w:rtl/>
          <w:lang w:val="fr-CH"/>
        </w:rPr>
        <w:t xml:space="preserve">لأطفال ضحايا الاستغلال الجنسي </w:t>
      </w:r>
      <w:r w:rsidR="00132DEF">
        <w:rPr>
          <w:rFonts w:hint="cs"/>
          <w:rtl/>
          <w:lang w:val="fr-CH"/>
        </w:rPr>
        <w:t>أ</w:t>
      </w:r>
      <w:r w:rsidR="004B190B" w:rsidRPr="00EA65E3">
        <w:rPr>
          <w:rFonts w:hint="cs"/>
          <w:rtl/>
          <w:lang w:val="fr-CH"/>
        </w:rPr>
        <w:t>و معاقبتهم على هذه الأفعال</w:t>
      </w:r>
      <w:r w:rsidR="00F711E0">
        <w:rPr>
          <w:vertAlign w:val="superscript"/>
          <w:rtl/>
          <w:lang w:bidi="ar-MA"/>
        </w:rPr>
        <w:t>(</w:t>
      </w:r>
      <w:r w:rsidR="00F711E0">
        <w:rPr>
          <w:rStyle w:val="FootnoteReference"/>
          <w:rtl/>
          <w:lang w:bidi="ar-MA"/>
        </w:rPr>
        <w:footnoteReference w:id="14"/>
      </w:r>
      <w:r w:rsidR="00F711E0">
        <w:rPr>
          <w:vertAlign w:val="superscript"/>
          <w:rtl/>
          <w:lang w:bidi="ar-MA"/>
        </w:rPr>
        <w:t>)</w:t>
      </w:r>
      <w:r w:rsidR="004B190B" w:rsidRPr="00EA65E3">
        <w:rPr>
          <w:rFonts w:hint="cs"/>
          <w:rtl/>
          <w:lang w:val="fr-CH"/>
        </w:rPr>
        <w:t>؛</w:t>
      </w:r>
    </w:p>
    <w:p w:rsidR="004B190B" w:rsidRPr="00EA65E3" w:rsidRDefault="002D157A" w:rsidP="00EA4B98">
      <w:pPr>
        <w:pStyle w:val="SingleTxtGA"/>
        <w:rPr>
          <w:rFonts w:hint="cs"/>
          <w:rtl/>
          <w:lang w:val="fr-CH"/>
        </w:rPr>
      </w:pPr>
      <w:r>
        <w:rPr>
          <w:rFonts w:hint="cs"/>
          <w:rtl/>
          <w:lang w:val="fr-CH"/>
        </w:rPr>
        <w:tab/>
      </w:r>
      <w:r w:rsidR="004B190B" w:rsidRPr="00EA65E3">
        <w:rPr>
          <w:rFonts w:hint="cs"/>
          <w:rtl/>
          <w:lang w:val="fr-CH"/>
        </w:rPr>
        <w:t>(ز)</w:t>
      </w:r>
      <w:r>
        <w:rPr>
          <w:rFonts w:hint="cs"/>
          <w:rtl/>
          <w:lang w:val="fr-CH"/>
        </w:rPr>
        <w:tab/>
      </w:r>
      <w:r w:rsidR="004B190B" w:rsidRPr="00EA65E3">
        <w:rPr>
          <w:rFonts w:hint="cs"/>
          <w:rtl/>
          <w:lang w:val="fr-CH"/>
        </w:rPr>
        <w:t>تقديم بيانات عن عدد الشكاوى التي تلقتها الجهات المعنية وجرى التحقيق فيها خلال الفترة المشمولة بالتقرير، فضلاً عن عدد المحاكمات والإدانات.</w:t>
      </w:r>
    </w:p>
    <w:p w:rsidR="004B190B" w:rsidRPr="00EA65E3" w:rsidRDefault="004B190B" w:rsidP="00132DEF">
      <w:pPr>
        <w:pStyle w:val="SingleTxtGA"/>
        <w:rPr>
          <w:rFonts w:hint="cs"/>
          <w:rtl/>
          <w:lang w:val="fr-CH"/>
        </w:rPr>
      </w:pPr>
      <w:r w:rsidRPr="00EA65E3">
        <w:rPr>
          <w:rFonts w:hint="cs"/>
          <w:rtl/>
          <w:lang w:val="fr-CH"/>
        </w:rPr>
        <w:t>15-</w:t>
      </w:r>
      <w:r w:rsidR="002D157A">
        <w:rPr>
          <w:rFonts w:hint="cs"/>
          <w:rtl/>
          <w:lang w:bidi="ar-MA"/>
        </w:rPr>
        <w:tab/>
      </w:r>
      <w:r w:rsidRPr="00EA65E3">
        <w:rPr>
          <w:rFonts w:hint="cs"/>
          <w:rtl/>
          <w:lang w:bidi="ar-MA"/>
        </w:rPr>
        <w:t xml:space="preserve">إلحاقاً بتوصية اللجنة المقدمة </w:t>
      </w:r>
      <w:r w:rsidRPr="00EA65E3">
        <w:rPr>
          <w:rFonts w:hint="cs"/>
          <w:rtl/>
          <w:lang w:val="fr-CH"/>
        </w:rPr>
        <w:t xml:space="preserve">في ملاحظاتها الختامية السابقة (الفقرة 14)، يرجى تقديم معلومات عما اتخذته الدولة الطرف من تدابير </w:t>
      </w:r>
      <w:r w:rsidRPr="00EA65E3">
        <w:rPr>
          <w:rtl/>
        </w:rPr>
        <w:t>تكفل تطبيق الاتفاقية وما تنص عليه من أوجه الحماية على جميع الأفعال التي تشكل خرقا</w:t>
      </w:r>
      <w:r w:rsidRPr="00EA65E3">
        <w:rPr>
          <w:rFonts w:hint="cs"/>
          <w:rtl/>
        </w:rPr>
        <w:t>ً</w:t>
      </w:r>
      <w:r w:rsidRPr="00EA65E3">
        <w:rPr>
          <w:rtl/>
        </w:rPr>
        <w:t xml:space="preserve"> للاتفاقية والتي تحدث ضمن حدود ولايتها</w:t>
      </w:r>
      <w:r w:rsidRPr="00EA65E3">
        <w:rPr>
          <w:rFonts w:hint="cs"/>
          <w:rtl/>
        </w:rPr>
        <w:t>،</w:t>
      </w:r>
      <w:r w:rsidRPr="00EA65E3">
        <w:rPr>
          <w:rtl/>
        </w:rPr>
        <w:t xml:space="preserve"> </w:t>
      </w:r>
      <w:r w:rsidR="00132DEF">
        <w:rPr>
          <w:rFonts w:hint="cs"/>
          <w:rtl/>
        </w:rPr>
        <w:t xml:space="preserve">وينتج عن </w:t>
      </w:r>
      <w:r w:rsidRPr="00EA65E3">
        <w:rPr>
          <w:rFonts w:hint="cs"/>
          <w:rtl/>
        </w:rPr>
        <w:t xml:space="preserve">ذلك، </w:t>
      </w:r>
      <w:r w:rsidR="00132DEF">
        <w:rPr>
          <w:rFonts w:hint="cs"/>
          <w:rtl/>
        </w:rPr>
        <w:t>أن لجميع</w:t>
      </w:r>
      <w:r w:rsidRPr="00EA65E3">
        <w:rPr>
          <w:rFonts w:hint="cs"/>
          <w:rtl/>
        </w:rPr>
        <w:t xml:space="preserve"> الأشخاص </w:t>
      </w:r>
      <w:r w:rsidR="00132DEF">
        <w:rPr>
          <w:rFonts w:hint="cs"/>
          <w:rtl/>
        </w:rPr>
        <w:t>الحق</w:t>
      </w:r>
      <w:r w:rsidRPr="00EA65E3">
        <w:rPr>
          <w:rtl/>
        </w:rPr>
        <w:t xml:space="preserve"> في التمتع بالحقوق ال</w:t>
      </w:r>
      <w:r w:rsidRPr="00EA65E3">
        <w:rPr>
          <w:rFonts w:hint="cs"/>
          <w:rtl/>
        </w:rPr>
        <w:t>واردة</w:t>
      </w:r>
      <w:r w:rsidRPr="00EA65E3">
        <w:rPr>
          <w:rtl/>
        </w:rPr>
        <w:t xml:space="preserve"> في الاتفاقية بالتساوي ودون تمييز</w:t>
      </w:r>
      <w:r w:rsidR="00F711E0">
        <w:rPr>
          <w:vertAlign w:val="superscript"/>
          <w:rtl/>
          <w:lang w:bidi="ar-MA"/>
        </w:rPr>
        <w:t>(</w:t>
      </w:r>
      <w:r w:rsidR="00F711E0">
        <w:rPr>
          <w:rStyle w:val="FootnoteReference"/>
          <w:rtl/>
          <w:lang w:bidi="ar-MA"/>
        </w:rPr>
        <w:footnoteReference w:id="15"/>
      </w:r>
      <w:r w:rsidR="00F711E0">
        <w:rPr>
          <w:vertAlign w:val="superscript"/>
          <w:rtl/>
          <w:lang w:bidi="ar-MA"/>
        </w:rPr>
        <w:t>)</w:t>
      </w:r>
      <w:r w:rsidRPr="00EA65E3">
        <w:rPr>
          <w:rtl/>
        </w:rPr>
        <w:t>.</w:t>
      </w:r>
    </w:p>
    <w:p w:rsidR="004B190B" w:rsidRPr="00EA65E3" w:rsidRDefault="003651F1" w:rsidP="003651F1">
      <w:pPr>
        <w:pStyle w:val="H1GA"/>
        <w:rPr>
          <w:rFonts w:hint="cs"/>
          <w:rtl/>
          <w:lang w:val="fr-CH"/>
        </w:rPr>
      </w:pPr>
      <w:r>
        <w:rPr>
          <w:rFonts w:hint="cs"/>
          <w:rtl/>
          <w:lang w:val="fr-CH"/>
        </w:rPr>
        <w:tab/>
      </w:r>
      <w:r>
        <w:rPr>
          <w:rFonts w:hint="cs"/>
          <w:rtl/>
          <w:lang w:val="fr-CH"/>
        </w:rPr>
        <w:tab/>
      </w:r>
      <w:r w:rsidR="004B190B" w:rsidRPr="00EA65E3">
        <w:rPr>
          <w:rFonts w:hint="cs"/>
          <w:rtl/>
          <w:lang w:val="fr-CH"/>
        </w:rPr>
        <w:t>المادة 3</w:t>
      </w:r>
    </w:p>
    <w:p w:rsidR="004B190B" w:rsidRPr="00EA65E3" w:rsidRDefault="004B190B" w:rsidP="00E46AD4">
      <w:pPr>
        <w:pStyle w:val="SingleTxtGA"/>
        <w:rPr>
          <w:lang w:val="fr-CH"/>
        </w:rPr>
      </w:pPr>
      <w:r w:rsidRPr="00EA65E3">
        <w:rPr>
          <w:rFonts w:hint="cs"/>
          <w:rtl/>
          <w:lang w:val="fr-CH"/>
        </w:rPr>
        <w:t>16-</w:t>
      </w:r>
      <w:r w:rsidR="003651F1">
        <w:rPr>
          <w:rFonts w:hint="cs"/>
          <w:rtl/>
        </w:rPr>
        <w:tab/>
      </w:r>
      <w:r w:rsidRPr="00EA65E3">
        <w:rPr>
          <w:rFonts w:hint="cs"/>
          <w:rtl/>
          <w:lang w:bidi="ar-MA"/>
        </w:rPr>
        <w:t xml:space="preserve">إلحاقاً بتوصية اللجنة المقدمة </w:t>
      </w:r>
      <w:r w:rsidRPr="00EA65E3">
        <w:rPr>
          <w:rFonts w:hint="cs"/>
          <w:rtl/>
          <w:lang w:val="fr-CH"/>
        </w:rPr>
        <w:t>في ملاحظاتها الختامية السابقة (الفقرة 13</w:t>
      </w:r>
      <w:r w:rsidR="00132DEF">
        <w:rPr>
          <w:rFonts w:hint="cs"/>
          <w:rtl/>
          <w:lang w:val="fr-CH"/>
        </w:rPr>
        <w:t>)، يرجى تقديم معلومات مفصلة ع</w:t>
      </w:r>
      <w:r w:rsidRPr="00EA65E3">
        <w:rPr>
          <w:rFonts w:hint="cs"/>
          <w:rtl/>
          <w:lang w:val="fr-CH"/>
        </w:rPr>
        <w:t xml:space="preserve">ما اتُّخذ من تدابير رامية إلى احترام الحظر المطلق لطرد أي شخص أو إعادته أو تسليمه إلى دولة أخرى </w:t>
      </w:r>
      <w:r w:rsidRPr="00EA65E3">
        <w:rPr>
          <w:rFonts w:hint="cs"/>
          <w:rtl/>
        </w:rPr>
        <w:t>إذا وُجدت</w:t>
      </w:r>
      <w:r w:rsidRPr="00EA65E3">
        <w:rPr>
          <w:rtl/>
        </w:rPr>
        <w:t xml:space="preserve"> أسباب </w:t>
      </w:r>
      <w:r w:rsidRPr="00EA65E3">
        <w:rPr>
          <w:rFonts w:hint="cs"/>
          <w:rtl/>
        </w:rPr>
        <w:t>جوهرية</w:t>
      </w:r>
      <w:r w:rsidRPr="00EA65E3">
        <w:rPr>
          <w:rtl/>
        </w:rPr>
        <w:t xml:space="preserve"> تدعو إلى الاعتقاد بأنه سيكون </w:t>
      </w:r>
      <w:r w:rsidRPr="00EA65E3">
        <w:rPr>
          <w:rFonts w:hint="cs"/>
          <w:rtl/>
        </w:rPr>
        <w:t xml:space="preserve">معرضاًً فيها لخطر التعذيب، وإلى إدراج أحكام المادة 3 كاملاً في القانون </w:t>
      </w:r>
      <w:r w:rsidR="00E46AD4">
        <w:rPr>
          <w:rFonts w:hint="cs"/>
          <w:rtl/>
        </w:rPr>
        <w:t>المح</w:t>
      </w:r>
      <w:r w:rsidRPr="00EA65E3">
        <w:rPr>
          <w:rFonts w:hint="cs"/>
          <w:rtl/>
        </w:rPr>
        <w:t>لي للدولة الطرف</w:t>
      </w:r>
      <w:r w:rsidR="00F711E0">
        <w:rPr>
          <w:vertAlign w:val="superscript"/>
          <w:rtl/>
          <w:lang w:bidi="ar-MA"/>
        </w:rPr>
        <w:t>(</w:t>
      </w:r>
      <w:r w:rsidR="00F711E0">
        <w:rPr>
          <w:rStyle w:val="FootnoteReference"/>
          <w:rtl/>
          <w:lang w:bidi="ar-MA"/>
        </w:rPr>
        <w:footnoteReference w:id="16"/>
      </w:r>
      <w:r w:rsidR="00F711E0">
        <w:rPr>
          <w:vertAlign w:val="superscript"/>
          <w:rtl/>
          <w:lang w:bidi="ar-MA"/>
        </w:rPr>
        <w:t>)</w:t>
      </w:r>
      <w:r w:rsidRPr="00EA65E3">
        <w:rPr>
          <w:rtl/>
        </w:rPr>
        <w:t>.</w:t>
      </w:r>
    </w:p>
    <w:p w:rsidR="004B190B" w:rsidRPr="00EA65E3" w:rsidRDefault="004B190B" w:rsidP="00570B23">
      <w:pPr>
        <w:pStyle w:val="SingleTxtGA"/>
        <w:rPr>
          <w:rFonts w:hint="cs"/>
          <w:rtl/>
          <w:lang w:val="fr-CH" w:bidi="ar-EG"/>
        </w:rPr>
      </w:pPr>
      <w:r w:rsidRPr="00EA65E3">
        <w:rPr>
          <w:rFonts w:hint="cs"/>
          <w:rtl/>
          <w:lang w:val="fr-CH" w:bidi="ar-EG"/>
        </w:rPr>
        <w:t>17</w:t>
      </w:r>
      <w:r w:rsidRPr="00570B23">
        <w:rPr>
          <w:rFonts w:hint="cs"/>
          <w:spacing w:val="-4"/>
          <w:rtl/>
          <w:lang w:val="fr-CH" w:bidi="ar-EG"/>
        </w:rPr>
        <w:t>-</w:t>
      </w:r>
      <w:r w:rsidR="003651F1" w:rsidRPr="00570B23">
        <w:rPr>
          <w:rFonts w:hint="cs"/>
          <w:spacing w:val="-4"/>
          <w:rtl/>
          <w:lang w:val="fr-CH" w:bidi="ar-EG"/>
        </w:rPr>
        <w:tab/>
      </w:r>
      <w:r w:rsidRPr="00570B23">
        <w:rPr>
          <w:rFonts w:hint="cs"/>
          <w:spacing w:val="-4"/>
          <w:rtl/>
          <w:lang w:val="fr-CH" w:bidi="ar-EG"/>
        </w:rPr>
        <w:t xml:space="preserve">هل اعتمدت الدولة الطرف على </w:t>
      </w:r>
      <w:proofErr w:type="spellStart"/>
      <w:r w:rsidRPr="00570B23">
        <w:rPr>
          <w:rFonts w:hint="cs"/>
          <w:spacing w:val="-4"/>
          <w:rtl/>
          <w:lang w:val="fr-CH" w:bidi="ar-EG"/>
        </w:rPr>
        <w:t>تطمينات</w:t>
      </w:r>
      <w:proofErr w:type="spellEnd"/>
      <w:r w:rsidRPr="00570B23">
        <w:rPr>
          <w:rFonts w:hint="cs"/>
          <w:spacing w:val="-4"/>
          <w:rtl/>
          <w:lang w:val="fr-CH" w:bidi="ar-EG"/>
        </w:rPr>
        <w:t xml:space="preserve"> دبلوماسية؟ وإن كان الأمر كذلك، يرجى بيان التدابير التي اتخذتها الدولة الطرف لضمان تماشي هذه </w:t>
      </w:r>
      <w:proofErr w:type="spellStart"/>
      <w:r w:rsidRPr="00570B23">
        <w:rPr>
          <w:rFonts w:hint="cs"/>
          <w:spacing w:val="-4"/>
          <w:rtl/>
          <w:lang w:val="fr-CH" w:bidi="ar-EG"/>
        </w:rPr>
        <w:t>التطمينات</w:t>
      </w:r>
      <w:proofErr w:type="spellEnd"/>
      <w:r w:rsidRPr="00570B23">
        <w:rPr>
          <w:rFonts w:hint="cs"/>
          <w:spacing w:val="-4"/>
          <w:rtl/>
          <w:lang w:val="fr-CH" w:bidi="ar-EG"/>
        </w:rPr>
        <w:t xml:space="preserve"> مع التزاماتها بموجب</w:t>
      </w:r>
      <w:r w:rsidR="00570B23">
        <w:rPr>
          <w:rFonts w:hint="cs"/>
          <w:spacing w:val="-4"/>
          <w:rtl/>
          <w:lang w:val="fr-CH" w:bidi="ar-EG"/>
        </w:rPr>
        <w:t xml:space="preserve">    </w:t>
      </w:r>
      <w:r w:rsidRPr="00570B23">
        <w:rPr>
          <w:rFonts w:hint="cs"/>
          <w:spacing w:val="-4"/>
          <w:rtl/>
          <w:lang w:val="fr-CH" w:bidi="ar-EG"/>
        </w:rPr>
        <w:t xml:space="preserve"> المادة 3. كما يرجى تقديم معلومات مفصلة عن ماهية اشتراطات الدولة الطرف </w:t>
      </w:r>
      <w:r w:rsidR="00570B23" w:rsidRPr="00570B23">
        <w:rPr>
          <w:rFonts w:hint="cs"/>
          <w:spacing w:val="-4"/>
          <w:rtl/>
          <w:lang w:val="fr-CH" w:bidi="ar-EG"/>
        </w:rPr>
        <w:t>لطلب</w:t>
      </w:r>
      <w:r w:rsidRPr="00570B23">
        <w:rPr>
          <w:rFonts w:hint="cs"/>
          <w:spacing w:val="-4"/>
          <w:rtl/>
          <w:lang w:val="fr-CH" w:bidi="ar-EG"/>
        </w:rPr>
        <w:t xml:space="preserve"> هذه </w:t>
      </w:r>
      <w:proofErr w:type="spellStart"/>
      <w:r w:rsidRPr="00570B23">
        <w:rPr>
          <w:rFonts w:hint="cs"/>
          <w:spacing w:val="-4"/>
          <w:rtl/>
          <w:lang w:val="fr-CH" w:bidi="ar-EG"/>
        </w:rPr>
        <w:t>التطمينات</w:t>
      </w:r>
      <w:proofErr w:type="spellEnd"/>
      <w:r w:rsidRPr="00570B23">
        <w:rPr>
          <w:rFonts w:hint="cs"/>
          <w:spacing w:val="-4"/>
          <w:rtl/>
          <w:lang w:val="fr-CH" w:bidi="ar-EG"/>
        </w:rPr>
        <w:t xml:space="preserve"> و</w:t>
      </w:r>
      <w:r w:rsidR="00570B23" w:rsidRPr="00570B23">
        <w:rPr>
          <w:rFonts w:hint="cs"/>
          <w:spacing w:val="-4"/>
          <w:rtl/>
          <w:lang w:val="fr-CH" w:bidi="ar-EG"/>
        </w:rPr>
        <w:t>هل</w:t>
      </w:r>
      <w:r w:rsidRPr="00570B23">
        <w:rPr>
          <w:rFonts w:hint="cs"/>
          <w:spacing w:val="-4"/>
          <w:rtl/>
          <w:lang w:val="fr-CH" w:bidi="ar-EG"/>
        </w:rPr>
        <w:t xml:space="preserve"> لديها آليات مراقبة للأشخاص بعد إعادتهم. يرجى كذلك تقديم معلومات عن عدد المحتجزين الذين سُلّموا إلى بلدان أخرى، تشمل قائمة البلدان التي سُلموا إليها.</w:t>
      </w:r>
      <w:r w:rsidRPr="00EA65E3">
        <w:rPr>
          <w:rFonts w:hint="cs"/>
          <w:rtl/>
          <w:lang w:val="fr-CH" w:bidi="ar-EG"/>
        </w:rPr>
        <w:t xml:space="preserve"> </w:t>
      </w:r>
    </w:p>
    <w:p w:rsidR="004B190B" w:rsidRPr="00EA65E3" w:rsidRDefault="00570B23" w:rsidP="00570B23">
      <w:pPr>
        <w:pStyle w:val="SingleTxtGA"/>
        <w:rPr>
          <w:rFonts w:hint="cs"/>
          <w:lang w:val="fr-CH"/>
        </w:rPr>
      </w:pPr>
      <w:r>
        <w:rPr>
          <w:rFonts w:hint="cs"/>
          <w:rtl/>
          <w:lang w:val="fr-CH" w:bidi="ar-EG"/>
        </w:rPr>
        <w:t>18-</w:t>
      </w:r>
      <w:r>
        <w:rPr>
          <w:rFonts w:hint="cs"/>
          <w:rtl/>
          <w:lang w:val="fr-CH" w:bidi="ar-EG"/>
        </w:rPr>
        <w:tab/>
      </w:r>
      <w:r w:rsidR="004B190B" w:rsidRPr="00EA65E3">
        <w:rPr>
          <w:rFonts w:hint="cs"/>
          <w:rtl/>
          <w:lang w:val="fr-CH" w:bidi="ar-EG"/>
        </w:rPr>
        <w:t xml:space="preserve">يرجى تقديم بيانات </w:t>
      </w:r>
      <w:r>
        <w:rPr>
          <w:rFonts w:hint="cs"/>
          <w:rtl/>
          <w:lang w:val="fr-CH" w:bidi="ar-EG"/>
        </w:rPr>
        <w:t>مصنف</w:t>
      </w:r>
      <w:r w:rsidR="004B190B" w:rsidRPr="00EA65E3">
        <w:rPr>
          <w:rFonts w:hint="cs"/>
          <w:rtl/>
          <w:lang w:val="fr-CH" w:bidi="ar-EG"/>
        </w:rPr>
        <w:t>ة</w:t>
      </w:r>
      <w:r w:rsidR="004B190B" w:rsidRPr="00EA65E3">
        <w:rPr>
          <w:rFonts w:hint="cs"/>
          <w:rtl/>
          <w:lang w:val="fr-CH"/>
        </w:rPr>
        <w:t xml:space="preserve"> بحسب السن ونوع الجنس والجنسية بشأن ما يلي:</w:t>
      </w:r>
    </w:p>
    <w:p w:rsidR="004B190B" w:rsidRPr="00EA65E3" w:rsidRDefault="003651F1" w:rsidP="003651F1">
      <w:pPr>
        <w:pStyle w:val="SingleTxtGA"/>
        <w:rPr>
          <w:rFonts w:hint="cs"/>
          <w:rtl/>
          <w:lang w:val="fr-CH"/>
        </w:rPr>
      </w:pPr>
      <w:r>
        <w:rPr>
          <w:rFonts w:hint="cs"/>
          <w:rtl/>
          <w:lang w:val="fr-CH"/>
        </w:rPr>
        <w:tab/>
      </w:r>
      <w:r w:rsidR="004B190B" w:rsidRPr="00EA65E3">
        <w:rPr>
          <w:rFonts w:hint="cs"/>
          <w:rtl/>
          <w:lang w:val="fr-CH"/>
        </w:rPr>
        <w:t>(أ)</w:t>
      </w:r>
      <w:r>
        <w:rPr>
          <w:rFonts w:hint="cs"/>
          <w:rtl/>
          <w:lang w:val="fr-CH"/>
        </w:rPr>
        <w:tab/>
      </w:r>
      <w:r w:rsidR="004B190B" w:rsidRPr="00EA65E3">
        <w:rPr>
          <w:rFonts w:hint="cs"/>
          <w:rtl/>
          <w:lang w:val="fr-CH"/>
        </w:rPr>
        <w:t>عدد طلبات اللجوء المسجلة والموافق عليها؛</w:t>
      </w:r>
    </w:p>
    <w:p w:rsidR="004B190B" w:rsidRPr="00570B23" w:rsidRDefault="00535B1A" w:rsidP="00570B23">
      <w:pPr>
        <w:pStyle w:val="SingleTxtGA"/>
        <w:rPr>
          <w:rFonts w:hint="cs"/>
          <w:lang w:val="fr-CH"/>
        </w:rPr>
      </w:pPr>
      <w:r>
        <w:rPr>
          <w:rFonts w:hint="cs"/>
          <w:rtl/>
          <w:lang w:val="fr-CH"/>
        </w:rPr>
        <w:tab/>
        <w:t>(</w:t>
      </w:r>
      <w:r w:rsidR="004B190B" w:rsidRPr="00EA65E3">
        <w:rPr>
          <w:rFonts w:hint="cs"/>
          <w:rtl/>
          <w:lang w:val="fr-CH"/>
        </w:rPr>
        <w:t>ب)</w:t>
      </w:r>
      <w:r>
        <w:rPr>
          <w:rFonts w:hint="cs"/>
          <w:rtl/>
          <w:lang w:val="fr-CH"/>
        </w:rPr>
        <w:tab/>
      </w:r>
      <w:r w:rsidR="004B190B" w:rsidRPr="00EA65E3">
        <w:rPr>
          <w:rFonts w:hint="cs"/>
          <w:rtl/>
          <w:lang w:val="fr-CH"/>
        </w:rPr>
        <w:t>عدد ملتمسي اللجوء الذين قُبلت طلباتهم لأنهم قد عُذب</w:t>
      </w:r>
      <w:r w:rsidR="00570B23">
        <w:rPr>
          <w:rFonts w:hint="cs"/>
          <w:rtl/>
          <w:lang w:val="fr-CH"/>
        </w:rPr>
        <w:t xml:space="preserve">وا أو قد يُعذبوا إذ ما أُعيدوا </w:t>
      </w:r>
      <w:r w:rsidR="004B190B" w:rsidRPr="00EA65E3">
        <w:rPr>
          <w:rFonts w:hint="cs"/>
          <w:sz w:val="30"/>
          <w:rtl/>
          <w:lang w:val="fr-CH"/>
        </w:rPr>
        <w:t>إلى بلدانهم الأصلية؛</w:t>
      </w:r>
    </w:p>
    <w:p w:rsidR="004B190B" w:rsidRPr="00EA65E3" w:rsidRDefault="00535B1A" w:rsidP="00535B1A">
      <w:pPr>
        <w:pStyle w:val="SingleTxtGA"/>
        <w:rPr>
          <w:rFonts w:hint="cs"/>
          <w:rtl/>
          <w:lang w:val="fr-CH"/>
        </w:rPr>
      </w:pPr>
      <w:r>
        <w:rPr>
          <w:rFonts w:hint="cs"/>
          <w:rtl/>
          <w:lang w:val="fr-CH"/>
        </w:rPr>
        <w:tab/>
      </w:r>
      <w:r w:rsidR="00570B23">
        <w:rPr>
          <w:rFonts w:hint="cs"/>
          <w:rtl/>
          <w:lang w:val="fr-CH"/>
        </w:rPr>
        <w:t>(ج)</w:t>
      </w:r>
      <w:r w:rsidR="00570B23">
        <w:rPr>
          <w:rFonts w:hint="cs"/>
          <w:rtl/>
          <w:lang w:val="fr-CH"/>
        </w:rPr>
        <w:tab/>
      </w:r>
      <w:r w:rsidR="004B190B" w:rsidRPr="00EA65E3">
        <w:rPr>
          <w:rFonts w:hint="cs"/>
          <w:rtl/>
          <w:lang w:val="fr-CH"/>
        </w:rPr>
        <w:t xml:space="preserve">عدد حالات الترحيل القسري أو الطرد (يرجى بيان كم منها اشتمل على ملتمسي لجوء رُفضت طلباتهم)، والبلدان </w:t>
      </w:r>
      <w:r w:rsidR="00570B23">
        <w:rPr>
          <w:rFonts w:hint="cs"/>
          <w:rtl/>
          <w:lang w:val="fr-CH"/>
        </w:rPr>
        <w:t>التي طُرد إليها هؤلاء الأشخاص.</w:t>
      </w:r>
    </w:p>
    <w:p w:rsidR="004B190B" w:rsidRPr="00EA65E3" w:rsidRDefault="00535B1A" w:rsidP="00535B1A">
      <w:pPr>
        <w:pStyle w:val="H1GA"/>
        <w:spacing w:before="120"/>
        <w:rPr>
          <w:rFonts w:hint="cs"/>
          <w:rtl/>
          <w:lang w:val="fr-CH"/>
        </w:rPr>
      </w:pPr>
      <w:r>
        <w:rPr>
          <w:rFonts w:hint="cs"/>
          <w:rtl/>
          <w:lang w:val="fr-CH"/>
        </w:rPr>
        <w:tab/>
      </w:r>
      <w:r>
        <w:rPr>
          <w:rFonts w:hint="cs"/>
          <w:rtl/>
          <w:lang w:val="fr-CH"/>
        </w:rPr>
        <w:tab/>
      </w:r>
      <w:r w:rsidR="004B190B" w:rsidRPr="00EA65E3">
        <w:rPr>
          <w:rFonts w:hint="cs"/>
          <w:rtl/>
          <w:lang w:val="fr-CH"/>
        </w:rPr>
        <w:t>المادتان 5 و7</w:t>
      </w:r>
    </w:p>
    <w:p w:rsidR="004B190B" w:rsidRPr="00EA65E3" w:rsidRDefault="004B190B" w:rsidP="00535B1A">
      <w:pPr>
        <w:pStyle w:val="SingleTxtGA"/>
        <w:rPr>
          <w:rFonts w:hint="cs"/>
          <w:rtl/>
          <w:lang w:val="fr-CH"/>
        </w:rPr>
      </w:pPr>
      <w:r w:rsidRPr="00EA65E3">
        <w:rPr>
          <w:rFonts w:hint="cs"/>
          <w:rtl/>
          <w:lang w:val="fr-CH"/>
        </w:rPr>
        <w:t>19-</w:t>
      </w:r>
      <w:r w:rsidR="00535B1A">
        <w:rPr>
          <w:rFonts w:hint="cs"/>
          <w:rtl/>
          <w:lang w:val="fr-CH"/>
        </w:rPr>
        <w:tab/>
      </w:r>
      <w:r w:rsidRPr="00EA65E3">
        <w:rPr>
          <w:rFonts w:hint="cs"/>
          <w:rtl/>
          <w:lang w:val="fr-CH"/>
        </w:rPr>
        <w:t xml:space="preserve">يرجى تقديم معلومات مفصلة عن كيفية ممارسة الدولة الطرف ولايتها على حالات التعذيب المشار إليها في المادتين 4 و5 من الاتفاقية. </w:t>
      </w:r>
    </w:p>
    <w:p w:rsidR="004B190B" w:rsidRPr="00EA65E3" w:rsidRDefault="00535B1A" w:rsidP="00535B1A">
      <w:pPr>
        <w:pStyle w:val="H1GA"/>
        <w:rPr>
          <w:rFonts w:hint="cs"/>
          <w:rtl/>
          <w:lang w:val="fr-CH"/>
        </w:rPr>
      </w:pPr>
      <w:r>
        <w:rPr>
          <w:rFonts w:hint="cs"/>
          <w:rtl/>
          <w:lang w:val="fr-CH"/>
        </w:rPr>
        <w:tab/>
      </w:r>
      <w:r>
        <w:rPr>
          <w:rFonts w:hint="cs"/>
          <w:rtl/>
          <w:lang w:val="fr-CH"/>
        </w:rPr>
        <w:tab/>
      </w:r>
      <w:r w:rsidR="004B190B" w:rsidRPr="00EA65E3">
        <w:rPr>
          <w:rFonts w:hint="cs"/>
          <w:rtl/>
          <w:lang w:val="fr-CH"/>
        </w:rPr>
        <w:t>المادة 10</w:t>
      </w:r>
    </w:p>
    <w:p w:rsidR="004B190B" w:rsidRPr="00EA65E3" w:rsidRDefault="004B190B" w:rsidP="00EA4B98">
      <w:pPr>
        <w:pStyle w:val="SingleTxtGA"/>
        <w:rPr>
          <w:rFonts w:hint="cs"/>
          <w:rtl/>
          <w:lang w:val="fr-CH"/>
        </w:rPr>
      </w:pPr>
      <w:r w:rsidRPr="00EA65E3">
        <w:rPr>
          <w:rFonts w:hint="cs"/>
          <w:rtl/>
          <w:lang w:val="fr-CH"/>
        </w:rPr>
        <w:t>20-</w:t>
      </w:r>
      <w:r w:rsidR="00535B1A">
        <w:rPr>
          <w:rFonts w:hint="cs"/>
          <w:rtl/>
          <w:lang w:val="fr-CH"/>
        </w:rPr>
        <w:tab/>
      </w:r>
      <w:r w:rsidR="00570B23" w:rsidRPr="00570B23">
        <w:rPr>
          <w:rtl/>
          <w:lang w:val="fr-CH"/>
        </w:rPr>
        <w:t xml:space="preserve">يرجى تقديم معلومات عما تنظمه الدولة الطرف من برامج تدريب وتوعية </w:t>
      </w:r>
      <w:r w:rsidR="00EA4B98">
        <w:rPr>
          <w:rFonts w:hint="cs"/>
          <w:rtl/>
          <w:lang w:val="fr-CH"/>
        </w:rPr>
        <w:t>ل</w:t>
      </w:r>
      <w:r w:rsidR="00570B23" w:rsidRPr="00570B23">
        <w:rPr>
          <w:rtl/>
          <w:lang w:val="fr-CH"/>
        </w:rPr>
        <w:t>لموظفين العموميين بشأن الحظر المطلق للتعذيب، بما في ذلك أي برامج تدريب وتوعية مقدمة لأفراد الخدمات الطبية العاملين في مجال تأهيل الضحايا وفقاً للاتفاقية ولبروتوكول اسطنبول الصادر عام 1999</w:t>
      </w:r>
      <w:r w:rsidR="00570B23">
        <w:rPr>
          <w:rFonts w:hint="cs"/>
          <w:rtl/>
          <w:lang w:val="fr-CH"/>
        </w:rPr>
        <w:t xml:space="preserve"> </w:t>
      </w:r>
      <w:r w:rsidR="00570B23" w:rsidRPr="00570B23">
        <w:rPr>
          <w:rtl/>
          <w:lang w:val="fr-CH"/>
        </w:rPr>
        <w:t>(دليل التقصي والتوثيق الفعالين</w:t>
      </w:r>
      <w:r w:rsidR="00570B23">
        <w:rPr>
          <w:rtl/>
          <w:lang w:val="fr-CH"/>
        </w:rPr>
        <w:t xml:space="preserve"> للتعذيب وغيره من ضروب المعاملة</w:t>
      </w:r>
      <w:r w:rsidR="00570B23" w:rsidRPr="00570B23">
        <w:rPr>
          <w:rtl/>
          <w:lang w:val="fr-CH"/>
        </w:rPr>
        <w:t xml:space="preserve"> أو العقوبة القاسية  أو </w:t>
      </w:r>
      <w:proofErr w:type="spellStart"/>
      <w:r w:rsidR="00570B23" w:rsidRPr="00570B23">
        <w:rPr>
          <w:rtl/>
          <w:lang w:val="fr-CH"/>
        </w:rPr>
        <w:t>اللاإنسانية</w:t>
      </w:r>
      <w:proofErr w:type="spellEnd"/>
      <w:r w:rsidR="00570B23" w:rsidRPr="00570B23">
        <w:rPr>
          <w:rtl/>
          <w:lang w:val="fr-CH"/>
        </w:rPr>
        <w:t xml:space="preserve"> أو المهينة). </w:t>
      </w:r>
      <w:r w:rsidRPr="00EA65E3">
        <w:rPr>
          <w:rFonts w:hint="cs"/>
          <w:rtl/>
          <w:lang w:val="fr-CH"/>
        </w:rPr>
        <w:t>يرجى أيضاً تقديم معلومات عن خطة عمل الدولة الطرف المتعلقة بالبرنامج العالمي للتثقيف في مجال حقوق الإنسان</w:t>
      </w:r>
      <w:r w:rsidR="00F711E0">
        <w:rPr>
          <w:vertAlign w:val="superscript"/>
          <w:rtl/>
          <w:lang w:bidi="ar-MA"/>
        </w:rPr>
        <w:t>(</w:t>
      </w:r>
      <w:r w:rsidR="00F711E0">
        <w:rPr>
          <w:rStyle w:val="FootnoteReference"/>
          <w:rtl/>
          <w:lang w:bidi="ar-MA"/>
        </w:rPr>
        <w:footnoteReference w:id="17"/>
      </w:r>
      <w:r w:rsidR="00F711E0">
        <w:rPr>
          <w:vertAlign w:val="superscript"/>
          <w:rtl/>
          <w:lang w:bidi="ar-MA"/>
        </w:rPr>
        <w:t>)</w:t>
      </w:r>
      <w:r w:rsidRPr="00EA65E3">
        <w:rPr>
          <w:rFonts w:hint="cs"/>
          <w:rtl/>
          <w:lang w:val="fr-CH"/>
        </w:rPr>
        <w:t>. كما يرجى تقديم معلومات عن هوية المشاركين في برامج التدريب هذه وعدد الأشخاص الذين دُربوا ونتائج هذه البرامج وكيفية تقييمها.</w:t>
      </w:r>
    </w:p>
    <w:p w:rsidR="004B190B" w:rsidRPr="00EA65E3" w:rsidRDefault="004B190B" w:rsidP="00EA4B98">
      <w:pPr>
        <w:pStyle w:val="SingleTxtGA"/>
        <w:rPr>
          <w:rFonts w:hint="cs"/>
          <w:rtl/>
          <w:lang w:val="fr-CH"/>
        </w:rPr>
      </w:pPr>
      <w:r w:rsidRPr="00EA65E3">
        <w:rPr>
          <w:rFonts w:hint="cs"/>
          <w:rtl/>
          <w:lang w:val="fr-CH"/>
        </w:rPr>
        <w:t>21-</w:t>
      </w:r>
      <w:r w:rsidR="00535B1A">
        <w:rPr>
          <w:rFonts w:hint="cs"/>
          <w:rtl/>
          <w:lang w:val="fr-CH"/>
        </w:rPr>
        <w:tab/>
      </w:r>
      <w:r w:rsidRPr="00EA65E3">
        <w:rPr>
          <w:rFonts w:hint="cs"/>
          <w:rtl/>
          <w:lang w:val="fr-CH"/>
        </w:rPr>
        <w:t xml:space="preserve">يرجى تقديم معلومات عما يُقدَّم من تدريب للشرطة في مجال التعامل مع حالات العنف المنزلي والعنف الجنسي، بما في ذلك معلومات عن عدد أفراد الشرطة المدربين ونتائج هذا التدريب وكيفية تقييمه. ويرجى تقديم معلومات محدَّثة عما </w:t>
      </w:r>
      <w:r w:rsidR="00570B23">
        <w:rPr>
          <w:rFonts w:hint="cs"/>
          <w:rtl/>
          <w:lang w:val="fr-CH"/>
        </w:rPr>
        <w:t>وضعته</w:t>
      </w:r>
      <w:r w:rsidRPr="00EA65E3">
        <w:rPr>
          <w:rFonts w:hint="cs"/>
          <w:rtl/>
          <w:lang w:val="fr-CH"/>
        </w:rPr>
        <w:t xml:space="preserve"> الدولة الطرف من برامج تدريب وتوعية محددة بشأن الاتجار بالبشر تستهدف موظفي إنفاذ القانون، فضلاً عن نتائج هذه البرامج. </w:t>
      </w:r>
    </w:p>
    <w:p w:rsidR="004B190B" w:rsidRPr="00EA65E3" w:rsidRDefault="00570B23" w:rsidP="00535B1A">
      <w:pPr>
        <w:pStyle w:val="H1GA"/>
        <w:rPr>
          <w:rFonts w:hint="cs"/>
          <w:rtl/>
          <w:lang w:val="fr-CH"/>
        </w:rPr>
      </w:pPr>
      <w:r>
        <w:rPr>
          <w:rFonts w:hint="cs"/>
          <w:rtl/>
          <w:lang w:val="fr-CH"/>
        </w:rPr>
        <w:tab/>
      </w:r>
      <w:r>
        <w:rPr>
          <w:rFonts w:hint="cs"/>
          <w:rtl/>
          <w:lang w:val="fr-CH"/>
        </w:rPr>
        <w:tab/>
      </w:r>
      <w:r w:rsidR="004B190B" w:rsidRPr="00EA65E3">
        <w:rPr>
          <w:rFonts w:hint="cs"/>
          <w:rtl/>
          <w:lang w:val="fr-CH"/>
        </w:rPr>
        <w:t>المادة 11</w:t>
      </w:r>
    </w:p>
    <w:p w:rsidR="004B190B" w:rsidRPr="00102345" w:rsidRDefault="004B190B" w:rsidP="00102345">
      <w:pPr>
        <w:pStyle w:val="SingleTxtGA"/>
        <w:rPr>
          <w:rFonts w:hint="cs"/>
          <w:spacing w:val="-2"/>
          <w:rtl/>
        </w:rPr>
      </w:pPr>
      <w:r w:rsidRPr="00102345">
        <w:rPr>
          <w:rFonts w:hint="cs"/>
          <w:spacing w:val="-2"/>
          <w:rtl/>
          <w:lang w:val="fr-CH"/>
        </w:rPr>
        <w:t>22-</w:t>
      </w:r>
      <w:r w:rsidR="00535B1A" w:rsidRPr="00102345">
        <w:rPr>
          <w:rFonts w:hint="cs"/>
          <w:spacing w:val="-2"/>
          <w:rtl/>
          <w:lang w:val="fr-CH"/>
        </w:rPr>
        <w:tab/>
      </w:r>
      <w:r w:rsidRPr="00102345">
        <w:rPr>
          <w:rFonts w:hint="cs"/>
          <w:spacing w:val="-2"/>
          <w:rtl/>
          <w:lang w:val="fr-CH"/>
        </w:rPr>
        <w:t xml:space="preserve">يرجى تزويد اللجنة بجميع قواعد الاستجواب وتعليماته وأساليبه وممارساته المعمول بها حالياً في الدولة الطرف، فضلاً عن الترتيبات الخاصة </w:t>
      </w:r>
      <w:r w:rsidR="00102345" w:rsidRPr="00102345">
        <w:rPr>
          <w:rFonts w:hint="cs"/>
          <w:spacing w:val="-2"/>
          <w:rtl/>
          <w:lang w:val="fr-CH"/>
        </w:rPr>
        <w:t>بحجز ومعاملة</w:t>
      </w:r>
      <w:r w:rsidRPr="00102345">
        <w:rPr>
          <w:rFonts w:hint="cs"/>
          <w:spacing w:val="-2"/>
          <w:rtl/>
          <w:lang w:val="fr-CH"/>
        </w:rPr>
        <w:t xml:space="preserve"> الأشخاص ال</w:t>
      </w:r>
      <w:r w:rsidR="00102345" w:rsidRPr="00102345">
        <w:rPr>
          <w:rFonts w:hint="cs"/>
          <w:spacing w:val="-2"/>
          <w:rtl/>
          <w:lang w:val="fr-CH"/>
        </w:rPr>
        <w:t>معرض</w:t>
      </w:r>
      <w:r w:rsidRPr="00102345">
        <w:rPr>
          <w:rFonts w:hint="cs"/>
          <w:spacing w:val="-2"/>
          <w:rtl/>
          <w:lang w:val="fr-CH"/>
        </w:rPr>
        <w:t xml:space="preserve">ين لأي شكل من أشكال </w:t>
      </w:r>
      <w:r w:rsidR="00102345" w:rsidRPr="00102345">
        <w:rPr>
          <w:rFonts w:hint="cs"/>
          <w:spacing w:val="-2"/>
          <w:rtl/>
          <w:lang w:val="fr-CH"/>
        </w:rPr>
        <w:t>التوقيف أو الاعتقال أو السجن</w:t>
      </w:r>
      <w:r w:rsidRPr="00102345">
        <w:rPr>
          <w:rFonts w:hint="cs"/>
          <w:spacing w:val="-2"/>
          <w:rtl/>
          <w:lang w:val="fr-CH"/>
        </w:rPr>
        <w:t xml:space="preserve"> بغية منع حدوث أي حالات تعذيب. </w:t>
      </w:r>
      <w:r w:rsidRPr="00102345">
        <w:rPr>
          <w:spacing w:val="-2"/>
          <w:rtl/>
        </w:rPr>
        <w:t xml:space="preserve">يُرجى أيضاً تقديم معلومات عن كيفية رصد تنفيذ هذه القواعد، </w:t>
      </w:r>
      <w:r w:rsidRPr="00102345">
        <w:rPr>
          <w:rFonts w:hint="cs"/>
          <w:spacing w:val="-2"/>
          <w:rtl/>
        </w:rPr>
        <w:t xml:space="preserve">وبخاصة عن المؤسسة </w:t>
      </w:r>
      <w:proofErr w:type="spellStart"/>
      <w:r w:rsidRPr="00102345">
        <w:rPr>
          <w:rFonts w:hint="cs"/>
          <w:spacing w:val="-2"/>
          <w:rtl/>
        </w:rPr>
        <w:t>المسؤولة</w:t>
      </w:r>
      <w:proofErr w:type="spellEnd"/>
      <w:r w:rsidRPr="00102345">
        <w:rPr>
          <w:rFonts w:hint="cs"/>
          <w:spacing w:val="-2"/>
          <w:rtl/>
        </w:rPr>
        <w:t xml:space="preserve"> عن ذلك. </w:t>
      </w:r>
      <w:r w:rsidRPr="00102345">
        <w:rPr>
          <w:spacing w:val="-2"/>
          <w:rtl/>
        </w:rPr>
        <w:t>وهل تزود الدولة الطرف موظفي إنفاذ القانون ب</w:t>
      </w:r>
      <w:r w:rsidRPr="00102345">
        <w:rPr>
          <w:rFonts w:hint="cs"/>
          <w:spacing w:val="-2"/>
          <w:rtl/>
        </w:rPr>
        <w:t xml:space="preserve">أدلة </w:t>
      </w:r>
      <w:r w:rsidR="00102345" w:rsidRPr="00102345">
        <w:rPr>
          <w:rFonts w:hint="cs"/>
          <w:spacing w:val="-2"/>
          <w:rtl/>
        </w:rPr>
        <w:t>عن</w:t>
      </w:r>
      <w:r w:rsidRPr="00102345">
        <w:rPr>
          <w:rFonts w:hint="cs"/>
          <w:spacing w:val="-2"/>
          <w:rtl/>
        </w:rPr>
        <w:t xml:space="preserve"> </w:t>
      </w:r>
      <w:r w:rsidRPr="00102345">
        <w:rPr>
          <w:spacing w:val="-2"/>
          <w:rtl/>
        </w:rPr>
        <w:t>تقنيات الاستجواب؟</w:t>
      </w:r>
    </w:p>
    <w:p w:rsidR="004B190B" w:rsidRPr="00EA65E3" w:rsidRDefault="004B190B" w:rsidP="00102345">
      <w:pPr>
        <w:pStyle w:val="SingleTxtGA"/>
        <w:rPr>
          <w:rFonts w:hint="cs"/>
          <w:rtl/>
        </w:rPr>
      </w:pPr>
      <w:r w:rsidRPr="00EA65E3">
        <w:rPr>
          <w:rFonts w:hint="cs"/>
          <w:rtl/>
        </w:rPr>
        <w:t>23-</w:t>
      </w:r>
      <w:r w:rsidRPr="00EA65E3">
        <w:rPr>
          <w:rFonts w:hint="cs"/>
          <w:rtl/>
        </w:rPr>
        <w:tab/>
        <w:t>يرجى تقديم معلومات عما اتُّخذ من خطوات لتحسين أحوال جميع أماكن الاحتجاز والسَّجن وضمان الفصل بين المحتجزين والمحتجزات والفصل بين المدانين والمحبوسين احتياطياً. كما يرجى تقديم معلومات عن حالات العنف بين السجناء، بما في ذلك معلومات عن عدد الشكاوى المقدمة وأي إجراء اتخذته الدولة في هذا الصدد ونتائج هذا الإجراء. ير</w:t>
      </w:r>
      <w:r w:rsidR="00102345">
        <w:rPr>
          <w:rFonts w:hint="cs"/>
          <w:rtl/>
        </w:rPr>
        <w:t>جى كذلك تقديم بيانات إحصائية ع</w:t>
      </w:r>
      <w:r w:rsidRPr="00EA65E3">
        <w:rPr>
          <w:rFonts w:hint="cs"/>
          <w:rtl/>
        </w:rPr>
        <w:t>ن عدد السجناء في مرافق السجون، فضلاً عن درجة تجاوز عدد السجناء في كل مرفق قدر</w:t>
      </w:r>
      <w:r w:rsidR="00102345">
        <w:rPr>
          <w:rFonts w:hint="cs"/>
          <w:rtl/>
        </w:rPr>
        <w:t>ا</w:t>
      </w:r>
      <w:r w:rsidRPr="00EA65E3">
        <w:rPr>
          <w:rFonts w:hint="cs"/>
          <w:rtl/>
        </w:rPr>
        <w:t xml:space="preserve">ته الاستيعابية. </w:t>
      </w:r>
    </w:p>
    <w:p w:rsidR="004B190B" w:rsidRPr="00EA65E3" w:rsidRDefault="00535B1A" w:rsidP="00535B1A">
      <w:pPr>
        <w:pStyle w:val="H1GA"/>
        <w:rPr>
          <w:rFonts w:hint="cs"/>
          <w:rtl/>
        </w:rPr>
      </w:pPr>
      <w:r>
        <w:rPr>
          <w:rFonts w:hint="cs"/>
          <w:rtl/>
        </w:rPr>
        <w:tab/>
      </w:r>
      <w:r>
        <w:rPr>
          <w:rFonts w:hint="cs"/>
          <w:rtl/>
        </w:rPr>
        <w:tab/>
      </w:r>
      <w:r w:rsidR="004B190B" w:rsidRPr="00EA65E3">
        <w:rPr>
          <w:rFonts w:hint="cs"/>
          <w:rtl/>
        </w:rPr>
        <w:t>المادتان 12 و13</w:t>
      </w:r>
    </w:p>
    <w:p w:rsidR="004B190B" w:rsidRPr="00102345" w:rsidRDefault="004B190B" w:rsidP="00F711E0">
      <w:pPr>
        <w:pStyle w:val="SingleTxtGA"/>
        <w:rPr>
          <w:rFonts w:hint="cs"/>
          <w:spacing w:val="-4"/>
          <w:rtl/>
        </w:rPr>
      </w:pPr>
      <w:r w:rsidRPr="00102345">
        <w:rPr>
          <w:rFonts w:hint="cs"/>
          <w:spacing w:val="-4"/>
          <w:rtl/>
        </w:rPr>
        <w:t>2</w:t>
      </w:r>
      <w:r w:rsidR="00102345" w:rsidRPr="00102345">
        <w:rPr>
          <w:rFonts w:hint="cs"/>
          <w:spacing w:val="-4"/>
          <w:rtl/>
        </w:rPr>
        <w:t>4-</w:t>
      </w:r>
      <w:r w:rsidR="00102345" w:rsidRPr="00102345">
        <w:rPr>
          <w:rFonts w:hint="cs"/>
          <w:spacing w:val="-4"/>
          <w:rtl/>
        </w:rPr>
        <w:tab/>
        <w:t>يرجى تقديم معلومات مفصّلة ع</w:t>
      </w:r>
      <w:r w:rsidRPr="00102345">
        <w:rPr>
          <w:rFonts w:hint="cs"/>
          <w:spacing w:val="-4"/>
          <w:rtl/>
        </w:rPr>
        <w:t>ما اتخذ من تدابير تكفل حماية العمال المهاجرين من التعرض إلى العنف والاتجار بهم، و</w:t>
      </w:r>
      <w:r w:rsidR="00EA4B98">
        <w:rPr>
          <w:rFonts w:hint="cs"/>
          <w:spacing w:val="-4"/>
          <w:rtl/>
        </w:rPr>
        <w:t>لا </w:t>
      </w:r>
      <w:proofErr w:type="spellStart"/>
      <w:r w:rsidR="00EA4B98">
        <w:rPr>
          <w:rFonts w:hint="cs"/>
          <w:spacing w:val="-4"/>
          <w:rtl/>
        </w:rPr>
        <w:t>سيما</w:t>
      </w:r>
      <w:proofErr w:type="spellEnd"/>
      <w:r w:rsidRPr="00102345">
        <w:rPr>
          <w:rFonts w:hint="cs"/>
          <w:spacing w:val="-4"/>
          <w:rtl/>
        </w:rPr>
        <w:t xml:space="preserve"> العاملات في المنازل، بما في ذلك معلومات عن أي تدابير تيسّر لهم تقديم الشكاوى، من قبيل التدابير الرامية إلى خفض تكلفة الاحتكام إلى القضاء</w:t>
      </w:r>
      <w:r w:rsidR="00102345">
        <w:rPr>
          <w:rFonts w:hint="cs"/>
          <w:spacing w:val="-4"/>
          <w:rtl/>
        </w:rPr>
        <w:t xml:space="preserve"> </w:t>
      </w:r>
      <w:r w:rsidRPr="00102345">
        <w:rPr>
          <w:rFonts w:hint="cs"/>
          <w:spacing w:val="-4"/>
          <w:rtl/>
        </w:rPr>
        <w:t xml:space="preserve"> أو التغلب على الحواجز اللغوية. كما يرجى تقديم بيانات محدّثة بشأن عدد الشكاوى المقدمة المتعلقة بإساءة معاملة العمال المهاجرين وعدد تلك التي حُقق فيها ومدة التحقيقات ونتائجها</w:t>
      </w:r>
      <w:r w:rsidR="00F711E0" w:rsidRPr="00102345">
        <w:rPr>
          <w:spacing w:val="-4"/>
          <w:vertAlign w:val="superscript"/>
          <w:rtl/>
          <w:lang w:bidi="ar-MA"/>
        </w:rPr>
        <w:t>(</w:t>
      </w:r>
      <w:r w:rsidR="00F711E0" w:rsidRPr="00102345">
        <w:rPr>
          <w:rStyle w:val="FootnoteReference"/>
          <w:spacing w:val="-4"/>
          <w:rtl/>
          <w:lang w:bidi="ar-MA"/>
        </w:rPr>
        <w:footnoteReference w:id="18"/>
      </w:r>
      <w:r w:rsidR="00F711E0" w:rsidRPr="00102345">
        <w:rPr>
          <w:spacing w:val="-4"/>
          <w:vertAlign w:val="superscript"/>
          <w:rtl/>
          <w:lang w:bidi="ar-MA"/>
        </w:rPr>
        <w:t>)</w:t>
      </w:r>
      <w:r w:rsidRPr="00102345">
        <w:rPr>
          <w:rFonts w:hint="cs"/>
          <w:spacing w:val="-4"/>
          <w:rtl/>
        </w:rPr>
        <w:t>.</w:t>
      </w:r>
    </w:p>
    <w:p w:rsidR="004B190B" w:rsidRPr="00EA65E3" w:rsidRDefault="004B190B" w:rsidP="00102345">
      <w:pPr>
        <w:pStyle w:val="SingleTxtGA"/>
        <w:rPr>
          <w:rFonts w:hint="cs"/>
          <w:rtl/>
          <w:lang w:val="fr-CH"/>
        </w:rPr>
      </w:pPr>
      <w:r w:rsidRPr="00EA65E3">
        <w:rPr>
          <w:rFonts w:hint="cs"/>
          <w:rtl/>
          <w:lang w:val="fr-CH"/>
        </w:rPr>
        <w:t>25-</w:t>
      </w:r>
      <w:r w:rsidR="00535B1A">
        <w:rPr>
          <w:rFonts w:hint="cs"/>
          <w:rtl/>
          <w:lang w:val="fr-CH"/>
        </w:rPr>
        <w:tab/>
      </w:r>
      <w:r w:rsidRPr="00EA65E3">
        <w:rPr>
          <w:rFonts w:hint="cs"/>
          <w:rtl/>
          <w:lang w:val="fr-CH"/>
        </w:rPr>
        <w:t>إلحاقاً بتوصية اللجنة المقدمة في ملاحظاتها الختامية السابقة (ا</w:t>
      </w:r>
      <w:r w:rsidR="00102345">
        <w:rPr>
          <w:rFonts w:hint="cs"/>
          <w:rtl/>
          <w:lang w:val="fr-CH"/>
        </w:rPr>
        <w:t>لفقرة 11)، يرجى تقديم معلومات ع</w:t>
      </w:r>
      <w:r w:rsidRPr="00EA65E3">
        <w:rPr>
          <w:rFonts w:hint="cs"/>
          <w:rtl/>
          <w:lang w:val="fr-CH"/>
        </w:rPr>
        <w:t xml:space="preserve">ما اتخذته الدولة الطرف من تدابير تكفل على نحو كامل استقلال السلطة القضائية وفقاً </w:t>
      </w:r>
      <w:r w:rsidRPr="00EA65E3">
        <w:rPr>
          <w:rFonts w:ascii="Tahoma" w:hAnsi="Tahoma" w:hint="cs"/>
          <w:rtl/>
        </w:rPr>
        <w:t>ل</w:t>
      </w:r>
      <w:r w:rsidRPr="00EA65E3">
        <w:rPr>
          <w:rFonts w:ascii="Tahoma" w:hAnsi="Tahoma"/>
          <w:rtl/>
        </w:rPr>
        <w:t>لمباد</w:t>
      </w:r>
      <w:r w:rsidRPr="00EA65E3">
        <w:rPr>
          <w:rFonts w:ascii="Tahoma" w:hAnsi="Tahoma" w:hint="cs"/>
          <w:rtl/>
        </w:rPr>
        <w:t>ئ</w:t>
      </w:r>
      <w:r w:rsidRPr="00EA65E3">
        <w:rPr>
          <w:rFonts w:ascii="Tahoma" w:hAnsi="Tahoma"/>
          <w:rtl/>
        </w:rPr>
        <w:t xml:space="preserve"> الأساسية بشأن استقلال السلطة القضائية</w:t>
      </w:r>
      <w:r w:rsidRPr="00EA65E3">
        <w:rPr>
          <w:rFonts w:hint="cs"/>
          <w:rtl/>
          <w:lang w:val="fr-CH"/>
        </w:rPr>
        <w:t xml:space="preserve"> (قرار الجمعية </w:t>
      </w:r>
      <w:r w:rsidR="001030E1">
        <w:rPr>
          <w:rFonts w:hint="cs"/>
          <w:rtl/>
          <w:lang w:val="fr-CH"/>
        </w:rPr>
        <w:t xml:space="preserve">          </w:t>
      </w:r>
      <w:r w:rsidRPr="00EA65E3">
        <w:rPr>
          <w:rFonts w:hint="cs"/>
          <w:rtl/>
          <w:lang w:val="fr-CH"/>
        </w:rPr>
        <w:t>العامة 40/146) وتكفل كذلك إمكانية وجود قاضيات بين أعضاء هيئة المحكمة وممارستهن الاختصاصات القضائية ذاتها التي يمارسها القضاة</w:t>
      </w:r>
      <w:r w:rsidR="00F711E0">
        <w:rPr>
          <w:vertAlign w:val="superscript"/>
          <w:rtl/>
          <w:lang w:bidi="ar-MA"/>
        </w:rPr>
        <w:t>(</w:t>
      </w:r>
      <w:r w:rsidR="00F711E0">
        <w:rPr>
          <w:rStyle w:val="FootnoteReference"/>
          <w:rtl/>
          <w:lang w:bidi="ar-MA"/>
        </w:rPr>
        <w:footnoteReference w:id="19"/>
      </w:r>
      <w:r w:rsidR="00F711E0">
        <w:rPr>
          <w:vertAlign w:val="superscript"/>
          <w:rtl/>
          <w:lang w:bidi="ar-MA"/>
        </w:rPr>
        <w:t>)</w:t>
      </w:r>
      <w:r w:rsidRPr="00EA65E3">
        <w:rPr>
          <w:rFonts w:hint="cs"/>
          <w:rtl/>
          <w:lang w:val="fr-CH"/>
        </w:rPr>
        <w:t>.</w:t>
      </w:r>
    </w:p>
    <w:p w:rsidR="004B190B" w:rsidRPr="00EA65E3" w:rsidRDefault="004B190B" w:rsidP="00102345">
      <w:pPr>
        <w:pStyle w:val="SingleTxtGA"/>
        <w:rPr>
          <w:rFonts w:hint="cs"/>
          <w:rtl/>
          <w:lang w:val="fr-CH"/>
        </w:rPr>
      </w:pPr>
      <w:r w:rsidRPr="00EA65E3">
        <w:rPr>
          <w:rFonts w:hint="cs"/>
          <w:rtl/>
          <w:lang w:val="fr-CH"/>
        </w:rPr>
        <w:t>26-</w:t>
      </w:r>
      <w:r w:rsidR="00535B1A">
        <w:rPr>
          <w:rFonts w:hint="cs"/>
          <w:rtl/>
          <w:lang w:val="fr-CH"/>
        </w:rPr>
        <w:tab/>
      </w:r>
      <w:r w:rsidRPr="00EA65E3">
        <w:rPr>
          <w:rFonts w:hint="cs"/>
          <w:rtl/>
          <w:lang w:val="fr-CH"/>
        </w:rPr>
        <w:t xml:space="preserve">إلحاقاً بتوصية اللجنة المقدمة في ملاحظاتها الختامية السابقة (الفقرة 19)، يرجى تقديم بيانات إحصائية مفصلة، </w:t>
      </w:r>
      <w:r w:rsidR="00102345">
        <w:rPr>
          <w:rFonts w:hint="cs"/>
          <w:rtl/>
          <w:lang w:val="fr-CH"/>
        </w:rPr>
        <w:t>ومصنفة</w:t>
      </w:r>
      <w:r w:rsidRPr="00EA65E3">
        <w:rPr>
          <w:rFonts w:hint="cs"/>
          <w:rtl/>
          <w:lang w:val="fr-CH"/>
        </w:rPr>
        <w:t xml:space="preserve"> بحسب نوع الجريمة والجنسية والسن ونوع الجنس، بشأن أي شكاوى تعذيب وإساءة معاملة مقدمة</w:t>
      </w:r>
      <w:r w:rsidR="00102345">
        <w:rPr>
          <w:rFonts w:hint="cs"/>
          <w:rtl/>
          <w:lang w:val="fr-CH"/>
        </w:rPr>
        <w:t xml:space="preserve"> وأي تحقيقات ومحاكمات وعقوبات جز</w:t>
      </w:r>
      <w:r w:rsidRPr="00EA65E3">
        <w:rPr>
          <w:rFonts w:hint="cs"/>
          <w:rtl/>
          <w:lang w:val="fr-CH"/>
        </w:rPr>
        <w:t xml:space="preserve">ائية وتأديبية متصلة بها، فضلاً عن معلومات عن التعويضات المقدمة للضحايا والتدابير المتخذة </w:t>
      </w:r>
      <w:r w:rsidR="00102345">
        <w:rPr>
          <w:rFonts w:hint="cs"/>
          <w:rtl/>
          <w:lang w:val="fr-CH"/>
        </w:rPr>
        <w:t>لإعادة تأهيلهم</w:t>
      </w:r>
      <w:r w:rsidRPr="00EA65E3">
        <w:rPr>
          <w:rFonts w:hint="cs"/>
          <w:rtl/>
          <w:lang w:val="fr-CH"/>
        </w:rPr>
        <w:t>.</w:t>
      </w:r>
    </w:p>
    <w:p w:rsidR="004B190B" w:rsidRPr="00EA65E3" w:rsidRDefault="00535B1A" w:rsidP="00535B1A">
      <w:pPr>
        <w:pStyle w:val="H1GA"/>
        <w:rPr>
          <w:rFonts w:hint="cs"/>
          <w:rtl/>
          <w:lang w:val="fr-CH"/>
        </w:rPr>
      </w:pPr>
      <w:r>
        <w:rPr>
          <w:rFonts w:hint="cs"/>
          <w:rtl/>
          <w:lang w:val="fr-CH"/>
        </w:rPr>
        <w:tab/>
      </w:r>
      <w:r>
        <w:rPr>
          <w:rFonts w:hint="cs"/>
          <w:rtl/>
          <w:lang w:val="fr-CH"/>
        </w:rPr>
        <w:tab/>
      </w:r>
      <w:r w:rsidR="004B190B" w:rsidRPr="00EA65E3">
        <w:rPr>
          <w:rFonts w:hint="cs"/>
          <w:rtl/>
          <w:lang w:val="fr-CH"/>
        </w:rPr>
        <w:t>المادة 14</w:t>
      </w:r>
    </w:p>
    <w:p w:rsidR="004B190B" w:rsidRPr="00EA65E3" w:rsidRDefault="004B190B" w:rsidP="00102345">
      <w:pPr>
        <w:pStyle w:val="SingleTxtGA"/>
        <w:rPr>
          <w:rFonts w:hint="cs"/>
          <w:rtl/>
          <w:lang w:val="fr-CH"/>
        </w:rPr>
      </w:pPr>
      <w:r w:rsidRPr="00EA65E3">
        <w:rPr>
          <w:rFonts w:hint="cs"/>
          <w:rtl/>
          <w:lang w:val="fr-CH"/>
        </w:rPr>
        <w:t>27-</w:t>
      </w:r>
      <w:r w:rsidR="00535B1A">
        <w:rPr>
          <w:rFonts w:hint="cs"/>
          <w:rtl/>
          <w:lang w:val="fr-CH"/>
        </w:rPr>
        <w:tab/>
      </w:r>
      <w:r w:rsidRPr="00EA65E3">
        <w:rPr>
          <w:rFonts w:hint="cs"/>
          <w:rtl/>
          <w:lang w:val="fr-CH"/>
        </w:rPr>
        <w:t xml:space="preserve">إلحاقاً بتوصية اللجنة المقدمة في ملاحظاتها الختامية السابقة (الفقرة 18)، ما </w:t>
      </w:r>
      <w:r w:rsidR="00102345">
        <w:rPr>
          <w:rFonts w:hint="cs"/>
          <w:rtl/>
          <w:lang w:val="fr-CH"/>
        </w:rPr>
        <w:t xml:space="preserve">هو </w:t>
      </w:r>
      <w:r w:rsidRPr="00EA65E3">
        <w:rPr>
          <w:rFonts w:hint="cs"/>
          <w:rtl/>
          <w:lang w:val="fr-CH"/>
        </w:rPr>
        <w:t>الإجراء الذي اتخذته الدولة الطرف لتكفل تقديم تعويضات عادلة وملائمة، تشمل وسائل رد الاعتبار الكامل، لجميع الأشخاص الذين وقعوا ضحايا أفعال تعذيب</w:t>
      </w:r>
      <w:r w:rsidR="00F711E0">
        <w:rPr>
          <w:vertAlign w:val="superscript"/>
          <w:rtl/>
          <w:lang w:bidi="ar-MA"/>
        </w:rPr>
        <w:t>(</w:t>
      </w:r>
      <w:r w:rsidR="00F711E0">
        <w:rPr>
          <w:rStyle w:val="FootnoteReference"/>
          <w:rtl/>
          <w:lang w:bidi="ar-MA"/>
        </w:rPr>
        <w:footnoteReference w:id="20"/>
      </w:r>
      <w:r w:rsidR="00F711E0">
        <w:rPr>
          <w:vertAlign w:val="superscript"/>
          <w:rtl/>
          <w:lang w:bidi="ar-MA"/>
        </w:rPr>
        <w:t>)</w:t>
      </w:r>
      <w:r w:rsidRPr="00EA65E3">
        <w:rPr>
          <w:rFonts w:hint="cs"/>
          <w:rtl/>
          <w:lang w:val="fr-CH"/>
        </w:rPr>
        <w:t>؟</w:t>
      </w:r>
      <w:r w:rsidR="00F711E0">
        <w:rPr>
          <w:rFonts w:hint="cs"/>
          <w:sz w:val="30"/>
          <w:rtl/>
          <w:lang w:val="fr-CH"/>
        </w:rPr>
        <w:t xml:space="preserve"> </w:t>
      </w:r>
      <w:r w:rsidRPr="00EA65E3">
        <w:rPr>
          <w:rFonts w:hint="cs"/>
          <w:rtl/>
          <w:lang w:val="fr-CH"/>
        </w:rPr>
        <w:t xml:space="preserve">وهل تشمل برامج التعويضات العمال المهاجرين والأشخاص </w:t>
      </w:r>
      <w:r w:rsidR="00102345">
        <w:rPr>
          <w:rFonts w:hint="cs"/>
          <w:rtl/>
          <w:lang w:val="fr-CH"/>
        </w:rPr>
        <w:t>المتاجر</w:t>
      </w:r>
      <w:r w:rsidRPr="00EA65E3">
        <w:rPr>
          <w:rFonts w:hint="cs"/>
          <w:rtl/>
          <w:lang w:val="fr-CH"/>
        </w:rPr>
        <w:t xml:space="preserve"> بهم؟ يرجى تضمين الرد عدد الطلبات المقدمة وعدد الطلبات المقبولة ومبالغ التعويضات التي قُضي بتقديمها والمبالغ الت</w:t>
      </w:r>
      <w:r w:rsidR="00102345">
        <w:rPr>
          <w:rFonts w:hint="cs"/>
          <w:rtl/>
          <w:lang w:val="fr-CH"/>
        </w:rPr>
        <w:t>ي قُدمت فعلاً في كل حالة.</w:t>
      </w:r>
    </w:p>
    <w:p w:rsidR="004B190B" w:rsidRPr="00EA65E3" w:rsidRDefault="00535B1A" w:rsidP="0027596F">
      <w:pPr>
        <w:pStyle w:val="H1GA"/>
        <w:spacing w:before="120"/>
        <w:rPr>
          <w:rFonts w:hint="cs"/>
          <w:rtl/>
          <w:lang w:val="fr-CH"/>
        </w:rPr>
      </w:pPr>
      <w:r>
        <w:rPr>
          <w:rFonts w:hint="cs"/>
          <w:rtl/>
          <w:lang w:val="fr-CH"/>
        </w:rPr>
        <w:tab/>
      </w:r>
      <w:r>
        <w:rPr>
          <w:rFonts w:hint="cs"/>
          <w:rtl/>
          <w:lang w:val="fr-CH"/>
        </w:rPr>
        <w:tab/>
      </w:r>
      <w:r w:rsidR="004B190B" w:rsidRPr="00EA65E3">
        <w:rPr>
          <w:rFonts w:hint="cs"/>
          <w:rtl/>
          <w:lang w:val="fr-CH"/>
        </w:rPr>
        <w:t>المادة 15</w:t>
      </w:r>
    </w:p>
    <w:p w:rsidR="004B190B" w:rsidRPr="00EA65E3" w:rsidRDefault="004B190B" w:rsidP="00102345">
      <w:pPr>
        <w:pStyle w:val="SingleTxtGA"/>
        <w:rPr>
          <w:rFonts w:hint="cs"/>
          <w:rtl/>
          <w:lang w:val="fr-CH"/>
        </w:rPr>
      </w:pPr>
      <w:r w:rsidRPr="00EA65E3">
        <w:rPr>
          <w:rFonts w:hint="cs"/>
          <w:rtl/>
          <w:lang w:val="fr-CH"/>
        </w:rPr>
        <w:t>28-</w:t>
      </w:r>
      <w:r w:rsidR="00535B1A">
        <w:rPr>
          <w:rFonts w:hint="cs"/>
          <w:rtl/>
          <w:lang w:val="fr-CH"/>
        </w:rPr>
        <w:tab/>
      </w:r>
      <w:r w:rsidR="00102345">
        <w:rPr>
          <w:rFonts w:hint="cs"/>
          <w:rtl/>
          <w:lang w:val="fr-CH"/>
        </w:rPr>
        <w:t>يرجى تقديم معلومات ع</w:t>
      </w:r>
      <w:r w:rsidRPr="00EA65E3">
        <w:rPr>
          <w:rFonts w:hint="cs"/>
          <w:rtl/>
          <w:lang w:val="fr-CH"/>
        </w:rPr>
        <w:t>ما اتُّخذ من تدابير تضمن عدم التذرع بأي أقوال يثبت أنه قد أُدلي بها إثر التعرض للتعذيب كدليل في أي دعوى، عدا أن يكون دليل إثبات ضد الشخص المتهم بممارسة التعذيب</w:t>
      </w:r>
      <w:r w:rsidR="00F711E0">
        <w:rPr>
          <w:vertAlign w:val="superscript"/>
          <w:rtl/>
          <w:lang w:bidi="ar-MA"/>
        </w:rPr>
        <w:t>(</w:t>
      </w:r>
      <w:r w:rsidR="00F711E0">
        <w:rPr>
          <w:rStyle w:val="FootnoteReference"/>
          <w:rtl/>
          <w:lang w:bidi="ar-MA"/>
        </w:rPr>
        <w:footnoteReference w:id="21"/>
      </w:r>
      <w:r w:rsidR="00F711E0">
        <w:rPr>
          <w:vertAlign w:val="superscript"/>
          <w:rtl/>
          <w:lang w:bidi="ar-MA"/>
        </w:rPr>
        <w:t>)</w:t>
      </w:r>
      <w:r w:rsidRPr="00EA65E3">
        <w:rPr>
          <w:rFonts w:hint="cs"/>
          <w:rtl/>
          <w:lang w:val="fr-CH"/>
        </w:rPr>
        <w:t>.</w:t>
      </w:r>
    </w:p>
    <w:p w:rsidR="004B190B" w:rsidRPr="00EA65E3" w:rsidRDefault="00535B1A" w:rsidP="00535B1A">
      <w:pPr>
        <w:pStyle w:val="H1GA"/>
        <w:rPr>
          <w:rFonts w:hint="cs"/>
          <w:rtl/>
          <w:lang w:val="fr-CH"/>
        </w:rPr>
      </w:pPr>
      <w:r>
        <w:rPr>
          <w:rFonts w:hint="cs"/>
          <w:rtl/>
          <w:lang w:val="fr-CH"/>
        </w:rPr>
        <w:tab/>
      </w:r>
      <w:r>
        <w:rPr>
          <w:rFonts w:hint="cs"/>
          <w:rtl/>
          <w:lang w:val="fr-CH"/>
        </w:rPr>
        <w:tab/>
      </w:r>
      <w:r w:rsidR="004B190B" w:rsidRPr="00EA65E3">
        <w:rPr>
          <w:rFonts w:hint="cs"/>
          <w:rtl/>
          <w:lang w:val="fr-CH"/>
        </w:rPr>
        <w:t>المادة 16</w:t>
      </w:r>
    </w:p>
    <w:p w:rsidR="004B190B" w:rsidRPr="00102345" w:rsidRDefault="004B190B" w:rsidP="002248EC">
      <w:pPr>
        <w:pStyle w:val="SingleTxtGA"/>
        <w:rPr>
          <w:rFonts w:hint="cs"/>
          <w:spacing w:val="-4"/>
          <w:sz w:val="30"/>
          <w:rtl/>
        </w:rPr>
      </w:pPr>
      <w:r w:rsidRPr="00102345">
        <w:rPr>
          <w:rFonts w:hint="cs"/>
          <w:spacing w:val="-4"/>
          <w:sz w:val="30"/>
          <w:rtl/>
          <w:lang w:bidi="ar-MA"/>
        </w:rPr>
        <w:t>29-</w:t>
      </w:r>
      <w:r w:rsidRPr="00102345">
        <w:rPr>
          <w:rFonts w:hint="cs"/>
          <w:spacing w:val="-4"/>
          <w:sz w:val="30"/>
          <w:rtl/>
          <w:lang w:bidi="ar-MA"/>
        </w:rPr>
        <w:tab/>
      </w:r>
      <w:r w:rsidRPr="00102345">
        <w:rPr>
          <w:rFonts w:hint="cs"/>
          <w:spacing w:val="-4"/>
          <w:sz w:val="30"/>
          <w:rtl/>
          <w:lang w:val="fr-CH"/>
        </w:rPr>
        <w:t>إلحاقاً بتوصية اللجنة المقدمة في ملاحظاتها الختامية السابقة (الفقرة 21)،</w:t>
      </w:r>
      <w:r w:rsidRPr="00102345">
        <w:rPr>
          <w:rFonts w:hint="cs"/>
          <w:spacing w:val="-4"/>
          <w:sz w:val="30"/>
          <w:rtl/>
        </w:rPr>
        <w:t xml:space="preserve"> هل اتخذت الدولة الطرف تدابير فورية تكفل </w:t>
      </w:r>
      <w:r w:rsidRPr="00102345">
        <w:rPr>
          <w:rFonts w:hint="cs"/>
          <w:spacing w:val="-4"/>
          <w:rtl/>
        </w:rPr>
        <w:t>ا</w:t>
      </w:r>
      <w:r w:rsidRPr="00102345">
        <w:rPr>
          <w:spacing w:val="-4"/>
          <w:rtl/>
        </w:rPr>
        <w:t>حترام حقوق الإنسان</w:t>
      </w:r>
      <w:r w:rsidRPr="00102345">
        <w:rPr>
          <w:rFonts w:hint="cs"/>
          <w:spacing w:val="-4"/>
          <w:rtl/>
        </w:rPr>
        <w:t xml:space="preserve"> للأشخاص كافة </w:t>
      </w:r>
      <w:r w:rsidRPr="00102345">
        <w:rPr>
          <w:spacing w:val="-4"/>
          <w:rtl/>
        </w:rPr>
        <w:t>أثناء</w:t>
      </w:r>
      <w:r w:rsidRPr="00102345">
        <w:rPr>
          <w:rFonts w:hint="cs"/>
          <w:spacing w:val="-4"/>
          <w:rtl/>
        </w:rPr>
        <w:t xml:space="preserve"> إجراء أي</w:t>
      </w:r>
      <w:r w:rsidRPr="00102345">
        <w:rPr>
          <w:spacing w:val="-4"/>
          <w:rtl/>
        </w:rPr>
        <w:t xml:space="preserve"> عمليات تفتيش</w:t>
      </w:r>
      <w:r w:rsidRPr="00102345">
        <w:rPr>
          <w:rFonts w:hint="cs"/>
          <w:spacing w:val="-4"/>
          <w:rtl/>
        </w:rPr>
        <w:t xml:space="preserve"> </w:t>
      </w:r>
      <w:r w:rsidRPr="00102345">
        <w:rPr>
          <w:spacing w:val="-4"/>
          <w:rtl/>
        </w:rPr>
        <w:t>جسدي</w:t>
      </w:r>
      <w:r w:rsidRPr="00102345">
        <w:rPr>
          <w:rFonts w:hint="cs"/>
          <w:spacing w:val="-4"/>
          <w:rtl/>
        </w:rPr>
        <w:t>،</w:t>
      </w:r>
      <w:r w:rsidRPr="00102345">
        <w:rPr>
          <w:spacing w:val="-4"/>
          <w:rtl/>
        </w:rPr>
        <w:t xml:space="preserve"> و</w:t>
      </w:r>
      <w:r w:rsidRPr="00102345">
        <w:rPr>
          <w:rFonts w:hint="cs"/>
          <w:spacing w:val="-4"/>
          <w:rtl/>
        </w:rPr>
        <w:t>تضمن تقيّد هذه العمليات تقيّداً تاماً</w:t>
      </w:r>
      <w:r w:rsidRPr="00102345">
        <w:rPr>
          <w:spacing w:val="-4"/>
          <w:rtl/>
        </w:rPr>
        <w:t xml:space="preserve"> </w:t>
      </w:r>
      <w:r w:rsidRPr="00102345">
        <w:rPr>
          <w:rFonts w:hint="cs"/>
          <w:spacing w:val="-4"/>
          <w:rtl/>
        </w:rPr>
        <w:t>بال</w:t>
      </w:r>
      <w:r w:rsidRPr="00102345">
        <w:rPr>
          <w:spacing w:val="-4"/>
          <w:rtl/>
        </w:rPr>
        <w:t>معايير الدولية</w:t>
      </w:r>
      <w:r w:rsidRPr="00102345">
        <w:rPr>
          <w:rFonts w:hint="cs"/>
          <w:spacing w:val="-4"/>
          <w:rtl/>
        </w:rPr>
        <w:t>،</w:t>
      </w:r>
      <w:r w:rsidRPr="00102345">
        <w:rPr>
          <w:spacing w:val="-4"/>
          <w:rtl/>
        </w:rPr>
        <w:t xml:space="preserve"> بما فيها الاتفاقية</w:t>
      </w:r>
      <w:r w:rsidR="002248EC" w:rsidRPr="00102345">
        <w:rPr>
          <w:spacing w:val="-4"/>
          <w:vertAlign w:val="superscript"/>
          <w:rtl/>
          <w:lang w:bidi="ar-MA"/>
        </w:rPr>
        <w:t>(</w:t>
      </w:r>
      <w:r w:rsidR="002248EC" w:rsidRPr="00102345">
        <w:rPr>
          <w:rStyle w:val="FootnoteReference"/>
          <w:spacing w:val="-4"/>
          <w:rtl/>
          <w:lang w:bidi="ar-MA"/>
        </w:rPr>
        <w:footnoteReference w:id="22"/>
      </w:r>
      <w:r w:rsidR="002248EC" w:rsidRPr="00102345">
        <w:rPr>
          <w:spacing w:val="-4"/>
          <w:vertAlign w:val="superscript"/>
          <w:rtl/>
          <w:lang w:bidi="ar-MA"/>
        </w:rPr>
        <w:t>)</w:t>
      </w:r>
      <w:r w:rsidRPr="00102345">
        <w:rPr>
          <w:rFonts w:hint="cs"/>
          <w:spacing w:val="-4"/>
          <w:rtl/>
        </w:rPr>
        <w:t>؟</w:t>
      </w:r>
    </w:p>
    <w:p w:rsidR="004B190B" w:rsidRPr="00EA65E3" w:rsidRDefault="004B190B" w:rsidP="00476D32">
      <w:pPr>
        <w:pStyle w:val="SingleTxtGA"/>
        <w:rPr>
          <w:rFonts w:hint="cs"/>
          <w:rtl/>
        </w:rPr>
      </w:pPr>
      <w:r w:rsidRPr="00EA65E3">
        <w:rPr>
          <w:rFonts w:hint="cs"/>
          <w:sz w:val="30"/>
          <w:rtl/>
        </w:rPr>
        <w:t>30-</w:t>
      </w:r>
      <w:r w:rsidR="00535B1A">
        <w:rPr>
          <w:rFonts w:hint="cs"/>
          <w:rtl/>
        </w:rPr>
        <w:tab/>
      </w:r>
      <w:r w:rsidRPr="00EA65E3">
        <w:rPr>
          <w:rFonts w:hint="cs"/>
          <w:rtl/>
        </w:rPr>
        <w:t>ما</w:t>
      </w:r>
      <w:r w:rsidR="00102345">
        <w:rPr>
          <w:rFonts w:hint="cs"/>
          <w:rtl/>
        </w:rPr>
        <w:t xml:space="preserve"> هي</w:t>
      </w:r>
      <w:r w:rsidRPr="00EA65E3">
        <w:rPr>
          <w:rFonts w:hint="cs"/>
          <w:rtl/>
        </w:rPr>
        <w:t xml:space="preserve"> التدابير التي اتخذتها الدولة الطرف لمراجعة تشريعاتها الراهنة مراجعة نقدية بقصد منع</w:t>
      </w:r>
      <w:r w:rsidR="00476D32">
        <w:rPr>
          <w:rFonts w:hint="cs"/>
          <w:rtl/>
        </w:rPr>
        <w:t xml:space="preserve"> وإنهاء</w:t>
      </w:r>
      <w:r w:rsidRPr="00EA65E3">
        <w:rPr>
          <w:rFonts w:hint="cs"/>
          <w:rtl/>
        </w:rPr>
        <w:t xml:space="preserve"> استخدام العقوبة البدنية للأطفال كأسلوب تأديبي وسن تشريعات صريحة تحظر جميع أشكال العقوبة البدنية للأطفال في جميع الأوساط، بما في ذلك أوساط الأسرة والمدرسة والنظ</w:t>
      </w:r>
      <w:r w:rsidR="00476D32">
        <w:rPr>
          <w:rFonts w:hint="cs"/>
          <w:rtl/>
        </w:rPr>
        <w:t>ا</w:t>
      </w:r>
      <w:r w:rsidRPr="00EA65E3">
        <w:rPr>
          <w:rFonts w:hint="cs"/>
          <w:rtl/>
        </w:rPr>
        <w:t>م العقابي وأوساط الرعاية البديلة</w:t>
      </w:r>
      <w:r w:rsidR="002248EC">
        <w:rPr>
          <w:vertAlign w:val="superscript"/>
          <w:rtl/>
          <w:lang w:bidi="ar-MA"/>
        </w:rPr>
        <w:t>(</w:t>
      </w:r>
      <w:r w:rsidR="002248EC">
        <w:rPr>
          <w:rStyle w:val="FootnoteReference"/>
          <w:rtl/>
          <w:lang w:bidi="ar-MA"/>
        </w:rPr>
        <w:footnoteReference w:id="23"/>
      </w:r>
      <w:r w:rsidR="002248EC">
        <w:rPr>
          <w:vertAlign w:val="superscript"/>
          <w:rtl/>
          <w:lang w:bidi="ar-MA"/>
        </w:rPr>
        <w:t>)</w:t>
      </w:r>
      <w:r w:rsidRPr="00EA65E3">
        <w:rPr>
          <w:rFonts w:hint="cs"/>
          <w:rtl/>
        </w:rPr>
        <w:t>؟</w:t>
      </w:r>
    </w:p>
    <w:p w:rsidR="004B190B" w:rsidRPr="00476D32" w:rsidRDefault="004B190B" w:rsidP="00476D32">
      <w:pPr>
        <w:pStyle w:val="SingleTxtGA"/>
        <w:rPr>
          <w:rFonts w:hint="cs"/>
          <w:spacing w:val="-4"/>
          <w:rtl/>
        </w:rPr>
      </w:pPr>
      <w:r w:rsidRPr="00476D32">
        <w:rPr>
          <w:rFonts w:hint="cs"/>
          <w:spacing w:val="-4"/>
          <w:rtl/>
        </w:rPr>
        <w:t>31-</w:t>
      </w:r>
      <w:r w:rsidR="00535B1A" w:rsidRPr="00476D32">
        <w:rPr>
          <w:rFonts w:hint="cs"/>
          <w:spacing w:val="-4"/>
          <w:rtl/>
        </w:rPr>
        <w:tab/>
      </w:r>
      <w:r w:rsidR="00476D32" w:rsidRPr="00476D32">
        <w:rPr>
          <w:rFonts w:hint="cs"/>
          <w:spacing w:val="-4"/>
          <w:rtl/>
        </w:rPr>
        <w:t>يرجى تقديم معلومات مفصلة ع</w:t>
      </w:r>
      <w:r w:rsidRPr="00476D32">
        <w:rPr>
          <w:rFonts w:hint="cs"/>
          <w:spacing w:val="-4"/>
          <w:rtl/>
        </w:rPr>
        <w:t xml:space="preserve">ما اتُّخذ من تدابير رامية إلى حماية العاملين في المنازل، </w:t>
      </w:r>
      <w:r w:rsidR="00476D32" w:rsidRPr="00476D32">
        <w:rPr>
          <w:rFonts w:hint="cs"/>
          <w:spacing w:val="-4"/>
          <w:rtl/>
        </w:rPr>
        <w:t xml:space="preserve">من </w:t>
      </w:r>
      <w:r w:rsidRPr="00476D32">
        <w:rPr>
          <w:rFonts w:hint="cs"/>
          <w:spacing w:val="-4"/>
          <w:rtl/>
        </w:rPr>
        <w:t xml:space="preserve">الأجانب عادةً، من التعرض للعنف وإساءة المعاملة وكفالة إمكانية احتكامهم إلى العدالة. </w:t>
      </w:r>
    </w:p>
    <w:p w:rsidR="004B190B" w:rsidRPr="00EA65E3" w:rsidRDefault="004B190B" w:rsidP="00476D32">
      <w:pPr>
        <w:pStyle w:val="SingleTxtGA"/>
        <w:rPr>
          <w:rFonts w:hint="cs"/>
          <w:rtl/>
        </w:rPr>
      </w:pPr>
      <w:r w:rsidRPr="00EA65E3">
        <w:rPr>
          <w:rFonts w:hint="cs"/>
          <w:rtl/>
        </w:rPr>
        <w:t>32-</w:t>
      </w:r>
      <w:r w:rsidR="00535B1A">
        <w:rPr>
          <w:rFonts w:hint="cs"/>
          <w:rtl/>
        </w:rPr>
        <w:tab/>
      </w:r>
      <w:r w:rsidRPr="00EA65E3">
        <w:rPr>
          <w:rFonts w:hint="cs"/>
          <w:rtl/>
        </w:rPr>
        <w:t xml:space="preserve">كما يرجى تقديم معلومات عن التدابير التي اتُّخذت لإنهاء استخدام الحرمان من الجنسية القطرية </w:t>
      </w:r>
      <w:r w:rsidR="00476D32">
        <w:rPr>
          <w:rFonts w:hint="cs"/>
          <w:rtl/>
        </w:rPr>
        <w:t xml:space="preserve">بشكل </w:t>
      </w:r>
      <w:r w:rsidRPr="00EA65E3">
        <w:rPr>
          <w:rFonts w:hint="cs"/>
          <w:rtl/>
        </w:rPr>
        <w:t xml:space="preserve">تمييزي كوسيلة لمعاقبة من يشتبه في أنهم معارضون سياسيون. </w:t>
      </w:r>
    </w:p>
    <w:p w:rsidR="004B190B" w:rsidRPr="00EA65E3" w:rsidRDefault="004B190B" w:rsidP="00476D32">
      <w:pPr>
        <w:pStyle w:val="SingleTxtGA"/>
        <w:rPr>
          <w:rFonts w:hint="cs"/>
          <w:rtl/>
        </w:rPr>
      </w:pPr>
      <w:r w:rsidRPr="00EA65E3">
        <w:rPr>
          <w:rFonts w:hint="cs"/>
          <w:rtl/>
        </w:rPr>
        <w:t>33-</w:t>
      </w:r>
      <w:r w:rsidR="00535B1A">
        <w:rPr>
          <w:rFonts w:hint="cs"/>
          <w:rtl/>
        </w:rPr>
        <w:tab/>
      </w:r>
      <w:r w:rsidRPr="00EA65E3">
        <w:rPr>
          <w:rFonts w:hint="cs"/>
          <w:rtl/>
        </w:rPr>
        <w:t>يرجى تقديم معلومات عن التدابير التي اتُّخذت لإلغاء نظام الكفيل وتلافي سحب جوازات سفر العمال المهاجرين. يرجى أيضاً تقديم معلومات عن التدابير التي اتُّخذت لحماية العمال المغتربين والعاملين في المنازل و</w:t>
      </w:r>
      <w:r w:rsidR="00476D32">
        <w:rPr>
          <w:rFonts w:hint="cs"/>
          <w:rtl/>
        </w:rPr>
        <w:t>ل</w:t>
      </w:r>
      <w:r w:rsidRPr="00EA65E3">
        <w:rPr>
          <w:rFonts w:hint="cs"/>
          <w:rtl/>
        </w:rPr>
        <w:t>مكافحة التمييز والعنف الجنسي ضد ال</w:t>
      </w:r>
      <w:r w:rsidR="00476D32">
        <w:rPr>
          <w:rFonts w:hint="cs"/>
          <w:rtl/>
        </w:rPr>
        <w:t>نساء</w:t>
      </w:r>
      <w:r w:rsidRPr="00EA65E3">
        <w:rPr>
          <w:rFonts w:hint="cs"/>
          <w:rtl/>
        </w:rPr>
        <w:t xml:space="preserve"> المهاجرات. </w:t>
      </w:r>
    </w:p>
    <w:p w:rsidR="004B190B" w:rsidRPr="00EA65E3" w:rsidRDefault="004B190B" w:rsidP="00476D32">
      <w:pPr>
        <w:pStyle w:val="SingleTxtGA"/>
        <w:rPr>
          <w:rFonts w:hint="cs"/>
          <w:rtl/>
        </w:rPr>
      </w:pPr>
      <w:r w:rsidRPr="00EA65E3">
        <w:rPr>
          <w:rFonts w:hint="cs"/>
          <w:rtl/>
        </w:rPr>
        <w:t>34-</w:t>
      </w:r>
      <w:r w:rsidR="00535B1A">
        <w:rPr>
          <w:rFonts w:hint="cs"/>
          <w:rtl/>
        </w:rPr>
        <w:tab/>
      </w:r>
      <w:r w:rsidRPr="00EA65E3">
        <w:rPr>
          <w:rFonts w:hint="cs"/>
          <w:rtl/>
        </w:rPr>
        <w:t>يرجى تقديم معلومات عن التدابير التي اتُّخذت من أجل التصديق على الاتفاقية الدولية لحماية حقوق جميع العمال المهاجرين وأفراد أسرهم وإلغاء نظام الكفالة.</w:t>
      </w:r>
    </w:p>
    <w:p w:rsidR="004B190B" w:rsidRPr="00EA65E3" w:rsidRDefault="00535B1A" w:rsidP="00476D32">
      <w:pPr>
        <w:pStyle w:val="H1GA"/>
        <w:rPr>
          <w:rFonts w:hint="cs"/>
          <w:rtl/>
        </w:rPr>
      </w:pPr>
      <w:r>
        <w:rPr>
          <w:rFonts w:hint="cs"/>
          <w:rtl/>
        </w:rPr>
        <w:tab/>
      </w:r>
      <w:r>
        <w:rPr>
          <w:rFonts w:hint="cs"/>
          <w:rtl/>
        </w:rPr>
        <w:tab/>
      </w:r>
      <w:r w:rsidR="004B190B" w:rsidRPr="00EA65E3">
        <w:rPr>
          <w:rFonts w:hint="cs"/>
          <w:rtl/>
        </w:rPr>
        <w:t>مسائل أخرى</w:t>
      </w:r>
    </w:p>
    <w:p w:rsidR="004B190B" w:rsidRPr="00EA65E3" w:rsidRDefault="004B190B" w:rsidP="00271D5F">
      <w:pPr>
        <w:pStyle w:val="SingleTxtGA"/>
        <w:spacing w:line="370" w:lineRule="exact"/>
        <w:rPr>
          <w:rFonts w:hint="cs"/>
          <w:sz w:val="30"/>
          <w:rtl/>
        </w:rPr>
      </w:pPr>
      <w:r w:rsidRPr="00EA65E3">
        <w:rPr>
          <w:rFonts w:hint="cs"/>
          <w:sz w:val="30"/>
          <w:rtl/>
        </w:rPr>
        <w:t>35-</w:t>
      </w:r>
      <w:r w:rsidRPr="00EA65E3">
        <w:rPr>
          <w:rFonts w:hint="cs"/>
          <w:sz w:val="30"/>
          <w:rtl/>
        </w:rPr>
        <w:tab/>
      </w:r>
      <w:r w:rsidRPr="00EA65E3">
        <w:rPr>
          <w:rtl/>
          <w:lang w:val="fr-CH"/>
        </w:rPr>
        <w:t>يرجـى تقديم معلومات</w:t>
      </w:r>
      <w:r w:rsidRPr="00EA65E3">
        <w:rPr>
          <w:rFonts w:hint="cs"/>
          <w:rtl/>
          <w:lang w:val="fr-CH"/>
        </w:rPr>
        <w:t xml:space="preserve"> محدَّثة</w:t>
      </w:r>
      <w:r w:rsidRPr="00EA65E3">
        <w:rPr>
          <w:rtl/>
          <w:lang w:val="fr-CH"/>
        </w:rPr>
        <w:t xml:space="preserve"> عما</w:t>
      </w:r>
      <w:r w:rsidRPr="00EA65E3">
        <w:rPr>
          <w:rFonts w:hint="cs"/>
          <w:rtl/>
          <w:lang w:val="fr-CH"/>
        </w:rPr>
        <w:t xml:space="preserve"> اتخذته </w:t>
      </w:r>
      <w:r w:rsidRPr="00EA65E3">
        <w:rPr>
          <w:rtl/>
          <w:lang w:val="fr-CH"/>
        </w:rPr>
        <w:t>الـدولة الطرف</w:t>
      </w:r>
      <w:r w:rsidRPr="00EA65E3">
        <w:rPr>
          <w:rFonts w:hint="cs"/>
          <w:rtl/>
          <w:lang w:val="fr-CH"/>
        </w:rPr>
        <w:t xml:space="preserve"> من تدابير</w:t>
      </w:r>
      <w:r w:rsidRPr="00EA65E3">
        <w:rPr>
          <w:rtl/>
          <w:lang w:val="fr-CH"/>
        </w:rPr>
        <w:t xml:space="preserve"> تصدياً </w:t>
      </w:r>
      <w:r w:rsidRPr="00EA65E3">
        <w:rPr>
          <w:rFonts w:hint="cs"/>
          <w:rtl/>
          <w:lang w:val="fr-CH"/>
        </w:rPr>
        <w:t>لأي تهديدات بارتكاب أعمال إرهاب</w:t>
      </w:r>
      <w:r w:rsidRPr="00EA65E3">
        <w:rPr>
          <w:rtl/>
          <w:lang w:val="fr-CH"/>
        </w:rPr>
        <w:t xml:space="preserve">، ويرجى توضيح ما إذا كانت </w:t>
      </w:r>
      <w:r w:rsidRPr="00EA65E3">
        <w:rPr>
          <w:rFonts w:hint="cs"/>
          <w:rtl/>
          <w:lang w:val="fr-CH"/>
        </w:rPr>
        <w:t xml:space="preserve">تدابير مكافحة الإرهاب هذه </w:t>
      </w:r>
      <w:r w:rsidRPr="00EA65E3">
        <w:rPr>
          <w:rtl/>
          <w:lang w:val="fr-CH"/>
        </w:rPr>
        <w:t>قد أثرت على ضمانات حقوق الإنسان قانوناً و</w:t>
      </w:r>
      <w:r w:rsidRPr="00EA65E3">
        <w:rPr>
          <w:rFonts w:hint="cs"/>
          <w:rtl/>
          <w:lang w:val="fr-CH"/>
        </w:rPr>
        <w:t xml:space="preserve">عملياً </w:t>
      </w:r>
      <w:r w:rsidRPr="00EA65E3">
        <w:rPr>
          <w:rtl/>
          <w:lang w:val="fr-CH"/>
        </w:rPr>
        <w:t>وكيف</w:t>
      </w:r>
      <w:r w:rsidRPr="00EA65E3">
        <w:rPr>
          <w:rFonts w:hint="cs"/>
          <w:rtl/>
          <w:lang w:val="fr-CH"/>
        </w:rPr>
        <w:t>ية تأثيرها، وكيفية ضمان الدولة الطرف تقيّد هذه التدابير بالتزاماتها بموجب القانون الدولي، وخاصةً الاتفاقية، وفقاً لقرارات مجلس الأمن ذات الصلة، و</w:t>
      </w:r>
      <w:r w:rsidR="00EA4B98">
        <w:rPr>
          <w:rFonts w:hint="cs"/>
          <w:rtl/>
          <w:lang w:val="fr-CH"/>
        </w:rPr>
        <w:t>لا </w:t>
      </w:r>
      <w:proofErr w:type="spellStart"/>
      <w:r w:rsidR="00EA4B98">
        <w:rPr>
          <w:rFonts w:hint="cs"/>
          <w:rtl/>
          <w:lang w:val="fr-CH"/>
        </w:rPr>
        <w:t>سيما</w:t>
      </w:r>
      <w:proofErr w:type="spellEnd"/>
      <w:r w:rsidRPr="00EA65E3">
        <w:rPr>
          <w:rFonts w:hint="cs"/>
          <w:rtl/>
          <w:lang w:val="fr-CH"/>
        </w:rPr>
        <w:t xml:space="preserve"> القرار 1624(2005).</w:t>
      </w:r>
      <w:r w:rsidRPr="00EA65E3">
        <w:rPr>
          <w:rtl/>
          <w:lang w:val="fr-CH"/>
        </w:rPr>
        <w:t xml:space="preserve"> </w:t>
      </w:r>
      <w:r w:rsidRPr="00EA65E3">
        <w:rPr>
          <w:rFonts w:hint="cs"/>
          <w:rtl/>
          <w:lang w:val="fr-CH"/>
        </w:rPr>
        <w:t xml:space="preserve">كما </w:t>
      </w:r>
      <w:r w:rsidRPr="00EA65E3">
        <w:rPr>
          <w:rtl/>
          <w:lang w:val="fr-CH"/>
        </w:rPr>
        <w:t xml:space="preserve">يرجى </w:t>
      </w:r>
      <w:r w:rsidRPr="00EA65E3">
        <w:rPr>
          <w:rFonts w:hint="cs"/>
          <w:rtl/>
          <w:lang w:val="fr-CH"/>
        </w:rPr>
        <w:t xml:space="preserve">توضيح أنشطة </w:t>
      </w:r>
      <w:r w:rsidRPr="00EA65E3">
        <w:rPr>
          <w:rtl/>
          <w:lang w:val="fr-CH"/>
        </w:rPr>
        <w:t>التدريب المقدم</w:t>
      </w:r>
      <w:r w:rsidRPr="00EA65E3">
        <w:rPr>
          <w:rFonts w:hint="cs"/>
          <w:rtl/>
          <w:lang w:val="fr-CH"/>
        </w:rPr>
        <w:t>ة</w:t>
      </w:r>
      <w:r w:rsidRPr="00EA65E3">
        <w:rPr>
          <w:rtl/>
          <w:lang w:val="fr-CH"/>
        </w:rPr>
        <w:t xml:space="preserve"> إلى موظفي إنفاذ القانون</w:t>
      </w:r>
      <w:r w:rsidRPr="00EA65E3">
        <w:rPr>
          <w:rFonts w:hint="cs"/>
          <w:rtl/>
          <w:lang w:val="fr-CH"/>
        </w:rPr>
        <w:t xml:space="preserve"> في هذا المجال؛</w:t>
      </w:r>
      <w:r w:rsidRPr="00EA65E3">
        <w:rPr>
          <w:rtl/>
          <w:lang w:val="fr-CH"/>
        </w:rPr>
        <w:t xml:space="preserve"> وعدد وأنواع الإدانات بموجب هذا ال</w:t>
      </w:r>
      <w:r w:rsidRPr="00EA65E3">
        <w:rPr>
          <w:rFonts w:hint="cs"/>
          <w:rtl/>
          <w:lang w:val="fr-CH"/>
        </w:rPr>
        <w:t>تشريع؛</w:t>
      </w:r>
      <w:r w:rsidRPr="00EA65E3">
        <w:rPr>
          <w:rtl/>
          <w:lang w:val="fr-CH"/>
        </w:rPr>
        <w:t xml:space="preserve"> و</w:t>
      </w:r>
      <w:r w:rsidRPr="00EA65E3">
        <w:rPr>
          <w:rFonts w:hint="cs"/>
          <w:rtl/>
          <w:lang w:val="fr-CH"/>
        </w:rPr>
        <w:t>الضمانات و</w:t>
      </w:r>
      <w:r w:rsidRPr="00EA65E3">
        <w:rPr>
          <w:rtl/>
          <w:lang w:val="fr-CH"/>
        </w:rPr>
        <w:t>سبل الانتصاف القانونية المتاحة للأشخاص الخاضعين لتدابير مكافحة الإرهاب</w:t>
      </w:r>
      <w:r w:rsidRPr="00EA65E3">
        <w:rPr>
          <w:rFonts w:hint="cs"/>
          <w:rtl/>
          <w:lang w:val="fr-CH"/>
        </w:rPr>
        <w:t xml:space="preserve"> قانوناً وعملياً؛</w:t>
      </w:r>
      <w:r w:rsidRPr="00EA65E3">
        <w:rPr>
          <w:rtl/>
          <w:lang w:val="fr-CH"/>
        </w:rPr>
        <w:t xml:space="preserve"> و</w:t>
      </w:r>
      <w:r w:rsidR="00476D32">
        <w:rPr>
          <w:rFonts w:hint="cs"/>
          <w:rtl/>
          <w:lang w:val="fr-CH"/>
        </w:rPr>
        <w:t>هل هناك</w:t>
      </w:r>
      <w:r w:rsidRPr="00EA65E3">
        <w:rPr>
          <w:rtl/>
          <w:lang w:val="fr-CH"/>
        </w:rPr>
        <w:t xml:space="preserve"> </w:t>
      </w:r>
      <w:r w:rsidRPr="00EA65E3">
        <w:rPr>
          <w:rFonts w:hint="cs"/>
          <w:rtl/>
          <w:lang w:val="fr-CH"/>
        </w:rPr>
        <w:t xml:space="preserve">ثمة </w:t>
      </w:r>
      <w:r w:rsidRPr="00EA65E3">
        <w:rPr>
          <w:rtl/>
          <w:lang w:val="fr-CH"/>
        </w:rPr>
        <w:t>شكاوى بشأن عدم</w:t>
      </w:r>
      <w:r w:rsidRPr="00EA65E3">
        <w:rPr>
          <w:rFonts w:hint="cs"/>
          <w:rtl/>
          <w:lang w:val="fr-CH"/>
        </w:rPr>
        <w:t xml:space="preserve"> مراعاة</w:t>
      </w:r>
      <w:r w:rsidRPr="00EA65E3">
        <w:rPr>
          <w:rtl/>
          <w:lang w:val="fr-CH"/>
        </w:rPr>
        <w:t xml:space="preserve"> المعايير الدولية</w:t>
      </w:r>
      <w:r w:rsidRPr="00EA65E3">
        <w:rPr>
          <w:rFonts w:hint="cs"/>
          <w:rtl/>
          <w:lang w:val="fr-CH"/>
        </w:rPr>
        <w:t>؛</w:t>
      </w:r>
      <w:r w:rsidRPr="00EA65E3">
        <w:rPr>
          <w:rtl/>
          <w:lang w:val="fr-CH"/>
        </w:rPr>
        <w:t xml:space="preserve"> ونتيجة هذه الشكاوى. </w:t>
      </w:r>
    </w:p>
    <w:p w:rsidR="004B190B" w:rsidRPr="00EA65E3" w:rsidRDefault="004B190B" w:rsidP="00271D5F">
      <w:pPr>
        <w:pStyle w:val="SingleTxtGA"/>
        <w:spacing w:line="370" w:lineRule="exact"/>
        <w:rPr>
          <w:rFonts w:hint="cs"/>
          <w:rtl/>
          <w:lang w:bidi="ar-MA"/>
        </w:rPr>
      </w:pPr>
      <w:r w:rsidRPr="00EA65E3">
        <w:rPr>
          <w:rFonts w:hint="cs"/>
          <w:rtl/>
          <w:lang w:bidi="ar-MA"/>
        </w:rPr>
        <w:t>36-</w:t>
      </w:r>
      <w:r w:rsidRPr="00EA65E3">
        <w:rPr>
          <w:rFonts w:hint="cs"/>
          <w:rtl/>
          <w:lang w:bidi="ar-MA"/>
        </w:rPr>
        <w:tab/>
        <w:t>يرجى تقديم</w:t>
      </w:r>
      <w:r w:rsidR="00DF6B04">
        <w:rPr>
          <w:rFonts w:hint="cs"/>
          <w:rtl/>
          <w:lang w:bidi="ar-MA"/>
        </w:rPr>
        <w:t xml:space="preserve"> معلومات ع</w:t>
      </w:r>
      <w:r w:rsidRPr="00EA65E3">
        <w:rPr>
          <w:rFonts w:hint="cs"/>
          <w:rtl/>
          <w:lang w:bidi="ar-MA"/>
        </w:rPr>
        <w:t>ما اتخذته الدولة الطرف من خطوات لتصبح طرفا</w:t>
      </w:r>
      <w:r w:rsidR="00DF6B04">
        <w:rPr>
          <w:rFonts w:hint="cs"/>
          <w:rtl/>
          <w:lang w:bidi="ar-MA"/>
        </w:rPr>
        <w:t>ً في البروتوكول الاختياري ل</w:t>
      </w:r>
      <w:r w:rsidRPr="00EA65E3">
        <w:rPr>
          <w:rFonts w:hint="cs"/>
          <w:rtl/>
          <w:lang w:bidi="ar-MA"/>
        </w:rPr>
        <w:t xml:space="preserve">اتفاقية مناهضة التعذيب وغيره من ضروب المعاملة أو العقوبة القاسية أو </w:t>
      </w:r>
      <w:proofErr w:type="spellStart"/>
      <w:r w:rsidRPr="00EA65E3">
        <w:rPr>
          <w:rFonts w:hint="cs"/>
          <w:rtl/>
          <w:lang w:bidi="ar-MA"/>
        </w:rPr>
        <w:t>اللاإنسانية</w:t>
      </w:r>
      <w:proofErr w:type="spellEnd"/>
      <w:r w:rsidRPr="00EA65E3">
        <w:rPr>
          <w:rFonts w:hint="cs"/>
          <w:rtl/>
          <w:lang w:bidi="ar-MA"/>
        </w:rPr>
        <w:t xml:space="preserve"> أو المهينة. يرجى أيضاً بيان الخطوات التي اتخذتها الدولة الطرف من أجل قبول اختصاص اللجنة بموجب المادتين 21 و22 من الاتفا</w:t>
      </w:r>
      <w:r w:rsidR="00DF6B04">
        <w:rPr>
          <w:rFonts w:hint="cs"/>
          <w:rtl/>
          <w:lang w:bidi="ar-MA"/>
        </w:rPr>
        <w:t>قية والنظر في إعادة بحث التحفظ</w:t>
      </w:r>
      <w:r w:rsidRPr="00EA65E3">
        <w:rPr>
          <w:rFonts w:hint="cs"/>
          <w:rtl/>
          <w:lang w:bidi="ar-MA"/>
        </w:rPr>
        <w:t xml:space="preserve"> ال</w:t>
      </w:r>
      <w:r w:rsidR="00DF6B04">
        <w:rPr>
          <w:rFonts w:hint="cs"/>
          <w:rtl/>
          <w:lang w:bidi="ar-MA"/>
        </w:rPr>
        <w:t>ذي</w:t>
      </w:r>
      <w:r w:rsidRPr="00EA65E3">
        <w:rPr>
          <w:rFonts w:hint="cs"/>
          <w:rtl/>
          <w:lang w:bidi="ar-MA"/>
        </w:rPr>
        <w:t xml:space="preserve"> أبدته بغية سحبه</w:t>
      </w:r>
      <w:r w:rsidR="002248EC">
        <w:rPr>
          <w:vertAlign w:val="superscript"/>
          <w:rtl/>
          <w:lang w:bidi="ar-MA"/>
        </w:rPr>
        <w:t>(</w:t>
      </w:r>
      <w:r w:rsidR="002248EC">
        <w:rPr>
          <w:rStyle w:val="FootnoteReference"/>
          <w:rtl/>
          <w:lang w:bidi="ar-MA"/>
        </w:rPr>
        <w:footnoteReference w:id="24"/>
      </w:r>
      <w:r w:rsidR="002248EC">
        <w:rPr>
          <w:vertAlign w:val="superscript"/>
          <w:rtl/>
          <w:lang w:bidi="ar-MA"/>
        </w:rPr>
        <w:t>)</w:t>
      </w:r>
      <w:r w:rsidRPr="00EA65E3">
        <w:rPr>
          <w:rFonts w:hint="cs"/>
          <w:rtl/>
          <w:lang w:bidi="ar-MA"/>
        </w:rPr>
        <w:t>.</w:t>
      </w:r>
    </w:p>
    <w:p w:rsidR="004B190B" w:rsidRPr="00EA65E3" w:rsidRDefault="004B190B" w:rsidP="00EA4B98">
      <w:pPr>
        <w:pStyle w:val="SingleTxtGA"/>
        <w:spacing w:line="370" w:lineRule="exact"/>
        <w:rPr>
          <w:rFonts w:hint="cs"/>
          <w:rtl/>
          <w:lang w:bidi="ar-MA"/>
        </w:rPr>
      </w:pPr>
      <w:r w:rsidRPr="00EA65E3">
        <w:rPr>
          <w:rFonts w:hint="cs"/>
          <w:rtl/>
          <w:lang w:bidi="ar-MA"/>
        </w:rPr>
        <w:t>37-</w:t>
      </w:r>
      <w:r w:rsidRPr="00EA65E3">
        <w:rPr>
          <w:rFonts w:hint="cs"/>
          <w:rtl/>
          <w:lang w:bidi="ar-MA"/>
        </w:rPr>
        <w:tab/>
        <w:t xml:space="preserve">يرجى تقديم معلومات عن ماهية الجرائم التي يُعاقب عليها بالإعدام وعدد الأشخاص الذين أُعدموا </w:t>
      </w:r>
      <w:r w:rsidR="00DF6B04">
        <w:rPr>
          <w:rFonts w:hint="cs"/>
          <w:rtl/>
          <w:lang w:bidi="ar-MA"/>
        </w:rPr>
        <w:t>والذين</w:t>
      </w:r>
      <w:r w:rsidRPr="00EA65E3">
        <w:rPr>
          <w:rFonts w:hint="cs"/>
          <w:rtl/>
          <w:lang w:bidi="ar-MA"/>
        </w:rPr>
        <w:t xml:space="preserve"> لم ينفذ حكم إعدامهم بعد. وهل اتُخذت أي خطوات </w:t>
      </w:r>
      <w:r w:rsidR="00EA4B98">
        <w:rPr>
          <w:rFonts w:hint="cs"/>
          <w:rtl/>
          <w:lang w:bidi="ar-MA"/>
        </w:rPr>
        <w:t xml:space="preserve">لإلغاء </w:t>
      </w:r>
      <w:r w:rsidRPr="00EA65E3">
        <w:rPr>
          <w:rFonts w:hint="cs"/>
          <w:rtl/>
          <w:lang w:bidi="ar-MA"/>
        </w:rPr>
        <w:t>عقوبة الإعدام في التشريعات الداخلية للدولة الطرف؟ وهل تعتزم الدولة الطرف إقرار</w:t>
      </w:r>
      <w:r w:rsidR="00535B1A">
        <w:rPr>
          <w:rFonts w:hint="cs"/>
          <w:rtl/>
          <w:lang w:bidi="ar-MA"/>
        </w:rPr>
        <w:t xml:space="preserve"> وقف</w:t>
      </w:r>
      <w:r w:rsidR="00DF6B04">
        <w:rPr>
          <w:rFonts w:hint="cs"/>
          <w:rtl/>
          <w:lang w:bidi="ar-MA"/>
        </w:rPr>
        <w:t xml:space="preserve"> اختياري لعقوبة الإ</w:t>
      </w:r>
      <w:r w:rsidR="00535B1A">
        <w:rPr>
          <w:rFonts w:hint="cs"/>
          <w:rtl/>
          <w:lang w:bidi="ar-MA"/>
        </w:rPr>
        <w:t>عدام؟</w:t>
      </w:r>
    </w:p>
    <w:p w:rsidR="004B190B" w:rsidRPr="00EA65E3" w:rsidRDefault="00EA4B98" w:rsidP="00EA4B98">
      <w:pPr>
        <w:pStyle w:val="H1GA"/>
        <w:rPr>
          <w:rtl/>
        </w:rPr>
      </w:pPr>
      <w:r>
        <w:rPr>
          <w:rFonts w:hint="cs"/>
          <w:rtl/>
        </w:rPr>
        <w:tab/>
      </w:r>
      <w:r>
        <w:rPr>
          <w:rFonts w:hint="cs"/>
          <w:rtl/>
        </w:rPr>
        <w:tab/>
      </w:r>
      <w:r w:rsidR="004B190B" w:rsidRPr="00EA65E3">
        <w:rPr>
          <w:rtl/>
        </w:rPr>
        <w:t>معلومات عامة عن الحالة الوطنية لحقوق الإنسان</w:t>
      </w:r>
      <w:r w:rsidR="004B190B" w:rsidRPr="00EA65E3">
        <w:rPr>
          <w:rFonts w:hint="cs"/>
          <w:rtl/>
        </w:rPr>
        <w:t>،</w:t>
      </w:r>
      <w:r w:rsidR="004B190B" w:rsidRPr="00EA65E3">
        <w:rPr>
          <w:rtl/>
        </w:rPr>
        <w:t>بما في ذلك التدابير والتطورات الجديدة المتصلة بتنفيذ الاتفاقية</w:t>
      </w:r>
    </w:p>
    <w:p w:rsidR="004B190B" w:rsidRPr="00EA65E3" w:rsidRDefault="004B190B" w:rsidP="00DF6B04">
      <w:pPr>
        <w:pStyle w:val="SingleTxtGA"/>
        <w:rPr>
          <w:rFonts w:hint="cs"/>
          <w:rtl/>
        </w:rPr>
      </w:pPr>
      <w:r w:rsidRPr="00EA65E3">
        <w:rPr>
          <w:rFonts w:hint="cs"/>
          <w:rtl/>
        </w:rPr>
        <w:t>38</w:t>
      </w:r>
      <w:r w:rsidRPr="00EA65E3">
        <w:rPr>
          <w:rtl/>
        </w:rPr>
        <w:t>-</w:t>
      </w:r>
      <w:r w:rsidR="00BE1C69">
        <w:rPr>
          <w:rFonts w:hint="cs"/>
          <w:rtl/>
        </w:rPr>
        <w:tab/>
      </w:r>
      <w:r w:rsidRPr="00EA65E3">
        <w:rPr>
          <w:rtl/>
        </w:rPr>
        <w:t xml:space="preserve">يرجى تقديم معلومات مفصلة عن التطورات الجديدة ذات الصلة التي طرأت على الإطار القانوني والمؤسسي الذي يجري </w:t>
      </w:r>
      <w:r w:rsidR="00DF6B04">
        <w:rPr>
          <w:rFonts w:hint="cs"/>
          <w:rtl/>
        </w:rPr>
        <w:t>فيه</w:t>
      </w:r>
      <w:r w:rsidRPr="00EA65E3">
        <w:rPr>
          <w:rtl/>
        </w:rPr>
        <w:t xml:space="preserve"> تعزيز حقوق الإنسان وحمايتها على الصعيد الوطني</w:t>
      </w:r>
      <w:r w:rsidRPr="00EA65E3">
        <w:rPr>
          <w:rFonts w:hint="cs"/>
          <w:rtl/>
        </w:rPr>
        <w:t xml:space="preserve">، </w:t>
      </w:r>
      <w:r w:rsidRPr="00EA65E3">
        <w:rPr>
          <w:rtl/>
        </w:rPr>
        <w:t xml:space="preserve">منذ النظر في التقرير الأوَّلي، بما في ذلك أي قرارات </w:t>
      </w:r>
      <w:r w:rsidR="00DF6B04">
        <w:rPr>
          <w:rFonts w:hint="cs"/>
          <w:rtl/>
        </w:rPr>
        <w:t>فقهية</w:t>
      </w:r>
      <w:r w:rsidRPr="00EA65E3">
        <w:rPr>
          <w:rtl/>
        </w:rPr>
        <w:t xml:space="preserve"> ذات صلة.</w:t>
      </w:r>
    </w:p>
    <w:p w:rsidR="004B190B" w:rsidRPr="00EA65E3" w:rsidRDefault="004B190B" w:rsidP="00BE1C69">
      <w:pPr>
        <w:pStyle w:val="SingleTxtGA"/>
        <w:rPr>
          <w:rFonts w:hint="cs"/>
          <w:rtl/>
        </w:rPr>
      </w:pPr>
      <w:r w:rsidRPr="00EA65E3">
        <w:rPr>
          <w:rFonts w:hint="cs"/>
          <w:rtl/>
        </w:rPr>
        <w:t>39</w:t>
      </w:r>
      <w:r w:rsidRPr="00EA65E3">
        <w:rPr>
          <w:rtl/>
        </w:rPr>
        <w:t>-</w:t>
      </w:r>
      <w:r w:rsidR="00BE1C69">
        <w:rPr>
          <w:rFonts w:hint="cs"/>
          <w:rtl/>
        </w:rPr>
        <w:tab/>
      </w:r>
      <w:r w:rsidRPr="00EA65E3">
        <w:rPr>
          <w:rtl/>
        </w:rPr>
        <w:t xml:space="preserve">يرجى تقديم معلومات مفصلة </w:t>
      </w:r>
      <w:r w:rsidRPr="00EA65E3">
        <w:rPr>
          <w:rFonts w:hint="cs"/>
          <w:rtl/>
        </w:rPr>
        <w:t xml:space="preserve">ومناسبة </w:t>
      </w:r>
      <w:r w:rsidRPr="00EA65E3">
        <w:rPr>
          <w:rtl/>
        </w:rPr>
        <w:t>عن التدابير السياسية والإدارية وغيرها من التدابير الجديدة التي ات</w:t>
      </w:r>
      <w:r w:rsidRPr="00EA65E3">
        <w:rPr>
          <w:rFonts w:hint="cs"/>
          <w:rtl/>
        </w:rPr>
        <w:t>ُ</w:t>
      </w:r>
      <w:r w:rsidRPr="00EA65E3">
        <w:rPr>
          <w:rtl/>
        </w:rPr>
        <w:t>خذت لتعزيز</w:t>
      </w:r>
      <w:r w:rsidRPr="00EA65E3">
        <w:rPr>
          <w:rFonts w:hint="cs"/>
          <w:rtl/>
        </w:rPr>
        <w:t xml:space="preserve"> </w:t>
      </w:r>
      <w:r w:rsidRPr="00EA65E3">
        <w:rPr>
          <w:rtl/>
        </w:rPr>
        <w:t>حقوق الإنسان وحمايتها على الصعيد الوطني منذ النظر في التقرير الأوَّلي، بما في ذلك معلومات عن أي خطط أو برامج وطنية لحقوق الإنسان و</w:t>
      </w:r>
      <w:r w:rsidRPr="00EA65E3">
        <w:rPr>
          <w:rFonts w:hint="cs"/>
          <w:rtl/>
        </w:rPr>
        <w:t xml:space="preserve">عن </w:t>
      </w:r>
      <w:r w:rsidRPr="00EA65E3">
        <w:rPr>
          <w:rtl/>
        </w:rPr>
        <w:t>الموارد المخصصة لها ووسائلها وأهدافها ونتائجها.</w:t>
      </w:r>
    </w:p>
    <w:p w:rsidR="004B190B" w:rsidRDefault="004B190B" w:rsidP="00271D5F">
      <w:pPr>
        <w:pStyle w:val="SingleTxtGA"/>
        <w:spacing w:after="0"/>
        <w:rPr>
          <w:rFonts w:hint="cs"/>
          <w:rtl/>
        </w:rPr>
      </w:pPr>
      <w:r w:rsidRPr="00EA65E3">
        <w:rPr>
          <w:rFonts w:hint="cs"/>
          <w:rtl/>
        </w:rPr>
        <w:t>40</w:t>
      </w:r>
      <w:r w:rsidRPr="00EA65E3">
        <w:rPr>
          <w:rtl/>
        </w:rPr>
        <w:t>-</w:t>
      </w:r>
      <w:r w:rsidR="00BE1C69">
        <w:rPr>
          <w:rFonts w:hint="cs"/>
          <w:rtl/>
        </w:rPr>
        <w:tab/>
      </w:r>
      <w:r w:rsidRPr="00EA65E3">
        <w:rPr>
          <w:rtl/>
        </w:rPr>
        <w:t xml:space="preserve">يرجى تقديم أي معلومات أخرى عن </w:t>
      </w:r>
      <w:r w:rsidR="00DF6B04">
        <w:rPr>
          <w:rFonts w:hint="cs"/>
          <w:rtl/>
        </w:rPr>
        <w:t>ال</w:t>
      </w:r>
      <w:r w:rsidRPr="00EA65E3">
        <w:rPr>
          <w:rFonts w:hint="cs"/>
          <w:rtl/>
        </w:rPr>
        <w:t xml:space="preserve">تدابير </w:t>
      </w:r>
      <w:r w:rsidR="00DF6B04">
        <w:rPr>
          <w:rFonts w:hint="cs"/>
          <w:rtl/>
        </w:rPr>
        <w:t>وال</w:t>
      </w:r>
      <w:r w:rsidRPr="00EA65E3">
        <w:rPr>
          <w:rFonts w:hint="cs"/>
          <w:rtl/>
        </w:rPr>
        <w:t>تطورات</w:t>
      </w:r>
      <w:r w:rsidR="00DF6B04">
        <w:rPr>
          <w:rFonts w:hint="cs"/>
          <w:rtl/>
        </w:rPr>
        <w:t xml:space="preserve"> الجديدة المتخذة</w:t>
      </w:r>
      <w:r w:rsidRPr="00EA65E3">
        <w:rPr>
          <w:rFonts w:hint="cs"/>
          <w:rtl/>
        </w:rPr>
        <w:t xml:space="preserve"> </w:t>
      </w:r>
      <w:r w:rsidRPr="00EA65E3">
        <w:rPr>
          <w:rtl/>
        </w:rPr>
        <w:t>من أجل تنفيذ الاتفاقية وتوصيات اللجنة منذ النظر في التقرير الأوَّلي</w:t>
      </w:r>
      <w:r w:rsidRPr="00EA65E3">
        <w:rPr>
          <w:rFonts w:hint="cs"/>
          <w:rtl/>
        </w:rPr>
        <w:t xml:space="preserve"> في عام 2006</w:t>
      </w:r>
      <w:r w:rsidRPr="00EA65E3">
        <w:rPr>
          <w:rtl/>
        </w:rPr>
        <w:t>، بما في ذلك البيانات الإحصائية اللازمة، وكذلك أي أحداث</w:t>
      </w:r>
      <w:r w:rsidRPr="00EA65E3">
        <w:rPr>
          <w:rFonts w:hint="cs"/>
          <w:rtl/>
        </w:rPr>
        <w:t xml:space="preserve"> </w:t>
      </w:r>
      <w:r w:rsidRPr="00EA65E3">
        <w:rPr>
          <w:rtl/>
        </w:rPr>
        <w:t>وقعت في الدولة الطرف لها صلة بالاتفاقية</w:t>
      </w:r>
      <w:r w:rsidRPr="00EA65E3">
        <w:rPr>
          <w:rFonts w:hint="cs"/>
          <w:rtl/>
        </w:rPr>
        <w:t>.</w:t>
      </w:r>
    </w:p>
    <w:p w:rsidR="00BE1C69" w:rsidRPr="00BE1C69" w:rsidRDefault="00BE1C69" w:rsidP="00271D5F">
      <w:pPr>
        <w:jc w:val="center"/>
        <w:rPr>
          <w:u w:val="single"/>
        </w:rPr>
      </w:pPr>
      <w:r>
        <w:rPr>
          <w:u w:val="single"/>
          <w:rtl/>
        </w:rPr>
        <w:tab/>
      </w:r>
      <w:r>
        <w:rPr>
          <w:u w:val="single"/>
          <w:rtl/>
        </w:rPr>
        <w:tab/>
      </w:r>
      <w:r>
        <w:rPr>
          <w:u w:val="single"/>
          <w:rtl/>
        </w:rPr>
        <w:tab/>
      </w:r>
    </w:p>
    <w:sectPr w:rsidR="00BE1C69" w:rsidRPr="00BE1C69"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A9" w:rsidRPr="00FE6865" w:rsidRDefault="00C870A9" w:rsidP="00FE6865">
      <w:pPr>
        <w:pStyle w:val="Footer"/>
      </w:pPr>
    </w:p>
  </w:endnote>
  <w:endnote w:type="continuationSeparator" w:id="0">
    <w:p w:rsidR="00C870A9" w:rsidRDefault="00C8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1A" w:rsidRPr="004B190B" w:rsidRDefault="00535B1A" w:rsidP="004B190B">
    <w:pPr>
      <w:pStyle w:val="Footer"/>
      <w:tabs>
        <w:tab w:val="right" w:pos="9598"/>
      </w:tabs>
    </w:pPr>
    <w:r>
      <w:t>GE.11-40951</w:t>
    </w:r>
    <w:r>
      <w:tab/>
    </w:r>
    <w:r w:rsidRPr="004B190B">
      <w:rPr>
        <w:b/>
        <w:sz w:val="18"/>
      </w:rPr>
      <w:fldChar w:fldCharType="begin"/>
    </w:r>
    <w:r w:rsidRPr="004B190B">
      <w:rPr>
        <w:b/>
        <w:sz w:val="18"/>
      </w:rPr>
      <w:instrText xml:space="preserve"> PAGE  \* MERGEFORMAT </w:instrText>
    </w:r>
    <w:r w:rsidRPr="004B190B">
      <w:rPr>
        <w:b/>
        <w:sz w:val="18"/>
      </w:rPr>
      <w:fldChar w:fldCharType="separate"/>
    </w:r>
    <w:r w:rsidR="0014216F">
      <w:rPr>
        <w:b/>
        <w:noProof/>
        <w:sz w:val="18"/>
      </w:rPr>
      <w:t>8</w:t>
    </w:r>
    <w:r w:rsidRPr="004B190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1A" w:rsidRPr="004B190B" w:rsidRDefault="00535B1A" w:rsidP="004B190B">
    <w:pPr>
      <w:pStyle w:val="Footer"/>
      <w:tabs>
        <w:tab w:val="right" w:pos="9598"/>
      </w:tabs>
      <w:rPr>
        <w:b/>
        <w:sz w:val="18"/>
      </w:rPr>
    </w:pPr>
    <w:r w:rsidRPr="004B190B">
      <w:rPr>
        <w:b/>
        <w:sz w:val="18"/>
      </w:rPr>
      <w:fldChar w:fldCharType="begin"/>
    </w:r>
    <w:r w:rsidRPr="004B190B">
      <w:rPr>
        <w:b/>
        <w:sz w:val="18"/>
      </w:rPr>
      <w:instrText xml:space="preserve"> PAGE  \* MERGEFORMAT </w:instrText>
    </w:r>
    <w:r w:rsidRPr="004B190B">
      <w:rPr>
        <w:b/>
        <w:sz w:val="18"/>
      </w:rPr>
      <w:fldChar w:fldCharType="separate"/>
    </w:r>
    <w:r w:rsidR="0014216F">
      <w:rPr>
        <w:b/>
        <w:noProof/>
        <w:sz w:val="18"/>
      </w:rPr>
      <w:t>9</w:t>
    </w:r>
    <w:r w:rsidRPr="004B190B">
      <w:rPr>
        <w:b/>
        <w:sz w:val="18"/>
      </w:rPr>
      <w:fldChar w:fldCharType="end"/>
    </w:r>
    <w:r>
      <w:rPr>
        <w:b/>
        <w:sz w:val="18"/>
      </w:rPr>
      <w:tab/>
    </w:r>
    <w:r>
      <w:t>GE.11-40951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1A" w:rsidRDefault="00535B1A" w:rsidP="00EA4B98">
    <w:pPr>
      <w:pStyle w:val="Footer"/>
      <w:jc w:val="right"/>
    </w:pPr>
    <w:r>
      <w:rPr>
        <w:sz w:val="20"/>
      </w:rPr>
      <w:t>(A)   GE.11-40951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030311    0</w:t>
    </w:r>
    <w:r w:rsidR="00EA4B98">
      <w:rPr>
        <w:sz w:val="20"/>
      </w:rPr>
      <w:t>4</w:t>
    </w:r>
    <w:r>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A9" w:rsidRDefault="00C870A9" w:rsidP="00834FF4">
      <w:pPr>
        <w:pStyle w:val="Footer"/>
        <w:bidi/>
        <w:spacing w:after="80" w:line="200" w:lineRule="exact"/>
        <w:ind w:left="680"/>
      </w:pPr>
      <w:r>
        <w:rPr>
          <w:rFonts w:hint="cs"/>
          <w:rtl/>
        </w:rPr>
        <w:t>__________</w:t>
      </w:r>
    </w:p>
  </w:footnote>
  <w:footnote w:type="continuationSeparator" w:id="0">
    <w:p w:rsidR="00C870A9" w:rsidRDefault="00C870A9" w:rsidP="00834FF4">
      <w:pPr>
        <w:pStyle w:val="Footer"/>
        <w:bidi/>
        <w:spacing w:after="80" w:line="200" w:lineRule="exact"/>
        <w:ind w:left="680"/>
      </w:pPr>
      <w:r>
        <w:rPr>
          <w:rFonts w:hint="cs"/>
          <w:rtl/>
        </w:rPr>
        <w:t>__________</w:t>
      </w:r>
    </w:p>
  </w:footnote>
  <w:footnote w:id="1">
    <w:p w:rsidR="005322B2" w:rsidRPr="005322B2" w:rsidRDefault="005322B2" w:rsidP="002248EC">
      <w:pPr>
        <w:pStyle w:val="footnoteText0"/>
        <w:tabs>
          <w:tab w:val="left" w:pos="1253"/>
        </w:tabs>
        <w:rPr>
          <w:rFonts w:hint="cs"/>
          <w:rtl/>
        </w:rPr>
      </w:pPr>
      <w:r>
        <w:rPr>
          <w:rtl/>
        </w:rPr>
        <w:tab/>
      </w:r>
      <w:r w:rsidRPr="005322B2">
        <w:rPr>
          <w:rStyle w:val="FootnoteReference"/>
          <w:sz w:val="20"/>
          <w:vertAlign w:val="baseline"/>
          <w:rtl/>
        </w:rPr>
        <w:t>*</w:t>
      </w:r>
      <w:r>
        <w:rPr>
          <w:rtl/>
        </w:rPr>
        <w:tab/>
      </w:r>
      <w:r w:rsidRPr="006562E8">
        <w:rPr>
          <w:rFonts w:hint="cs"/>
          <w:sz w:val="26"/>
          <w:rtl/>
        </w:rPr>
        <w:t>اعتمدت اللجنة قائمة المسائل هذه في دورتها الخامسة والأربعين، وفقاً للإجراء الاختياري الجديد الذي</w:t>
      </w:r>
      <w:r>
        <w:rPr>
          <w:rFonts w:hint="cs"/>
          <w:sz w:val="26"/>
          <w:rtl/>
        </w:rPr>
        <w:t xml:space="preserve"> أقرّته</w:t>
      </w:r>
      <w:r w:rsidRPr="006562E8">
        <w:rPr>
          <w:rFonts w:hint="cs"/>
          <w:sz w:val="26"/>
          <w:rtl/>
        </w:rPr>
        <w:t xml:space="preserve"> اللجنة في دورتها الثامنة والثلاثين، ويتمثل في </w:t>
      </w:r>
      <w:r w:rsidRPr="006562E8">
        <w:rPr>
          <w:sz w:val="26"/>
          <w:rtl/>
        </w:rPr>
        <w:t>إعدا</w:t>
      </w:r>
      <w:r w:rsidRPr="006562E8">
        <w:rPr>
          <w:rFonts w:hint="cs"/>
          <w:sz w:val="26"/>
          <w:rtl/>
        </w:rPr>
        <w:t xml:space="preserve">د </w:t>
      </w:r>
      <w:r w:rsidRPr="006562E8">
        <w:rPr>
          <w:sz w:val="26"/>
          <w:rtl/>
        </w:rPr>
        <w:t>واعتما</w:t>
      </w:r>
      <w:r w:rsidRPr="006562E8">
        <w:rPr>
          <w:rFonts w:hint="cs"/>
          <w:sz w:val="26"/>
          <w:rtl/>
        </w:rPr>
        <w:t xml:space="preserve">د </w:t>
      </w:r>
      <w:r w:rsidRPr="006562E8">
        <w:rPr>
          <w:sz w:val="26"/>
          <w:rtl/>
        </w:rPr>
        <w:t>قائم</w:t>
      </w:r>
      <w:r w:rsidRPr="006562E8">
        <w:rPr>
          <w:rFonts w:hint="cs"/>
          <w:sz w:val="26"/>
          <w:rtl/>
        </w:rPr>
        <w:t xml:space="preserve">ة </w:t>
      </w:r>
      <w:r w:rsidRPr="006562E8">
        <w:rPr>
          <w:sz w:val="26"/>
          <w:rtl/>
        </w:rPr>
        <w:t>بالمسائ</w:t>
      </w:r>
      <w:r w:rsidRPr="006562E8">
        <w:rPr>
          <w:rFonts w:hint="cs"/>
          <w:sz w:val="26"/>
          <w:rtl/>
        </w:rPr>
        <w:t>ل التي س</w:t>
      </w:r>
      <w:r w:rsidRPr="006562E8">
        <w:rPr>
          <w:sz w:val="26"/>
          <w:rtl/>
        </w:rPr>
        <w:t>تحا</w:t>
      </w:r>
      <w:r w:rsidRPr="006562E8">
        <w:rPr>
          <w:rFonts w:hint="cs"/>
          <w:sz w:val="26"/>
          <w:rtl/>
        </w:rPr>
        <w:t xml:space="preserve">ل </w:t>
      </w:r>
      <w:r w:rsidRPr="006562E8">
        <w:rPr>
          <w:sz w:val="26"/>
          <w:rtl/>
        </w:rPr>
        <w:t>إلى</w:t>
      </w:r>
      <w:r w:rsidRPr="006562E8">
        <w:rPr>
          <w:rFonts w:hint="cs"/>
          <w:sz w:val="26"/>
          <w:rtl/>
        </w:rPr>
        <w:t xml:space="preserve"> </w:t>
      </w:r>
      <w:r w:rsidRPr="006562E8">
        <w:rPr>
          <w:sz w:val="26"/>
          <w:rtl/>
        </w:rPr>
        <w:t>الدول</w:t>
      </w:r>
      <w:r w:rsidRPr="006562E8">
        <w:rPr>
          <w:rFonts w:hint="cs"/>
          <w:sz w:val="26"/>
          <w:rtl/>
        </w:rPr>
        <w:t xml:space="preserve"> </w:t>
      </w:r>
      <w:r w:rsidRPr="006562E8">
        <w:rPr>
          <w:sz w:val="26"/>
          <w:rtl/>
        </w:rPr>
        <w:t>الأطراف</w:t>
      </w:r>
      <w:r w:rsidRPr="006562E8">
        <w:rPr>
          <w:rFonts w:hint="cs"/>
          <w:sz w:val="26"/>
          <w:rtl/>
        </w:rPr>
        <w:t xml:space="preserve"> </w:t>
      </w:r>
      <w:r w:rsidRPr="006562E8">
        <w:rPr>
          <w:sz w:val="26"/>
          <w:rtl/>
        </w:rPr>
        <w:t>قبل</w:t>
      </w:r>
      <w:r>
        <w:rPr>
          <w:rFonts w:hint="cs"/>
          <w:sz w:val="26"/>
          <w:rtl/>
        </w:rPr>
        <w:t xml:space="preserve"> </w:t>
      </w:r>
      <w:r>
        <w:rPr>
          <w:sz w:val="26"/>
          <w:rtl/>
        </w:rPr>
        <w:t>تقدي</w:t>
      </w:r>
      <w:r>
        <w:rPr>
          <w:rFonts w:hint="cs"/>
          <w:sz w:val="26"/>
          <w:rtl/>
        </w:rPr>
        <w:t>م كلٍّ منها</w:t>
      </w:r>
      <w:r>
        <w:rPr>
          <w:sz w:val="26"/>
        </w:rPr>
        <w:t xml:space="preserve"> </w:t>
      </w:r>
      <w:r w:rsidRPr="006562E8">
        <w:rPr>
          <w:sz w:val="26"/>
          <w:rtl/>
        </w:rPr>
        <w:t>تقرير</w:t>
      </w:r>
      <w:r w:rsidRPr="006562E8">
        <w:rPr>
          <w:rFonts w:hint="cs"/>
          <w:sz w:val="26"/>
          <w:rtl/>
        </w:rPr>
        <w:t xml:space="preserve">ها </w:t>
      </w:r>
      <w:r w:rsidRPr="006562E8">
        <w:rPr>
          <w:sz w:val="26"/>
          <w:rtl/>
        </w:rPr>
        <w:t>الدوري</w:t>
      </w:r>
      <w:r w:rsidRPr="006562E8">
        <w:rPr>
          <w:rFonts w:hint="cs"/>
          <w:sz w:val="26"/>
          <w:rtl/>
        </w:rPr>
        <w:t xml:space="preserve">. </w:t>
      </w:r>
      <w:r w:rsidRPr="006562E8">
        <w:rPr>
          <w:sz w:val="26"/>
          <w:rtl/>
        </w:rPr>
        <w:t>وستشكل</w:t>
      </w:r>
      <w:r w:rsidRPr="006562E8">
        <w:rPr>
          <w:rFonts w:hint="cs"/>
          <w:sz w:val="26"/>
          <w:rtl/>
        </w:rPr>
        <w:t xml:space="preserve"> </w:t>
      </w:r>
      <w:r w:rsidRPr="006562E8">
        <w:rPr>
          <w:sz w:val="26"/>
          <w:rtl/>
        </w:rPr>
        <w:t>ردود</w:t>
      </w:r>
      <w:r w:rsidRPr="006562E8">
        <w:rPr>
          <w:rFonts w:hint="cs"/>
          <w:sz w:val="26"/>
          <w:rtl/>
        </w:rPr>
        <w:t xml:space="preserve"> </w:t>
      </w:r>
      <w:r w:rsidRPr="006562E8">
        <w:rPr>
          <w:sz w:val="26"/>
          <w:rtl/>
        </w:rPr>
        <w:t>الدولة</w:t>
      </w:r>
      <w:r w:rsidRPr="006562E8">
        <w:rPr>
          <w:rFonts w:hint="cs"/>
          <w:sz w:val="26"/>
          <w:rtl/>
        </w:rPr>
        <w:t xml:space="preserve"> </w:t>
      </w:r>
      <w:r w:rsidRPr="006562E8">
        <w:rPr>
          <w:sz w:val="26"/>
          <w:rtl/>
        </w:rPr>
        <w:t>الطرف</w:t>
      </w:r>
      <w:r w:rsidRPr="006562E8">
        <w:rPr>
          <w:rFonts w:hint="cs"/>
          <w:sz w:val="26"/>
          <w:rtl/>
        </w:rPr>
        <w:t xml:space="preserve"> </w:t>
      </w:r>
      <w:r w:rsidRPr="006562E8">
        <w:rPr>
          <w:sz w:val="26"/>
          <w:rtl/>
        </w:rPr>
        <w:t>على</w:t>
      </w:r>
      <w:r w:rsidRPr="006562E8">
        <w:rPr>
          <w:rFonts w:hint="cs"/>
          <w:sz w:val="26"/>
          <w:rtl/>
        </w:rPr>
        <w:t xml:space="preserve"> </w:t>
      </w:r>
      <w:r w:rsidRPr="006562E8">
        <w:rPr>
          <w:sz w:val="26"/>
          <w:rtl/>
        </w:rPr>
        <w:t>قائمة</w:t>
      </w:r>
      <w:r w:rsidRPr="006562E8">
        <w:rPr>
          <w:rFonts w:hint="cs"/>
          <w:sz w:val="26"/>
          <w:rtl/>
        </w:rPr>
        <w:t xml:space="preserve"> </w:t>
      </w:r>
      <w:r w:rsidRPr="006562E8">
        <w:rPr>
          <w:sz w:val="26"/>
          <w:rtl/>
        </w:rPr>
        <w:t>المسائل</w:t>
      </w:r>
      <w:r w:rsidRPr="006562E8">
        <w:rPr>
          <w:rFonts w:hint="cs"/>
          <w:sz w:val="26"/>
          <w:rtl/>
        </w:rPr>
        <w:t xml:space="preserve"> هذه </w:t>
      </w:r>
      <w:r>
        <w:rPr>
          <w:rFonts w:hint="cs"/>
          <w:sz w:val="26"/>
          <w:rtl/>
        </w:rPr>
        <w:t>ال</w:t>
      </w:r>
      <w:r w:rsidRPr="006562E8">
        <w:rPr>
          <w:sz w:val="26"/>
          <w:rtl/>
        </w:rPr>
        <w:t>تقرير</w:t>
      </w:r>
      <w:r>
        <w:rPr>
          <w:rFonts w:hint="cs"/>
          <w:sz w:val="26"/>
          <w:rtl/>
        </w:rPr>
        <w:t xml:space="preserve"> </w:t>
      </w:r>
      <w:r w:rsidRPr="006562E8">
        <w:rPr>
          <w:rFonts w:hint="cs"/>
          <w:sz w:val="26"/>
          <w:rtl/>
        </w:rPr>
        <w:t xml:space="preserve">الدوري المقبل </w:t>
      </w:r>
      <w:r w:rsidRPr="006562E8">
        <w:rPr>
          <w:sz w:val="26"/>
          <w:rtl/>
        </w:rPr>
        <w:t>بموجب</w:t>
      </w:r>
      <w:r w:rsidRPr="006562E8">
        <w:rPr>
          <w:rFonts w:hint="cs"/>
          <w:sz w:val="26"/>
          <w:rtl/>
        </w:rPr>
        <w:t xml:space="preserve"> </w:t>
      </w:r>
      <w:r w:rsidRPr="006562E8">
        <w:rPr>
          <w:sz w:val="26"/>
          <w:rtl/>
        </w:rPr>
        <w:t>الماد</w:t>
      </w:r>
      <w:r w:rsidRPr="006562E8">
        <w:rPr>
          <w:rFonts w:hint="cs"/>
          <w:sz w:val="26"/>
          <w:rtl/>
        </w:rPr>
        <w:t>ة 19 م</w:t>
      </w:r>
      <w:r w:rsidRPr="006562E8">
        <w:rPr>
          <w:sz w:val="26"/>
          <w:rtl/>
        </w:rPr>
        <w:t>ن</w:t>
      </w:r>
      <w:r w:rsidRPr="006562E8">
        <w:rPr>
          <w:rFonts w:hint="cs"/>
          <w:sz w:val="26"/>
          <w:rtl/>
        </w:rPr>
        <w:t xml:space="preserve"> </w:t>
      </w:r>
      <w:r w:rsidRPr="006562E8">
        <w:rPr>
          <w:sz w:val="26"/>
          <w:rtl/>
        </w:rPr>
        <w:t>الاتفاقية</w:t>
      </w:r>
    </w:p>
  </w:footnote>
  <w:footnote w:id="2">
    <w:p w:rsidR="005322B2" w:rsidRDefault="005322B2" w:rsidP="002248EC">
      <w:pPr>
        <w:pStyle w:val="FootnoteText"/>
        <w:numPr>
          <w:ilvl w:val="0"/>
          <w:numId w:val="42"/>
        </w:numPr>
        <w:tabs>
          <w:tab w:val="clear" w:pos="1295"/>
          <w:tab w:val="left" w:pos="1253"/>
        </w:tabs>
        <w:spacing w:after="60" w:line="300" w:lineRule="exact"/>
        <w:ind w:left="1247" w:right="1247"/>
        <w:rPr>
          <w:rFonts w:hint="cs"/>
        </w:rPr>
      </w:pPr>
      <w:r w:rsidRPr="005322B2">
        <w:rPr>
          <w:rFonts w:hint="cs"/>
          <w:sz w:val="18"/>
          <w:szCs w:val="26"/>
          <w:rtl/>
        </w:rPr>
        <w:t xml:space="preserve">تشير أرقام الفقرات إلى الملاحظات الختامية السابقة التي اعتمدتها اللجنة، الصادرة بالرمز </w:t>
      </w:r>
      <w:r w:rsidRPr="005322B2">
        <w:rPr>
          <w:sz w:val="18"/>
          <w:szCs w:val="26"/>
        </w:rPr>
        <w:t>CAT/C/QAT/CO/1</w:t>
      </w:r>
      <w:r w:rsidRPr="005322B2">
        <w:rPr>
          <w:rFonts w:hint="cs"/>
          <w:sz w:val="18"/>
          <w:szCs w:val="26"/>
          <w:rtl/>
        </w:rPr>
        <w:t>.</w:t>
      </w:r>
    </w:p>
  </w:footnote>
  <w:footnote w:id="3">
    <w:p w:rsidR="005322B2" w:rsidRDefault="005322B2" w:rsidP="00873AFE">
      <w:pPr>
        <w:pStyle w:val="FootnoteText"/>
        <w:numPr>
          <w:ilvl w:val="0"/>
          <w:numId w:val="42"/>
        </w:numPr>
        <w:tabs>
          <w:tab w:val="clear" w:pos="1295"/>
          <w:tab w:val="left" w:pos="1239"/>
        </w:tabs>
        <w:spacing w:after="60" w:line="300" w:lineRule="exact"/>
        <w:ind w:left="1247" w:right="1247"/>
        <w:rPr>
          <w:rFonts w:hint="cs"/>
        </w:rPr>
      </w:pPr>
      <w:r w:rsidRPr="005322B2">
        <w:rPr>
          <w:rFonts w:hint="cs"/>
          <w:sz w:val="26"/>
          <w:szCs w:val="26"/>
          <w:rtl/>
        </w:rPr>
        <w:t xml:space="preserve">يمكن للقضايا </w:t>
      </w:r>
      <w:r w:rsidRPr="005322B2">
        <w:rPr>
          <w:rFonts w:hint="cs"/>
          <w:color w:val="000000"/>
          <w:sz w:val="26"/>
          <w:szCs w:val="26"/>
          <w:rtl/>
        </w:rPr>
        <w:t>المثارة في إطار المادة 2 أن تتضمن مواد مختلفة من الاتفاقية، منها على سبيل الذكر لا الحصر، المادة 16. وتنص الفقرة 3 من التعليق العام رقم 2 على أن "</w:t>
      </w:r>
      <w:r w:rsidRPr="005322B2">
        <w:rPr>
          <w:color w:val="000000"/>
          <w:sz w:val="26"/>
          <w:szCs w:val="26"/>
          <w:rtl/>
        </w:rPr>
        <w:t>الالتزام</w:t>
      </w:r>
      <w:r w:rsidRPr="005322B2">
        <w:rPr>
          <w:rFonts w:hint="cs"/>
          <w:color w:val="000000"/>
          <w:sz w:val="26"/>
          <w:szCs w:val="26"/>
          <w:rtl/>
        </w:rPr>
        <w:t xml:space="preserve"> </w:t>
      </w:r>
      <w:r w:rsidRPr="005322B2">
        <w:rPr>
          <w:color w:val="000000"/>
          <w:sz w:val="26"/>
          <w:szCs w:val="26"/>
          <w:rtl/>
        </w:rPr>
        <w:t xml:space="preserve">بمنع التعذيب </w:t>
      </w:r>
      <w:r w:rsidRPr="005322B2">
        <w:rPr>
          <w:rFonts w:hint="cs"/>
          <w:color w:val="000000"/>
          <w:sz w:val="26"/>
          <w:szCs w:val="26"/>
          <w:rtl/>
        </w:rPr>
        <w:t xml:space="preserve">الوارد </w:t>
      </w:r>
      <w:r w:rsidRPr="005322B2">
        <w:rPr>
          <w:color w:val="000000"/>
          <w:sz w:val="26"/>
          <w:szCs w:val="26"/>
          <w:rtl/>
        </w:rPr>
        <w:t xml:space="preserve">في المادة 2 </w:t>
      </w:r>
      <w:r w:rsidRPr="005322B2">
        <w:rPr>
          <w:rFonts w:hint="cs"/>
          <w:color w:val="000000"/>
          <w:sz w:val="26"/>
          <w:szCs w:val="26"/>
          <w:rtl/>
        </w:rPr>
        <w:t>يتسم</w:t>
      </w:r>
      <w:r w:rsidR="00873AFE">
        <w:rPr>
          <w:rFonts w:hint="eastAsia"/>
          <w:color w:val="000000"/>
          <w:sz w:val="26"/>
          <w:szCs w:val="26"/>
          <w:rtl/>
        </w:rPr>
        <w:t> </w:t>
      </w:r>
      <w:r w:rsidRPr="005322B2">
        <w:rPr>
          <w:rFonts w:hint="cs"/>
          <w:color w:val="000000"/>
          <w:sz w:val="26"/>
          <w:szCs w:val="26"/>
          <w:rtl/>
        </w:rPr>
        <w:t>بطابع واسع النطاق</w:t>
      </w:r>
      <w:r w:rsidRPr="005322B2">
        <w:rPr>
          <w:color w:val="000000"/>
          <w:sz w:val="26"/>
          <w:szCs w:val="26"/>
          <w:rtl/>
        </w:rPr>
        <w:t xml:space="preserve">. </w:t>
      </w:r>
      <w:r w:rsidRPr="005322B2">
        <w:rPr>
          <w:rFonts w:hint="cs"/>
          <w:color w:val="000000"/>
          <w:sz w:val="26"/>
          <w:szCs w:val="26"/>
          <w:rtl/>
        </w:rPr>
        <w:t>و</w:t>
      </w:r>
      <w:r w:rsidRPr="005322B2">
        <w:rPr>
          <w:color w:val="000000"/>
          <w:sz w:val="26"/>
          <w:szCs w:val="26"/>
          <w:rtl/>
        </w:rPr>
        <w:t>ا</w:t>
      </w:r>
      <w:r w:rsidRPr="005322B2">
        <w:rPr>
          <w:rFonts w:hint="cs"/>
          <w:color w:val="000000"/>
          <w:sz w:val="26"/>
          <w:szCs w:val="26"/>
          <w:rtl/>
        </w:rPr>
        <w:t>لال</w:t>
      </w:r>
      <w:r w:rsidRPr="005322B2">
        <w:rPr>
          <w:color w:val="000000"/>
          <w:sz w:val="26"/>
          <w:szCs w:val="26"/>
          <w:rtl/>
        </w:rPr>
        <w:t>تزامات</w:t>
      </w:r>
      <w:r w:rsidRPr="005322B2">
        <w:rPr>
          <w:rFonts w:hint="cs"/>
          <w:color w:val="000000"/>
          <w:sz w:val="26"/>
          <w:szCs w:val="26"/>
          <w:rtl/>
        </w:rPr>
        <w:t xml:space="preserve"> ب</w:t>
      </w:r>
      <w:r w:rsidRPr="005322B2">
        <w:rPr>
          <w:color w:val="000000"/>
          <w:sz w:val="26"/>
          <w:szCs w:val="26"/>
          <w:rtl/>
        </w:rPr>
        <w:t>منع التعذيب وغيره من ضروب المعامل</w:t>
      </w:r>
      <w:r w:rsidRPr="005322B2">
        <w:rPr>
          <w:rFonts w:hint="cs"/>
          <w:color w:val="000000"/>
          <w:sz w:val="26"/>
          <w:szCs w:val="26"/>
          <w:rtl/>
        </w:rPr>
        <w:t>ة</w:t>
      </w:r>
      <w:r w:rsidRPr="005322B2">
        <w:rPr>
          <w:color w:val="000000"/>
          <w:sz w:val="26"/>
          <w:szCs w:val="26"/>
          <w:rtl/>
        </w:rPr>
        <w:t xml:space="preserve"> </w:t>
      </w:r>
      <w:r w:rsidRPr="005322B2">
        <w:rPr>
          <w:rFonts w:hint="cs"/>
          <w:color w:val="000000"/>
          <w:sz w:val="26"/>
          <w:szCs w:val="26"/>
          <w:rtl/>
        </w:rPr>
        <w:t>أ</w:t>
      </w:r>
      <w:r w:rsidRPr="005322B2">
        <w:rPr>
          <w:color w:val="000000"/>
          <w:sz w:val="26"/>
          <w:szCs w:val="26"/>
          <w:rtl/>
        </w:rPr>
        <w:t>و العقوب</w:t>
      </w:r>
      <w:r w:rsidRPr="005322B2">
        <w:rPr>
          <w:rFonts w:hint="cs"/>
          <w:color w:val="000000"/>
          <w:sz w:val="26"/>
          <w:szCs w:val="26"/>
          <w:rtl/>
        </w:rPr>
        <w:t>ة</w:t>
      </w:r>
      <w:r w:rsidRPr="005322B2">
        <w:rPr>
          <w:color w:val="000000"/>
          <w:sz w:val="26"/>
          <w:szCs w:val="26"/>
          <w:rtl/>
        </w:rPr>
        <w:t xml:space="preserve"> القاسي</w:t>
      </w:r>
      <w:r w:rsidRPr="005322B2">
        <w:rPr>
          <w:rFonts w:hint="cs"/>
          <w:color w:val="000000"/>
          <w:sz w:val="26"/>
          <w:szCs w:val="26"/>
          <w:rtl/>
        </w:rPr>
        <w:t>ة</w:t>
      </w:r>
      <w:r w:rsidRPr="005322B2">
        <w:rPr>
          <w:color w:val="000000"/>
          <w:sz w:val="26"/>
          <w:szCs w:val="26"/>
          <w:rtl/>
        </w:rPr>
        <w:t xml:space="preserve"> </w:t>
      </w:r>
      <w:r w:rsidRPr="005322B2">
        <w:rPr>
          <w:rFonts w:hint="cs"/>
          <w:color w:val="000000"/>
          <w:sz w:val="26"/>
          <w:szCs w:val="26"/>
          <w:rtl/>
        </w:rPr>
        <w:t>أ</w:t>
      </w:r>
      <w:r w:rsidRPr="005322B2">
        <w:rPr>
          <w:color w:val="000000"/>
          <w:sz w:val="26"/>
          <w:szCs w:val="26"/>
          <w:rtl/>
        </w:rPr>
        <w:t>و</w:t>
      </w:r>
      <w:r w:rsidRPr="005322B2">
        <w:rPr>
          <w:rFonts w:hint="cs"/>
          <w:color w:val="000000"/>
          <w:sz w:val="26"/>
          <w:szCs w:val="26"/>
          <w:rtl/>
        </w:rPr>
        <w:t> </w:t>
      </w:r>
      <w:r w:rsidRPr="005322B2">
        <w:rPr>
          <w:color w:val="000000"/>
          <w:sz w:val="26"/>
          <w:szCs w:val="26"/>
          <w:rtl/>
        </w:rPr>
        <w:t>اللا</w:t>
      </w:r>
      <w:r w:rsidRPr="005322B2">
        <w:rPr>
          <w:rFonts w:hint="cs"/>
          <w:color w:val="000000"/>
          <w:sz w:val="26"/>
          <w:szCs w:val="26"/>
          <w:rtl/>
        </w:rPr>
        <w:t>إ</w:t>
      </w:r>
      <w:r w:rsidRPr="005322B2">
        <w:rPr>
          <w:color w:val="000000"/>
          <w:sz w:val="26"/>
          <w:szCs w:val="26"/>
          <w:rtl/>
        </w:rPr>
        <w:t>نساني</w:t>
      </w:r>
      <w:r w:rsidRPr="005322B2">
        <w:rPr>
          <w:rFonts w:hint="cs"/>
          <w:color w:val="000000"/>
          <w:sz w:val="26"/>
          <w:szCs w:val="26"/>
          <w:rtl/>
        </w:rPr>
        <w:t>ة</w:t>
      </w:r>
      <w:r w:rsidRPr="005322B2">
        <w:rPr>
          <w:color w:val="000000"/>
          <w:sz w:val="26"/>
          <w:szCs w:val="26"/>
          <w:rtl/>
        </w:rPr>
        <w:t xml:space="preserve"> </w:t>
      </w:r>
      <w:r w:rsidRPr="005322B2">
        <w:rPr>
          <w:rFonts w:hint="cs"/>
          <w:color w:val="000000"/>
          <w:sz w:val="26"/>
          <w:szCs w:val="26"/>
          <w:rtl/>
        </w:rPr>
        <w:t>أ</w:t>
      </w:r>
      <w:r w:rsidRPr="005322B2">
        <w:rPr>
          <w:color w:val="000000"/>
          <w:sz w:val="26"/>
          <w:szCs w:val="26"/>
          <w:rtl/>
        </w:rPr>
        <w:t>و المهين</w:t>
      </w:r>
      <w:r w:rsidRPr="005322B2">
        <w:rPr>
          <w:rFonts w:hint="cs"/>
          <w:color w:val="000000"/>
          <w:sz w:val="26"/>
          <w:szCs w:val="26"/>
          <w:rtl/>
        </w:rPr>
        <w:t>ة</w:t>
      </w:r>
      <w:r w:rsidRPr="005322B2">
        <w:rPr>
          <w:color w:val="000000"/>
          <w:sz w:val="26"/>
          <w:szCs w:val="26"/>
          <w:rtl/>
        </w:rPr>
        <w:t xml:space="preserve"> (</w:t>
      </w:r>
      <w:r w:rsidRPr="005322B2">
        <w:rPr>
          <w:rFonts w:hint="cs"/>
          <w:color w:val="000000"/>
          <w:sz w:val="26"/>
          <w:szCs w:val="26"/>
          <w:rtl/>
        </w:rPr>
        <w:t xml:space="preserve">المشار إليها </w:t>
      </w:r>
      <w:r w:rsidRPr="005322B2">
        <w:rPr>
          <w:color w:val="000000"/>
          <w:sz w:val="26"/>
          <w:szCs w:val="26"/>
          <w:rtl/>
        </w:rPr>
        <w:t xml:space="preserve">في ما </w:t>
      </w:r>
      <w:r w:rsidRPr="005322B2">
        <w:rPr>
          <w:rFonts w:hint="cs"/>
          <w:color w:val="000000"/>
          <w:sz w:val="26"/>
          <w:szCs w:val="26"/>
          <w:rtl/>
        </w:rPr>
        <w:t xml:space="preserve">بعد بالتعبير </w:t>
      </w:r>
      <w:r w:rsidRPr="005322B2">
        <w:rPr>
          <w:color w:val="000000"/>
          <w:sz w:val="26"/>
          <w:szCs w:val="26"/>
          <w:rtl/>
        </w:rPr>
        <w:t>"</w:t>
      </w:r>
      <w:r w:rsidRPr="005322B2">
        <w:rPr>
          <w:rFonts w:hint="cs"/>
          <w:color w:val="000000"/>
          <w:sz w:val="26"/>
          <w:szCs w:val="26"/>
          <w:rtl/>
        </w:rPr>
        <w:t>إساءة المعاملة</w:t>
      </w:r>
      <w:r w:rsidRPr="005322B2">
        <w:rPr>
          <w:color w:val="000000"/>
          <w:sz w:val="26"/>
          <w:szCs w:val="26"/>
          <w:rtl/>
        </w:rPr>
        <w:t>") بموجب</w:t>
      </w:r>
      <w:r w:rsidRPr="005322B2">
        <w:rPr>
          <w:rFonts w:hint="cs"/>
          <w:color w:val="000000"/>
          <w:sz w:val="26"/>
          <w:szCs w:val="26"/>
          <w:rtl/>
        </w:rPr>
        <w:t xml:space="preserve"> الفقرة 1 من</w:t>
      </w:r>
      <w:r w:rsidRPr="005322B2">
        <w:rPr>
          <w:color w:val="000000"/>
          <w:sz w:val="26"/>
          <w:szCs w:val="26"/>
          <w:rtl/>
        </w:rPr>
        <w:t xml:space="preserve"> المادة 16، </w:t>
      </w:r>
      <w:r w:rsidRPr="005322B2">
        <w:rPr>
          <w:rFonts w:hint="cs"/>
          <w:color w:val="000000"/>
          <w:sz w:val="26"/>
          <w:szCs w:val="26"/>
          <w:rtl/>
        </w:rPr>
        <w:t xml:space="preserve">هي التزامات </w:t>
      </w:r>
      <w:r w:rsidRPr="005322B2">
        <w:rPr>
          <w:color w:val="000000"/>
          <w:sz w:val="26"/>
          <w:szCs w:val="26"/>
          <w:rtl/>
        </w:rPr>
        <w:t>غير قابلة للتجزئة</w:t>
      </w:r>
      <w:r w:rsidRPr="005322B2">
        <w:rPr>
          <w:rFonts w:hint="cs"/>
          <w:color w:val="000000"/>
          <w:sz w:val="26"/>
          <w:szCs w:val="26"/>
          <w:rtl/>
        </w:rPr>
        <w:t xml:space="preserve"> ومترابطة ومتشابكة.</w:t>
      </w:r>
      <w:r w:rsidRPr="005322B2">
        <w:rPr>
          <w:color w:val="000000"/>
          <w:sz w:val="26"/>
          <w:szCs w:val="26"/>
          <w:rtl/>
        </w:rPr>
        <w:t xml:space="preserve"> </w:t>
      </w:r>
      <w:r w:rsidRPr="005322B2">
        <w:rPr>
          <w:rFonts w:hint="cs"/>
          <w:color w:val="000000"/>
          <w:sz w:val="26"/>
          <w:szCs w:val="26"/>
          <w:rtl/>
        </w:rPr>
        <w:t xml:space="preserve">ويتداخل </w:t>
      </w:r>
      <w:r w:rsidRPr="005322B2">
        <w:rPr>
          <w:color w:val="000000"/>
          <w:sz w:val="26"/>
          <w:szCs w:val="26"/>
          <w:rtl/>
        </w:rPr>
        <w:t>الالتزام</w:t>
      </w:r>
      <w:r w:rsidRPr="005322B2">
        <w:rPr>
          <w:rFonts w:hint="cs"/>
          <w:color w:val="000000"/>
          <w:sz w:val="26"/>
          <w:szCs w:val="26"/>
          <w:rtl/>
        </w:rPr>
        <w:t xml:space="preserve"> </w:t>
      </w:r>
      <w:r w:rsidRPr="005322B2">
        <w:rPr>
          <w:color w:val="000000"/>
          <w:sz w:val="26"/>
          <w:szCs w:val="26"/>
          <w:rtl/>
        </w:rPr>
        <w:t xml:space="preserve">بمنع </w:t>
      </w:r>
      <w:r w:rsidRPr="005322B2">
        <w:rPr>
          <w:rFonts w:hint="cs"/>
          <w:color w:val="000000"/>
          <w:sz w:val="26"/>
          <w:szCs w:val="26"/>
          <w:rtl/>
        </w:rPr>
        <w:t>إساءة المعاملة</w:t>
      </w:r>
      <w:r w:rsidRPr="005322B2">
        <w:rPr>
          <w:color w:val="000000"/>
          <w:sz w:val="26"/>
          <w:szCs w:val="26"/>
          <w:rtl/>
        </w:rPr>
        <w:t xml:space="preserve"> في الممارس</w:t>
      </w:r>
      <w:r w:rsidRPr="005322B2">
        <w:rPr>
          <w:rFonts w:hint="cs"/>
          <w:color w:val="000000"/>
          <w:sz w:val="26"/>
          <w:szCs w:val="26"/>
          <w:rtl/>
        </w:rPr>
        <w:t>ة</w:t>
      </w:r>
      <w:r w:rsidRPr="005322B2">
        <w:rPr>
          <w:color w:val="000000"/>
          <w:sz w:val="26"/>
          <w:szCs w:val="26"/>
          <w:rtl/>
        </w:rPr>
        <w:t xml:space="preserve"> </w:t>
      </w:r>
      <w:r w:rsidRPr="005322B2">
        <w:rPr>
          <w:rFonts w:hint="cs"/>
          <w:color w:val="000000"/>
          <w:sz w:val="26"/>
          <w:szCs w:val="26"/>
          <w:rtl/>
        </w:rPr>
        <w:t xml:space="preserve">الفعلية مع </w:t>
      </w:r>
      <w:r w:rsidRPr="005322B2">
        <w:rPr>
          <w:color w:val="000000"/>
          <w:sz w:val="26"/>
          <w:szCs w:val="26"/>
          <w:rtl/>
        </w:rPr>
        <w:t>الالتزام بمنع التعذيب</w:t>
      </w:r>
      <w:r w:rsidRPr="005322B2">
        <w:rPr>
          <w:rFonts w:hint="cs"/>
          <w:color w:val="000000"/>
          <w:sz w:val="26"/>
          <w:szCs w:val="26"/>
          <w:rtl/>
        </w:rPr>
        <w:t xml:space="preserve"> وينسجم معه إلى حد بعيد </w:t>
      </w:r>
      <w:r w:rsidRPr="005322B2">
        <w:rPr>
          <w:color w:val="000000"/>
          <w:sz w:val="26"/>
          <w:szCs w:val="26"/>
          <w:rtl/>
        </w:rPr>
        <w:t>.</w:t>
      </w:r>
      <w:r w:rsidRPr="005322B2">
        <w:rPr>
          <w:rFonts w:hint="cs"/>
          <w:color w:val="000000"/>
          <w:sz w:val="26"/>
          <w:szCs w:val="26"/>
          <w:rtl/>
        </w:rPr>
        <w:t xml:space="preserve">.. وعملياً إن الحد الفاصل بين مفهومي إساءة المعاملة </w:t>
      </w:r>
      <w:r w:rsidRPr="005322B2">
        <w:rPr>
          <w:color w:val="000000"/>
          <w:sz w:val="26"/>
          <w:szCs w:val="26"/>
          <w:rtl/>
        </w:rPr>
        <w:t xml:space="preserve">والتعذيب </w:t>
      </w:r>
      <w:r w:rsidRPr="005322B2">
        <w:rPr>
          <w:rFonts w:hint="cs"/>
          <w:color w:val="000000"/>
          <w:sz w:val="26"/>
          <w:szCs w:val="26"/>
          <w:rtl/>
        </w:rPr>
        <w:t>يتسم في كثير من الأحيان بعدم الوضوح</w:t>
      </w:r>
      <w:r w:rsidRPr="005322B2">
        <w:rPr>
          <w:rFonts w:hint="cs"/>
          <w:sz w:val="26"/>
          <w:szCs w:val="26"/>
          <w:rtl/>
        </w:rPr>
        <w:t>." انظر كذلك الفصل الخامس من التعليق العام نفسه.</w:t>
      </w:r>
    </w:p>
  </w:footnote>
  <w:footnote w:id="4">
    <w:p w:rsidR="005322B2" w:rsidRDefault="005322B2" w:rsidP="00E4598C">
      <w:pPr>
        <w:pStyle w:val="FootnoteText"/>
        <w:numPr>
          <w:ilvl w:val="0"/>
          <w:numId w:val="42"/>
        </w:numPr>
        <w:tabs>
          <w:tab w:val="clear" w:pos="1295"/>
          <w:tab w:val="left" w:pos="1239"/>
        </w:tabs>
        <w:spacing w:after="60" w:line="300" w:lineRule="exact"/>
        <w:ind w:left="1247" w:right="1247"/>
        <w:rPr>
          <w:rFonts w:hint="cs"/>
        </w:rPr>
      </w:pPr>
      <w:r w:rsidRPr="000A6A84">
        <w:rPr>
          <w:rFonts w:hint="cs"/>
          <w:sz w:val="26"/>
          <w:szCs w:val="26"/>
          <w:rtl/>
        </w:rPr>
        <w:t>رسالة المتابعة المؤرخة</w:t>
      </w:r>
      <w:r w:rsidRPr="00D343EA">
        <w:rPr>
          <w:rFonts w:hint="cs"/>
          <w:sz w:val="26"/>
          <w:szCs w:val="26"/>
          <w:rtl/>
        </w:rPr>
        <w:t xml:space="preserve"> 7 أيار/مايو 2010</w:t>
      </w:r>
      <w:r>
        <w:rPr>
          <w:rFonts w:hint="cs"/>
          <w:rtl/>
        </w:rPr>
        <w:t>.</w:t>
      </w:r>
    </w:p>
  </w:footnote>
  <w:footnote w:id="5">
    <w:p w:rsidR="005322B2" w:rsidRDefault="005322B2" w:rsidP="00E4598C">
      <w:pPr>
        <w:pStyle w:val="FootnoteText"/>
        <w:numPr>
          <w:ilvl w:val="0"/>
          <w:numId w:val="42"/>
        </w:numPr>
        <w:tabs>
          <w:tab w:val="clear" w:pos="1295"/>
          <w:tab w:val="left" w:pos="1239"/>
        </w:tabs>
        <w:spacing w:after="60" w:line="300" w:lineRule="exact"/>
        <w:ind w:left="1247" w:right="1247"/>
        <w:rPr>
          <w:rFonts w:hint="cs"/>
        </w:rPr>
      </w:pPr>
      <w:r w:rsidRPr="005322B2">
        <w:rPr>
          <w:sz w:val="18"/>
          <w:szCs w:val="26"/>
        </w:rPr>
        <w:t>A/HRC/WG.6/7/QAT/2</w:t>
      </w:r>
      <w:r w:rsidRPr="005322B2">
        <w:rPr>
          <w:rFonts w:hint="cs"/>
          <w:sz w:val="18"/>
          <w:szCs w:val="26"/>
          <w:rtl/>
        </w:rPr>
        <w:t xml:space="preserve">، الفقرتان 23-24. انظر أيضاً </w:t>
      </w:r>
      <w:r w:rsidRPr="005322B2">
        <w:rPr>
          <w:sz w:val="18"/>
          <w:szCs w:val="26"/>
        </w:rPr>
        <w:t>A/HRC/WG.6/7/QAT/3</w:t>
      </w:r>
      <w:r w:rsidRPr="005322B2">
        <w:rPr>
          <w:rFonts w:hint="cs"/>
          <w:sz w:val="18"/>
          <w:szCs w:val="26"/>
          <w:rtl/>
        </w:rPr>
        <w:t>، الفقرة 20.</w:t>
      </w:r>
    </w:p>
  </w:footnote>
  <w:footnote w:id="6">
    <w:p w:rsidR="005322B2" w:rsidRDefault="005322B2" w:rsidP="00E4598C">
      <w:pPr>
        <w:pStyle w:val="FootnoteText"/>
        <w:numPr>
          <w:ilvl w:val="0"/>
          <w:numId w:val="42"/>
        </w:numPr>
        <w:tabs>
          <w:tab w:val="clear" w:pos="1295"/>
          <w:tab w:val="left" w:pos="1239"/>
        </w:tabs>
        <w:spacing w:after="60" w:line="300" w:lineRule="exact"/>
        <w:ind w:left="1247" w:right="1247"/>
        <w:rPr>
          <w:rFonts w:hint="cs"/>
        </w:rPr>
      </w:pPr>
      <w:r w:rsidRPr="005322B2">
        <w:rPr>
          <w:sz w:val="18"/>
          <w:szCs w:val="26"/>
        </w:rPr>
        <w:t>A/HRC/WG.6/7/QAT/3</w:t>
      </w:r>
      <w:r w:rsidRPr="005322B2">
        <w:rPr>
          <w:rFonts w:hint="cs"/>
          <w:sz w:val="18"/>
          <w:szCs w:val="26"/>
          <w:rtl/>
        </w:rPr>
        <w:t xml:space="preserve">، الفقرات 19-21. انظر أيضاً </w:t>
      </w:r>
      <w:r w:rsidRPr="005322B2">
        <w:rPr>
          <w:sz w:val="18"/>
          <w:szCs w:val="26"/>
        </w:rPr>
        <w:t>A/HRC/WG.6/7/QAT/2</w:t>
      </w:r>
      <w:r w:rsidRPr="005322B2">
        <w:rPr>
          <w:rFonts w:hint="cs"/>
          <w:sz w:val="18"/>
          <w:szCs w:val="26"/>
          <w:rtl/>
        </w:rPr>
        <w:t>، الفقرة 46.</w:t>
      </w:r>
    </w:p>
  </w:footnote>
  <w:footnote w:id="7">
    <w:p w:rsidR="005322B2" w:rsidRDefault="005322B2" w:rsidP="00E4598C">
      <w:pPr>
        <w:pStyle w:val="FootnoteText"/>
        <w:numPr>
          <w:ilvl w:val="0"/>
          <w:numId w:val="42"/>
        </w:numPr>
        <w:tabs>
          <w:tab w:val="clear" w:pos="1295"/>
          <w:tab w:val="left" w:pos="1239"/>
        </w:tabs>
        <w:spacing w:after="60" w:line="300" w:lineRule="exact"/>
        <w:ind w:left="1247" w:right="1247"/>
        <w:rPr>
          <w:rFonts w:hint="cs"/>
        </w:rPr>
      </w:pPr>
      <w:r w:rsidRPr="005322B2">
        <w:rPr>
          <w:sz w:val="18"/>
          <w:szCs w:val="26"/>
        </w:rPr>
        <w:t>A/HRC/WG.6/7/QAT/3</w:t>
      </w:r>
      <w:r w:rsidRPr="005322B2">
        <w:rPr>
          <w:rFonts w:hint="cs"/>
          <w:sz w:val="18"/>
          <w:szCs w:val="26"/>
          <w:rtl/>
        </w:rPr>
        <w:t>، الفقرة 22</w:t>
      </w:r>
      <w:r>
        <w:rPr>
          <w:rFonts w:hint="cs"/>
          <w:rtl/>
        </w:rPr>
        <w:t>.</w:t>
      </w:r>
    </w:p>
  </w:footnote>
  <w:footnote w:id="8">
    <w:p w:rsidR="005322B2" w:rsidRDefault="005322B2" w:rsidP="00E4598C">
      <w:pPr>
        <w:pStyle w:val="FootnoteText"/>
        <w:numPr>
          <w:ilvl w:val="0"/>
          <w:numId w:val="42"/>
        </w:numPr>
        <w:tabs>
          <w:tab w:val="clear" w:pos="1295"/>
          <w:tab w:val="left" w:pos="1225"/>
        </w:tabs>
        <w:spacing w:after="60" w:line="300" w:lineRule="exact"/>
        <w:ind w:left="1247" w:right="1247"/>
        <w:rPr>
          <w:rFonts w:hint="cs"/>
        </w:rPr>
      </w:pPr>
      <w:r w:rsidRPr="005322B2">
        <w:rPr>
          <w:rFonts w:hint="cs"/>
          <w:sz w:val="18"/>
          <w:szCs w:val="26"/>
          <w:rtl/>
        </w:rPr>
        <w:t>رسالة المتابعة المؤرخة 7 أيار/مايو 2010.</w:t>
      </w:r>
    </w:p>
  </w:footnote>
  <w:footnote w:id="9">
    <w:p w:rsidR="005322B2" w:rsidRDefault="005322B2" w:rsidP="00E4598C">
      <w:pPr>
        <w:pStyle w:val="FootnoteText"/>
        <w:numPr>
          <w:ilvl w:val="0"/>
          <w:numId w:val="42"/>
        </w:numPr>
        <w:tabs>
          <w:tab w:val="clear" w:pos="1295"/>
          <w:tab w:val="left" w:pos="1225"/>
        </w:tabs>
        <w:spacing w:after="60" w:line="300" w:lineRule="exact"/>
        <w:ind w:left="1247" w:right="1247"/>
        <w:rPr>
          <w:rFonts w:hint="cs"/>
        </w:rPr>
      </w:pPr>
      <w:r w:rsidRPr="005322B2">
        <w:rPr>
          <w:rFonts w:hint="cs"/>
          <w:sz w:val="18"/>
          <w:szCs w:val="26"/>
          <w:rtl/>
        </w:rPr>
        <w:t xml:space="preserve">استنتاجات لجنة مناهضة التعذيب وتوصياتها </w:t>
      </w:r>
      <w:r w:rsidRPr="005322B2">
        <w:rPr>
          <w:sz w:val="18"/>
          <w:szCs w:val="26"/>
        </w:rPr>
        <w:t>(CAT/C/QAT/CO/1)</w:t>
      </w:r>
      <w:r w:rsidRPr="005322B2">
        <w:rPr>
          <w:rFonts w:hint="cs"/>
          <w:sz w:val="18"/>
          <w:szCs w:val="26"/>
          <w:rtl/>
        </w:rPr>
        <w:t>، الفقرة 17.</w:t>
      </w:r>
    </w:p>
  </w:footnote>
  <w:footnote w:id="10">
    <w:p w:rsidR="00F711E0" w:rsidRDefault="00F711E0" w:rsidP="00E4598C">
      <w:pPr>
        <w:pStyle w:val="FootnoteText"/>
        <w:numPr>
          <w:ilvl w:val="0"/>
          <w:numId w:val="42"/>
        </w:numPr>
        <w:tabs>
          <w:tab w:val="clear" w:pos="1295"/>
          <w:tab w:val="left" w:pos="1225"/>
        </w:tabs>
        <w:spacing w:after="60" w:line="300" w:lineRule="exact"/>
        <w:ind w:left="1247" w:right="1247"/>
        <w:rPr>
          <w:rFonts w:hint="cs"/>
        </w:rPr>
      </w:pPr>
      <w:r w:rsidRPr="005322B2">
        <w:rPr>
          <w:rFonts w:hint="cs"/>
          <w:sz w:val="18"/>
          <w:szCs w:val="26"/>
          <w:rtl/>
        </w:rPr>
        <w:t>المرجع نفسه، الفقرة 22.</w:t>
      </w:r>
    </w:p>
  </w:footnote>
  <w:footnote w:id="11">
    <w:p w:rsidR="00F711E0" w:rsidRDefault="00F711E0" w:rsidP="00E4598C">
      <w:pPr>
        <w:pStyle w:val="FootnoteText"/>
        <w:numPr>
          <w:ilvl w:val="0"/>
          <w:numId w:val="42"/>
        </w:numPr>
        <w:tabs>
          <w:tab w:val="clear" w:pos="1295"/>
          <w:tab w:val="left" w:pos="1225"/>
        </w:tabs>
        <w:spacing w:after="60" w:line="300" w:lineRule="exact"/>
        <w:ind w:left="1247" w:right="1247"/>
        <w:rPr>
          <w:rFonts w:hint="cs"/>
        </w:rPr>
      </w:pPr>
      <w:r w:rsidRPr="005322B2">
        <w:rPr>
          <w:sz w:val="18"/>
          <w:szCs w:val="26"/>
          <w:lang w:val="es-ES_tradnl"/>
        </w:rPr>
        <w:t>A/HRC/WG.6/7/QAT/3</w:t>
      </w:r>
      <w:r w:rsidRPr="005322B2">
        <w:rPr>
          <w:rFonts w:hint="cs"/>
          <w:sz w:val="18"/>
          <w:szCs w:val="26"/>
          <w:rtl/>
        </w:rPr>
        <w:t>، الفقرتان 33-34.</w:t>
      </w:r>
    </w:p>
  </w:footnote>
  <w:footnote w:id="12">
    <w:p w:rsidR="00F711E0" w:rsidRPr="000C1F54" w:rsidRDefault="00F711E0" w:rsidP="00EA4B98">
      <w:pPr>
        <w:pStyle w:val="FootnoteText"/>
        <w:numPr>
          <w:ilvl w:val="0"/>
          <w:numId w:val="42"/>
        </w:numPr>
        <w:tabs>
          <w:tab w:val="clear" w:pos="1295"/>
          <w:tab w:val="left" w:pos="1239"/>
        </w:tabs>
        <w:spacing w:after="60" w:line="300" w:lineRule="exact"/>
        <w:ind w:left="1247" w:right="1247"/>
        <w:rPr>
          <w:rFonts w:hint="cs"/>
          <w:spacing w:val="-4"/>
        </w:rPr>
      </w:pPr>
      <w:r w:rsidRPr="000C1F54">
        <w:rPr>
          <w:rFonts w:hint="cs"/>
          <w:spacing w:val="-4"/>
          <w:sz w:val="18"/>
          <w:szCs w:val="26"/>
          <w:rtl/>
        </w:rPr>
        <w:t>تقرير المقرر</w:t>
      </w:r>
      <w:r w:rsidR="000C1F54" w:rsidRPr="000C1F54">
        <w:rPr>
          <w:rFonts w:hint="cs"/>
          <w:spacing w:val="-4"/>
          <w:sz w:val="18"/>
          <w:szCs w:val="26"/>
          <w:rtl/>
        </w:rPr>
        <w:t>ة</w:t>
      </w:r>
      <w:r w:rsidRPr="000C1F54">
        <w:rPr>
          <w:rFonts w:hint="cs"/>
          <w:spacing w:val="-4"/>
          <w:sz w:val="18"/>
          <w:szCs w:val="26"/>
          <w:rtl/>
        </w:rPr>
        <w:t xml:space="preserve"> الخاص</w:t>
      </w:r>
      <w:r w:rsidR="000C1F54" w:rsidRPr="000C1F54">
        <w:rPr>
          <w:rFonts w:hint="cs"/>
          <w:spacing w:val="-4"/>
          <w:sz w:val="18"/>
          <w:szCs w:val="26"/>
          <w:rtl/>
        </w:rPr>
        <w:t>ة</w:t>
      </w:r>
      <w:r w:rsidRPr="000C1F54">
        <w:rPr>
          <w:rFonts w:hint="cs"/>
          <w:spacing w:val="-4"/>
          <w:sz w:val="18"/>
          <w:szCs w:val="26"/>
          <w:rtl/>
        </w:rPr>
        <w:t xml:space="preserve"> المعني</w:t>
      </w:r>
      <w:r w:rsidR="000C1F54" w:rsidRPr="000C1F54">
        <w:rPr>
          <w:rFonts w:hint="cs"/>
          <w:spacing w:val="-4"/>
          <w:sz w:val="18"/>
          <w:szCs w:val="26"/>
          <w:rtl/>
        </w:rPr>
        <w:t>ة</w:t>
      </w:r>
      <w:r w:rsidRPr="000C1F54">
        <w:rPr>
          <w:rFonts w:hint="cs"/>
          <w:spacing w:val="-4"/>
          <w:sz w:val="18"/>
          <w:szCs w:val="26"/>
          <w:rtl/>
        </w:rPr>
        <w:t xml:space="preserve"> بالاتجار بالأشخاص، </w:t>
      </w:r>
      <w:r w:rsidR="000C1F54" w:rsidRPr="000C1F54">
        <w:rPr>
          <w:rFonts w:hint="cs"/>
          <w:spacing w:val="-4"/>
          <w:sz w:val="18"/>
          <w:szCs w:val="26"/>
          <w:rtl/>
        </w:rPr>
        <w:t>لا سيما</w:t>
      </w:r>
      <w:r w:rsidRPr="000C1F54">
        <w:rPr>
          <w:rFonts w:hint="cs"/>
          <w:spacing w:val="-4"/>
          <w:sz w:val="18"/>
          <w:szCs w:val="26"/>
          <w:rtl/>
        </w:rPr>
        <w:t xml:space="preserve"> النساء والأطفال </w:t>
      </w:r>
      <w:r w:rsidRPr="000C1F54">
        <w:rPr>
          <w:spacing w:val="-4"/>
          <w:sz w:val="18"/>
          <w:szCs w:val="26"/>
        </w:rPr>
        <w:t>(A/HRC/4/23/Add.2)</w:t>
      </w:r>
      <w:r w:rsidRPr="000C1F54">
        <w:rPr>
          <w:rFonts w:hint="cs"/>
          <w:spacing w:val="-4"/>
          <w:sz w:val="18"/>
          <w:szCs w:val="26"/>
          <w:rtl/>
        </w:rPr>
        <w:t>، الفقرة 49.</w:t>
      </w:r>
    </w:p>
  </w:footnote>
  <w:footnote w:id="13">
    <w:p w:rsidR="00F711E0" w:rsidRDefault="00F711E0" w:rsidP="00E4598C">
      <w:pPr>
        <w:pStyle w:val="FootnoteText"/>
        <w:numPr>
          <w:ilvl w:val="0"/>
          <w:numId w:val="42"/>
        </w:numPr>
        <w:tabs>
          <w:tab w:val="clear" w:pos="1295"/>
          <w:tab w:val="left" w:pos="1239"/>
        </w:tabs>
        <w:spacing w:after="60" w:line="300" w:lineRule="exact"/>
        <w:ind w:left="1247" w:right="1247"/>
        <w:rPr>
          <w:rFonts w:hint="cs"/>
        </w:rPr>
      </w:pPr>
      <w:r w:rsidRPr="00F711E0">
        <w:rPr>
          <w:rFonts w:hint="cs"/>
          <w:sz w:val="18"/>
          <w:szCs w:val="26"/>
          <w:rtl/>
        </w:rPr>
        <w:t xml:space="preserve">الملاحظات الختامية للجنة حقوق الطفل </w:t>
      </w:r>
      <w:r w:rsidRPr="00F711E0">
        <w:rPr>
          <w:sz w:val="18"/>
          <w:szCs w:val="26"/>
          <w:lang w:val="es-ES_tradnl"/>
        </w:rPr>
        <w:t>(CRC/C/QAT/CO/2)</w:t>
      </w:r>
      <w:r w:rsidRPr="00F711E0">
        <w:rPr>
          <w:rFonts w:hint="cs"/>
          <w:sz w:val="18"/>
          <w:szCs w:val="26"/>
          <w:rtl/>
          <w:lang w:val="es-ES_tradnl" w:bidi="ar-EG"/>
        </w:rPr>
        <w:t>، الفقرة 67</w:t>
      </w:r>
      <w:r>
        <w:rPr>
          <w:rFonts w:hint="cs"/>
          <w:rtl/>
          <w:lang w:bidi="ar-EG"/>
        </w:rPr>
        <w:t>.</w:t>
      </w:r>
    </w:p>
  </w:footnote>
  <w:footnote w:id="14">
    <w:p w:rsidR="00F711E0" w:rsidRDefault="00F711E0" w:rsidP="00E4598C">
      <w:pPr>
        <w:pStyle w:val="FootnoteText"/>
        <w:numPr>
          <w:ilvl w:val="0"/>
          <w:numId w:val="42"/>
        </w:numPr>
        <w:tabs>
          <w:tab w:val="clear" w:pos="1295"/>
          <w:tab w:val="left" w:pos="1239"/>
        </w:tabs>
        <w:spacing w:after="60" w:line="300" w:lineRule="exact"/>
        <w:ind w:left="1247" w:right="1247"/>
        <w:rPr>
          <w:rFonts w:hint="cs"/>
        </w:rPr>
      </w:pPr>
      <w:r w:rsidRPr="00F711E0">
        <w:rPr>
          <w:sz w:val="18"/>
          <w:szCs w:val="26"/>
          <w:lang w:val="es-ES_tradnl"/>
        </w:rPr>
        <w:t>A/HRC/WG.6/7/QAT/2</w:t>
      </w:r>
      <w:r w:rsidRPr="00F711E0">
        <w:rPr>
          <w:rFonts w:hint="cs"/>
          <w:sz w:val="18"/>
          <w:szCs w:val="26"/>
          <w:rtl/>
          <w:lang w:val="es-ES_tradnl"/>
        </w:rPr>
        <w:t>، الفقرة 28.</w:t>
      </w:r>
    </w:p>
  </w:footnote>
  <w:footnote w:id="15">
    <w:p w:rsidR="00F711E0" w:rsidRPr="00570B23" w:rsidRDefault="00F711E0" w:rsidP="001030E1">
      <w:pPr>
        <w:pStyle w:val="FootnoteText"/>
        <w:numPr>
          <w:ilvl w:val="0"/>
          <w:numId w:val="42"/>
        </w:numPr>
        <w:tabs>
          <w:tab w:val="clear" w:pos="1295"/>
          <w:tab w:val="left" w:pos="1239"/>
        </w:tabs>
        <w:spacing w:after="60" w:line="300" w:lineRule="exact"/>
        <w:ind w:left="1247" w:right="1247"/>
        <w:rPr>
          <w:rFonts w:hint="cs"/>
          <w:sz w:val="18"/>
          <w:szCs w:val="26"/>
        </w:rPr>
      </w:pPr>
      <w:r w:rsidRPr="00570B23">
        <w:rPr>
          <w:sz w:val="18"/>
          <w:szCs w:val="26"/>
        </w:rPr>
        <w:t>CAT/C/QAT/CO/1</w:t>
      </w:r>
      <w:r w:rsidRPr="00570B23">
        <w:rPr>
          <w:rFonts w:hint="cs"/>
          <w:sz w:val="18"/>
          <w:szCs w:val="26"/>
          <w:rtl/>
        </w:rPr>
        <w:t>، الفقرة 14.</w:t>
      </w:r>
    </w:p>
  </w:footnote>
  <w:footnote w:id="16">
    <w:p w:rsidR="00F711E0" w:rsidRPr="00570B23" w:rsidRDefault="00F711E0" w:rsidP="001030E1">
      <w:pPr>
        <w:pStyle w:val="FootnoteText"/>
        <w:numPr>
          <w:ilvl w:val="0"/>
          <w:numId w:val="42"/>
        </w:numPr>
        <w:tabs>
          <w:tab w:val="clear" w:pos="1295"/>
          <w:tab w:val="left" w:pos="1239"/>
        </w:tabs>
        <w:spacing w:after="60" w:line="300" w:lineRule="exact"/>
        <w:ind w:left="1247" w:right="1247"/>
        <w:rPr>
          <w:rFonts w:hint="cs"/>
          <w:sz w:val="18"/>
          <w:szCs w:val="26"/>
        </w:rPr>
      </w:pPr>
      <w:r w:rsidRPr="00570B23">
        <w:rPr>
          <w:rFonts w:hint="cs"/>
          <w:sz w:val="18"/>
          <w:szCs w:val="26"/>
          <w:rtl/>
        </w:rPr>
        <w:t>المرجع نفسه، الفقرة 13.</w:t>
      </w:r>
    </w:p>
  </w:footnote>
  <w:footnote w:id="17">
    <w:p w:rsidR="00F711E0" w:rsidRPr="00102345" w:rsidRDefault="00F711E0" w:rsidP="001030E1">
      <w:pPr>
        <w:pStyle w:val="FootnoteText"/>
        <w:numPr>
          <w:ilvl w:val="0"/>
          <w:numId w:val="42"/>
        </w:numPr>
        <w:tabs>
          <w:tab w:val="clear" w:pos="1295"/>
          <w:tab w:val="left" w:pos="1239"/>
        </w:tabs>
        <w:spacing w:after="60" w:line="300" w:lineRule="exact"/>
        <w:ind w:left="1247" w:right="1247"/>
        <w:rPr>
          <w:rFonts w:hint="cs"/>
          <w:sz w:val="18"/>
          <w:szCs w:val="26"/>
        </w:rPr>
      </w:pPr>
      <w:r w:rsidRPr="00102345">
        <w:rPr>
          <w:rFonts w:hint="cs"/>
          <w:sz w:val="18"/>
          <w:szCs w:val="26"/>
          <w:rtl/>
        </w:rPr>
        <w:t>رسالة المتابعة المؤرخة 7 أيار/مايو 2010.</w:t>
      </w:r>
    </w:p>
  </w:footnote>
  <w:footnote w:id="18">
    <w:p w:rsidR="00F711E0" w:rsidRPr="00102345" w:rsidRDefault="00F711E0" w:rsidP="001030E1">
      <w:pPr>
        <w:pStyle w:val="FootnoteText"/>
        <w:numPr>
          <w:ilvl w:val="0"/>
          <w:numId w:val="42"/>
        </w:numPr>
        <w:tabs>
          <w:tab w:val="clear" w:pos="1295"/>
          <w:tab w:val="left" w:pos="1253"/>
        </w:tabs>
        <w:spacing w:after="60" w:line="300" w:lineRule="exact"/>
        <w:ind w:left="1247" w:right="1247"/>
        <w:rPr>
          <w:rFonts w:hint="cs"/>
          <w:sz w:val="18"/>
          <w:szCs w:val="26"/>
        </w:rPr>
      </w:pPr>
      <w:r w:rsidRPr="00102345">
        <w:rPr>
          <w:rFonts w:hint="cs"/>
          <w:sz w:val="18"/>
          <w:szCs w:val="26"/>
          <w:rtl/>
        </w:rPr>
        <w:t>المرجع نفسه.</w:t>
      </w:r>
    </w:p>
  </w:footnote>
  <w:footnote w:id="19">
    <w:p w:rsidR="00F711E0" w:rsidRPr="00102345" w:rsidRDefault="00F711E0" w:rsidP="001030E1">
      <w:pPr>
        <w:pStyle w:val="FootnoteText"/>
        <w:numPr>
          <w:ilvl w:val="0"/>
          <w:numId w:val="42"/>
        </w:numPr>
        <w:tabs>
          <w:tab w:val="clear" w:pos="1295"/>
          <w:tab w:val="left" w:pos="1253"/>
        </w:tabs>
        <w:spacing w:after="60" w:line="300" w:lineRule="exact"/>
        <w:ind w:left="1247" w:right="1247"/>
        <w:rPr>
          <w:rFonts w:hint="cs"/>
          <w:sz w:val="18"/>
          <w:szCs w:val="26"/>
        </w:rPr>
      </w:pPr>
      <w:r w:rsidRPr="00102345">
        <w:rPr>
          <w:sz w:val="18"/>
          <w:szCs w:val="26"/>
        </w:rPr>
        <w:t>CAT/C/QAT/CO/1</w:t>
      </w:r>
      <w:r w:rsidRPr="00102345">
        <w:rPr>
          <w:rFonts w:hint="cs"/>
          <w:sz w:val="18"/>
          <w:szCs w:val="26"/>
          <w:rtl/>
        </w:rPr>
        <w:t>، الفقرة 11.</w:t>
      </w:r>
    </w:p>
  </w:footnote>
  <w:footnote w:id="20">
    <w:p w:rsidR="00F711E0" w:rsidRPr="00102345" w:rsidRDefault="00F711E0" w:rsidP="001030E1">
      <w:pPr>
        <w:pStyle w:val="FootnoteText"/>
        <w:numPr>
          <w:ilvl w:val="0"/>
          <w:numId w:val="42"/>
        </w:numPr>
        <w:tabs>
          <w:tab w:val="clear" w:pos="1295"/>
          <w:tab w:val="left" w:pos="1253"/>
        </w:tabs>
        <w:spacing w:after="60" w:line="300" w:lineRule="exact"/>
        <w:ind w:left="1247" w:right="1247"/>
        <w:rPr>
          <w:rFonts w:hint="cs"/>
          <w:sz w:val="18"/>
          <w:szCs w:val="26"/>
        </w:rPr>
      </w:pPr>
      <w:r w:rsidRPr="00102345">
        <w:rPr>
          <w:rFonts w:hint="cs"/>
          <w:sz w:val="18"/>
          <w:szCs w:val="26"/>
          <w:rtl/>
        </w:rPr>
        <w:t>المرجه نفسه، الفقرة 18.</w:t>
      </w:r>
    </w:p>
  </w:footnote>
  <w:footnote w:id="21">
    <w:p w:rsidR="00F711E0" w:rsidRPr="00102345" w:rsidRDefault="002248EC" w:rsidP="0027596F">
      <w:pPr>
        <w:pStyle w:val="FootnoteText"/>
        <w:numPr>
          <w:ilvl w:val="0"/>
          <w:numId w:val="42"/>
        </w:numPr>
        <w:tabs>
          <w:tab w:val="clear" w:pos="1295"/>
          <w:tab w:val="left" w:pos="1239"/>
        </w:tabs>
        <w:spacing w:after="60" w:line="300" w:lineRule="exact"/>
        <w:ind w:left="1247" w:right="1247"/>
        <w:rPr>
          <w:rFonts w:hint="cs"/>
          <w:sz w:val="18"/>
          <w:szCs w:val="26"/>
        </w:rPr>
      </w:pPr>
      <w:r w:rsidRPr="00102345">
        <w:rPr>
          <w:sz w:val="18"/>
          <w:szCs w:val="26"/>
          <w:lang w:val="es-ES_tradnl"/>
        </w:rPr>
        <w:t>A/HRC/WG.6/7/QAT/3</w:t>
      </w:r>
      <w:r w:rsidRPr="00102345">
        <w:rPr>
          <w:rFonts w:hint="cs"/>
          <w:sz w:val="18"/>
          <w:szCs w:val="26"/>
          <w:rtl/>
        </w:rPr>
        <w:t>، الفقرة 10.</w:t>
      </w:r>
    </w:p>
  </w:footnote>
  <w:footnote w:id="22">
    <w:p w:rsidR="002248EC" w:rsidRPr="00102345" w:rsidRDefault="002248EC" w:rsidP="0027596F">
      <w:pPr>
        <w:pStyle w:val="FootnoteText"/>
        <w:numPr>
          <w:ilvl w:val="0"/>
          <w:numId w:val="42"/>
        </w:numPr>
        <w:tabs>
          <w:tab w:val="clear" w:pos="1295"/>
          <w:tab w:val="left" w:pos="1239"/>
        </w:tabs>
        <w:spacing w:after="60" w:line="300" w:lineRule="exact"/>
        <w:ind w:left="1247" w:right="1247"/>
        <w:rPr>
          <w:rFonts w:hint="cs"/>
          <w:sz w:val="18"/>
          <w:szCs w:val="26"/>
        </w:rPr>
      </w:pPr>
      <w:r w:rsidRPr="00102345">
        <w:rPr>
          <w:sz w:val="18"/>
          <w:szCs w:val="26"/>
          <w:lang w:val="es-ES"/>
        </w:rPr>
        <w:t>CAT/C/QAT/CO/1</w:t>
      </w:r>
      <w:r w:rsidRPr="00102345">
        <w:rPr>
          <w:rFonts w:hint="cs"/>
          <w:sz w:val="18"/>
          <w:szCs w:val="26"/>
          <w:rtl/>
        </w:rPr>
        <w:t>، الفقرة 21.</w:t>
      </w:r>
    </w:p>
  </w:footnote>
  <w:footnote w:id="23">
    <w:p w:rsidR="002248EC" w:rsidRPr="00102345" w:rsidRDefault="002248EC" w:rsidP="0027596F">
      <w:pPr>
        <w:pStyle w:val="FootnoteText"/>
        <w:numPr>
          <w:ilvl w:val="0"/>
          <w:numId w:val="42"/>
        </w:numPr>
        <w:tabs>
          <w:tab w:val="clear" w:pos="1295"/>
          <w:tab w:val="left" w:pos="1239"/>
        </w:tabs>
        <w:spacing w:after="60" w:line="300" w:lineRule="exact"/>
        <w:ind w:left="1247" w:right="1247"/>
        <w:rPr>
          <w:rFonts w:hint="cs"/>
          <w:sz w:val="18"/>
          <w:szCs w:val="26"/>
        </w:rPr>
      </w:pPr>
      <w:r w:rsidRPr="00102345">
        <w:rPr>
          <w:sz w:val="18"/>
          <w:szCs w:val="26"/>
          <w:lang w:val="es-ES_tradnl"/>
        </w:rPr>
        <w:t>CRC/C/QAT//CO/2</w:t>
      </w:r>
      <w:r w:rsidRPr="00102345">
        <w:rPr>
          <w:rFonts w:hint="cs"/>
          <w:sz w:val="18"/>
          <w:szCs w:val="26"/>
          <w:rtl/>
        </w:rPr>
        <w:t>، الفقرة 40.</w:t>
      </w:r>
    </w:p>
  </w:footnote>
  <w:footnote w:id="24">
    <w:p w:rsidR="002248EC" w:rsidRDefault="002248EC" w:rsidP="00271D5F">
      <w:pPr>
        <w:pStyle w:val="FootnoteText"/>
        <w:numPr>
          <w:ilvl w:val="0"/>
          <w:numId w:val="42"/>
        </w:numPr>
        <w:tabs>
          <w:tab w:val="clear" w:pos="1295"/>
          <w:tab w:val="left" w:pos="1239"/>
        </w:tabs>
        <w:spacing w:after="60" w:line="300" w:lineRule="exact"/>
        <w:ind w:left="1247" w:right="1247"/>
        <w:rPr>
          <w:rFonts w:hint="cs"/>
        </w:rPr>
      </w:pPr>
      <w:r w:rsidRPr="00102345">
        <w:rPr>
          <w:sz w:val="18"/>
          <w:szCs w:val="26"/>
          <w:lang w:val="es-ES_tradnl"/>
        </w:rPr>
        <w:t>CAT/C/QAT/CO/1</w:t>
      </w:r>
      <w:r w:rsidRPr="00F55034">
        <w:rPr>
          <w:rFonts w:hint="cs"/>
          <w:sz w:val="26"/>
          <w:szCs w:val="26"/>
          <w:rtl/>
          <w:lang w:val="es-ES_tradnl"/>
        </w:rPr>
        <w:t>، الفقرة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1A" w:rsidRPr="004B190B" w:rsidRDefault="00535B1A" w:rsidP="004B190B">
    <w:pPr>
      <w:pStyle w:val="Header"/>
      <w:jc w:val="right"/>
    </w:pPr>
    <w:r w:rsidRPr="004B190B">
      <w:t>CAT/C/QAT/Q/2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1A" w:rsidRPr="004B190B" w:rsidRDefault="00535B1A" w:rsidP="004B190B">
    <w:pPr>
      <w:pStyle w:val="Header"/>
      <w:jc w:val="left"/>
    </w:pPr>
    <w:r w:rsidRPr="004B190B">
      <w:t>CAT/C/QAT/Q/2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1A" w:rsidRDefault="00535B1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535B1A" w:rsidRPr="002B399E" w:rsidRDefault="00535B1A"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535B1A" w:rsidRPr="002B399E" w:rsidRDefault="00535B1A"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535B1A" w:rsidRDefault="00535B1A"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3B42FF"/>
    <w:multiLevelType w:val="hybridMultilevel"/>
    <w:tmpl w:val="52587868"/>
    <w:lvl w:ilvl="0" w:tplc="2BA47C78">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3C325B"/>
    <w:multiLevelType w:val="hybridMultilevel"/>
    <w:tmpl w:val="753E3772"/>
    <w:lvl w:ilvl="0" w:tplc="EF32EE94">
      <w:start w:val="18"/>
      <w:numFmt w:val="decimal"/>
      <w:lvlText w:val="%1-"/>
      <w:lvlJc w:val="left"/>
      <w:pPr>
        <w:tabs>
          <w:tab w:val="num" w:pos="1086"/>
        </w:tabs>
        <w:ind w:left="1086" w:hanging="795"/>
      </w:pPr>
      <w:rPr>
        <w:rFonts w:hint="default"/>
      </w:rPr>
    </w:lvl>
    <w:lvl w:ilvl="1" w:tplc="926E1DC0">
      <w:start w:val="1"/>
      <w:numFmt w:val="arabicAlpha"/>
      <w:lvlText w:val="(%2)"/>
      <w:lvlJc w:val="left"/>
      <w:pPr>
        <w:tabs>
          <w:tab w:val="num" w:pos="1731"/>
        </w:tabs>
        <w:ind w:left="1731" w:hanging="720"/>
      </w:pPr>
      <w:rPr>
        <w:rFonts w:hint="default"/>
      </w:rPr>
    </w:lvl>
    <w:lvl w:ilvl="2" w:tplc="0409001B">
      <w:start w:val="1"/>
      <w:numFmt w:val="lowerRoman"/>
      <w:lvlText w:val="%3."/>
      <w:lvlJc w:val="right"/>
      <w:pPr>
        <w:tabs>
          <w:tab w:val="num" w:pos="2091"/>
        </w:tabs>
        <w:ind w:left="2091" w:hanging="180"/>
      </w:pPr>
    </w:lvl>
    <w:lvl w:ilvl="3" w:tplc="0409000F" w:tentative="1">
      <w:start w:val="1"/>
      <w:numFmt w:val="decimal"/>
      <w:lvlText w:val="%4."/>
      <w:lvlJc w:val="left"/>
      <w:pPr>
        <w:tabs>
          <w:tab w:val="num" w:pos="2811"/>
        </w:tabs>
        <w:ind w:left="2811" w:hanging="360"/>
      </w:pPr>
    </w:lvl>
    <w:lvl w:ilvl="4" w:tplc="04090019" w:tentative="1">
      <w:start w:val="1"/>
      <w:numFmt w:val="lowerLetter"/>
      <w:lvlText w:val="%5."/>
      <w:lvlJc w:val="left"/>
      <w:pPr>
        <w:tabs>
          <w:tab w:val="num" w:pos="3531"/>
        </w:tabs>
        <w:ind w:left="3531" w:hanging="360"/>
      </w:pPr>
    </w:lvl>
    <w:lvl w:ilvl="5" w:tplc="0409001B" w:tentative="1">
      <w:start w:val="1"/>
      <w:numFmt w:val="lowerRoman"/>
      <w:lvlText w:val="%6."/>
      <w:lvlJc w:val="right"/>
      <w:pPr>
        <w:tabs>
          <w:tab w:val="num" w:pos="4251"/>
        </w:tabs>
        <w:ind w:left="4251" w:hanging="180"/>
      </w:pPr>
    </w:lvl>
    <w:lvl w:ilvl="6" w:tplc="0409000F" w:tentative="1">
      <w:start w:val="1"/>
      <w:numFmt w:val="decimal"/>
      <w:lvlText w:val="%7."/>
      <w:lvlJc w:val="left"/>
      <w:pPr>
        <w:tabs>
          <w:tab w:val="num" w:pos="4971"/>
        </w:tabs>
        <w:ind w:left="4971" w:hanging="360"/>
      </w:pPr>
    </w:lvl>
    <w:lvl w:ilvl="7" w:tplc="04090019" w:tentative="1">
      <w:start w:val="1"/>
      <w:numFmt w:val="lowerLetter"/>
      <w:lvlText w:val="%8."/>
      <w:lvlJc w:val="left"/>
      <w:pPr>
        <w:tabs>
          <w:tab w:val="num" w:pos="5691"/>
        </w:tabs>
        <w:ind w:left="5691" w:hanging="360"/>
      </w:pPr>
    </w:lvl>
    <w:lvl w:ilvl="8" w:tplc="0409001B" w:tentative="1">
      <w:start w:val="1"/>
      <w:numFmt w:val="lowerRoman"/>
      <w:lvlText w:val="%9."/>
      <w:lvlJc w:val="right"/>
      <w:pPr>
        <w:tabs>
          <w:tab w:val="num" w:pos="6411"/>
        </w:tabs>
        <w:ind w:left="6411" w:hanging="18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1">
    <w:nsid w:val="77DB61CB"/>
    <w:multiLevelType w:val="hybridMultilevel"/>
    <w:tmpl w:val="420AEDF8"/>
    <w:lvl w:ilvl="0" w:tplc="F05A7574">
      <w:start w:val="5"/>
      <w:numFmt w:val="decimal"/>
      <w:lvlText w:val="%1-"/>
      <w:lvlJc w:val="left"/>
      <w:pPr>
        <w:tabs>
          <w:tab w:val="num" w:pos="1386"/>
        </w:tabs>
        <w:ind w:left="1386" w:hanging="360"/>
      </w:pPr>
      <w:rPr>
        <w:rFonts w:hint="default"/>
      </w:rPr>
    </w:lvl>
    <w:lvl w:ilvl="1" w:tplc="04090019">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5"/>
  </w:num>
  <w:num w:numId="4">
    <w:abstractNumId w:val="13"/>
  </w:num>
  <w:num w:numId="5">
    <w:abstractNumId w:val="10"/>
  </w:num>
  <w:num w:numId="6">
    <w:abstractNumId w:val="23"/>
  </w:num>
  <w:num w:numId="7">
    <w:abstractNumId w:val="12"/>
  </w:num>
  <w:num w:numId="8">
    <w:abstractNumId w:val="11"/>
  </w:num>
  <w:num w:numId="9">
    <w:abstractNumId w:val="14"/>
  </w:num>
  <w:num w:numId="10">
    <w:abstractNumId w:val="22"/>
  </w:num>
  <w:num w:numId="11">
    <w:abstractNumId w:val="2"/>
  </w:num>
  <w:num w:numId="12">
    <w:abstractNumId w:val="15"/>
  </w:num>
  <w:num w:numId="13">
    <w:abstractNumId w:val="13"/>
  </w:num>
  <w:num w:numId="14">
    <w:abstractNumId w:val="10"/>
  </w:num>
  <w:num w:numId="15">
    <w:abstractNumId w:val="23"/>
  </w:num>
  <w:num w:numId="16">
    <w:abstractNumId w:val="2"/>
  </w:num>
  <w:num w:numId="17">
    <w:abstractNumId w:val="15"/>
  </w:num>
  <w:num w:numId="18">
    <w:abstractNumId w:val="13"/>
  </w:num>
  <w:num w:numId="19">
    <w:abstractNumId w:val="10"/>
  </w:num>
  <w:num w:numId="20">
    <w:abstractNumId w:val="23"/>
  </w:num>
  <w:num w:numId="21">
    <w:abstractNumId w:val="2"/>
  </w:num>
  <w:num w:numId="22">
    <w:abstractNumId w:val="15"/>
  </w:num>
  <w:num w:numId="23">
    <w:abstractNumId w:val="10"/>
  </w:num>
  <w:num w:numId="24">
    <w:abstractNumId w:val="23"/>
  </w:num>
  <w:num w:numId="25">
    <w:abstractNumId w:val="15"/>
  </w:num>
  <w:num w:numId="26">
    <w:abstractNumId w:val="2"/>
  </w:num>
  <w:num w:numId="27">
    <w:abstractNumId w:val="4"/>
  </w:num>
  <w:num w:numId="28">
    <w:abstractNumId w:val="3"/>
  </w:num>
  <w:num w:numId="29">
    <w:abstractNumId w:val="17"/>
  </w:num>
  <w:num w:numId="30">
    <w:abstractNumId w:val="5"/>
  </w:num>
  <w:num w:numId="31">
    <w:abstractNumId w:val="9"/>
  </w:num>
  <w:num w:numId="32">
    <w:abstractNumId w:val="16"/>
  </w:num>
  <w:num w:numId="33">
    <w:abstractNumId w:val="19"/>
  </w:num>
  <w:num w:numId="34">
    <w:abstractNumId w:val="24"/>
  </w:num>
  <w:num w:numId="35">
    <w:abstractNumId w:val="6"/>
  </w:num>
  <w:num w:numId="36">
    <w:abstractNumId w:val="18"/>
  </w:num>
  <w:num w:numId="37">
    <w:abstractNumId w:val="20"/>
  </w:num>
  <w:num w:numId="38">
    <w:abstractNumId w:val="0"/>
  </w:num>
  <w:num w:numId="39">
    <w:abstractNumId w:val="8"/>
  </w:num>
  <w:num w:numId="40">
    <w:abstractNumId w:val="21"/>
  </w:num>
  <w:num w:numId="41">
    <w:abstractNumId w:val="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F96"/>
    <w:rsid w:val="00013390"/>
    <w:rsid w:val="00040E25"/>
    <w:rsid w:val="00042149"/>
    <w:rsid w:val="000648EA"/>
    <w:rsid w:val="000957C8"/>
    <w:rsid w:val="00097049"/>
    <w:rsid w:val="000A04D5"/>
    <w:rsid w:val="000B52F2"/>
    <w:rsid w:val="000C1F54"/>
    <w:rsid w:val="000D0EAE"/>
    <w:rsid w:val="000D5380"/>
    <w:rsid w:val="000D6654"/>
    <w:rsid w:val="000E103D"/>
    <w:rsid w:val="000F0264"/>
    <w:rsid w:val="000F2EBF"/>
    <w:rsid w:val="000F3A9F"/>
    <w:rsid w:val="000F5FF6"/>
    <w:rsid w:val="001022B5"/>
    <w:rsid w:val="00102345"/>
    <w:rsid w:val="001030E1"/>
    <w:rsid w:val="00113FA5"/>
    <w:rsid w:val="00132DEF"/>
    <w:rsid w:val="0014216F"/>
    <w:rsid w:val="001455A0"/>
    <w:rsid w:val="001602A3"/>
    <w:rsid w:val="001A5161"/>
    <w:rsid w:val="001A60BD"/>
    <w:rsid w:val="002244FB"/>
    <w:rsid w:val="002248EC"/>
    <w:rsid w:val="00232277"/>
    <w:rsid w:val="0023736D"/>
    <w:rsid w:val="00257225"/>
    <w:rsid w:val="00271D5F"/>
    <w:rsid w:val="0027596F"/>
    <w:rsid w:val="002D157A"/>
    <w:rsid w:val="00310160"/>
    <w:rsid w:val="00341A8C"/>
    <w:rsid w:val="003519E6"/>
    <w:rsid w:val="00356F62"/>
    <w:rsid w:val="003651F1"/>
    <w:rsid w:val="00396407"/>
    <w:rsid w:val="00396F96"/>
    <w:rsid w:val="003A716D"/>
    <w:rsid w:val="003B4356"/>
    <w:rsid w:val="003D0820"/>
    <w:rsid w:val="003F08A8"/>
    <w:rsid w:val="004250E3"/>
    <w:rsid w:val="00472A81"/>
    <w:rsid w:val="00476D32"/>
    <w:rsid w:val="004A20A6"/>
    <w:rsid w:val="004B190B"/>
    <w:rsid w:val="004B2C92"/>
    <w:rsid w:val="004D6A3A"/>
    <w:rsid w:val="004F4AD7"/>
    <w:rsid w:val="005322B2"/>
    <w:rsid w:val="00535B1A"/>
    <w:rsid w:val="00557CD3"/>
    <w:rsid w:val="00570B2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95E8A"/>
    <w:rsid w:val="007E197F"/>
    <w:rsid w:val="007F68C4"/>
    <w:rsid w:val="00814147"/>
    <w:rsid w:val="008153DE"/>
    <w:rsid w:val="00834FF4"/>
    <w:rsid w:val="00852A10"/>
    <w:rsid w:val="00862634"/>
    <w:rsid w:val="00866C59"/>
    <w:rsid w:val="00873AFE"/>
    <w:rsid w:val="00877306"/>
    <w:rsid w:val="008A6242"/>
    <w:rsid w:val="008B4BC6"/>
    <w:rsid w:val="00901E57"/>
    <w:rsid w:val="009070DF"/>
    <w:rsid w:val="00935F0E"/>
    <w:rsid w:val="0094497D"/>
    <w:rsid w:val="0095208F"/>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BBA"/>
    <w:rsid w:val="00B017EE"/>
    <w:rsid w:val="00B25BBD"/>
    <w:rsid w:val="00B30468"/>
    <w:rsid w:val="00B44E31"/>
    <w:rsid w:val="00BA4F7E"/>
    <w:rsid w:val="00BB2C41"/>
    <w:rsid w:val="00BC55C8"/>
    <w:rsid w:val="00BC5C10"/>
    <w:rsid w:val="00BE1C69"/>
    <w:rsid w:val="00BE2964"/>
    <w:rsid w:val="00BF3D46"/>
    <w:rsid w:val="00C21623"/>
    <w:rsid w:val="00C24FBD"/>
    <w:rsid w:val="00C473BA"/>
    <w:rsid w:val="00C611ED"/>
    <w:rsid w:val="00C6490A"/>
    <w:rsid w:val="00C64FE1"/>
    <w:rsid w:val="00C74296"/>
    <w:rsid w:val="00C8345E"/>
    <w:rsid w:val="00C870A9"/>
    <w:rsid w:val="00CA5F7C"/>
    <w:rsid w:val="00D51067"/>
    <w:rsid w:val="00D75657"/>
    <w:rsid w:val="00D960AD"/>
    <w:rsid w:val="00DA0E0E"/>
    <w:rsid w:val="00DB0C39"/>
    <w:rsid w:val="00DB7679"/>
    <w:rsid w:val="00DF1702"/>
    <w:rsid w:val="00DF4DD8"/>
    <w:rsid w:val="00DF668E"/>
    <w:rsid w:val="00DF6B04"/>
    <w:rsid w:val="00E04826"/>
    <w:rsid w:val="00E14D2B"/>
    <w:rsid w:val="00E20DBA"/>
    <w:rsid w:val="00E4598C"/>
    <w:rsid w:val="00E46AD4"/>
    <w:rsid w:val="00E6524A"/>
    <w:rsid w:val="00E660D6"/>
    <w:rsid w:val="00E771AB"/>
    <w:rsid w:val="00EA4B98"/>
    <w:rsid w:val="00EA796F"/>
    <w:rsid w:val="00EB077B"/>
    <w:rsid w:val="00EC50B9"/>
    <w:rsid w:val="00ED26A0"/>
    <w:rsid w:val="00EF6BD8"/>
    <w:rsid w:val="00F1727A"/>
    <w:rsid w:val="00F34764"/>
    <w:rsid w:val="00F54E3C"/>
    <w:rsid w:val="00F55034"/>
    <w:rsid w:val="00F711E0"/>
    <w:rsid w:val="00F7225E"/>
    <w:rsid w:val="00F874BD"/>
    <w:rsid w:val="00F94270"/>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styleId="CommentReference">
    <w:name w:val="annotation reference"/>
    <w:semiHidden/>
    <w:rsid w:val="004B190B"/>
    <w:rPr>
      <w:sz w:val="16"/>
      <w:szCs w:val="16"/>
    </w:rPr>
  </w:style>
  <w:style w:type="paragraph" w:styleId="CommentText">
    <w:name w:val="annotation text"/>
    <w:basedOn w:val="Normal"/>
    <w:semiHidden/>
    <w:rsid w:val="004B190B"/>
    <w:rPr>
      <w:szCs w:val="20"/>
    </w:rPr>
  </w:style>
  <w:style w:type="paragraph" w:styleId="CommentSubject">
    <w:name w:val="annotation subject"/>
    <w:basedOn w:val="CommentText"/>
    <w:next w:val="CommentText"/>
    <w:semiHidden/>
    <w:rsid w:val="004B190B"/>
    <w:rPr>
      <w:b/>
      <w:bCs/>
    </w:rPr>
  </w:style>
  <w:style w:type="paragraph" w:styleId="BalloonText">
    <w:name w:val="Balloon Text"/>
    <w:basedOn w:val="Normal"/>
    <w:semiHidden/>
    <w:rsid w:val="004B1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2181</Words>
  <Characters>12438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CAT/C/QAT/Q/2</vt:lpstr>
    </vt:vector>
  </TitlesOfParts>
  <Company>CSD</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CAT/C/QAT/Q/2</dc:title>
  <dc:subject>ALY/SABET</dc:subject>
  <dc:creator>Rima</dc:creator>
  <cp:keywords/>
  <dc:description>Riz</dc:description>
  <cp:lastModifiedBy>Gamal</cp:lastModifiedBy>
  <cp:revision>2</cp:revision>
  <cp:lastPrinted>2011-03-04T13:26:00Z</cp:lastPrinted>
  <dcterms:created xsi:type="dcterms:W3CDTF">2011-03-04T13:26:00Z</dcterms:created>
  <dcterms:modified xsi:type="dcterms:W3CDTF">2011-03-04T13:26:00Z</dcterms:modified>
</cp:coreProperties>
</file>