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0D6A51D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18B594" w14:textId="77777777" w:rsidR="002D5AAC" w:rsidRDefault="002D5AAC" w:rsidP="00CA00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FAD127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36653C" w14:textId="77777777" w:rsidR="002D5AAC" w:rsidRDefault="00CA0050" w:rsidP="00CA0050">
            <w:pPr>
              <w:jc w:val="right"/>
            </w:pPr>
            <w:r w:rsidRPr="00CA0050">
              <w:rPr>
                <w:sz w:val="40"/>
              </w:rPr>
              <w:t>CRC</w:t>
            </w:r>
            <w:r>
              <w:t>/C/AUT/CO/5-6</w:t>
            </w:r>
          </w:p>
        </w:tc>
      </w:tr>
      <w:tr w:rsidR="002D5AAC" w:rsidRPr="00CA0050" w14:paraId="0DE7A1E9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890CBE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8E8B83" wp14:editId="168AFC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BAD29A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B2E4844" w14:textId="77777777" w:rsidR="002D5AAC" w:rsidRDefault="00CA0050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974F3E" w14:textId="77777777" w:rsidR="00CA0050" w:rsidRDefault="00CA0050" w:rsidP="00CA00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March 2020</w:t>
            </w:r>
          </w:p>
          <w:p w14:paraId="7CC7BEC8" w14:textId="77777777" w:rsidR="00CA0050" w:rsidRDefault="00CA0050" w:rsidP="00CA00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EF06E1" w14:textId="77777777" w:rsidR="00CA0050" w:rsidRPr="00B937DF" w:rsidRDefault="00CA0050" w:rsidP="00CA00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A3B15A7" w14:textId="77777777" w:rsidR="00A409AA" w:rsidRPr="00931C43" w:rsidRDefault="00A409AA" w:rsidP="00A409AA">
      <w:pPr>
        <w:spacing w:before="120"/>
        <w:rPr>
          <w:b/>
          <w:sz w:val="24"/>
          <w:szCs w:val="24"/>
        </w:rPr>
      </w:pPr>
      <w:r w:rsidRPr="00931C43">
        <w:rPr>
          <w:b/>
          <w:bCs/>
          <w:sz w:val="24"/>
          <w:szCs w:val="24"/>
        </w:rPr>
        <w:t>Комитет по правам ребенка</w:t>
      </w:r>
    </w:p>
    <w:p w14:paraId="17BA6F61" w14:textId="77777777" w:rsidR="00A409AA" w:rsidRPr="001E51EA" w:rsidRDefault="00A409AA" w:rsidP="00A409AA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 пятому и</w:t>
      </w:r>
      <w:r w:rsidR="00931C43">
        <w:rPr>
          <w:bCs/>
          <w:lang w:val="en-US"/>
        </w:rPr>
        <w:t> </w:t>
      </w:r>
      <w:r>
        <w:rPr>
          <w:bCs/>
        </w:rPr>
        <w:t>шестому периодическим докладам Австрии</w:t>
      </w:r>
      <w:r w:rsidRPr="009729B6">
        <w:rPr>
          <w:b w:val="0"/>
          <w:bCs/>
          <w:sz w:val="20"/>
        </w:rPr>
        <w:footnoteReference w:customMarkFollows="1" w:id="1"/>
        <w:t>*</w:t>
      </w:r>
    </w:p>
    <w:p w14:paraId="664F8931" w14:textId="77777777" w:rsidR="00A409AA" w:rsidRPr="001E51EA" w:rsidRDefault="00931C43" w:rsidP="00A409AA">
      <w:pPr>
        <w:pStyle w:val="HChG"/>
      </w:pPr>
      <w:r>
        <w:tab/>
      </w:r>
      <w:r w:rsidR="00A409AA">
        <w:t>I.</w:t>
      </w:r>
      <w:r w:rsidR="00A409AA">
        <w:tab/>
      </w:r>
      <w:r w:rsidR="00A409AA">
        <w:rPr>
          <w:bCs/>
        </w:rPr>
        <w:t>Введение</w:t>
      </w:r>
    </w:p>
    <w:p w14:paraId="144F1C68" w14:textId="77777777" w:rsidR="00A409AA" w:rsidRPr="001E51EA" w:rsidRDefault="00A409AA" w:rsidP="00A409AA">
      <w:pPr>
        <w:pStyle w:val="SingleTxtG"/>
      </w:pPr>
      <w:r>
        <w:t>1.</w:t>
      </w:r>
      <w:r>
        <w:tab/>
        <w:t xml:space="preserve">Комитет рассмотрел объединенные пятый и шестой периодические доклады Австрии (CRC/C/AUT/5-6) на своих 2448-м и 2449-м заседаниях (см. CRC/C/SR.2448 и 2449), состоявшихся 30 и 31 января 2020 года, и на своем 2460-м заседании, состоявшемся 7 февраля 2020 года, принял настоящие заключительные замечания. </w:t>
      </w:r>
    </w:p>
    <w:p w14:paraId="3A018212" w14:textId="77777777" w:rsidR="00A409AA" w:rsidRPr="001E51EA" w:rsidRDefault="00A409AA" w:rsidP="00A409AA">
      <w:pPr>
        <w:pStyle w:val="SingleTxtG"/>
      </w:pPr>
      <w:r>
        <w:t>2.</w:t>
      </w:r>
      <w:r>
        <w:tab/>
        <w:t xml:space="preserve">Комитет приветствует представление объединенных пятого и шестого периодических докладов государства-участника и письменных ответов на перечень вопросов (CRC/C/AUT/RQ/5-6), которые позволили лучше понять положение в области прав детей в государстве-участнике. Комитет выражает признательность за конструктивный диалог, проведенный с межведомственной делегацией государства-участника. </w:t>
      </w:r>
    </w:p>
    <w:p w14:paraId="66E7C088" w14:textId="77777777" w:rsidR="00A409AA" w:rsidRPr="001E51EA" w:rsidRDefault="00931C43" w:rsidP="00A409AA">
      <w:pPr>
        <w:pStyle w:val="HChG"/>
      </w:pPr>
      <w:r>
        <w:tab/>
      </w:r>
      <w:r w:rsidR="00A409AA">
        <w:t>II.</w:t>
      </w:r>
      <w:r w:rsidR="00A409AA">
        <w:tab/>
      </w:r>
      <w:r w:rsidR="00A409AA">
        <w:rPr>
          <w:bCs/>
        </w:rPr>
        <w:t>Последующие меры, принятые государством-участником, и достигнутый им прогресс</w:t>
      </w:r>
    </w:p>
    <w:p w14:paraId="63D212FF" w14:textId="77777777" w:rsidR="00A409AA" w:rsidRPr="001E51EA" w:rsidRDefault="00A409AA" w:rsidP="00A409AA">
      <w:pPr>
        <w:pStyle w:val="SingleTxtG"/>
      </w:pPr>
      <w:r>
        <w:t>3.</w:t>
      </w:r>
      <w:r>
        <w:tab/>
        <w:t>Комитет приветствует решение государства-участника снять свои оговорки к статьям 13, 15 и 17 и отозвать свои заявления по статье 38 Конвенции, которые вступили в силу 28 сентября 2015 года. Комитет далее приветствует прогресс, достигнутый государством-участником в различных областях, включая ратификацию международных договоров или присоединение к ним, в частности ратификацию в 2012</w:t>
      </w:r>
      <w:r w:rsidR="00842C2B">
        <w:t> </w:t>
      </w:r>
      <w:r>
        <w:t xml:space="preserve">году Факультативного протокола к Конвенции против пыток и других жестоких, бесчеловечных или унижающих достоинство видов обращения и наказания. Комитет с удовлетворением отмечает законодательные, институциональные и политические меры, принятые с целью осуществления Конвенции, в частности принятие в 2013 году Федерального закона о социальной защите детей и молодежи, внесение в 2015 году поправок в Закон о судах по делам несовершеннолетних и создание Совета по правам детей (с момента создания в 2012 году по 2017 год назывался </w:t>
      </w:r>
      <w:r w:rsidR="00842C2B">
        <w:t>«</w:t>
      </w:r>
      <w:r>
        <w:t>Совет по контролю за соблюдением прав детей</w:t>
      </w:r>
      <w:r w:rsidR="00842C2B">
        <w:t>»</w:t>
      </w:r>
      <w:r>
        <w:t xml:space="preserve">). Он приветствует унификацию в 2019 году законов федеральных земель о защите молодежи, запрещающих продажу алкогольных напитков лицам в возрасте до 16 лет, а также владение ими и их потребление такими лицами и внесение в 2019 году поправки в Закон о защите от насилия, в соответствии с которой, в частности, была введена </w:t>
      </w:r>
      <w:r w:rsidR="00842C2B">
        <w:t>«</w:t>
      </w:r>
      <w:r>
        <w:t>мобильная зона защиты</w:t>
      </w:r>
      <w:r w:rsidR="00842C2B">
        <w:t>»</w:t>
      </w:r>
      <w:r>
        <w:t xml:space="preserve">, предполагающая, что лицам, совершившим акты насилия в семье, запрещено приближаться к своим жертвам ближе чем на 100 метров. </w:t>
      </w:r>
    </w:p>
    <w:p w14:paraId="0D2FA891" w14:textId="77777777" w:rsidR="00A409AA" w:rsidRPr="001E51EA" w:rsidRDefault="00931C43" w:rsidP="00A409AA">
      <w:pPr>
        <w:pStyle w:val="HChG"/>
      </w:pPr>
      <w:r>
        <w:lastRenderedPageBreak/>
        <w:tab/>
      </w:r>
      <w:r w:rsidR="00A409AA">
        <w:t>III.</w:t>
      </w:r>
      <w:r w:rsidR="00A409AA">
        <w:tab/>
      </w:r>
      <w:r w:rsidR="00A409AA">
        <w:rPr>
          <w:bCs/>
        </w:rPr>
        <w:t>Основные проблемные области и рекомендации</w:t>
      </w:r>
    </w:p>
    <w:p w14:paraId="786273AD" w14:textId="77777777" w:rsidR="00A409AA" w:rsidRPr="001E51EA" w:rsidRDefault="00A409AA" w:rsidP="00A409AA">
      <w:pPr>
        <w:pStyle w:val="SingleTxtG"/>
      </w:pPr>
      <w:r>
        <w:t>4.</w:t>
      </w:r>
      <w:r>
        <w:tab/>
        <w:t>Комитет напоминает государству-участнику о неделимости и взаимозависимости всех прав, закрепленных в Конвенции, и подчеркивает важное значение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безотлагательные меры: законодательство (пункт 7), недискриминация (пункт</w:t>
      </w:r>
      <w:r w:rsidR="00842C2B">
        <w:t> </w:t>
      </w:r>
      <w:r>
        <w:t xml:space="preserve">17), семейное окружение и альтернативный уход (пункт 29), дети-инвалиды (пункт 31), психическое здоровье (пункт 34), а также дети </w:t>
      </w:r>
      <w:r w:rsidR="00CA0164">
        <w:t>–</w:t>
      </w:r>
      <w:r>
        <w:t xml:space="preserve"> просители убежища, дети</w:t>
      </w:r>
      <w:r w:rsidR="003D18FA">
        <w:noBreakHyphen/>
      </w:r>
      <w:r>
        <w:t>беженцы и дети-мигранты (пункт 40).</w:t>
      </w:r>
    </w:p>
    <w:p w14:paraId="73FCAC1B" w14:textId="77777777" w:rsidR="00A409AA" w:rsidRPr="001E51EA" w:rsidRDefault="00A409AA" w:rsidP="00A409AA">
      <w:pPr>
        <w:pStyle w:val="SingleTxtG"/>
        <w:rPr>
          <w:b/>
          <w:bCs/>
        </w:rPr>
      </w:pPr>
      <w:r>
        <w:t>5.</w:t>
      </w:r>
      <w:r>
        <w:tab/>
      </w:r>
      <w:r>
        <w:rPr>
          <w:b/>
          <w:bCs/>
        </w:rPr>
        <w:t>Комитет рекомендует государству-участнику обеспечить принятие мер по реализации прав детей в соответствии с Конвенцией, Факультативным протоколом, касающимся участия детей в вооруженных конфликтах, и</w:t>
      </w:r>
      <w:r w:rsidR="00264127">
        <w:rPr>
          <w:b/>
          <w:bCs/>
        </w:rPr>
        <w:t> </w:t>
      </w:r>
      <w:r>
        <w:rPr>
          <w:b/>
          <w:bCs/>
        </w:rPr>
        <w:t>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</w:t>
      </w:r>
      <w:r w:rsidR="00931C43">
        <w:rPr>
          <w:b/>
          <w:bCs/>
          <w:lang w:val="en-US"/>
        </w:rPr>
        <w:t> </w:t>
      </w:r>
      <w:r>
        <w:rPr>
          <w:b/>
          <w:bCs/>
        </w:rPr>
        <w:t>года.</w:t>
      </w:r>
      <w:r>
        <w:t xml:space="preserve"> </w:t>
      </w:r>
      <w:r>
        <w:rPr>
          <w:b/>
          <w:bCs/>
        </w:rPr>
        <w:t>Он также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 17 ц</w:t>
      </w:r>
      <w:bookmarkStart w:id="0" w:name="_GoBack"/>
      <w:bookmarkEnd w:id="0"/>
      <w:r>
        <w:rPr>
          <w:b/>
          <w:bCs/>
        </w:rPr>
        <w:t>елей в области устойчивого развития, в той мере, в какой они касаются детей.</w:t>
      </w:r>
      <w:r>
        <w:t xml:space="preserve"> </w:t>
      </w:r>
    </w:p>
    <w:p w14:paraId="3F63762E" w14:textId="77777777" w:rsidR="00A409AA" w:rsidRPr="001E51EA" w:rsidRDefault="00931C43" w:rsidP="00A409AA">
      <w:pPr>
        <w:pStyle w:val="H1G"/>
      </w:pPr>
      <w:r>
        <w:tab/>
      </w:r>
      <w:r w:rsidR="00A409AA">
        <w:t>A.</w:t>
      </w:r>
      <w:r w:rsidR="00A409AA">
        <w:tab/>
      </w:r>
      <w:r w:rsidR="00A409AA">
        <w:rPr>
          <w:bCs/>
        </w:rPr>
        <w:t>Общие меры по осуществлению (статьи 4, 42 и 44 (пункт 6))</w:t>
      </w:r>
    </w:p>
    <w:p w14:paraId="65B98B9D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  <w:r>
        <w:t xml:space="preserve"> </w:t>
      </w:r>
    </w:p>
    <w:p w14:paraId="1A2DFC20" w14:textId="77777777" w:rsidR="00A409AA" w:rsidRPr="001E51EA" w:rsidRDefault="00A409AA" w:rsidP="00A409AA">
      <w:pPr>
        <w:pStyle w:val="SingleTxtG"/>
      </w:pPr>
      <w:r>
        <w:t>6.</w:t>
      </w:r>
      <w:r>
        <w:tab/>
        <w:t>Комитет отмечает внесение в 2018 году поправки в Конституцию, в</w:t>
      </w:r>
      <w:r w:rsidR="00264127">
        <w:t> </w:t>
      </w:r>
      <w:r>
        <w:t>соответствии с которой исключительные полномочия по обеспечению детей и молодежи социальной защитой были переданы федеральным землям. Вместе с тем Комитет обеспокоен тем, что такая передача полномочий может привести к разнобою в применении законодательства и фрагментации и непоследовательности в реализации прав детей на всей территории государства-участника. Заключение соглашений между федеральным правительством и земельными правительствами никак не влияет на этот вывод.</w:t>
      </w:r>
      <w:bookmarkStart w:id="1" w:name="_Hlk33188651"/>
      <w:bookmarkEnd w:id="1"/>
    </w:p>
    <w:p w14:paraId="712E154A" w14:textId="77777777" w:rsidR="00A409AA" w:rsidRPr="001E51EA" w:rsidRDefault="00A409AA" w:rsidP="00A409AA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рекомендует государству-участнику гарантировать последовательное и недискриминационное осуществление норм, закрепленных в Конвенции, на всей своей территории, независимо от решения о передаче полномочий по обеспечению детей и молодежи социальной защитой федеральным землям.</w:t>
      </w:r>
    </w:p>
    <w:p w14:paraId="0FF3A488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Всеобъемлющая политика и стратегия</w:t>
      </w:r>
      <w:r>
        <w:t xml:space="preserve"> </w:t>
      </w:r>
    </w:p>
    <w:p w14:paraId="10FBB792" w14:textId="77777777" w:rsidR="00A409AA" w:rsidRPr="001E51EA" w:rsidRDefault="00A409AA" w:rsidP="00A409AA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Отмечая наличие различных планов действий и стратегий в интересах детей, Комитет выражает обеспокоенность по поводу отсутствия какой-либо комплексной политики и стратегии по этому вопросу.</w:t>
      </w:r>
      <w:r>
        <w:t xml:space="preserve"> </w:t>
      </w:r>
      <w:r>
        <w:rPr>
          <w:b/>
          <w:bCs/>
        </w:rPr>
        <w:t>Ссылаясь на ранее вынесенную рекомендацию (CRC/C/AUT/CO/3-4, пункт 13), Комитет рекомендует государству-участнику принять обновленную комплексную политику в интересах детей, охватывающую все области, регулируемые Конвенцией, а также разработать соответствующую стратегию и выделить надлежащие людские, технические и финансовые ресурсы на ее осуществление.</w:t>
      </w:r>
    </w:p>
    <w:p w14:paraId="23BE1E6D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Координация</w:t>
      </w:r>
    </w:p>
    <w:p w14:paraId="4FA212E3" w14:textId="77777777" w:rsidR="00A409AA" w:rsidRPr="001E51EA" w:rsidRDefault="00A409AA" w:rsidP="00A409AA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Принимая к сведению информацию о том, что координация и единообразие стандартов обеспечивается посредством постоянных координационных органов и на основе соглашений, заключенных между федеральным правительством и правительствами земель в соответствии со статьей 15a Закона о Федеральной конституции, Комитет отмечает, что различные координационные органы и соглашения не могут заменить единый постоянный координационный орган.</w:t>
      </w:r>
      <w:r>
        <w:t xml:space="preserve"> </w:t>
      </w:r>
      <w:r>
        <w:rPr>
          <w:b/>
          <w:bCs/>
        </w:rPr>
        <w:lastRenderedPageBreak/>
        <w:t>Комитет настоятельно призывает государство-участник создать на высоком уровне надлежащий орган с четкими функциями и достаточными полномочиями для координации всей деятельности по осуществлению Конвенции на межотраслевом, национальном, земельном и местном уровнях.</w:t>
      </w:r>
      <w:r>
        <w:t xml:space="preserve"> </w:t>
      </w:r>
      <w:r>
        <w:rPr>
          <w:b/>
          <w:bCs/>
        </w:rPr>
        <w:t>Государству-участнику следует предоставить такому координационному органу необходимые людские, технические и финансовые ресурсы для его эффективного функционирования.</w:t>
      </w:r>
    </w:p>
    <w:p w14:paraId="17BB7FC2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Выделение ресурсов</w:t>
      </w:r>
    </w:p>
    <w:p w14:paraId="0F210188" w14:textId="77777777" w:rsidR="00A409AA" w:rsidRPr="001E51EA" w:rsidRDefault="00A409AA" w:rsidP="00A409AA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Ссылаясь на свое замечание общего порядка № 19 (2016) о государственных бюджетных ассигнованиях для осуществления прав детей, Комитет рекомендует государству-участнику ввести процедуру составления бюджета, учитывающую права детей и содержащую четкие указания относительно выделения средств на их нужды в соответствующих секторах и ведомствах, включая использование конкретных показателей и системы отслеживания для контроля и оценки адекватности, эффективности и справедливости распределения ресурсов, выделяемых на осуществление Конвенции, в том числе посредством:</w:t>
      </w:r>
      <w:r>
        <w:t xml:space="preserve"> </w:t>
      </w:r>
    </w:p>
    <w:p w14:paraId="00447FE6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a)</w:t>
      </w:r>
      <w:r w:rsidR="00A409AA">
        <w:tab/>
      </w:r>
      <w:r w:rsidR="00A409AA">
        <w:rPr>
          <w:b/>
          <w:bCs/>
        </w:rPr>
        <w:t>установления плановых показателей, обеспечивающих привязку целей программ в интересах детей к бюджетным ассигнованиям и фактическим расходам, чтобы отслеживать отдачу и последствия для детей, в том числе тех из них, которые находятся в уязвимом положении;</w:t>
      </w:r>
    </w:p>
    <w:p w14:paraId="5EEB4497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b)</w:t>
      </w:r>
      <w:r w:rsidR="00A409AA">
        <w:tab/>
      </w:r>
      <w:r w:rsidR="00A409AA">
        <w:rPr>
          <w:b/>
          <w:bCs/>
        </w:rPr>
        <w:t>тщательной проработки бюджетных статей и кодов по всем планируемым, утвержденным, пересмотренным и фактическим расходам, непосредственно затрагивающим детей;</w:t>
      </w:r>
      <w:r w:rsidR="00A409AA">
        <w:t xml:space="preserve"> </w:t>
      </w:r>
    </w:p>
    <w:p w14:paraId="02B32AE1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c)</w:t>
      </w:r>
      <w:r w:rsidR="00A409AA">
        <w:tab/>
      </w:r>
      <w:r w:rsidR="00A409AA">
        <w:rPr>
          <w:b/>
          <w:bCs/>
        </w:rPr>
        <w:t>использования систем бюджетной классификации, которые дают возможность выявлять, отслеживать и анализировать расходы, связанные с защитой прав детей;</w:t>
      </w:r>
      <w:r w:rsidR="00A409AA">
        <w:t xml:space="preserve"> </w:t>
      </w:r>
    </w:p>
    <w:p w14:paraId="2E80A952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d)</w:t>
      </w:r>
      <w:r w:rsidR="00A409AA">
        <w:tab/>
      </w:r>
      <w:r w:rsidR="00A409AA">
        <w:rPr>
          <w:b/>
          <w:bCs/>
        </w:rPr>
        <w:t>обеспечения того, чтобы колебания или сокращения бюджетных ассигнований на оказание услуг не приводили к снижению существующего уровня осуществления прав детей;</w:t>
      </w:r>
    </w:p>
    <w:p w14:paraId="18EC6F62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e)</w:t>
      </w:r>
      <w:r w:rsidR="00A409AA">
        <w:tab/>
      </w:r>
      <w:r w:rsidR="00A409AA">
        <w:rPr>
          <w:b/>
          <w:bCs/>
        </w:rPr>
        <w:t>укрепления аудиторских проверок в целях повышения прозрачности и подотчетности государственных расходов во всех секторах, с тем чтобы мобилизовать максимальный объем имеющихся ресурсов для осуществления прав ребенка.</w:t>
      </w:r>
      <w:r w:rsidR="00A409AA">
        <w:t xml:space="preserve"> </w:t>
      </w:r>
    </w:p>
    <w:p w14:paraId="4179BCBF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764AC36D" w14:textId="77777777" w:rsidR="00A409AA" w:rsidRPr="001E51EA" w:rsidRDefault="00A409AA" w:rsidP="00A409AA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Ссылаясь на свое замечание общего порядка № 5 (2003) об общих мерах по осуществлению Конвенции, Комитет рекомендует государству-участнику незамедлительно усовершенствовать свою систему сбора данных.</w:t>
      </w:r>
      <w:r>
        <w:t xml:space="preserve"> </w:t>
      </w:r>
      <w:r>
        <w:rPr>
          <w:b/>
          <w:bCs/>
        </w:rPr>
        <w:t>Данные должны охватывать все области Конвенции и представляться в разбивке по землям, возрасту, полу, инвалидности, географическому местоположению, национальному и этническому происхождению и социально-экономическим характеристикам в целях упрощения анализа положения всех детей, в частности находящихся в уязвимом положении.</w:t>
      </w:r>
      <w:r>
        <w:t xml:space="preserve"> </w:t>
      </w:r>
      <w:r>
        <w:rPr>
          <w:b/>
          <w:bCs/>
        </w:rPr>
        <w:t>Государству-участнику следует также обеспечить обмен данными и показателями между соответствующими министерствами и их использование для разработки, мониторинга и оценки стратегий, программ и проектов, направленных на эффективное осуществление Конвенции.</w:t>
      </w:r>
    </w:p>
    <w:p w14:paraId="2D3816D9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  <w:r>
        <w:t xml:space="preserve"> </w:t>
      </w:r>
    </w:p>
    <w:p w14:paraId="5BD14C2F" w14:textId="77777777" w:rsidR="00A409AA" w:rsidRPr="001E51EA" w:rsidRDefault="00A409AA" w:rsidP="00A409AA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Приветствуя меры, принятые с целью укрепления национального правозащитного учреждения, Комитет в то же время отмечает, что Австрийский совет Омбудсмена не наделен конкретными полномочиями по защите прав детей.</w:t>
      </w:r>
      <w:r>
        <w:t xml:space="preserve"> </w:t>
      </w:r>
      <w:r>
        <w:rPr>
          <w:b/>
          <w:bCs/>
        </w:rPr>
        <w:t xml:space="preserve">Комитет рекомендует государству-участнику принять меры для обеспечения </w:t>
      </w:r>
      <w:r>
        <w:rPr>
          <w:b/>
          <w:bCs/>
        </w:rPr>
        <w:lastRenderedPageBreak/>
        <w:t>полного соответствия Принципам, касающимся статуса национальных учреждений, занимающихся поощрением и защитой прав человека (Парижские принципы).</w:t>
      </w:r>
    </w:p>
    <w:p w14:paraId="0764A09D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</w:t>
      </w:r>
      <w:r>
        <w:t xml:space="preserve"> </w:t>
      </w:r>
    </w:p>
    <w:p w14:paraId="3A724BFA" w14:textId="77777777" w:rsidR="00A409AA" w:rsidRPr="001E51EA" w:rsidRDefault="00A409AA" w:rsidP="00A409AA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 xml:space="preserve">Ссылаясь на задачу 17.2 </w:t>
      </w:r>
      <w:r w:rsidR="003B012E">
        <w:rPr>
          <w:b/>
          <w:bCs/>
        </w:rPr>
        <w:t>Ц</w:t>
      </w:r>
      <w:r>
        <w:rPr>
          <w:b/>
          <w:bCs/>
        </w:rPr>
        <w:t>елей в области устойчивого развития, Комитет призывает государство-участник выполнить свое обязательство по достижению согласованного на международном уровне целевого показателя официальной помощи в целях развития в размере 0,7% от валового национального дохода.</w:t>
      </w:r>
      <w:r>
        <w:t xml:space="preserve"> </w:t>
      </w:r>
      <w:r>
        <w:rPr>
          <w:b/>
          <w:bCs/>
        </w:rPr>
        <w:t>Комитет рекомендует государству-участнику применять к своим торговым соглашениям и политике и программам оказания помощи в целях развития основанный на правах ребенка подход, обеспечивающий учет прав детей и их участие в разработке, осуществлении и оценке программ.</w:t>
      </w:r>
    </w:p>
    <w:p w14:paraId="4DD97E5A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Права детей и предпринимательская деятельность</w:t>
      </w:r>
    </w:p>
    <w:p w14:paraId="2BD115F1" w14:textId="77777777" w:rsidR="00A409AA" w:rsidRPr="001E51EA" w:rsidRDefault="00A409AA" w:rsidP="00A409AA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Ссылаясь на свое замечание общего порядка № 16 (2013) об обязательствах государств, касающихся воздействия предпринимательской деятельности на права детей, и на одобренные Советом по правам человека в 2011 году Руководящие принципы предпринимательской деятельности в аспекте прав человека, Комитет рекомендует государству-участнику разработать и применять правила, позволяющие обеспечить соблюдение предпринимательским сектором международных и национальных правозащитных, трудовых, природоохранных и иных норм, прежде всего в отношении прав детей.</w:t>
      </w:r>
      <w:r>
        <w:t xml:space="preserve"> </w:t>
      </w:r>
    </w:p>
    <w:p w14:paraId="0F4390D3" w14:textId="77777777" w:rsidR="00A409AA" w:rsidRPr="001E51EA" w:rsidRDefault="00931C43" w:rsidP="00A409AA">
      <w:pPr>
        <w:pStyle w:val="H1G"/>
      </w:pPr>
      <w:r>
        <w:tab/>
      </w:r>
      <w:r w:rsidR="00A409AA">
        <w:t>B.</w:t>
      </w:r>
      <w:r w:rsidR="00A409AA">
        <w:tab/>
      </w:r>
      <w:r w:rsidR="00A409AA">
        <w:rPr>
          <w:bCs/>
        </w:rPr>
        <w:t>Определение понятия «ребенок» (статья 1)</w:t>
      </w:r>
      <w:r w:rsidR="00A409AA">
        <w:t xml:space="preserve"> </w:t>
      </w:r>
    </w:p>
    <w:p w14:paraId="2E17B310" w14:textId="77777777" w:rsidR="00A409AA" w:rsidRPr="001E51EA" w:rsidRDefault="00A409AA" w:rsidP="00A409AA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приветствует представленную делегацией информацию о том, что государство-участник планирует внести поправки в свое законодательство с целью отмены всех исключений из требования о достижении 18-летнего возраста для вступления в брак и рекомендует государству-участнику ускорить процесс обеспечения того, чтобы браки могли заключаться только лицами, достигшими 18-летнего возраста.</w:t>
      </w:r>
      <w:r>
        <w:t xml:space="preserve"> </w:t>
      </w:r>
    </w:p>
    <w:p w14:paraId="5E3D406E" w14:textId="77777777" w:rsidR="00A409AA" w:rsidRPr="001E51EA" w:rsidRDefault="00931C43" w:rsidP="00A409AA">
      <w:pPr>
        <w:pStyle w:val="H1G"/>
      </w:pPr>
      <w:r>
        <w:tab/>
      </w:r>
      <w:r w:rsidR="00A409AA">
        <w:t>C.</w:t>
      </w:r>
      <w:r w:rsidR="00A409AA">
        <w:tab/>
      </w:r>
      <w:r w:rsidR="00A409AA">
        <w:rPr>
          <w:bCs/>
        </w:rPr>
        <w:t>Общие принципы (статьи 2, 3, 6 и 12)</w:t>
      </w:r>
    </w:p>
    <w:p w14:paraId="6EDDB112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49DEFC12" w14:textId="77777777" w:rsidR="00A409AA" w:rsidRPr="001E51EA" w:rsidRDefault="00A409AA" w:rsidP="00A409AA">
      <w:pPr>
        <w:pStyle w:val="SingleTxtG"/>
      </w:pPr>
      <w:r>
        <w:t>16.</w:t>
      </w:r>
      <w:r>
        <w:tab/>
        <w:t xml:space="preserve">Комитет приветствует принятые государством-участником меры по борьбе с ненавистническими высказываниями и проявлениями неонацизма, расизма, ксенофобии и связанной с ними нетерпимости, такие как создание в прокуратурах специальных подразделений для расследования случаев разжигания ненависти и включение вопросов расизма, ксенофобии и связанной с ними нетерпимости в учебные программы австрийских школ. Вместе с тем Комитет по-прежнему обеспокоен сообщениями о сохраняющейся прямой и косвенной дискриминации в отношении детей по признакам расы, инвалидности, религии, национального происхождения и социально-экономического положения. </w:t>
      </w:r>
    </w:p>
    <w:p w14:paraId="0A791430" w14:textId="77777777" w:rsidR="00A409AA" w:rsidRPr="001E51EA" w:rsidRDefault="00A409AA" w:rsidP="00A409AA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Ссылаясь на ранее вынесенную рекомендацию (CRC/C/AUT/CO/3-4, пункт</w:t>
      </w:r>
      <w:r w:rsidR="00931C43">
        <w:rPr>
          <w:b/>
          <w:bCs/>
          <w:lang w:val="en-US"/>
        </w:rPr>
        <w:t> </w:t>
      </w:r>
      <w:r>
        <w:rPr>
          <w:b/>
          <w:bCs/>
        </w:rPr>
        <w:t>25), Комитет рекомендует государству-участнику продолжить усилия по повышению уровня осведомленности общественности, в частности тех, кто работает с детьми и в их интересах, гражданских служащих и сотрудников правоохранительных органов, о важности культурного разнообразия и межэтнического взаимопонимания в целях борьбы со стереотипами, предрассудками и дискриминацией, в частности в отношении детей из числа просителей убежища, беженцев и мигрантов, детей-инвалидов, детей, принадлежащих к этническим, религиозным или расовым меньшинствам, включая детей рома и мусульманских детей, а также детей, живущих в нищете.</w:t>
      </w:r>
    </w:p>
    <w:p w14:paraId="62081A27" w14:textId="77777777" w:rsidR="00A409AA" w:rsidRPr="001E51EA" w:rsidRDefault="00A409AA" w:rsidP="00A409AA">
      <w:pPr>
        <w:pStyle w:val="H23G"/>
      </w:pPr>
      <w:r>
        <w:lastRenderedPageBreak/>
        <w:tab/>
      </w:r>
      <w:r>
        <w:tab/>
      </w:r>
      <w:r>
        <w:rPr>
          <w:bCs/>
        </w:rPr>
        <w:t>Наилучшее обеспечение интересов ребенка</w:t>
      </w:r>
    </w:p>
    <w:p w14:paraId="6BE02428" w14:textId="77777777" w:rsidR="00A409AA" w:rsidRPr="001E51EA" w:rsidRDefault="00A409AA" w:rsidP="00A409AA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Отмечая внесение в 2013 году поправки в статью 138 австрийского Гражданского кодекса, в частности включение контрольного перечня из 12</w:t>
      </w:r>
      <w:r w:rsidR="00842C2B">
        <w:rPr>
          <w:b/>
          <w:bCs/>
        </w:rPr>
        <w:t> </w:t>
      </w:r>
      <w:r>
        <w:rPr>
          <w:b/>
          <w:bCs/>
        </w:rPr>
        <w:t>пунктов с предусмотренными законом критериями обеспечения наилучших интересов ребенка, а также создание надзорного совета (Совета по правам детей), Комитет в то же время настоятельно призывает государство-участник последовательно проводить оценку влияния предлагаемых законов в рамках всех законодательных процессов и установить обязательные процедуры ex ante и ex post оценки влияния законов и стратегий, касающихся детей, на осуществление права ребенка на уделение первоочередного внимания наилучшему обеспечению его интересов.</w:t>
      </w:r>
    </w:p>
    <w:p w14:paraId="10D7F225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Уважение взглядов ребенка</w:t>
      </w:r>
    </w:p>
    <w:p w14:paraId="4771203A" w14:textId="77777777" w:rsidR="00A409AA" w:rsidRPr="001E51EA" w:rsidRDefault="00A409AA" w:rsidP="00A409AA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Ссылаясь на свое замечание общего порядка № 12 (2009) о праве ребенка быть заслушанным, Комитет рекомендует государству-участнику:</w:t>
      </w:r>
      <w:r>
        <w:t xml:space="preserve"> </w:t>
      </w:r>
    </w:p>
    <w:p w14:paraId="59EE200B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a)</w:t>
      </w:r>
      <w:r w:rsidR="00A409AA">
        <w:tab/>
      </w:r>
      <w:r w:rsidR="00A409AA">
        <w:rPr>
          <w:b/>
          <w:bCs/>
        </w:rPr>
        <w:t>принять дополнительные меры для обеспечения эффективного осуществления законодательства, в котором признается право ребенка быть заслушанным в ходе соответствующих судебных и административных разбирательств;</w:t>
      </w:r>
      <w:r w:rsidR="00A409AA">
        <w:t xml:space="preserve"> </w:t>
      </w:r>
    </w:p>
    <w:p w14:paraId="1F503112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b)</w:t>
      </w:r>
      <w:r w:rsidR="00A409AA">
        <w:tab/>
      </w:r>
      <w:r w:rsidR="00A409AA">
        <w:rPr>
          <w:b/>
          <w:bCs/>
        </w:rPr>
        <w:t>рассмотреть вопрос об обязательном назначении законного опекуна в рамках всех судебных и административных разбирательств по родительским спорам, когда родители не пришли к согласию и когда ребенок стал свидетелем применения насилия к одному из лиц, осуществляющих за ним уход;</w:t>
      </w:r>
      <w:r w:rsidR="00A409AA">
        <w:t xml:space="preserve"> </w:t>
      </w:r>
    </w:p>
    <w:p w14:paraId="627748AB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c)</w:t>
      </w:r>
      <w:r w:rsidR="00A409AA">
        <w:tab/>
      </w:r>
      <w:r w:rsidR="00A409AA">
        <w:rPr>
          <w:b/>
          <w:bCs/>
        </w:rPr>
        <w:t>рассмотреть вопрос о распространении действия системы обеспечения защиты со стороны доверенного лица на всех детей, находящихся в государственных учреждениях, включая учреждения для детей-инвалидов, детей в домах-интернатах или школах-интернатах, детей в психиатрических больницах, детей в учреждениях для просителей убежищ</w:t>
      </w:r>
      <w:r w:rsidR="006340F2">
        <w:rPr>
          <w:b/>
          <w:bCs/>
        </w:rPr>
        <w:t>а</w:t>
      </w:r>
      <w:r w:rsidR="00A409AA">
        <w:rPr>
          <w:b/>
          <w:bCs/>
        </w:rPr>
        <w:t>, а также детей, лишенных свободы в связи с уголовными делами;</w:t>
      </w:r>
      <w:r w:rsidR="00A409AA">
        <w:t xml:space="preserve"> </w:t>
      </w:r>
    </w:p>
    <w:p w14:paraId="152BACC1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d)</w:t>
      </w:r>
      <w:r w:rsidR="00A409AA">
        <w:tab/>
      </w:r>
      <w:r w:rsidR="00A409AA">
        <w:rPr>
          <w:b/>
          <w:bCs/>
        </w:rPr>
        <w:t>содействовать конструктивному и полноценному участию всех детей в жизни семьи, общины и школы и привлекать детей к принятию решений по всем касающимся их вопросам, в частности путем укрепления австрийского Национального совета по делам молодежи.</w:t>
      </w:r>
    </w:p>
    <w:p w14:paraId="478F196A" w14:textId="77777777" w:rsidR="00A409AA" w:rsidRPr="001E51EA" w:rsidRDefault="00931C43" w:rsidP="00A409AA">
      <w:pPr>
        <w:pStyle w:val="H1G"/>
      </w:pPr>
      <w:r>
        <w:tab/>
      </w:r>
      <w:r w:rsidR="00A409AA">
        <w:t>D.</w:t>
      </w:r>
      <w:r w:rsidR="00A409AA">
        <w:tab/>
      </w:r>
      <w:r w:rsidR="00A409AA">
        <w:rPr>
          <w:bCs/>
        </w:rPr>
        <w:t>Гражданские права и свободы (статьи 7, 8 и 13–17)</w:t>
      </w:r>
    </w:p>
    <w:p w14:paraId="57CEE547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Право на идентичность</w:t>
      </w:r>
      <w:r>
        <w:t xml:space="preserve"> </w:t>
      </w:r>
    </w:p>
    <w:p w14:paraId="373EB29B" w14:textId="77777777" w:rsidR="00A409AA" w:rsidRPr="001E51EA" w:rsidRDefault="00A409AA" w:rsidP="00A409AA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 xml:space="preserve">Приветствуя информацию о том, что возможность совершения анонимных родов позволила значительно сократить число детей, оставленных в </w:t>
      </w:r>
      <w:r w:rsidR="00DE1746">
        <w:rPr>
          <w:b/>
          <w:bCs/>
        </w:rPr>
        <w:t>«</w:t>
      </w:r>
      <w:r>
        <w:rPr>
          <w:b/>
          <w:bCs/>
        </w:rPr>
        <w:t>приемниках для новорожденных</w:t>
      </w:r>
      <w:r w:rsidR="00DE1746">
        <w:rPr>
          <w:b/>
          <w:bCs/>
        </w:rPr>
        <w:t>»</w:t>
      </w:r>
      <w:r>
        <w:rPr>
          <w:b/>
          <w:bCs/>
        </w:rPr>
        <w:t>, а также количество случаев детоубийства, Комитет настоятельно призывает государство-участник полностью ликвидировать практику анонимных отказов от младенцев.</w:t>
      </w:r>
    </w:p>
    <w:p w14:paraId="7B56A7AA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Гражданство</w:t>
      </w:r>
    </w:p>
    <w:p w14:paraId="466B3046" w14:textId="77777777" w:rsidR="00A409AA" w:rsidRPr="001E51EA" w:rsidRDefault="00A409AA" w:rsidP="00A409AA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1927CFAA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a)</w:t>
      </w:r>
      <w:r w:rsidR="00A409AA">
        <w:tab/>
      </w:r>
      <w:r w:rsidR="00A409AA">
        <w:rPr>
          <w:b/>
          <w:bCs/>
        </w:rPr>
        <w:t>расширить сферу применения Закона об австрийском гражданстве, с тем чтобы дети, родившиеся на территории Австрии, которые в противном случае были бы апатридами, автоматически при рождении получали бы австрийское гражданство, или, как минимум, привести статью 14 (подпункт</w:t>
      </w:r>
      <w:r w:rsidR="00864D2F">
        <w:rPr>
          <w:b/>
          <w:bCs/>
        </w:rPr>
        <w:t> </w:t>
      </w:r>
      <w:r w:rsidR="00A409AA">
        <w:rPr>
          <w:b/>
          <w:bCs/>
        </w:rPr>
        <w:t>5 пункта 1) Закона в соответствие с Конвенцией 1961 года о сокращении безгражданства путем увеличения с двух до трех лет периода, в течение которого апатриды могут подать ходатайство о получении гражданства;</w:t>
      </w:r>
      <w:r w:rsidR="00A409AA">
        <w:t xml:space="preserve"> </w:t>
      </w:r>
    </w:p>
    <w:p w14:paraId="27566541" w14:textId="77777777" w:rsidR="00A409AA" w:rsidRPr="001E51EA" w:rsidRDefault="00931C43" w:rsidP="00A409AA">
      <w:pPr>
        <w:pStyle w:val="SingleTxtG"/>
        <w:rPr>
          <w:b/>
          <w:bCs/>
        </w:rPr>
      </w:pPr>
      <w:r>
        <w:lastRenderedPageBreak/>
        <w:tab/>
      </w:r>
      <w:r w:rsidR="00A409AA">
        <w:tab/>
      </w:r>
      <w:r w:rsidR="00A409AA" w:rsidRPr="00931C43">
        <w:rPr>
          <w:b/>
        </w:rPr>
        <w:t>b)</w:t>
      </w:r>
      <w:r w:rsidR="00A409AA">
        <w:tab/>
      </w:r>
      <w:r w:rsidR="00A409AA">
        <w:rPr>
          <w:b/>
          <w:bCs/>
        </w:rPr>
        <w:t>с учетом информации, представленной делегацией в отношении упрощенной процедуры приобретения австрийского гражданства детьми, рожденными вне брака от австрийских отцов, внести поправки в статью 7 Закона об австрийском гражданстве для обеспечения того, чтобы такие дети могли получить австрийское гражданство ретроактивно после установления отцовства.</w:t>
      </w:r>
      <w:bookmarkStart w:id="2" w:name="_Hlk33533502"/>
      <w:bookmarkEnd w:id="2"/>
    </w:p>
    <w:p w14:paraId="387746CE" w14:textId="77777777" w:rsidR="00A409AA" w:rsidRPr="001E51EA" w:rsidRDefault="00931C43" w:rsidP="00A409AA">
      <w:pPr>
        <w:pStyle w:val="H1G"/>
      </w:pPr>
      <w:r>
        <w:tab/>
      </w:r>
      <w:r w:rsidR="00A409AA">
        <w:t>E.</w:t>
      </w:r>
      <w:r w:rsidR="00A409AA">
        <w:tab/>
      </w:r>
      <w:r w:rsidR="00A409AA">
        <w:rPr>
          <w:bCs/>
        </w:rPr>
        <w:t>Насилие в отношении детей (статьи 19, 24 (пункт 3), 28 (пункт 2), 34, 37 (пункт a)) и 39)</w:t>
      </w:r>
    </w:p>
    <w:p w14:paraId="52E41EA8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Телесные наказания и психологическое насилие</w:t>
      </w:r>
    </w:p>
    <w:p w14:paraId="1478FA5C" w14:textId="77777777" w:rsidR="00A409AA" w:rsidRPr="001E51EA" w:rsidRDefault="00A409AA" w:rsidP="00A409AA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С удовлетворением отмечая, что отмена телесных наказаний привела к изменению отношения общества к насилию в отношении детей, Комитет выражает сохраняющуюся обеспокоенность по поводу того, что значительная часть населения до сих пор не осведомлена о законодательном запрете на некоторые формы насилия.</w:t>
      </w:r>
      <w:r>
        <w:t xml:space="preserve"> </w:t>
      </w:r>
      <w:r>
        <w:rPr>
          <w:b/>
          <w:bCs/>
        </w:rPr>
        <w:t>Кроме того, он обеспокоен сообщениями об увеличении количества случаев применения психологического насилия.</w:t>
      </w:r>
      <w:r>
        <w:t xml:space="preserve"> </w:t>
      </w:r>
      <w:r>
        <w:rPr>
          <w:b/>
          <w:bCs/>
        </w:rPr>
        <w:t>Ссылаясь на свое замечание общего порядка № 8 (2006) о праве ребенка на защиту от телесных наказаний и других жестоких или унижающих достоинство видов наказания, Комитет рекомендует государству-участнику активизировать усилия по повышению уровня осведомленности детей, родителей, опекунов, преподавателей и персонала, работающего с детьми и в их интересах, о</w:t>
      </w:r>
      <w:r w:rsidR="00AA0C13">
        <w:rPr>
          <w:b/>
          <w:bCs/>
        </w:rPr>
        <w:t> </w:t>
      </w:r>
      <w:r>
        <w:rPr>
          <w:b/>
          <w:bCs/>
        </w:rPr>
        <w:t>существовании и содержании законодательного запрета на насилие, включая психологическое насилие, и предусмотренных в этой связи санкциях.</w:t>
      </w:r>
    </w:p>
    <w:p w14:paraId="00296169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Неправомерное обращение и лишение заботы</w:t>
      </w:r>
    </w:p>
    <w:p w14:paraId="4E8A9F48" w14:textId="77777777" w:rsidR="00A409AA" w:rsidRPr="001E51EA" w:rsidRDefault="00A409AA" w:rsidP="00A409AA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 xml:space="preserve">Ссылаясь на свое замечание общего порядка № 13 (2011) о праве ребенка на свободу от всех форм насилия и на задачу 16.2 </w:t>
      </w:r>
      <w:r w:rsidR="00B2250C">
        <w:rPr>
          <w:b/>
          <w:bCs/>
        </w:rPr>
        <w:t>Ц</w:t>
      </w:r>
      <w:r>
        <w:rPr>
          <w:b/>
          <w:bCs/>
        </w:rPr>
        <w:t>елей в области устойчивого развития, Комитет рекомендует государству-участнику:</w:t>
      </w:r>
    </w:p>
    <w:p w14:paraId="370D7875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a)</w:t>
      </w:r>
      <w:r w:rsidR="00A409AA">
        <w:tab/>
      </w:r>
      <w:r w:rsidR="00A409AA">
        <w:rPr>
          <w:b/>
          <w:bCs/>
        </w:rPr>
        <w:t>продолжать повышать эффективность системы сбора данных о случаях неправомерного обращения и лишения заботы, в том числе путем проведения всеобъемлющего исследования масштабов и причин неправомерного обращения и лишения заботы, а также характера мероприятий, связанных с оказанием социальной помощи детям;</w:t>
      </w:r>
      <w:r w:rsidR="00A409AA">
        <w:t xml:space="preserve"> </w:t>
      </w:r>
      <w:bookmarkStart w:id="3" w:name="_Hlk33533664"/>
      <w:bookmarkEnd w:id="3"/>
    </w:p>
    <w:p w14:paraId="1AD2E691" w14:textId="77777777" w:rsidR="00A409AA" w:rsidRPr="001E51EA" w:rsidRDefault="00A409AA" w:rsidP="00A409AA">
      <w:pPr>
        <w:pStyle w:val="SingleTxtG"/>
        <w:rPr>
          <w:b/>
          <w:bCs/>
        </w:rPr>
      </w:pPr>
      <w:r>
        <w:tab/>
      </w:r>
      <w:r w:rsidR="00931C43">
        <w:tab/>
      </w:r>
      <w:r w:rsidRPr="00931C43">
        <w:rPr>
          <w:b/>
        </w:rPr>
        <w:t>b)</w:t>
      </w:r>
      <w:r>
        <w:tab/>
      </w:r>
      <w:r>
        <w:rPr>
          <w:b/>
          <w:bCs/>
        </w:rPr>
        <w:t>продолжить активизацию информационно-просветительских и образовательных программ, включая проведение соответствующих кампаний, с</w:t>
      </w:r>
      <w:r w:rsidR="0002742D">
        <w:rPr>
          <w:b/>
          <w:bCs/>
        </w:rPr>
        <w:t> </w:t>
      </w:r>
      <w:r>
        <w:rPr>
          <w:b/>
          <w:bCs/>
        </w:rPr>
        <w:t>привлечением детей с целью разработки всеобъемлющей стратегии предупреждения и пресечения случаев неправомерного обращения с детьми и лишения их заботы.</w:t>
      </w:r>
    </w:p>
    <w:p w14:paraId="27E3F5C9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Сексуальная эксплуатация и сексуальные надругательства</w:t>
      </w:r>
      <w:r>
        <w:t xml:space="preserve"> </w:t>
      </w:r>
    </w:p>
    <w:p w14:paraId="6F58E0D4" w14:textId="77777777" w:rsidR="00A409AA" w:rsidRPr="001E51EA" w:rsidRDefault="00A409AA" w:rsidP="00A409AA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3FB629CA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a)</w:t>
      </w:r>
      <w:r w:rsidR="00A409AA">
        <w:tab/>
      </w:r>
      <w:r w:rsidR="00A409AA">
        <w:rPr>
          <w:b/>
          <w:bCs/>
        </w:rPr>
        <w:t>обеспечить принятие многосторонних и учитывающих интересы детей мер реагирование на сексуальное насилие в отношении детей с тем, чтобы избежать повторного травмирования пострадавших детей в результате проведения многочисленных бесед в ходе расследования и судебного преследования, а также обеспечить проведение надлежащих терапевтических манипуляций;</w:t>
      </w:r>
    </w:p>
    <w:p w14:paraId="4A6DFF20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b)</w:t>
      </w:r>
      <w:r w:rsidR="00A409AA">
        <w:tab/>
      </w:r>
      <w:r w:rsidR="00A409AA">
        <w:rPr>
          <w:b/>
          <w:bCs/>
        </w:rPr>
        <w:t>обеспечить сбор дезагрегированных данных о случаях сексуального надругательства над детьми, в том числе в семье и с участием священнослужителей и представителей спортивных ассоциаций, а также представить в своем следующем периодическом докладе подробную информацию о сообщениях о таких надругательствах и проведенных в этой связи расследованиях и судебных преследованиях, а также о вынесенных приговорах.</w:t>
      </w:r>
    </w:p>
    <w:p w14:paraId="78E1592B" w14:textId="77777777" w:rsidR="00A409AA" w:rsidRPr="001E51EA" w:rsidRDefault="00A409AA" w:rsidP="00A409AA">
      <w:pPr>
        <w:pStyle w:val="H23G"/>
      </w:pPr>
      <w:r>
        <w:lastRenderedPageBreak/>
        <w:tab/>
      </w:r>
      <w:r>
        <w:tab/>
      </w:r>
      <w:r>
        <w:rPr>
          <w:bCs/>
        </w:rPr>
        <w:t>Травля в киберпространстве и склонение к развратным действиям</w:t>
      </w:r>
      <w:r>
        <w:t xml:space="preserve"> </w:t>
      </w:r>
    </w:p>
    <w:p w14:paraId="7826D20F" w14:textId="77777777" w:rsidR="00A409AA" w:rsidRPr="001E51EA" w:rsidRDefault="00A409AA" w:rsidP="00A409AA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Ссылаясь на ранее вынесенную рекомендацию (CRC/C/AUT/CO/3-4, пункт</w:t>
      </w:r>
      <w:r w:rsidR="00931C43">
        <w:rPr>
          <w:b/>
          <w:bCs/>
          <w:lang w:val="en-US"/>
        </w:rPr>
        <w:t> </w:t>
      </w:r>
      <w:r>
        <w:rPr>
          <w:b/>
          <w:bCs/>
        </w:rPr>
        <w:t>32), Комитет настоятельно призывает государство-участник:</w:t>
      </w:r>
    </w:p>
    <w:p w14:paraId="04558B01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a)</w:t>
      </w:r>
      <w:r w:rsidR="00A409AA">
        <w:tab/>
      </w:r>
      <w:r w:rsidR="00A409AA">
        <w:rPr>
          <w:b/>
          <w:bCs/>
        </w:rPr>
        <w:t>создать механизмы, процедуры и руководящие указания по борьбе с травлей в киберпространстве и склонением к развратным действиям, чтобы обеспечить оперативное и эффективное расследование таких случаев и судебное преследование виновных;</w:t>
      </w:r>
      <w:r w:rsidR="00A409AA">
        <w:t xml:space="preserve">  </w:t>
      </w:r>
    </w:p>
    <w:p w14:paraId="60C25B16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b)</w:t>
      </w:r>
      <w:r w:rsidR="00A409AA">
        <w:tab/>
      </w:r>
      <w:r w:rsidR="00A409AA">
        <w:rPr>
          <w:b/>
          <w:bCs/>
        </w:rPr>
        <w:t>систематически обучать сотрудников правоохранительных органов, социальных работников и прокуроров тому, как проводить расследования по жалобам на травлю в киберпространстве и склонение к развратным действиям и преследовать виновных с учетом интересов детей и гендерных аспектов при уважении частной жизни потерпевших;</w:t>
      </w:r>
      <w:r w:rsidR="00A409AA">
        <w:t xml:space="preserve"> </w:t>
      </w:r>
    </w:p>
    <w:p w14:paraId="1B2D3DE6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c)</w:t>
      </w:r>
      <w:r w:rsidR="00A409AA">
        <w:tab/>
      </w:r>
      <w:r w:rsidR="00A409AA">
        <w:rPr>
          <w:b/>
          <w:bCs/>
        </w:rPr>
        <w:t>обеспечить, чтобы Уголовный кодекс охватывал все формы травли детей в киберпространстве, включая единичные преступления;</w:t>
      </w:r>
      <w:r w:rsidR="00A409AA">
        <w:t xml:space="preserve"> </w:t>
      </w:r>
    </w:p>
    <w:p w14:paraId="31AC7167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d)</w:t>
      </w:r>
      <w:r w:rsidR="00A409AA">
        <w:tab/>
      </w:r>
      <w:r w:rsidR="00A409AA">
        <w:rPr>
          <w:b/>
          <w:bCs/>
        </w:rPr>
        <w:t>тщательно контролировать соблюдение положений соглашений с социальными сетями для обеспечения оперативного удаления ненавистнических материалов.</w:t>
      </w:r>
    </w:p>
    <w:p w14:paraId="3F8755E2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Телефонные службы помощи</w:t>
      </w:r>
    </w:p>
    <w:p w14:paraId="45F6944C" w14:textId="77777777" w:rsidR="00A409AA" w:rsidRPr="001E51EA" w:rsidRDefault="00A409AA" w:rsidP="00A409AA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Ссылаясь на ранее вынесенную рекомендацию (CRC/C/15/Add.251, пункт</w:t>
      </w:r>
      <w:r w:rsidR="00931C43">
        <w:rPr>
          <w:b/>
          <w:bCs/>
          <w:lang w:val="en-US"/>
        </w:rPr>
        <w:t> </w:t>
      </w:r>
      <w:r>
        <w:rPr>
          <w:b/>
          <w:bCs/>
        </w:rPr>
        <w:t>28), Комитет настоятельно призывает государство-участник обеспечить непрерывное финансирование телефонной службы экстренной помощи</w:t>
      </w:r>
      <w:r w:rsidR="00931C43">
        <w:rPr>
          <w:b/>
          <w:bCs/>
        </w:rPr>
        <w:t xml:space="preserve"> «</w:t>
      </w:r>
      <w:r>
        <w:rPr>
          <w:b/>
          <w:bCs/>
        </w:rPr>
        <w:t>147 Rat auf Draht</w:t>
      </w:r>
      <w:r w:rsidR="00931C43">
        <w:rPr>
          <w:b/>
          <w:bCs/>
        </w:rPr>
        <w:t>»</w:t>
      </w:r>
      <w:r>
        <w:rPr>
          <w:b/>
          <w:bCs/>
        </w:rPr>
        <w:t>.</w:t>
      </w:r>
      <w:r>
        <w:t xml:space="preserve"> </w:t>
      </w:r>
    </w:p>
    <w:p w14:paraId="1FA3EF3E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Пагубные виды практики</w:t>
      </w:r>
    </w:p>
    <w:p w14:paraId="6F1DE9DF" w14:textId="77777777" w:rsidR="00A409AA" w:rsidRPr="001E51EA" w:rsidRDefault="00A409AA" w:rsidP="00A409AA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Ссылаясь на совместную общую рекомендацию № 31 Комитета по ликвидации дискриминации в отношении женщин/замечание общего порядка</w:t>
      </w:r>
      <w:r w:rsidR="00931C43">
        <w:rPr>
          <w:b/>
          <w:bCs/>
        </w:rPr>
        <w:t> </w:t>
      </w:r>
      <w:r>
        <w:rPr>
          <w:b/>
          <w:bCs/>
        </w:rPr>
        <w:t>№</w:t>
      </w:r>
      <w:r w:rsidR="00931C43">
        <w:rPr>
          <w:b/>
          <w:bCs/>
        </w:rPr>
        <w:t> </w:t>
      </w:r>
      <w:r>
        <w:rPr>
          <w:b/>
          <w:bCs/>
        </w:rPr>
        <w:t>18 (2019) Комитета по правам ребенка по вредной практике и на заключительные замечания Комитета против пыток (CAT/C/AUT/CO/6, пункт</w:t>
      </w:r>
      <w:r w:rsidR="00931C43">
        <w:rPr>
          <w:b/>
          <w:bCs/>
        </w:rPr>
        <w:t> </w:t>
      </w:r>
      <w:r>
        <w:rPr>
          <w:b/>
          <w:bCs/>
        </w:rPr>
        <w:t>45), Комитет рекомендует государству-участнику:</w:t>
      </w:r>
      <w:r>
        <w:t xml:space="preserve"> </w:t>
      </w:r>
    </w:p>
    <w:p w14:paraId="69A213BC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a)</w:t>
      </w:r>
      <w:r w:rsidR="00A409AA">
        <w:tab/>
      </w:r>
      <w:r w:rsidR="00A409AA">
        <w:rPr>
          <w:b/>
          <w:bCs/>
        </w:rPr>
        <w:t>запретить проведение необоснованных медицинских, в частности хирургических, манипуляций в отношении детей-интерсексов, если эти манипуляции могут быть без каких-либо негативных последствий отложены до тех пор, пока такие дети не смогут дать свое осознанное согласие;</w:t>
      </w:r>
      <w:r w:rsidR="00A409AA">
        <w:t xml:space="preserve"> </w:t>
      </w:r>
    </w:p>
    <w:p w14:paraId="09DBF9BA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b)</w:t>
      </w:r>
      <w:r w:rsidR="00A409AA">
        <w:tab/>
      </w:r>
      <w:r w:rsidR="00A409AA">
        <w:rPr>
          <w:b/>
          <w:bCs/>
        </w:rPr>
        <w:t>обеспечить сбор данных для определения масштабов проведения необоснованных медицинских, в частности хирургических, манипуляций в отношении детей-интерсексов, которые представляют собой пагубную практику, с целью упрощения процесса выявления детей, входящих в группу риска, и</w:t>
      </w:r>
      <w:r w:rsidR="00577DC6">
        <w:rPr>
          <w:b/>
          <w:bCs/>
        </w:rPr>
        <w:t> </w:t>
      </w:r>
      <w:r w:rsidR="00A409AA">
        <w:rPr>
          <w:b/>
          <w:bCs/>
        </w:rPr>
        <w:t>предупреждения неправомерного обращения с ними;</w:t>
      </w:r>
    </w:p>
    <w:p w14:paraId="570813A9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c)</w:t>
      </w:r>
      <w:r w:rsidR="00A409AA">
        <w:tab/>
      </w:r>
      <w:r w:rsidR="00A409AA">
        <w:rPr>
          <w:b/>
          <w:bCs/>
        </w:rPr>
        <w:t>продолжать принимать профилактические и защитные меры для борьбы с проведением калечащих операций на женских половых органах, включая предоставление социальных, психологических, медицинских и реабилитационных услуг, организацию подготовки соответствующих специалистов и проведение программ по повышению уровня осведомленности.</w:t>
      </w:r>
    </w:p>
    <w:p w14:paraId="6BE711FC" w14:textId="77777777" w:rsidR="00A409AA" w:rsidRPr="001E51EA" w:rsidRDefault="00931C43" w:rsidP="00A409AA">
      <w:pPr>
        <w:pStyle w:val="H1G"/>
      </w:pPr>
      <w:r>
        <w:tab/>
      </w:r>
      <w:r w:rsidR="00A409AA">
        <w:t>F.</w:t>
      </w:r>
      <w:r w:rsidR="00A409AA">
        <w:tab/>
      </w:r>
      <w:r w:rsidR="00A409AA">
        <w:rPr>
          <w:bCs/>
        </w:rPr>
        <w:t>Семейное окружение и альтернативный уход (статьи 5, 9–11, 18</w:t>
      </w:r>
      <w:r>
        <w:rPr>
          <w:bCs/>
        </w:rPr>
        <w:t> </w:t>
      </w:r>
      <w:r w:rsidR="00A409AA">
        <w:rPr>
          <w:bCs/>
        </w:rPr>
        <w:t>(пункты 1 и 2), 20, 21, 25 и 27 (пункт 4))</w:t>
      </w:r>
    </w:p>
    <w:p w14:paraId="1AA9D75A" w14:textId="77777777" w:rsidR="00A409AA" w:rsidRPr="001E51EA" w:rsidRDefault="00A409AA" w:rsidP="00A409AA">
      <w:pPr>
        <w:pStyle w:val="SingleTxtG"/>
      </w:pPr>
      <w:r>
        <w:t>28.</w:t>
      </w:r>
      <w:r>
        <w:tab/>
        <w:t>Что касается детей, лишенных семейного окружения, хотя Комитет приветствует улучшения в области сбора данных о детях, находящихся в системе альтернативного ухода, а также принятые меры по повышению согласованности стандартов в области социальной защиты детей между федеральными землями, он по</w:t>
      </w:r>
      <w:r w:rsidR="00DB2AED">
        <w:noBreakHyphen/>
      </w:r>
      <w:r>
        <w:t>прежнему серьезно обеспокоен тем, что:</w:t>
      </w:r>
    </w:p>
    <w:p w14:paraId="00B75344" w14:textId="77777777" w:rsidR="00A409AA" w:rsidRPr="001E51EA" w:rsidRDefault="00931C43" w:rsidP="00A409AA">
      <w:pPr>
        <w:pStyle w:val="SingleTxtG"/>
      </w:pPr>
      <w:r>
        <w:lastRenderedPageBreak/>
        <w:tab/>
      </w:r>
      <w:r w:rsidR="00A409AA">
        <w:tab/>
        <w:t>a)</w:t>
      </w:r>
      <w:r w:rsidR="00A409AA">
        <w:tab/>
        <w:t>существенно возросло число детей, живущих в специальных учреждениях, и в них по-прежнему содержится значительное число детей в возрасте до 3 лет и детей-инвалидов;</w:t>
      </w:r>
    </w:p>
    <w:p w14:paraId="14021AB1" w14:textId="77777777" w:rsidR="00A409AA" w:rsidRPr="001E51EA" w:rsidRDefault="00931C43" w:rsidP="00A409AA">
      <w:pPr>
        <w:pStyle w:val="SingleTxtG"/>
      </w:pPr>
      <w:r>
        <w:tab/>
      </w:r>
      <w:r w:rsidR="00A409AA">
        <w:tab/>
        <w:t>b)</w:t>
      </w:r>
      <w:r w:rsidR="00A409AA">
        <w:tab/>
        <w:t>по-прежнему отсутствуют данные по важным областям, связанным с альтернативным уходом, в частности в отношении детей-инвалидов;</w:t>
      </w:r>
    </w:p>
    <w:p w14:paraId="2FC6BA9D" w14:textId="77777777" w:rsidR="00A409AA" w:rsidRPr="001E51EA" w:rsidRDefault="00931C43" w:rsidP="00A409AA">
      <w:pPr>
        <w:pStyle w:val="SingleTxtG"/>
      </w:pPr>
      <w:r>
        <w:tab/>
      </w:r>
      <w:r w:rsidR="00A409AA">
        <w:tab/>
        <w:t>c)</w:t>
      </w:r>
      <w:r w:rsidR="00A409AA">
        <w:tab/>
        <w:t>государство-участник не установило никаких национальных стандартов в отношении качества условий жизни детей в системе альтернативного ухода, и</w:t>
      </w:r>
      <w:r w:rsidR="00DB2AED">
        <w:t> </w:t>
      </w:r>
      <w:r w:rsidR="00A409AA">
        <w:t>передача полномочий с федерального уровня на уровень земель может подорвать достигнутую согласованность стандартов;</w:t>
      </w:r>
    </w:p>
    <w:p w14:paraId="75F1F4DB" w14:textId="77777777" w:rsidR="00A409AA" w:rsidRPr="001E51EA" w:rsidRDefault="00931C43" w:rsidP="00A409AA">
      <w:pPr>
        <w:pStyle w:val="SingleTxtG"/>
      </w:pPr>
      <w:r>
        <w:tab/>
      </w:r>
      <w:r w:rsidR="00A409AA">
        <w:tab/>
        <w:t>d)</w:t>
      </w:r>
      <w:r w:rsidR="00A409AA">
        <w:tab/>
        <w:t>превентивным мерам не уделяется достаточного внимания и не во всех федеральных землях существуют консультационные центры, социальная работа в школах и возможности для раннего реагирования;</w:t>
      </w:r>
    </w:p>
    <w:p w14:paraId="5E4B799E" w14:textId="77777777" w:rsidR="00A409AA" w:rsidRPr="001E51EA" w:rsidRDefault="00931C43" w:rsidP="00A409AA">
      <w:pPr>
        <w:pStyle w:val="SingleTxtG"/>
      </w:pPr>
      <w:r>
        <w:tab/>
      </w:r>
      <w:r w:rsidR="00A409AA">
        <w:tab/>
        <w:t>e)</w:t>
      </w:r>
      <w:r w:rsidR="00A409AA">
        <w:tab/>
        <w:t>несопровождаемым детям-беженцам старше 14 лет не предоставляется такая же поддержка, как австрийским детям, а ежедневная плата за уход за ними ниже, чем за австрийскими детьми, что приводит к увеличению численности таких детей в группе, снижению качества ухода за ними и отсутствию контроля со стороны служб социального обеспечения детей и молодежи в таких учреждениях.</w:t>
      </w:r>
    </w:p>
    <w:p w14:paraId="108594F8" w14:textId="77777777" w:rsidR="00A409AA" w:rsidRPr="001E51EA" w:rsidRDefault="00A409AA" w:rsidP="00A409AA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Обращая внимание государства-участника на Руководящие указания по альтернативному уходу за детьми (резолюция 64/142 Генеральной Ассамблеи, приложение), Комитет рекомендует государству-участнику:</w:t>
      </w:r>
      <w:r>
        <w:t xml:space="preserve">  </w:t>
      </w:r>
    </w:p>
    <w:p w14:paraId="6FB09727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a)</w:t>
      </w:r>
      <w:r w:rsidR="00A409AA">
        <w:tab/>
      </w:r>
      <w:r w:rsidR="00A409AA">
        <w:rPr>
          <w:b/>
          <w:bCs/>
        </w:rPr>
        <w:t>на основе собранных данных изучить коренные причины помещения детей в специальные учреждения с целью постепенного прекращения этой практики и перенаправления средств семьям для поощрения и поддержки ухода в семейном окружении;</w:t>
      </w:r>
      <w:r w:rsidR="00A409AA">
        <w:t xml:space="preserve"> </w:t>
      </w:r>
    </w:p>
    <w:p w14:paraId="64A3A1AF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b)</w:t>
      </w:r>
      <w:r w:rsidR="00A409AA">
        <w:tab/>
      </w:r>
      <w:r w:rsidR="00A409AA">
        <w:rPr>
          <w:b/>
          <w:bCs/>
        </w:rPr>
        <w:t>установить национальные стандарты в отношении качества альтернативного ухода, в том числе за неавстрийскими детьми, и обеспечить их применение;</w:t>
      </w:r>
    </w:p>
    <w:p w14:paraId="747EB3C7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c)</w:t>
      </w:r>
      <w:r w:rsidR="00A409AA">
        <w:tab/>
      </w:r>
      <w:r w:rsidR="00A409AA">
        <w:rPr>
          <w:b/>
          <w:bCs/>
        </w:rPr>
        <w:t>согласовать между всеми федеральными землями критерии для изъятия детей из семьи и их помещения в систему альтернативного ухода, в том числе путем установления национальных критериев с целью обеспечения наивысшего уровня защиты;</w:t>
      </w:r>
      <w:r w:rsidR="00A409AA">
        <w:t xml:space="preserve"> </w:t>
      </w:r>
    </w:p>
    <w:p w14:paraId="3BC3C723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d)</w:t>
      </w:r>
      <w:r w:rsidR="00A409AA">
        <w:tab/>
      </w:r>
      <w:r w:rsidR="00A409AA">
        <w:rPr>
          <w:b/>
          <w:bCs/>
        </w:rPr>
        <w:t>выделять службам защиты детей надлежащие людские, технические и финансовые ресурсы, обеспечить надлежащую подготовку лиц, работающих с детьми и в их интересах в системе альтернативного ухода, и, в частности, усилить профилактические меры для недопущения неравенства между детьми разного происхождения с точки зрения качества получаемых превентивных услуг и доступа к ним.</w:t>
      </w:r>
      <w:r w:rsidR="00A409AA">
        <w:t xml:space="preserve"> </w:t>
      </w:r>
    </w:p>
    <w:p w14:paraId="60BB6EA4" w14:textId="77777777" w:rsidR="00A409AA" w:rsidRPr="001E51EA" w:rsidRDefault="00931C43" w:rsidP="00A409AA">
      <w:pPr>
        <w:pStyle w:val="H1G"/>
      </w:pPr>
      <w:r>
        <w:tab/>
      </w:r>
      <w:r w:rsidR="00A409AA">
        <w:t>G.</w:t>
      </w:r>
      <w:r w:rsidR="00A409AA">
        <w:tab/>
      </w:r>
      <w:r w:rsidR="00A409AA">
        <w:rPr>
          <w:bCs/>
        </w:rPr>
        <w:t>Дети-инвалиды (статья 23)</w:t>
      </w:r>
      <w:r w:rsidR="00A409AA">
        <w:t xml:space="preserve"> </w:t>
      </w:r>
    </w:p>
    <w:p w14:paraId="11907D1F" w14:textId="77777777" w:rsidR="00A409AA" w:rsidRPr="001E51EA" w:rsidRDefault="00A409AA" w:rsidP="00A409AA">
      <w:pPr>
        <w:pStyle w:val="SingleTxtG"/>
      </w:pPr>
      <w:r>
        <w:t>30.</w:t>
      </w:r>
      <w:r>
        <w:tab/>
        <w:t>Приветствуя предусмотренную Национальным планом действий в интересах инвалидов на 2012</w:t>
      </w:r>
      <w:r w:rsidR="00931C43">
        <w:t>–</w:t>
      </w:r>
      <w:r>
        <w:t xml:space="preserve">2020 годы цель по созданию к 2020 году инклюзивных образцовых регионов во всех федеральных землях, Комитет вместе с тем выражает сохраняющуюся серьезную обеспокоенность по поводу: </w:t>
      </w:r>
      <w:bookmarkStart w:id="4" w:name="_Hlk33172854"/>
      <w:bookmarkEnd w:id="4"/>
    </w:p>
    <w:p w14:paraId="6F1CC52E" w14:textId="77777777" w:rsidR="00A409AA" w:rsidRPr="001E51EA" w:rsidRDefault="00931C43" w:rsidP="00A409AA">
      <w:pPr>
        <w:pStyle w:val="SingleTxtG"/>
      </w:pPr>
      <w:r>
        <w:tab/>
      </w:r>
      <w:r w:rsidR="00A409AA">
        <w:tab/>
        <w:t>a)</w:t>
      </w:r>
      <w:r w:rsidR="00A409AA">
        <w:tab/>
        <w:t>отсутствия в государстве-участнике на уровне всех федеральных земель всеобъемлющего плана по деинституционализации детей-инвалидов;</w:t>
      </w:r>
    </w:p>
    <w:p w14:paraId="3DC57B62" w14:textId="77777777" w:rsidR="00A409AA" w:rsidRPr="001E51EA" w:rsidRDefault="00931C43" w:rsidP="00A409AA">
      <w:pPr>
        <w:pStyle w:val="SingleTxtG"/>
      </w:pPr>
      <w:r>
        <w:tab/>
      </w:r>
      <w:r w:rsidR="00A409AA">
        <w:tab/>
        <w:t>b)</w:t>
      </w:r>
      <w:r w:rsidR="00A409AA">
        <w:tab/>
        <w:t xml:space="preserve">недостаточной доступности общественных зданий, общественного транспорта и таких мест, как школы и игровые площадки;  </w:t>
      </w:r>
    </w:p>
    <w:p w14:paraId="5C1B3A3D" w14:textId="77777777" w:rsidR="00A409AA" w:rsidRPr="001E51EA" w:rsidRDefault="00931C43" w:rsidP="00A409AA">
      <w:pPr>
        <w:pStyle w:val="SingleTxtG"/>
      </w:pPr>
      <w:r>
        <w:tab/>
      </w:r>
      <w:r w:rsidR="00A409AA">
        <w:tab/>
        <w:t>c)</w:t>
      </w:r>
      <w:r w:rsidR="00A409AA">
        <w:tab/>
        <w:t xml:space="preserve">отсутствия согласия между поставщиками услуг относительно того, кто должен покрывать расходы, что серьезно сказывается на правах детей-инвалидов; </w:t>
      </w:r>
    </w:p>
    <w:p w14:paraId="1B96159F" w14:textId="77777777" w:rsidR="00A409AA" w:rsidRPr="001E51EA" w:rsidRDefault="00931C43" w:rsidP="00A409AA">
      <w:pPr>
        <w:pStyle w:val="SingleTxtG"/>
      </w:pPr>
      <w:r>
        <w:tab/>
      </w:r>
      <w:r w:rsidR="00A409AA">
        <w:tab/>
        <w:t>d)</w:t>
      </w:r>
      <w:r w:rsidR="00A409AA">
        <w:tab/>
        <w:t xml:space="preserve">того, что в средствах массовой информации дети-инвалиды иногда представляются как объекты благотворительности, а не как правообладатели. </w:t>
      </w:r>
    </w:p>
    <w:p w14:paraId="67C837F8" w14:textId="77777777" w:rsidR="00A409AA" w:rsidRPr="001E51EA" w:rsidRDefault="00A409AA" w:rsidP="00A409AA">
      <w:pPr>
        <w:pStyle w:val="SingleTxtG"/>
        <w:rPr>
          <w:b/>
          <w:bCs/>
        </w:rPr>
      </w:pPr>
      <w:r>
        <w:lastRenderedPageBreak/>
        <w:t>31.</w:t>
      </w:r>
      <w:r>
        <w:tab/>
      </w:r>
      <w:r>
        <w:rPr>
          <w:b/>
          <w:bCs/>
        </w:rPr>
        <w:t>Ссылаясь на свое замечание общего порядка № 9 (2006) о правах детей-инвалидов, Комитет настоятельно призывает государство-участник применять правозащитный подход к проблеме инвалидности при осуществлении комплексной стратегии интеграции детей-инвалидов, а также:</w:t>
      </w:r>
    </w:p>
    <w:p w14:paraId="071822AD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a)</w:t>
      </w:r>
      <w:r w:rsidR="00A409AA">
        <w:tab/>
      </w:r>
      <w:r w:rsidR="00A409AA">
        <w:rPr>
          <w:b/>
          <w:bCs/>
        </w:rPr>
        <w:t>разработать на основе широкого участия национальный план действий по вопросам инвалидности на 2021</w:t>
      </w:r>
      <w:r w:rsidR="00936C41">
        <w:rPr>
          <w:b/>
          <w:bCs/>
        </w:rPr>
        <w:t>–</w:t>
      </w:r>
      <w:r w:rsidR="00A409AA">
        <w:rPr>
          <w:b/>
          <w:bCs/>
        </w:rPr>
        <w:t>2030 годы, который предусматривал бы последовательную стратегию деинституционализации детей-инвалидов и предупреждения случаев их разлучения со своими семьями с четкими сроками и механизмом его эффективного осуществления и мониторинга;</w:t>
      </w:r>
      <w:r w:rsidR="00A409AA">
        <w:t xml:space="preserve"> </w:t>
      </w:r>
    </w:p>
    <w:p w14:paraId="43F70ACF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b)</w:t>
      </w:r>
      <w:r w:rsidR="00A409AA">
        <w:tab/>
      </w:r>
      <w:r w:rsidR="00A409AA">
        <w:rPr>
          <w:b/>
          <w:bCs/>
        </w:rPr>
        <w:t>обеспечить детям-инвалидам реальный доступ к службам и местам общего пользования и улучшить физическую доступность всех общественных и частных зданий, открытых пространств и транспорта во всех федеральных землях;</w:t>
      </w:r>
    </w:p>
    <w:p w14:paraId="7766775F" w14:textId="77777777" w:rsidR="00A409AA" w:rsidRPr="001E51EA" w:rsidRDefault="00A409AA" w:rsidP="00A409AA">
      <w:pPr>
        <w:pStyle w:val="SingleTxtG"/>
        <w:rPr>
          <w:b/>
          <w:bCs/>
        </w:rPr>
      </w:pPr>
      <w:r>
        <w:tab/>
      </w:r>
      <w:r w:rsidR="00931C43">
        <w:tab/>
      </w:r>
      <w:r w:rsidRPr="00931C43">
        <w:rPr>
          <w:b/>
        </w:rPr>
        <w:t>c)</w:t>
      </w:r>
      <w:r>
        <w:tab/>
      </w:r>
      <w:r>
        <w:rPr>
          <w:b/>
          <w:bCs/>
        </w:rPr>
        <w:t>рассмотреть вопрос об объединении стратегий по предоставлению социальной защиты и программ оказания помощи инвалидам и детям и молодежи в единую систему;</w:t>
      </w:r>
    </w:p>
    <w:p w14:paraId="30FE5EFD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d)</w:t>
      </w:r>
      <w:r w:rsidR="00A409AA">
        <w:tab/>
      </w:r>
      <w:r w:rsidR="00A409AA">
        <w:rPr>
          <w:b/>
          <w:bCs/>
        </w:rPr>
        <w:t>проводить просветительские кампании, ориентированные на средства массовой информации, государственных служащих, общественность и семьи, в целях борьбы со стигматизацией и предрассудками в отношении детей-инвалидов и содействовать формированию позитивных представлений о таких детях.</w:t>
      </w:r>
      <w:r w:rsidR="00A409AA">
        <w:t xml:space="preserve"> </w:t>
      </w:r>
    </w:p>
    <w:p w14:paraId="298EE3E8" w14:textId="77777777" w:rsidR="00A409AA" w:rsidRPr="001E51EA" w:rsidRDefault="00931C43" w:rsidP="00A409AA">
      <w:pPr>
        <w:pStyle w:val="H1G"/>
      </w:pPr>
      <w:r>
        <w:tab/>
      </w:r>
      <w:r w:rsidR="00A409AA">
        <w:t>H.</w:t>
      </w:r>
      <w:r w:rsidR="00A409AA">
        <w:tab/>
      </w:r>
      <w:r w:rsidR="00A409AA">
        <w:rPr>
          <w:bCs/>
        </w:rPr>
        <w:t>Базовое медицинское обслуживание и социальное обеспечение (статьи 6, 18 (пункт 3), 24, 26, 27 (пункты 1–3) и 33)</w:t>
      </w:r>
    </w:p>
    <w:p w14:paraId="69CA0682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Здравоохранение и медицинское обслуживание</w:t>
      </w:r>
      <w:r>
        <w:t xml:space="preserve"> </w:t>
      </w:r>
    </w:p>
    <w:p w14:paraId="06689128" w14:textId="77777777" w:rsidR="00A409AA" w:rsidRPr="001E51EA" w:rsidRDefault="00A409AA" w:rsidP="00A409AA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Ссылаясь на свое замечание общего порядка № 15 (2013) о праве ребенка на пользование наиболее совершенными услугами системы здравоохранения, Комитет рекомендует государству-участнику:</w:t>
      </w:r>
      <w:r>
        <w:t xml:space="preserve"> </w:t>
      </w:r>
    </w:p>
    <w:p w14:paraId="74955C88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a)</w:t>
      </w:r>
      <w:r w:rsidR="00A409AA">
        <w:tab/>
      </w:r>
      <w:r w:rsidR="00A409AA">
        <w:rPr>
          <w:b/>
          <w:bCs/>
        </w:rPr>
        <w:t>усилить меры по борьбе с ожирением у детей и активизировать мероприятия по пропаганде здорового образа жизни, в том числе физической активности;</w:t>
      </w:r>
      <w:r w:rsidR="00A409AA">
        <w:t xml:space="preserve"> </w:t>
      </w:r>
    </w:p>
    <w:p w14:paraId="210BC5AB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b)</w:t>
      </w:r>
      <w:r w:rsidR="00A409AA">
        <w:tab/>
      </w:r>
      <w:r w:rsidR="00A409AA">
        <w:rPr>
          <w:b/>
          <w:bCs/>
        </w:rPr>
        <w:t>обеспечить наличие квалифицированных медицинских специалистов во всех федеральных землях, в частности педиатров в сельской местности.</w:t>
      </w:r>
      <w:r w:rsidR="00A409AA">
        <w:t xml:space="preserve"> </w:t>
      </w:r>
    </w:p>
    <w:p w14:paraId="5BAAF920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Психическое здоровье</w:t>
      </w:r>
    </w:p>
    <w:p w14:paraId="49242FD1" w14:textId="77777777" w:rsidR="00A409AA" w:rsidRPr="001E51EA" w:rsidRDefault="00A409AA" w:rsidP="00A409AA">
      <w:pPr>
        <w:pStyle w:val="SingleTxtG"/>
      </w:pPr>
      <w:r>
        <w:t>33.</w:t>
      </w:r>
      <w:r>
        <w:tab/>
        <w:t>Комитет серьезно обеспокоен:</w:t>
      </w:r>
    </w:p>
    <w:p w14:paraId="0C4B540C" w14:textId="77777777" w:rsidR="00A409AA" w:rsidRPr="001E51EA" w:rsidRDefault="00931C43" w:rsidP="00A409AA">
      <w:pPr>
        <w:pStyle w:val="SingleTxtG"/>
      </w:pPr>
      <w:bookmarkStart w:id="5" w:name="_Hlk33176205"/>
      <w:r>
        <w:tab/>
      </w:r>
      <w:r w:rsidR="00A409AA">
        <w:tab/>
        <w:t>a)</w:t>
      </w:r>
      <w:r w:rsidR="00A409AA">
        <w:tab/>
        <w:t xml:space="preserve">широкой распространенностью среди детей и подростков различных психических расстройств, в частности, таких как повышенная тревожность, депрессия, самотравматизм, рассеянность внимания и нарушения пищевого поведения; </w:t>
      </w:r>
      <w:bookmarkStart w:id="6" w:name="_Hlk33194831"/>
      <w:bookmarkEnd w:id="5"/>
      <w:bookmarkEnd w:id="6"/>
    </w:p>
    <w:p w14:paraId="40E41226" w14:textId="77777777" w:rsidR="00A409AA" w:rsidRPr="001E51EA" w:rsidRDefault="00931C43" w:rsidP="00A409AA">
      <w:pPr>
        <w:pStyle w:val="SingleTxtG"/>
      </w:pPr>
      <w:r>
        <w:tab/>
      </w:r>
      <w:r w:rsidR="00A409AA">
        <w:tab/>
        <w:t>b)</w:t>
      </w:r>
      <w:r w:rsidR="00A409AA">
        <w:tab/>
        <w:t xml:space="preserve">недостаточным количеством мест для детей с психическими заболеваниями, требующими стационарного лечения, что иногда приводит к тому, что дети содержатся в психиатрических отделениях совместно со взрослыми пациентами; </w:t>
      </w:r>
    </w:p>
    <w:p w14:paraId="089901B7" w14:textId="77777777" w:rsidR="00A409AA" w:rsidRPr="001E51EA" w:rsidRDefault="00931C43" w:rsidP="00A409AA">
      <w:pPr>
        <w:pStyle w:val="SingleTxtG"/>
      </w:pPr>
      <w:r>
        <w:tab/>
      </w:r>
      <w:r w:rsidR="00A409AA">
        <w:tab/>
        <w:t>c)</w:t>
      </w:r>
      <w:r w:rsidR="00A409AA">
        <w:tab/>
        <w:t>отсутствием надлежащего амбулаторного лечения и последующего ухода за детьми с психическими расстройствами;</w:t>
      </w:r>
    </w:p>
    <w:p w14:paraId="70E38F03" w14:textId="77777777" w:rsidR="00A409AA" w:rsidRPr="001E51EA" w:rsidRDefault="00931C43" w:rsidP="00A409AA">
      <w:pPr>
        <w:pStyle w:val="SingleTxtG"/>
      </w:pPr>
      <w:r>
        <w:tab/>
      </w:r>
      <w:r w:rsidR="00A409AA">
        <w:tab/>
        <w:t>d)</w:t>
      </w:r>
      <w:r w:rsidR="00A409AA">
        <w:tab/>
        <w:t xml:space="preserve">сообщениями о том, что родители детей с рассеянностью внимания/гиперактивностью и другими поведенческими расстройствами не всегда должным образом информируются о негативных побочных эффектах психостимуляторов и о существовании немедикаментозных альтернатив, несмотря на функционирование с 2019 года в государстве-участнике системы электронного учета </w:t>
      </w:r>
      <w:r w:rsidR="00A409AA">
        <w:lastRenderedPageBreak/>
        <w:t xml:space="preserve">медикаментов, в соответствии с которой все выписанные рецепты на лекарственные препараты должны регистрироваться в электронном виде. </w:t>
      </w:r>
      <w:bookmarkStart w:id="7" w:name="_Hlk33194850"/>
      <w:bookmarkStart w:id="8" w:name="_Hlk33176250"/>
      <w:bookmarkStart w:id="9" w:name="_Hlk33534835"/>
      <w:bookmarkEnd w:id="7"/>
      <w:bookmarkEnd w:id="8"/>
      <w:bookmarkEnd w:id="9"/>
    </w:p>
    <w:p w14:paraId="64F25582" w14:textId="77777777" w:rsidR="00A409AA" w:rsidRPr="001E51EA" w:rsidRDefault="00A409AA" w:rsidP="00A409AA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 xml:space="preserve">Ссылаясь на задачу 3.4 </w:t>
      </w:r>
      <w:r w:rsidR="00047ACC">
        <w:rPr>
          <w:b/>
          <w:bCs/>
        </w:rPr>
        <w:t>Ц</w:t>
      </w:r>
      <w:r>
        <w:rPr>
          <w:b/>
          <w:bCs/>
        </w:rPr>
        <w:t>елей в области устойчивого развития, Комитет настоятельно призывает государство-участник:</w:t>
      </w:r>
    </w:p>
    <w:p w14:paraId="3FC739F6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a)</w:t>
      </w:r>
      <w:r w:rsidR="00A409AA">
        <w:tab/>
      </w:r>
      <w:r w:rsidR="00A409AA">
        <w:rPr>
          <w:b/>
          <w:bCs/>
        </w:rPr>
        <w:t>продолжать активизировать меры по обеспечению наличия и доступности услуг и программ по охране психического здоровья детей и подростков;</w:t>
      </w:r>
    </w:p>
    <w:p w14:paraId="5907751F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 w:rsidRPr="00931C43">
        <w:rPr>
          <w:b/>
        </w:rPr>
        <w:tab/>
        <w:t>b)</w:t>
      </w:r>
      <w:r w:rsidR="00A409AA">
        <w:tab/>
      </w:r>
      <w:r w:rsidR="00A409AA">
        <w:rPr>
          <w:b/>
          <w:bCs/>
        </w:rPr>
        <w:t>выделять надлежащие людские, технические и финансовые ресурсы службам и программам по охране психического здоровья для обеспечения наличия достаточного числа квалифицированных медицинских специалистов, включая детских психологов и психиатров, и достаточного количества мест для стационарного лечения детей в соответствии с существующими потребностями во всех федеральных землях;</w:t>
      </w:r>
    </w:p>
    <w:p w14:paraId="0E250F8A" w14:textId="77777777" w:rsidR="00A409AA" w:rsidRPr="001E51EA" w:rsidRDefault="00A409AA" w:rsidP="00A409AA">
      <w:pPr>
        <w:pStyle w:val="SingleTxtG"/>
        <w:rPr>
          <w:b/>
          <w:bCs/>
        </w:rPr>
      </w:pPr>
      <w:r>
        <w:tab/>
      </w:r>
      <w:r w:rsidR="00931C43">
        <w:tab/>
      </w:r>
      <w:r w:rsidRPr="00931C43">
        <w:rPr>
          <w:b/>
        </w:rPr>
        <w:t>c)</w:t>
      </w:r>
      <w:r>
        <w:tab/>
      </w:r>
      <w:r>
        <w:rPr>
          <w:b/>
          <w:bCs/>
        </w:rPr>
        <w:t>принять меры для недопущения назначения детям с поведенческими расстройствами чрезмерного количества медикаментозных препаратов, в</w:t>
      </w:r>
      <w:r w:rsidR="00104488">
        <w:rPr>
          <w:b/>
          <w:bCs/>
        </w:rPr>
        <w:t> </w:t>
      </w:r>
      <w:r>
        <w:rPr>
          <w:b/>
          <w:bCs/>
        </w:rPr>
        <w:t>частности назначения психостимуляторов при наличии немедикаментозных альтернатив, а также для информирования родителей о наличии немедикаментозных альтернатив и о серьезных негативных побочных эффектах вышеуказанных препаратов.</w:t>
      </w:r>
    </w:p>
    <w:p w14:paraId="3ED1DC7A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Воздействие изменения климата на права ребенка</w:t>
      </w:r>
    </w:p>
    <w:p w14:paraId="140408C4" w14:textId="77777777" w:rsidR="00A409AA" w:rsidRPr="001E51EA" w:rsidRDefault="00A409AA" w:rsidP="00A409AA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79D115E0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a)</w:t>
      </w:r>
      <w:r w:rsidR="00A409AA">
        <w:tab/>
      </w:r>
      <w:r w:rsidR="00A409AA">
        <w:rPr>
          <w:b/>
          <w:bCs/>
        </w:rPr>
        <w:t>обеспечить, чтобы его стратегии смягчения последствий изменения климата, в частности стратегии сокращения выбросов парниковых газов в соответствии с международными обязательствами государства-участника, не противоречили закрепленным в Конвенции принципам, включая права ребенка на наивысший достижимый уровень здоровья и достаточный уровень жизни, и</w:t>
      </w:r>
      <w:r w:rsidR="00104488">
        <w:rPr>
          <w:b/>
          <w:bCs/>
        </w:rPr>
        <w:t> </w:t>
      </w:r>
      <w:r w:rsidR="00A409AA">
        <w:rPr>
          <w:b/>
          <w:bCs/>
        </w:rPr>
        <w:t>чтобы особые факторы уязвимости и потребности детей, а также их взгляды систематически учитывались в ходе осуществления, мониторинга и оценки этих стратегий;</w:t>
      </w:r>
      <w:r w:rsidR="00A409AA">
        <w:t xml:space="preserve"> </w:t>
      </w:r>
    </w:p>
    <w:p w14:paraId="654127EF" w14:textId="77777777" w:rsidR="00A409AA" w:rsidRPr="001E51EA" w:rsidRDefault="00931C43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931C43">
        <w:rPr>
          <w:b/>
        </w:rPr>
        <w:t>b)</w:t>
      </w:r>
      <w:r w:rsidR="00A409AA">
        <w:tab/>
      </w:r>
      <w:r w:rsidR="00A409AA">
        <w:rPr>
          <w:b/>
          <w:bCs/>
        </w:rPr>
        <w:t>провести оценку стратегий, осуществляемых в транспортном секторе, и влияния соответствующего загрязнения атмосферы и выбросов парниковых газов на права детей в качестве основы для разработки обеспеченной достаточными ресурсами стратегии, направленной на исправление нынешней ситуации, а также отменить любые субсидии, стимулирующие к использованию видов транспорта, которые подрывают право детей на наивысший достижимый уровень здоровья.</w:t>
      </w:r>
    </w:p>
    <w:p w14:paraId="0FA5FBE1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Уровень жизни</w:t>
      </w:r>
    </w:p>
    <w:p w14:paraId="6DBCAA79" w14:textId="77777777" w:rsidR="00A409AA" w:rsidRPr="001E51EA" w:rsidRDefault="00A409AA" w:rsidP="00A409AA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Комитет принимает к сведению информацию о снижении показателей детской бедности в государстве-участнике, однако выражает обеспокоенность по поводу наличия в разных федеральных землях различных правил назначения пособий.</w:t>
      </w:r>
      <w:r>
        <w:t xml:space="preserve"> </w:t>
      </w:r>
      <w:r>
        <w:rPr>
          <w:b/>
          <w:bCs/>
        </w:rPr>
        <w:t xml:space="preserve">Обращая внимание на задачу 1.3 </w:t>
      </w:r>
      <w:r w:rsidR="00D65ADD">
        <w:rPr>
          <w:b/>
          <w:bCs/>
        </w:rPr>
        <w:t>Ц</w:t>
      </w:r>
      <w:r>
        <w:rPr>
          <w:b/>
          <w:bCs/>
        </w:rPr>
        <w:t>елей в области устойчивого развития, Комитет рекомендует государству-участнику ввести общенациональный единый прожиточный минимум, который распространялся бы на всех без исключения детей в государстве-участнике.</w:t>
      </w:r>
      <w:r>
        <w:t xml:space="preserve"> </w:t>
      </w:r>
    </w:p>
    <w:p w14:paraId="79E4C596" w14:textId="77777777" w:rsidR="00A409AA" w:rsidRPr="001E51EA" w:rsidRDefault="00931C43" w:rsidP="00A409AA">
      <w:pPr>
        <w:pStyle w:val="H1G"/>
      </w:pPr>
      <w:r>
        <w:tab/>
      </w:r>
      <w:r w:rsidR="00A409AA">
        <w:t>I.</w:t>
      </w:r>
      <w:r w:rsidR="00A409AA">
        <w:tab/>
      </w:r>
      <w:r w:rsidR="00A409AA">
        <w:rPr>
          <w:bCs/>
        </w:rPr>
        <w:t>Образование, досуг и культурная деятельность (статьи 28–31)</w:t>
      </w:r>
    </w:p>
    <w:p w14:paraId="587CFF68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</w:p>
    <w:p w14:paraId="4E5F129F" w14:textId="77777777" w:rsidR="00A409AA" w:rsidRPr="001E51EA" w:rsidRDefault="00A409AA" w:rsidP="00A409AA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 xml:space="preserve">Ссылаясь на задачу 4.1 </w:t>
      </w:r>
      <w:r w:rsidR="00DD1B9F">
        <w:rPr>
          <w:b/>
          <w:bCs/>
        </w:rPr>
        <w:t>Ц</w:t>
      </w:r>
      <w:r>
        <w:rPr>
          <w:b/>
          <w:bCs/>
        </w:rPr>
        <w:t>елей в области устойчивого развития, Комитет рекомендует государству-участнику:</w:t>
      </w:r>
      <w:r>
        <w:t xml:space="preserve"> </w:t>
      </w:r>
    </w:p>
    <w:p w14:paraId="305A2F6F" w14:textId="77777777" w:rsidR="00A409AA" w:rsidRPr="001E51EA" w:rsidRDefault="00E3311E" w:rsidP="00A409AA">
      <w:pPr>
        <w:pStyle w:val="SingleTxtG"/>
        <w:rPr>
          <w:b/>
          <w:bCs/>
        </w:rPr>
      </w:pPr>
      <w:r>
        <w:lastRenderedPageBreak/>
        <w:tab/>
      </w:r>
      <w:r w:rsidR="00A409AA">
        <w:tab/>
      </w:r>
      <w:r w:rsidR="00A409AA" w:rsidRPr="00E3311E">
        <w:rPr>
          <w:b/>
        </w:rPr>
        <w:t>a)</w:t>
      </w:r>
      <w:r w:rsidR="00A409AA">
        <w:tab/>
      </w:r>
      <w:r w:rsidR="00A409AA">
        <w:rPr>
          <w:b/>
          <w:bCs/>
        </w:rPr>
        <w:t>принять необходимые меры для расширения доступа всех детей к бесплатному, равноправному и качественному начальному и среднему образованию, независимо от их социально-экономического положения;</w:t>
      </w:r>
    </w:p>
    <w:p w14:paraId="0EDA8EB8" w14:textId="77777777" w:rsidR="00A409AA" w:rsidRPr="001E51EA" w:rsidRDefault="00E3311E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E3311E">
        <w:rPr>
          <w:b/>
        </w:rPr>
        <w:t>b)</w:t>
      </w:r>
      <w:r w:rsidR="00A409AA">
        <w:tab/>
      </w:r>
      <w:r w:rsidR="00A409AA">
        <w:rPr>
          <w:b/>
          <w:bCs/>
        </w:rPr>
        <w:t>укрепить право всех детей-инвалидов, включая детей с интеллектуальной и психосоциальной инвалидностью, на инклюзивное образование в обычных школах;</w:t>
      </w:r>
    </w:p>
    <w:p w14:paraId="71A1D0B4" w14:textId="77777777" w:rsidR="00A409AA" w:rsidRPr="001E51EA" w:rsidRDefault="00E3311E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E3311E">
        <w:rPr>
          <w:b/>
        </w:rPr>
        <w:t>c)</w:t>
      </w:r>
      <w:r w:rsidR="00A409AA">
        <w:tab/>
      </w:r>
      <w:r w:rsidR="00A409AA">
        <w:rPr>
          <w:b/>
          <w:bCs/>
        </w:rPr>
        <w:t>принять комплексные меры по развитию инклюзивного образования, включая надлежащую подготовку учителей и разработку адаптированных учебных программ и школьных материалов;</w:t>
      </w:r>
      <w:r w:rsidR="00A409AA">
        <w:t xml:space="preserve"> </w:t>
      </w:r>
    </w:p>
    <w:p w14:paraId="67D07B81" w14:textId="77777777" w:rsidR="00A409AA" w:rsidRPr="001E51EA" w:rsidRDefault="00E3311E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E3311E">
        <w:rPr>
          <w:b/>
        </w:rPr>
        <w:t>d)</w:t>
      </w:r>
      <w:r w:rsidR="00A409AA">
        <w:tab/>
      </w:r>
      <w:r w:rsidR="00A409AA">
        <w:rPr>
          <w:b/>
          <w:bCs/>
        </w:rPr>
        <w:t>осуществлять специальную подготовку и направлять в школы учителей и профильных специалистов для проведения работы в смешанных классах, направленной на обеспечение индивидуальной поддержки и уделение необходимого внимания детям, испытывающим трудности в учебе</w:t>
      </w:r>
      <w:r w:rsidR="00607F47">
        <w:rPr>
          <w:b/>
          <w:bCs/>
        </w:rPr>
        <w:t>;</w:t>
      </w:r>
    </w:p>
    <w:p w14:paraId="441EF647" w14:textId="77777777" w:rsidR="00A409AA" w:rsidRPr="001E51EA" w:rsidRDefault="00E3311E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E3311E">
        <w:rPr>
          <w:b/>
        </w:rPr>
        <w:t>e)</w:t>
      </w:r>
      <w:r w:rsidR="00A409AA">
        <w:tab/>
      </w:r>
      <w:r w:rsidR="00A409AA">
        <w:rPr>
          <w:b/>
          <w:bCs/>
        </w:rPr>
        <w:t>отсрочить процесс выбора дальнейшей формы обучения для детей в школе;</w:t>
      </w:r>
      <w:r w:rsidR="00A409AA">
        <w:t xml:space="preserve"> </w:t>
      </w:r>
    </w:p>
    <w:p w14:paraId="72DAE9A4" w14:textId="77777777" w:rsidR="00A409AA" w:rsidRPr="001E51EA" w:rsidRDefault="00E3311E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E3311E">
        <w:rPr>
          <w:b/>
        </w:rPr>
        <w:t>f)</w:t>
      </w:r>
      <w:r w:rsidR="00A409AA">
        <w:tab/>
      </w:r>
      <w:r w:rsidR="00A409AA">
        <w:rPr>
          <w:b/>
          <w:bCs/>
        </w:rPr>
        <w:t>расширить возможности для обучения детей в школе в течение полного дня и другие возможности для бесплатного обучения детей с целью противодействия распространяющейся практике частного внешкольного обучения;</w:t>
      </w:r>
    </w:p>
    <w:p w14:paraId="53422F57" w14:textId="77777777" w:rsidR="00A409AA" w:rsidRPr="001E51EA" w:rsidRDefault="00E3311E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E3311E">
        <w:rPr>
          <w:b/>
        </w:rPr>
        <w:t>g)</w:t>
      </w:r>
      <w:r w:rsidR="00A409AA">
        <w:tab/>
      </w:r>
      <w:r w:rsidR="00A409AA">
        <w:rPr>
          <w:b/>
          <w:bCs/>
        </w:rPr>
        <w:t>рассмотреть вопрос об отмене закона, запрещающего ношение девочками в начальных школах головных платков, которые приравниваются к идеологической или религиозной одежде, что может привести к исключению таких девочек из системы общего образования.</w:t>
      </w:r>
    </w:p>
    <w:p w14:paraId="2D1EF2B3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Отдых, досуг, рекреационная, культурная и художественная деятельность</w:t>
      </w:r>
    </w:p>
    <w:p w14:paraId="17518B8E" w14:textId="77777777" w:rsidR="00A409AA" w:rsidRPr="001E51EA" w:rsidRDefault="00A409AA" w:rsidP="00A409AA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Ссылаясь на свое замечание общего порядка № 17 (2013) о праве ребенка на отдых, досуг, участие в играх, развлекательных мероприятиях, культурной жизни и праве заниматься искусством, Комитет рекомендует государству-участнику или федеральным землям, если это применимо, предоставить детям, включая детей-инвалидов и детей, находящихся в маргинализированном и неблагоприятном положении, таких как дети-беженцы, дети-просители убежища и дети-мигранты, безопасные, доступные, инклюзивные и свободные от курения пространства для игр и социального общения, а также общественный транспорт для доставки в эти места.</w:t>
      </w:r>
    </w:p>
    <w:p w14:paraId="2E6387DA" w14:textId="77777777" w:rsidR="00A409AA" w:rsidRPr="001E51EA" w:rsidRDefault="008D398D" w:rsidP="00A409AA">
      <w:pPr>
        <w:pStyle w:val="H1G"/>
      </w:pPr>
      <w:r>
        <w:tab/>
      </w:r>
      <w:r w:rsidR="00A409AA">
        <w:t>J.</w:t>
      </w:r>
      <w:r w:rsidR="00A409AA">
        <w:tab/>
      </w:r>
      <w:r w:rsidR="00A409AA">
        <w:rPr>
          <w:bCs/>
        </w:rPr>
        <w:t>Специальные меры защиты (статьи 22, 30, 32, 33, 35, 36, 37</w:t>
      </w:r>
      <w:r w:rsidR="00B741B7">
        <w:rPr>
          <w:bCs/>
        </w:rPr>
        <w:t> </w:t>
      </w:r>
      <w:r w:rsidR="00A409AA">
        <w:rPr>
          <w:bCs/>
        </w:rPr>
        <w:t>(пункты b)–d)) и 38–40)</w:t>
      </w:r>
    </w:p>
    <w:p w14:paraId="3B5F71B0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Дети из числа просителей убежища, беженцев и мигрантов</w:t>
      </w:r>
    </w:p>
    <w:p w14:paraId="57994F51" w14:textId="77777777" w:rsidR="00A409AA" w:rsidRPr="001E51EA" w:rsidRDefault="00A409AA" w:rsidP="00A409AA">
      <w:pPr>
        <w:pStyle w:val="SingleTxtG"/>
      </w:pPr>
      <w:r>
        <w:t>39.</w:t>
      </w:r>
      <w:r>
        <w:tab/>
        <w:t xml:space="preserve">Приветствуя принятые меры по обеспечению размещения просителей убежища и несопровождаемых детей путем создания специализированных приемных пунктов и усилия некоторых федеральных земель по введению гарантий защиты детей во всех приемных пунктах, находящихся под их юрисдикцией, Комитет выражает сохраняющуюся серьезную обеспокоенность по поводу того, что: </w:t>
      </w:r>
    </w:p>
    <w:p w14:paraId="2F84C339" w14:textId="77777777" w:rsidR="00A409AA" w:rsidRPr="001E51EA" w:rsidRDefault="008D398D" w:rsidP="00A409AA">
      <w:pPr>
        <w:pStyle w:val="SingleTxtG"/>
      </w:pPr>
      <w:r>
        <w:tab/>
      </w:r>
      <w:r w:rsidR="00A409AA">
        <w:tab/>
        <w:t>a)</w:t>
      </w:r>
      <w:r w:rsidR="00A409AA">
        <w:tab/>
        <w:t xml:space="preserve">специалисты по вопросам социального обеспечения и защиты детей не привлекаются тотчас же после выявления на границе или где-либо еще в государстве-участнике несопровождаемого или разлученного с родителями ребенка в возрасте старше 14 лет; </w:t>
      </w:r>
    </w:p>
    <w:p w14:paraId="134231A9" w14:textId="77777777" w:rsidR="00A409AA" w:rsidRPr="001E51EA" w:rsidRDefault="008D398D" w:rsidP="00A409AA">
      <w:pPr>
        <w:pStyle w:val="SingleTxtG"/>
      </w:pPr>
      <w:r>
        <w:tab/>
      </w:r>
      <w:r w:rsidR="00A409AA">
        <w:tab/>
        <w:t>b)</w:t>
      </w:r>
      <w:r w:rsidR="00A409AA">
        <w:tab/>
        <w:t xml:space="preserve">законные опекуны назначаются только после того, как несопровождаемый или разлученный с родителями ребенок будет определен в приемный пункт соответствующей федеральной земли, а его перевод может занять некоторое время в связи с проведением оценки его возраста; </w:t>
      </w:r>
    </w:p>
    <w:p w14:paraId="6D77CC9A" w14:textId="77777777" w:rsidR="00A409AA" w:rsidRPr="001E51EA" w:rsidRDefault="008D398D" w:rsidP="00A409AA">
      <w:pPr>
        <w:pStyle w:val="SingleTxtG"/>
      </w:pPr>
      <w:r>
        <w:lastRenderedPageBreak/>
        <w:tab/>
      </w:r>
      <w:r w:rsidR="00A409AA">
        <w:tab/>
        <w:t>c)</w:t>
      </w:r>
      <w:r w:rsidR="00A409AA">
        <w:tab/>
        <w:t>процедура оценки возраста не всегда проводится с соблюдением принципа уважения достоинства и наилучшего обеспечения интересов ребенка, и,</w:t>
      </w:r>
      <w:r w:rsidR="00B741B7">
        <w:t> </w:t>
      </w:r>
      <w:r w:rsidR="00A409AA">
        <w:t>несмотря на возможную неточность ее результатов, невозможно обжаловать итоги процедуры по отдельности.</w:t>
      </w:r>
    </w:p>
    <w:p w14:paraId="27F1103B" w14:textId="77777777" w:rsidR="00A409AA" w:rsidRPr="001E51EA" w:rsidRDefault="00A409AA" w:rsidP="00A409AA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Ссылаясь на замечание общего порядка № 6 (2005) об обращении с несопровождаемыми и разлученными детьми за пределами страны их происхождения, Комитет настоятельно призывает государство-участник незамедлительно принять следующие меры:</w:t>
      </w:r>
    </w:p>
    <w:p w14:paraId="66086AA4" w14:textId="77777777" w:rsidR="00A409AA" w:rsidRPr="001E51EA" w:rsidRDefault="008D398D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8D398D">
        <w:rPr>
          <w:b/>
        </w:rPr>
        <w:t>a)</w:t>
      </w:r>
      <w:r w:rsidR="00A409AA">
        <w:tab/>
      </w:r>
      <w:r w:rsidR="00A409AA">
        <w:rPr>
          <w:b/>
          <w:bCs/>
        </w:rPr>
        <w:t>обеспечить, в том числе путем внесения поправок в законодательство, чтобы специалисты по вопросам социального обеспечения и защиты детей как можно скорее активно привлекались ко всем делам, касающимся несопровождаемых детей;</w:t>
      </w:r>
      <w:r w:rsidR="00A409AA">
        <w:t xml:space="preserve"> </w:t>
      </w:r>
    </w:p>
    <w:p w14:paraId="6BF01328" w14:textId="77777777" w:rsidR="00A409AA" w:rsidRPr="001E51EA" w:rsidRDefault="008D398D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8D398D">
        <w:rPr>
          <w:b/>
        </w:rPr>
        <w:t>b)</w:t>
      </w:r>
      <w:r w:rsidR="00A409AA">
        <w:tab/>
      </w:r>
      <w:r w:rsidR="00A409AA">
        <w:rPr>
          <w:b/>
          <w:bCs/>
        </w:rPr>
        <w:t>обеспечить назначение опекуна всем несопровождаемым или разлученным с родителями детям без какой-либо задержки сразу же после их прибытия в государство-участник;</w:t>
      </w:r>
    </w:p>
    <w:p w14:paraId="741BCFDA" w14:textId="77777777" w:rsidR="00A409AA" w:rsidRPr="001E51EA" w:rsidRDefault="008D398D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8D398D">
        <w:rPr>
          <w:b/>
        </w:rPr>
        <w:t>c)</w:t>
      </w:r>
      <w:r w:rsidR="00A409AA">
        <w:tab/>
      </w:r>
      <w:r w:rsidR="00A409AA">
        <w:rPr>
          <w:b/>
          <w:bCs/>
        </w:rPr>
        <w:t>проводить процедуру оценки возраста наименее инвазивным способом с соблюдением юридического принципа толкования сомнений в пользу ребенка;</w:t>
      </w:r>
      <w:r w:rsidR="00A409AA">
        <w:t xml:space="preserve"> </w:t>
      </w:r>
      <w:r w:rsidR="00A409AA">
        <w:rPr>
          <w:b/>
          <w:bCs/>
        </w:rPr>
        <w:t>проводить комплексную оценку физического и психического развития ребенка;</w:t>
      </w:r>
      <w:r w:rsidR="00A409AA">
        <w:t xml:space="preserve"> </w:t>
      </w:r>
      <w:r w:rsidR="00A409AA">
        <w:rPr>
          <w:b/>
          <w:bCs/>
        </w:rPr>
        <w:t>а также обеспечить, чтобы результаты таких оценок могли оспариваться затрагиваемой стороной по отдельности.</w:t>
      </w:r>
    </w:p>
    <w:p w14:paraId="6A01D4CE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Торговля детьми, их незаконный ввоз и похищение</w:t>
      </w:r>
      <w:r>
        <w:t xml:space="preserve"> </w:t>
      </w:r>
    </w:p>
    <w:p w14:paraId="634DD15A" w14:textId="77777777" w:rsidR="00A409AA" w:rsidRPr="001E51EA" w:rsidRDefault="00A409AA" w:rsidP="00A409AA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3B6566D3" w14:textId="77777777" w:rsidR="00A409AA" w:rsidRPr="001E51EA" w:rsidRDefault="008D398D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8D398D">
        <w:rPr>
          <w:b/>
        </w:rPr>
        <w:t>a)</w:t>
      </w:r>
      <w:r w:rsidR="00A409AA">
        <w:tab/>
      </w:r>
      <w:r w:rsidR="00A409AA">
        <w:rPr>
          <w:b/>
          <w:bCs/>
        </w:rPr>
        <w:t>принять дополнительные меры для согласования стандартов защиты детей, ставших жертвами торговли людьми, на всей территории страны;</w:t>
      </w:r>
      <w:r w:rsidR="00A409AA">
        <w:t xml:space="preserve"> </w:t>
      </w:r>
    </w:p>
    <w:p w14:paraId="3C269388" w14:textId="77777777" w:rsidR="00A409AA" w:rsidRPr="001E51EA" w:rsidRDefault="008D398D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8D398D">
        <w:rPr>
          <w:b/>
        </w:rPr>
        <w:t>b)</w:t>
      </w:r>
      <w:r w:rsidR="00A409AA">
        <w:tab/>
      </w:r>
      <w:r w:rsidR="00A409AA">
        <w:rPr>
          <w:b/>
          <w:bCs/>
        </w:rPr>
        <w:t>улучшить сбор данных, чтобы охватить все формы торговли детьми и их сексуальной эксплуатации;</w:t>
      </w:r>
    </w:p>
    <w:p w14:paraId="2EF68AF2" w14:textId="77777777" w:rsidR="00A409AA" w:rsidRPr="001E51EA" w:rsidRDefault="008D398D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8D398D">
        <w:rPr>
          <w:b/>
        </w:rPr>
        <w:t>c)</w:t>
      </w:r>
      <w:r w:rsidR="00A409AA">
        <w:tab/>
      </w:r>
      <w:r w:rsidR="00A409AA">
        <w:rPr>
          <w:b/>
          <w:bCs/>
        </w:rPr>
        <w:t>активизировать деятельность по выявлению детей, подвергнувшихся сексуальной эксплуатации и торговле людьми, в частности детей, находящихся в уязвимом положении, таких как несопровождаемые дети из числа просителей убежища, беженцев или мигрантов.</w:t>
      </w:r>
      <w:r w:rsidR="00A409AA">
        <w:t xml:space="preserve"> </w:t>
      </w:r>
    </w:p>
    <w:p w14:paraId="433D24C7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Ювенальная юстиция</w:t>
      </w:r>
      <w:r>
        <w:t xml:space="preserve">  </w:t>
      </w:r>
    </w:p>
    <w:p w14:paraId="1BB8CF58" w14:textId="77777777" w:rsidR="00A409AA" w:rsidRPr="001E51EA" w:rsidRDefault="00A409AA" w:rsidP="00A409AA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Приветствуя внесение в 2015 году поправок в Закон о судах по делам несовершеннолетних, Комитет вместе с тем выражает обеспокоенность по поводу увеличения числа детей, содержащихся под стражей.</w:t>
      </w:r>
      <w:r>
        <w:t xml:space="preserve"> </w:t>
      </w:r>
      <w:r>
        <w:rPr>
          <w:b/>
          <w:bCs/>
        </w:rPr>
        <w:t>Ссылаясь на свое замечание общего порядка № 24 (2019) о правах ребенка в системе правосудия в отношении детей, Комитет рекомендует государству-участнику:</w:t>
      </w:r>
      <w:r>
        <w:t xml:space="preserve"> </w:t>
      </w:r>
    </w:p>
    <w:p w14:paraId="1BF72FC6" w14:textId="77777777" w:rsidR="00A409AA" w:rsidRPr="001E51EA" w:rsidRDefault="008D398D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8D398D">
        <w:rPr>
          <w:b/>
        </w:rPr>
        <w:t>a)</w:t>
      </w:r>
      <w:r w:rsidR="00A409AA">
        <w:tab/>
      </w:r>
      <w:r w:rsidR="00A409AA">
        <w:rPr>
          <w:b/>
          <w:bCs/>
        </w:rPr>
        <w:t>начать работу по установлению максимального срока досудебного содержания под стражей несовершеннолетних в 30 суток и обеспечить, чтобы обстоятельства, при которых такой срок в исключительных случаях может быть продлен, были четко определены в законе;</w:t>
      </w:r>
      <w:r w:rsidR="00A409AA">
        <w:t xml:space="preserve"> </w:t>
      </w:r>
    </w:p>
    <w:p w14:paraId="74F0795F" w14:textId="77777777" w:rsidR="00A409AA" w:rsidRPr="001E51EA" w:rsidRDefault="008D398D" w:rsidP="00A409AA">
      <w:pPr>
        <w:pStyle w:val="SingleTxtG"/>
        <w:rPr>
          <w:b/>
          <w:bCs/>
        </w:rPr>
      </w:pPr>
      <w:r>
        <w:tab/>
      </w:r>
      <w:r w:rsidR="00A409AA">
        <w:tab/>
      </w:r>
      <w:r w:rsidR="00A409AA" w:rsidRPr="008D398D">
        <w:rPr>
          <w:b/>
        </w:rPr>
        <w:t>b)</w:t>
      </w:r>
      <w:r w:rsidR="00A409AA">
        <w:tab/>
      </w:r>
      <w:r w:rsidR="00A409AA">
        <w:rPr>
          <w:b/>
          <w:bCs/>
        </w:rPr>
        <w:t>продолжать содействовать использованию в отношении несовершеннолетних, обвиняемых в совершении уголовных преступлений, внесудебных мер, таких как их выведение из системы уголовного правосудия, посредничество и консультирование, и, по возможности, назначать несовершеннолетним меры наказания, не связанные с лишением свободы, такие как условное освобождение и общественные работы.</w:t>
      </w:r>
      <w:r w:rsidR="00A409AA">
        <w:t xml:space="preserve"> </w:t>
      </w:r>
    </w:p>
    <w:p w14:paraId="486D256D" w14:textId="77777777" w:rsidR="00A409AA" w:rsidRPr="001E51EA" w:rsidRDefault="008D398D" w:rsidP="00A409AA">
      <w:pPr>
        <w:pStyle w:val="H1G"/>
      </w:pPr>
      <w:r>
        <w:lastRenderedPageBreak/>
        <w:tab/>
      </w:r>
      <w:r w:rsidR="00A409AA">
        <w:t>K.</w:t>
      </w:r>
      <w:r w:rsidR="00A409AA">
        <w:tab/>
      </w:r>
      <w:r w:rsidR="00A409AA">
        <w:rPr>
          <w:bCs/>
        </w:rPr>
        <w:t>Последующая деятельность в связи с предыдущими заключительными замечаниями и рекомендациями Комитета по</w:t>
      </w:r>
      <w:r>
        <w:rPr>
          <w:bCs/>
        </w:rPr>
        <w:t> </w:t>
      </w:r>
      <w:r w:rsidR="00A409AA">
        <w:rPr>
          <w:bCs/>
        </w:rPr>
        <w:t>осуществлению факультативных протоколов к Конвенции</w:t>
      </w:r>
    </w:p>
    <w:p w14:paraId="1E41A070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торговли детьми, детской проституции и детской порнографии</w:t>
      </w:r>
    </w:p>
    <w:p w14:paraId="56B4BA5C" w14:textId="77777777" w:rsidR="00A409AA" w:rsidRPr="001E51EA" w:rsidRDefault="00A409AA" w:rsidP="00A409AA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Приветствуя меры, принятые для укрепления сотрудничества между компетентными органами власти в деле эффективной борьбы с торговлей детьми, и ссылаясь на свои руководящие принципы 2019 года в отношении осуществления Факультативного протокола к Конвенции о правах ребенка, касающегося торговли детьми, детской проституции и детской порнографии (CRC/C/156), Комитет рекомендует государству-участнику привести свое законодательство в соответствие со статьями 2 и 3 Факультативного протокола.</w:t>
      </w:r>
      <w:bookmarkStart w:id="10" w:name="_Hlk33626992"/>
      <w:bookmarkEnd w:id="10"/>
    </w:p>
    <w:p w14:paraId="6E5E34CF" w14:textId="77777777" w:rsidR="00A409AA" w:rsidRPr="001E51EA" w:rsidRDefault="00A409AA" w:rsidP="00A409AA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участия детей в вооруженных конфликтах</w:t>
      </w:r>
    </w:p>
    <w:p w14:paraId="2F1CDDCA" w14:textId="77777777" w:rsidR="00A409AA" w:rsidRPr="001E51EA" w:rsidRDefault="00A409AA" w:rsidP="00A409AA">
      <w:pPr>
        <w:pStyle w:val="SingleTxtG"/>
        <w:rPr>
          <w:b/>
          <w:bCs/>
        </w:rPr>
      </w:pPr>
      <w:bookmarkStart w:id="11" w:name="_Hlk33790393"/>
      <w:r>
        <w:t>44.</w:t>
      </w:r>
      <w:r>
        <w:tab/>
      </w:r>
      <w:r>
        <w:rPr>
          <w:b/>
          <w:bCs/>
        </w:rPr>
        <w:t>Принимая к сведению объяснения, представленные государством-участником в его докладе в ответ на рекомендации Комитета, вынесенные по Факультативному протоколу, касающемуся участия детей в вооруженных конфликтах, сначала в 2005 году, а затем повторно в 2012 году (CRC/C/AUT/CO/</w:t>
      </w:r>
      <w:r w:rsidR="0020457B">
        <w:rPr>
          <w:b/>
          <w:bCs/>
        </w:rPr>
        <w:br/>
      </w:r>
      <w:r>
        <w:rPr>
          <w:b/>
          <w:bCs/>
        </w:rPr>
        <w:t>3-4, пункт 57), Комитет выражает сожаление по поводу того, что государство-участник не приняло никаких конкретных мер для выполнения е</w:t>
      </w:r>
      <w:r w:rsidR="004278B5">
        <w:rPr>
          <w:b/>
          <w:bCs/>
        </w:rPr>
        <w:t xml:space="preserve">го </w:t>
      </w:r>
      <w:r>
        <w:rPr>
          <w:b/>
          <w:bCs/>
        </w:rPr>
        <w:t>рекомендаций.</w:t>
      </w:r>
      <w:r>
        <w:t xml:space="preserve"> </w:t>
      </w:r>
      <w:r>
        <w:rPr>
          <w:b/>
          <w:bCs/>
        </w:rPr>
        <w:t>Комитет настоятельно призывает государство-участник пересмотреть свою позицию о том, что оно не будет увеличивать минимальный возраст добровольного призыва до 18 лет.</w:t>
      </w:r>
      <w:bookmarkEnd w:id="11"/>
    </w:p>
    <w:p w14:paraId="01755A24" w14:textId="77777777" w:rsidR="00A409AA" w:rsidRPr="001E51EA" w:rsidRDefault="008D398D" w:rsidP="00A409AA">
      <w:pPr>
        <w:pStyle w:val="H1G"/>
      </w:pPr>
      <w:r>
        <w:tab/>
      </w:r>
      <w:r w:rsidR="00A409AA">
        <w:t>L.</w:t>
      </w:r>
      <w:r w:rsidR="00A409AA">
        <w:tab/>
      </w:r>
      <w:r w:rsidR="00A409AA">
        <w:rPr>
          <w:bCs/>
        </w:rPr>
        <w:t>Ратификация Факультативного протокола, касающегося процедуры сообщений</w:t>
      </w:r>
    </w:p>
    <w:p w14:paraId="0E0FBCB2" w14:textId="77777777" w:rsidR="00A409AA" w:rsidRPr="001E51EA" w:rsidRDefault="00A409AA" w:rsidP="00A409AA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ребенка ратифицировать Факультативный протокол к Конвенции, касающийся процедуры сообщений.</w:t>
      </w:r>
      <w:r>
        <w:t xml:space="preserve"> </w:t>
      </w:r>
    </w:p>
    <w:p w14:paraId="0CC6B330" w14:textId="77777777" w:rsidR="00A409AA" w:rsidRPr="001E51EA" w:rsidRDefault="008D398D" w:rsidP="00A409AA">
      <w:pPr>
        <w:pStyle w:val="H1G"/>
      </w:pPr>
      <w:r>
        <w:tab/>
      </w:r>
      <w:r w:rsidR="00A409AA">
        <w:t>M.</w:t>
      </w:r>
      <w:r w:rsidR="00A409AA">
        <w:tab/>
      </w:r>
      <w:r w:rsidR="00A409AA">
        <w:rPr>
          <w:bCs/>
        </w:rPr>
        <w:t>Ратификация международных договоров по правам человека</w:t>
      </w:r>
    </w:p>
    <w:p w14:paraId="3DD4F218" w14:textId="77777777" w:rsidR="00A409AA" w:rsidRPr="001E51EA" w:rsidRDefault="00A409AA" w:rsidP="00A409AA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 в целях дальнейшего укрепления осуществления прав детей рассмотреть вопрос о ратификации Международной конвенции о защите прав всех трудящихся-мигрантов и членов их семей.</w:t>
      </w:r>
    </w:p>
    <w:p w14:paraId="2D586703" w14:textId="77777777" w:rsidR="00A409AA" w:rsidRPr="001E51EA" w:rsidRDefault="008D398D" w:rsidP="00A409AA">
      <w:pPr>
        <w:pStyle w:val="H1G"/>
      </w:pPr>
      <w:r>
        <w:tab/>
      </w:r>
      <w:r w:rsidR="00A409AA">
        <w:t>N.</w:t>
      </w:r>
      <w:r w:rsidR="00A409AA">
        <w:tab/>
      </w:r>
      <w:r w:rsidR="00A409AA">
        <w:rPr>
          <w:bCs/>
        </w:rPr>
        <w:t>Сотрудничество с региональными органами</w:t>
      </w:r>
    </w:p>
    <w:p w14:paraId="3374A99E" w14:textId="77777777" w:rsidR="00A409AA" w:rsidRPr="001E51EA" w:rsidRDefault="00A409AA" w:rsidP="00A409AA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рекомендует государству-участнику сотрудничать с Советом Европы в деле осуществления Конвенции и других договоров по правам человека как в самом государстве-участнике, так и в других государствах – членах Совета Европы.</w:t>
      </w:r>
      <w:r>
        <w:t xml:space="preserve"> </w:t>
      </w:r>
    </w:p>
    <w:p w14:paraId="1D9BEFD6" w14:textId="77777777" w:rsidR="00A409AA" w:rsidRPr="001E51EA" w:rsidRDefault="008D398D" w:rsidP="00A409AA">
      <w:pPr>
        <w:pStyle w:val="HChG"/>
      </w:pPr>
      <w:r>
        <w:tab/>
      </w:r>
      <w:r w:rsidR="00A409AA">
        <w:t>V.</w:t>
      </w:r>
      <w:r w:rsidR="00A409AA">
        <w:tab/>
      </w:r>
      <w:r w:rsidR="00A409AA">
        <w:rPr>
          <w:bCs/>
        </w:rPr>
        <w:t>Меры по осуществлению и представление докладов</w:t>
      </w:r>
    </w:p>
    <w:p w14:paraId="024CABA1" w14:textId="77777777" w:rsidR="00A409AA" w:rsidRPr="001E51EA" w:rsidRDefault="008D398D" w:rsidP="00A409AA">
      <w:pPr>
        <w:pStyle w:val="H1G"/>
      </w:pPr>
      <w:r>
        <w:tab/>
      </w:r>
      <w:r w:rsidR="00A409AA">
        <w:t>A.</w:t>
      </w:r>
      <w:r w:rsidR="00A409AA">
        <w:tab/>
      </w:r>
      <w:r w:rsidR="00A409AA">
        <w:rPr>
          <w:bCs/>
        </w:rPr>
        <w:t>Последующая деятельность и распространение информации</w:t>
      </w:r>
    </w:p>
    <w:p w14:paraId="5260EC85" w14:textId="77777777" w:rsidR="00A409AA" w:rsidRPr="001E51EA" w:rsidRDefault="00A409AA" w:rsidP="00A409AA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>
        <w:t xml:space="preserve"> </w:t>
      </w:r>
      <w:r>
        <w:rPr>
          <w:b/>
          <w:bCs/>
        </w:rPr>
        <w:t xml:space="preserve">Комитет также </w:t>
      </w:r>
      <w:r>
        <w:rPr>
          <w:b/>
          <w:bCs/>
        </w:rPr>
        <w:lastRenderedPageBreak/>
        <w:t>рекомендует широко распространить на используемых в стране языках объединенные пятый и шестой периодические доклады, письменные ответы на перечень вопросов, а также настоящие заключительные замечания.</w:t>
      </w:r>
      <w:r>
        <w:t xml:space="preserve"> </w:t>
      </w:r>
    </w:p>
    <w:p w14:paraId="6B5E8A86" w14:textId="77777777" w:rsidR="00A409AA" w:rsidRPr="001E51EA" w:rsidRDefault="008D398D" w:rsidP="00A409AA">
      <w:pPr>
        <w:pStyle w:val="H1G"/>
      </w:pPr>
      <w:r>
        <w:tab/>
      </w:r>
      <w:r w:rsidR="00A409AA">
        <w:t>B.</w:t>
      </w:r>
      <w:r w:rsidR="00A409AA">
        <w:tab/>
      </w:r>
      <w:r w:rsidR="00A409AA">
        <w:rPr>
          <w:bCs/>
        </w:rPr>
        <w:t>Следующий доклад</w:t>
      </w:r>
      <w:r w:rsidR="00A409AA">
        <w:t xml:space="preserve"> </w:t>
      </w:r>
    </w:p>
    <w:p w14:paraId="24F53037" w14:textId="77777777" w:rsidR="00A409AA" w:rsidRPr="001E51EA" w:rsidRDefault="00A409AA" w:rsidP="00A409AA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предлагает государству-участнику представить свой седьмой периодический доклад не позднее 4 сентября 2025 года и включить в него информацию о последующих мерах в связи с настоящими заключительными замечаниями.</w:t>
      </w:r>
      <w:r>
        <w:t xml:space="preserve"> </w:t>
      </w:r>
      <w:r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договорам, принятых 31 января 2014 года (CRC/C/58/Rev.3), а его объем не должен превышать 21</w:t>
      </w:r>
      <w:r w:rsidR="009340CF">
        <w:rPr>
          <w:b/>
          <w:bCs/>
        </w:rPr>
        <w:t> </w:t>
      </w:r>
      <w:r>
        <w:rPr>
          <w:b/>
          <w:bCs/>
        </w:rPr>
        <w:t>200 слов (пункт 16 резолюции 68/268 Генеральной Ассамблеи).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</w:t>
      </w:r>
      <w:r>
        <w:t xml:space="preserve"> </w:t>
      </w:r>
      <w:r>
        <w:rPr>
          <w:b/>
          <w:bCs/>
        </w:rPr>
        <w:t>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  <w:r>
        <w:t xml:space="preserve"> </w:t>
      </w:r>
    </w:p>
    <w:p w14:paraId="6D47796E" w14:textId="77777777" w:rsidR="00CA0050" w:rsidRDefault="00A409AA" w:rsidP="00A409AA">
      <w:pPr>
        <w:pStyle w:val="SingleTxtG"/>
        <w:rPr>
          <w:b/>
        </w:rPr>
      </w:pPr>
      <w:r>
        <w:t>50.</w:t>
      </w:r>
      <w:r>
        <w:tab/>
      </w:r>
      <w:r w:rsidRPr="00A409AA">
        <w:rPr>
          <w:b/>
        </w:rPr>
        <w:t>Комитет также предлагает государству-участнику представить обновленный общий базовый документ, не превышающий по объему 42 400 слов, в соответствии с требованиями к общему базовому документу, содержащимися в согласованных руководящих принципах представления докладов по международным договорам по правам человека, в том числе в руководящих принципах подготовки общего базового документа и документов по конкретным договорам (HRI/GEN/2/Rev.6, глава I), и в соответствии с пунктом</w:t>
      </w:r>
      <w:r w:rsidR="00931C43">
        <w:rPr>
          <w:b/>
          <w:lang w:val="en-US"/>
        </w:rPr>
        <w:t> </w:t>
      </w:r>
      <w:r w:rsidRPr="00A409AA">
        <w:rPr>
          <w:b/>
        </w:rPr>
        <w:t>16 резолюции</w:t>
      </w:r>
      <w:r w:rsidR="00931C43">
        <w:rPr>
          <w:b/>
          <w:lang w:val="en-US"/>
        </w:rPr>
        <w:t> </w:t>
      </w:r>
      <w:r w:rsidRPr="00A409AA">
        <w:rPr>
          <w:b/>
        </w:rPr>
        <w:t>68/268 Генеральной Ассамблеи.</w:t>
      </w:r>
    </w:p>
    <w:p w14:paraId="6A0A6DCA" w14:textId="77777777" w:rsidR="00A409AA" w:rsidRPr="00A409AA" w:rsidRDefault="00A409AA" w:rsidP="00A409AA">
      <w:pPr>
        <w:pStyle w:val="SingleTxtG"/>
        <w:spacing w:before="240" w:after="0"/>
        <w:jc w:val="center"/>
        <w:rPr>
          <w:u w:val="single"/>
        </w:rPr>
      </w:pPr>
      <w:r>
        <w:rPr>
          <w:b/>
          <w:u w:val="single"/>
        </w:rPr>
        <w:tab/>
      </w:r>
      <w:r w:rsidRPr="00A409AA">
        <w:rPr>
          <w:u w:val="single"/>
        </w:rPr>
        <w:tab/>
      </w:r>
      <w:r w:rsidRPr="00A409AA">
        <w:rPr>
          <w:u w:val="single"/>
        </w:rPr>
        <w:tab/>
      </w:r>
      <w:r w:rsidRPr="00A409AA">
        <w:rPr>
          <w:u w:val="single"/>
        </w:rPr>
        <w:tab/>
      </w:r>
    </w:p>
    <w:p w14:paraId="2D22CFE7" w14:textId="77777777" w:rsidR="00381C24" w:rsidRPr="00A409AA" w:rsidRDefault="00381C24" w:rsidP="002E685D"/>
    <w:sectPr w:rsidR="00381C24" w:rsidRPr="00A409AA" w:rsidSect="00CA0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9116" w14:textId="77777777" w:rsidR="00705ADC" w:rsidRPr="00A312BC" w:rsidRDefault="00705ADC" w:rsidP="00A312BC"/>
  </w:endnote>
  <w:endnote w:type="continuationSeparator" w:id="0">
    <w:p w14:paraId="35D30639" w14:textId="77777777" w:rsidR="00705ADC" w:rsidRPr="00A312BC" w:rsidRDefault="00705A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43C7" w14:textId="77777777" w:rsidR="00CA0050" w:rsidRPr="00CA0050" w:rsidRDefault="00CA0050">
    <w:pPr>
      <w:pStyle w:val="a8"/>
    </w:pPr>
    <w:r w:rsidRPr="00CA0050">
      <w:rPr>
        <w:b/>
        <w:sz w:val="18"/>
      </w:rPr>
      <w:fldChar w:fldCharType="begin"/>
    </w:r>
    <w:r w:rsidRPr="00CA0050">
      <w:rPr>
        <w:b/>
        <w:sz w:val="18"/>
      </w:rPr>
      <w:instrText xml:space="preserve"> PAGE  \* MERGEFORMAT </w:instrText>
    </w:r>
    <w:r w:rsidRPr="00CA0050">
      <w:rPr>
        <w:b/>
        <w:sz w:val="18"/>
      </w:rPr>
      <w:fldChar w:fldCharType="separate"/>
    </w:r>
    <w:r w:rsidRPr="00CA0050">
      <w:rPr>
        <w:b/>
        <w:noProof/>
        <w:sz w:val="18"/>
      </w:rPr>
      <w:t>2</w:t>
    </w:r>
    <w:r w:rsidRPr="00CA0050">
      <w:rPr>
        <w:b/>
        <w:sz w:val="18"/>
      </w:rPr>
      <w:fldChar w:fldCharType="end"/>
    </w:r>
    <w:r>
      <w:rPr>
        <w:b/>
        <w:sz w:val="18"/>
      </w:rPr>
      <w:tab/>
    </w:r>
    <w:r>
      <w:t>GE.20-03532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7A7C" w14:textId="77777777" w:rsidR="00CA0050" w:rsidRPr="00CA0050" w:rsidRDefault="00CA0050" w:rsidP="00CA0050">
    <w:pPr>
      <w:pStyle w:val="a8"/>
      <w:tabs>
        <w:tab w:val="clear" w:pos="9639"/>
        <w:tab w:val="right" w:pos="9638"/>
      </w:tabs>
      <w:rPr>
        <w:b/>
        <w:sz w:val="18"/>
      </w:rPr>
    </w:pPr>
    <w:r>
      <w:t>GE.20-03532</w:t>
    </w:r>
    <w:r>
      <w:tab/>
    </w:r>
    <w:r w:rsidRPr="00CA0050">
      <w:rPr>
        <w:b/>
        <w:sz w:val="18"/>
      </w:rPr>
      <w:fldChar w:fldCharType="begin"/>
    </w:r>
    <w:r w:rsidRPr="00CA0050">
      <w:rPr>
        <w:b/>
        <w:sz w:val="18"/>
      </w:rPr>
      <w:instrText xml:space="preserve"> PAGE  \* MERGEFORMAT </w:instrText>
    </w:r>
    <w:r w:rsidRPr="00CA0050">
      <w:rPr>
        <w:b/>
        <w:sz w:val="18"/>
      </w:rPr>
      <w:fldChar w:fldCharType="separate"/>
    </w:r>
    <w:r w:rsidRPr="00CA0050">
      <w:rPr>
        <w:b/>
        <w:noProof/>
        <w:sz w:val="18"/>
      </w:rPr>
      <w:t>3</w:t>
    </w:r>
    <w:r w:rsidRPr="00CA00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17DC" w14:textId="77777777" w:rsidR="00042B72" w:rsidRPr="00CA0050" w:rsidRDefault="00CA0050" w:rsidP="00CA005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CAD8F6" wp14:editId="46F23EC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20-03532  (R)</w:t>
    </w:r>
    <w:r w:rsidR="00BE17AF">
      <w:rPr>
        <w:lang w:val="en-US"/>
      </w:rPr>
      <w:t xml:space="preserve">  300320  300320</w:t>
    </w:r>
    <w:r>
      <w:br/>
    </w:r>
    <w:r w:rsidRPr="00CA0050">
      <w:rPr>
        <w:rFonts w:ascii="C39T30Lfz" w:hAnsi="C39T30Lfz"/>
        <w:kern w:val="14"/>
        <w:sz w:val="56"/>
      </w:rPr>
      <w:t></w:t>
    </w:r>
    <w:r w:rsidRPr="00CA0050">
      <w:rPr>
        <w:rFonts w:ascii="C39T30Lfz" w:hAnsi="C39T30Lfz"/>
        <w:kern w:val="14"/>
        <w:sz w:val="56"/>
      </w:rPr>
      <w:t></w:t>
    </w:r>
    <w:r w:rsidRPr="00CA0050">
      <w:rPr>
        <w:rFonts w:ascii="C39T30Lfz" w:hAnsi="C39T30Lfz"/>
        <w:kern w:val="14"/>
        <w:sz w:val="56"/>
      </w:rPr>
      <w:t></w:t>
    </w:r>
    <w:r w:rsidRPr="00CA0050">
      <w:rPr>
        <w:rFonts w:ascii="C39T30Lfz" w:hAnsi="C39T30Lfz"/>
        <w:kern w:val="14"/>
        <w:sz w:val="56"/>
      </w:rPr>
      <w:t></w:t>
    </w:r>
    <w:r w:rsidRPr="00CA0050">
      <w:rPr>
        <w:rFonts w:ascii="C39T30Lfz" w:hAnsi="C39T30Lfz"/>
        <w:kern w:val="14"/>
        <w:sz w:val="56"/>
      </w:rPr>
      <w:t></w:t>
    </w:r>
    <w:r w:rsidRPr="00CA0050">
      <w:rPr>
        <w:rFonts w:ascii="C39T30Lfz" w:hAnsi="C39T30Lfz"/>
        <w:kern w:val="14"/>
        <w:sz w:val="56"/>
      </w:rPr>
      <w:t></w:t>
    </w:r>
    <w:r w:rsidRPr="00CA0050">
      <w:rPr>
        <w:rFonts w:ascii="C39T30Lfz" w:hAnsi="C39T30Lfz"/>
        <w:kern w:val="14"/>
        <w:sz w:val="56"/>
      </w:rPr>
      <w:t></w:t>
    </w:r>
    <w:r w:rsidRPr="00CA0050">
      <w:rPr>
        <w:rFonts w:ascii="C39T30Lfz" w:hAnsi="C39T30Lfz"/>
        <w:kern w:val="14"/>
        <w:sz w:val="56"/>
      </w:rPr>
      <w:t></w:t>
    </w:r>
    <w:r w:rsidRPr="00CA005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50AED0" wp14:editId="224F366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AUT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AUT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E1B8" w14:textId="77777777" w:rsidR="00705ADC" w:rsidRPr="001075E9" w:rsidRDefault="00705A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5B54E2" w14:textId="77777777" w:rsidR="00705ADC" w:rsidRDefault="00705A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3E618C1" w14:textId="77777777" w:rsidR="00A409AA" w:rsidRPr="001E51EA" w:rsidRDefault="00A409AA" w:rsidP="00931C43">
      <w:pPr>
        <w:pStyle w:val="ad"/>
      </w:pPr>
      <w:r>
        <w:tab/>
      </w:r>
      <w:r w:rsidRPr="00931C43">
        <w:rPr>
          <w:sz w:val="20"/>
        </w:rPr>
        <w:t>*</w:t>
      </w:r>
      <w:r>
        <w:tab/>
        <w:t xml:space="preserve">Приняты Комитетом на его восемьдесят третьей сессии (20 января – 7 февраля 2020 года).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7940" w14:textId="77B0A7E9" w:rsidR="00CA0050" w:rsidRPr="00CA0050" w:rsidRDefault="00CA0050">
    <w:pPr>
      <w:pStyle w:val="a5"/>
    </w:pPr>
    <w:fldSimple w:instr=" TITLE  \* MERGEFORMAT ">
      <w:r w:rsidR="00254AF9">
        <w:t>CRC/C/AUT/CO/5-6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C3F2" w14:textId="1563C230" w:rsidR="00CA0050" w:rsidRPr="00CA0050" w:rsidRDefault="00CA0050" w:rsidP="00CA0050">
    <w:pPr>
      <w:pStyle w:val="a5"/>
      <w:jc w:val="right"/>
    </w:pPr>
    <w:fldSimple w:instr=" TITLE  \* MERGEFORMAT ">
      <w:r w:rsidR="00254AF9">
        <w:t>CRC/C/AUT/CO/5-6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33D0" w14:textId="77777777" w:rsidR="00BE17AF" w:rsidRDefault="00BE17AF" w:rsidP="00BE17A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DC"/>
    <w:rsid w:val="0002742D"/>
    <w:rsid w:val="00033EE1"/>
    <w:rsid w:val="00042B72"/>
    <w:rsid w:val="00047ACC"/>
    <w:rsid w:val="000558BD"/>
    <w:rsid w:val="000B57E7"/>
    <w:rsid w:val="000B6373"/>
    <w:rsid w:val="000F09DF"/>
    <w:rsid w:val="000F61B2"/>
    <w:rsid w:val="00104488"/>
    <w:rsid w:val="001075E9"/>
    <w:rsid w:val="0011585E"/>
    <w:rsid w:val="00180183"/>
    <w:rsid w:val="0018024D"/>
    <w:rsid w:val="0018649F"/>
    <w:rsid w:val="00196389"/>
    <w:rsid w:val="001B3EF6"/>
    <w:rsid w:val="001C7A89"/>
    <w:rsid w:val="0020457B"/>
    <w:rsid w:val="00254AF9"/>
    <w:rsid w:val="00264127"/>
    <w:rsid w:val="00284D66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3B012E"/>
    <w:rsid w:val="003D18FA"/>
    <w:rsid w:val="00407B78"/>
    <w:rsid w:val="00424203"/>
    <w:rsid w:val="004278B5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77DC6"/>
    <w:rsid w:val="005961C8"/>
    <w:rsid w:val="005C1E96"/>
    <w:rsid w:val="005D7914"/>
    <w:rsid w:val="005E2B41"/>
    <w:rsid w:val="005E306A"/>
    <w:rsid w:val="005F0B42"/>
    <w:rsid w:val="00607F47"/>
    <w:rsid w:val="006340F2"/>
    <w:rsid w:val="00654AB1"/>
    <w:rsid w:val="00681A10"/>
    <w:rsid w:val="006A1ED8"/>
    <w:rsid w:val="006A5E22"/>
    <w:rsid w:val="006C2031"/>
    <w:rsid w:val="006D461A"/>
    <w:rsid w:val="006F35EE"/>
    <w:rsid w:val="007021FF"/>
    <w:rsid w:val="00705ADC"/>
    <w:rsid w:val="00712895"/>
    <w:rsid w:val="00757357"/>
    <w:rsid w:val="007A41BF"/>
    <w:rsid w:val="007B4656"/>
    <w:rsid w:val="00806737"/>
    <w:rsid w:val="00825F8D"/>
    <w:rsid w:val="00834B71"/>
    <w:rsid w:val="00842C2B"/>
    <w:rsid w:val="0086445C"/>
    <w:rsid w:val="00864D2F"/>
    <w:rsid w:val="00894693"/>
    <w:rsid w:val="008A08D7"/>
    <w:rsid w:val="008B6909"/>
    <w:rsid w:val="008D398D"/>
    <w:rsid w:val="008F3832"/>
    <w:rsid w:val="00906890"/>
    <w:rsid w:val="00911BE4"/>
    <w:rsid w:val="00931C43"/>
    <w:rsid w:val="009340CF"/>
    <w:rsid w:val="00936C41"/>
    <w:rsid w:val="00951972"/>
    <w:rsid w:val="009608F3"/>
    <w:rsid w:val="009A24AC"/>
    <w:rsid w:val="00A10705"/>
    <w:rsid w:val="00A14DA8"/>
    <w:rsid w:val="00A312BC"/>
    <w:rsid w:val="00A409AA"/>
    <w:rsid w:val="00A65BF1"/>
    <w:rsid w:val="00A84021"/>
    <w:rsid w:val="00A84D35"/>
    <w:rsid w:val="00A917B3"/>
    <w:rsid w:val="00AA0C13"/>
    <w:rsid w:val="00AB4B51"/>
    <w:rsid w:val="00B10CC7"/>
    <w:rsid w:val="00B2250C"/>
    <w:rsid w:val="00B36DF7"/>
    <w:rsid w:val="00B46172"/>
    <w:rsid w:val="00B539E7"/>
    <w:rsid w:val="00B55AFB"/>
    <w:rsid w:val="00B62458"/>
    <w:rsid w:val="00B741B7"/>
    <w:rsid w:val="00B937DF"/>
    <w:rsid w:val="00BA684A"/>
    <w:rsid w:val="00BC18B2"/>
    <w:rsid w:val="00BD33EE"/>
    <w:rsid w:val="00BE17AF"/>
    <w:rsid w:val="00C106D6"/>
    <w:rsid w:val="00C45D65"/>
    <w:rsid w:val="00C60F0C"/>
    <w:rsid w:val="00C805C9"/>
    <w:rsid w:val="00C92939"/>
    <w:rsid w:val="00CA0050"/>
    <w:rsid w:val="00CA0164"/>
    <w:rsid w:val="00CA1679"/>
    <w:rsid w:val="00CB151C"/>
    <w:rsid w:val="00CE5A1A"/>
    <w:rsid w:val="00CF55F6"/>
    <w:rsid w:val="00D121D2"/>
    <w:rsid w:val="00D12385"/>
    <w:rsid w:val="00D33D63"/>
    <w:rsid w:val="00D53C43"/>
    <w:rsid w:val="00D65ADD"/>
    <w:rsid w:val="00D90028"/>
    <w:rsid w:val="00D90138"/>
    <w:rsid w:val="00DB2AED"/>
    <w:rsid w:val="00DD1B9F"/>
    <w:rsid w:val="00DD78D1"/>
    <w:rsid w:val="00DE1746"/>
    <w:rsid w:val="00DE32CD"/>
    <w:rsid w:val="00DF71B9"/>
    <w:rsid w:val="00E3311E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86B1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C023B3"/>
  <w15:docId w15:val="{003B4EBA-2C32-4C10-B904-1DD7C8AC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3</TotalTime>
  <Pages>14</Pages>
  <Words>4849</Words>
  <Characters>35304</Characters>
  <Application>Microsoft Office Word</Application>
  <DocSecurity>0</DocSecurity>
  <Lines>5043</Lines>
  <Paragraphs>1544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CRC/C/AUT/CO/5-6</vt:lpstr>
      <vt:lpstr>A/</vt:lpstr>
      <vt:lpstr>A/</vt:lpstr>
    </vt:vector>
  </TitlesOfParts>
  <Company>DCM</Company>
  <LinksUpToDate>false</LinksUpToDate>
  <CharactersWithSpaces>38609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CRC/C/AUT/CO/5-6</dc:title>
  <dc:subject/>
  <dc:creator>Olga OVTCHINNIKOVA</dc:creator>
  <cp:keywords/>
  <cp:lastModifiedBy>Olga Ovchinnikova</cp:lastModifiedBy>
  <cp:revision>3</cp:revision>
  <cp:lastPrinted>2020-03-30T14:27:00Z</cp:lastPrinted>
  <dcterms:created xsi:type="dcterms:W3CDTF">2020-03-30T14:27:00Z</dcterms:created>
  <dcterms:modified xsi:type="dcterms:W3CDTF">2020-03-30T14:30:00Z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