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4A35" w14:textId="77777777" w:rsidR="004405BB" w:rsidRPr="00B80934" w:rsidRDefault="004405BB" w:rsidP="004405BB">
      <w:pPr>
        <w:spacing w:line="240" w:lineRule="auto"/>
        <w:rPr>
          <w:sz w:val="2"/>
          <w:lang w:val="en-US"/>
        </w:rPr>
        <w:sectPr w:rsidR="004405BB" w:rsidRPr="00B80934" w:rsidSect="003E1C57">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3AF4495A" w14:textId="323B7BA3" w:rsidR="00FF0818" w:rsidRPr="001D3647" w:rsidRDefault="00FF0818" w:rsidP="003714A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800"/>
        <w:rPr>
          <w:lang w:val="fr-CH"/>
        </w:rPr>
      </w:pPr>
      <w:r>
        <w:rPr>
          <w:lang w:val="fr-FR"/>
        </w:rPr>
        <w:t xml:space="preserve">Comité sur l’élimination de </w:t>
      </w:r>
      <w:r w:rsidR="003714A2">
        <w:rPr>
          <w:lang w:val="fr-FR"/>
        </w:rPr>
        <w:t>la</w:t>
      </w:r>
      <w:r>
        <w:rPr>
          <w:lang w:val="fr-FR"/>
        </w:rPr>
        <w:t xml:space="preserve"> discrimination à l’égard des femmes</w:t>
      </w:r>
    </w:p>
    <w:p w14:paraId="48AECD99" w14:textId="77777777" w:rsidR="00FF0818" w:rsidRPr="001D3647" w:rsidRDefault="00FF0818" w:rsidP="00FF0818">
      <w:pPr>
        <w:pStyle w:val="Session"/>
        <w:rPr>
          <w:lang w:val="fr-CH"/>
        </w:rPr>
      </w:pPr>
      <w:r>
        <w:t>Quatre-vingt-unième session</w:t>
      </w:r>
    </w:p>
    <w:p w14:paraId="7512407E" w14:textId="77777777" w:rsidR="00FF0818" w:rsidRPr="001D3647" w:rsidRDefault="00FF0818" w:rsidP="003714A2">
      <w:pPr>
        <w:rPr>
          <w:b/>
          <w:lang w:val="fr-CH"/>
        </w:rPr>
      </w:pPr>
      <w:r w:rsidRPr="001D3647">
        <w:rPr>
          <w:lang w:val="fr-CH"/>
        </w:rPr>
        <w:t>7</w:t>
      </w:r>
      <w:r>
        <w:t xml:space="preserve"> février-4 mars 2022</w:t>
      </w:r>
    </w:p>
    <w:p w14:paraId="584120C7" w14:textId="77777777" w:rsidR="00FF0818" w:rsidRPr="001D3647" w:rsidRDefault="00FF0818" w:rsidP="003714A2">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FR"/>
        </w:rPr>
        <w:t>Point</w:t>
      </w:r>
      <w:r w:rsidRPr="001D3647">
        <w:rPr>
          <w:lang w:val="fr-CH"/>
        </w:rPr>
        <w:t xml:space="preserve"> 4 </w:t>
      </w:r>
      <w:r>
        <w:rPr>
          <w:lang w:val="fr-FR"/>
        </w:rPr>
        <w:t>de l’ordre du jour provisoire</w:t>
      </w:r>
    </w:p>
    <w:p w14:paraId="559347A3" w14:textId="53FE20E8" w:rsidR="00FF0818" w:rsidRPr="001D3647" w:rsidRDefault="00FF0818" w:rsidP="003714A2">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340"/>
        <w:rPr>
          <w:lang w:val="fr-CH"/>
        </w:rPr>
      </w:pPr>
      <w:r>
        <w:rPr>
          <w:lang w:val="fr-FR"/>
        </w:rPr>
        <w:t>Examen des rapports soumis par les États parties en application de l’article 18 de la Convention sur</w:t>
      </w:r>
      <w:r w:rsidR="003714A2">
        <w:rPr>
          <w:lang w:val="fr-FR"/>
        </w:rPr>
        <w:t> </w:t>
      </w:r>
      <w:r>
        <w:rPr>
          <w:lang w:val="fr-FR"/>
        </w:rPr>
        <w:t>l’élimination de toutes les formes de</w:t>
      </w:r>
      <w:r w:rsidR="003714A2">
        <w:rPr>
          <w:lang w:val="fr-FR"/>
        </w:rPr>
        <w:t> </w:t>
      </w:r>
      <w:r>
        <w:rPr>
          <w:lang w:val="fr-FR"/>
        </w:rPr>
        <w:t>discrimination à l’égard des femmes</w:t>
      </w:r>
    </w:p>
    <w:p w14:paraId="0E300DC9" w14:textId="77777777" w:rsidR="00FF0818" w:rsidRPr="001D3647" w:rsidRDefault="00FF0818" w:rsidP="00FF0818">
      <w:pPr>
        <w:pStyle w:val="SingleTxt"/>
        <w:spacing w:after="0" w:line="120" w:lineRule="exact"/>
        <w:rPr>
          <w:sz w:val="10"/>
          <w:lang w:val="fr-CH"/>
        </w:rPr>
      </w:pPr>
    </w:p>
    <w:p w14:paraId="648D9C21" w14:textId="77777777" w:rsidR="00FF0818" w:rsidRPr="001D3647" w:rsidRDefault="00FF0818" w:rsidP="00FF0818">
      <w:pPr>
        <w:pStyle w:val="SingleTxt"/>
        <w:spacing w:after="0" w:line="120" w:lineRule="exact"/>
        <w:rPr>
          <w:sz w:val="10"/>
          <w:lang w:val="fr-CH"/>
        </w:rPr>
      </w:pPr>
    </w:p>
    <w:p w14:paraId="27AB7C1A" w14:textId="77777777" w:rsidR="00FF0818" w:rsidRPr="001D3647" w:rsidRDefault="00FF0818" w:rsidP="00FF0818">
      <w:pPr>
        <w:pStyle w:val="SingleTxt"/>
        <w:spacing w:after="0" w:line="120" w:lineRule="exact"/>
        <w:rPr>
          <w:sz w:val="10"/>
          <w:lang w:val="fr-CH"/>
        </w:rPr>
      </w:pPr>
    </w:p>
    <w:p w14:paraId="578D63C0" w14:textId="056FF526" w:rsidR="004D4A1D" w:rsidRDefault="004D4A1D" w:rsidP="004D4A1D">
      <w:pPr>
        <w:framePr w:w="9792" w:h="432" w:hSpace="180" w:wrap="around" w:vAnchor="page" w:hAnchor="page" w:x="1187" w:y="1363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025AF07E" wp14:editId="310AB385">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AD8E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4D4A1D">
        <w:rPr>
          <w:spacing w:val="5"/>
          <w:w w:val="104"/>
          <w:sz w:val="17"/>
          <w:szCs w:val="20"/>
        </w:rPr>
        <w:t>La version originale du présent document n’a pas été revue par les services d’édition.</w:t>
      </w:r>
    </w:p>
    <w:p w14:paraId="1D9E4873" w14:textId="0DC535A0" w:rsidR="004D4A1D" w:rsidRPr="004D4A1D" w:rsidRDefault="004D4A1D" w:rsidP="004D4A1D">
      <w:pPr>
        <w:framePr w:w="9792" w:h="432" w:hSpace="180" w:wrap="around" w:vAnchor="page" w:hAnchor="page" w:x="1187" w:y="1363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Pr>
          <w:spacing w:val="5"/>
          <w:w w:val="104"/>
          <w:sz w:val="17"/>
          <w:szCs w:val="20"/>
        </w:rPr>
        <w:tab/>
        <w:t>**</w:t>
      </w:r>
      <w:r>
        <w:rPr>
          <w:spacing w:val="5"/>
          <w:w w:val="104"/>
          <w:sz w:val="17"/>
          <w:szCs w:val="20"/>
        </w:rPr>
        <w:tab/>
      </w:r>
      <w:r w:rsidRPr="004D4A1D">
        <w:rPr>
          <w:spacing w:val="5"/>
          <w:w w:val="104"/>
          <w:sz w:val="17"/>
          <w:szCs w:val="20"/>
        </w:rPr>
        <w:t>L’annexe au présent document peut être consultée sur la page Web du Comité.</w:t>
      </w:r>
    </w:p>
    <w:p w14:paraId="78C4AA50" w14:textId="0DDFC45D" w:rsidR="00FF0818" w:rsidRPr="001D3647" w:rsidRDefault="00FF0818" w:rsidP="00C91DE1">
      <w:pPr>
        <w:pStyle w:val="TitleHCH"/>
        <w:rPr>
          <w:lang w:val="fr-CH"/>
        </w:rPr>
      </w:pPr>
      <w:r w:rsidRPr="001D3647">
        <w:rPr>
          <w:lang w:val="fr-CH"/>
        </w:rPr>
        <w:tab/>
      </w:r>
      <w:r w:rsidRPr="001D3647">
        <w:rPr>
          <w:lang w:val="fr-CH"/>
        </w:rPr>
        <w:tab/>
      </w:r>
      <w:r>
        <w:rPr>
          <w:lang w:val="fr-FR"/>
        </w:rPr>
        <w:t>Réponses de l’Ouzbékistan à la liste de points et</w:t>
      </w:r>
      <w:r w:rsidR="00C91DE1">
        <w:rPr>
          <w:lang w:val="fr-FR"/>
        </w:rPr>
        <w:t> </w:t>
      </w:r>
      <w:r>
        <w:rPr>
          <w:lang w:val="fr-FR"/>
        </w:rPr>
        <w:t>de</w:t>
      </w:r>
      <w:r w:rsidR="00C91DE1">
        <w:rPr>
          <w:lang w:val="fr-FR"/>
        </w:rPr>
        <w:t> </w:t>
      </w:r>
      <w:r>
        <w:rPr>
          <w:lang w:val="fr-FR"/>
        </w:rPr>
        <w:t>questions concernant son sixième rapport périodique</w:t>
      </w:r>
      <w:r w:rsidR="003714A2" w:rsidRPr="009D4781">
        <w:rPr>
          <w:rFonts w:eastAsiaTheme="minorEastAsia"/>
          <w:b w:val="0"/>
          <w:spacing w:val="0"/>
          <w:w w:val="100"/>
          <w:kern w:val="0"/>
          <w:sz w:val="20"/>
          <w:szCs w:val="20"/>
          <w:lang w:eastAsia="es-ES"/>
        </w:rPr>
        <w:t>*</w:t>
      </w:r>
      <w:r w:rsidR="004D4A1D" w:rsidRPr="004D4A1D">
        <w:rPr>
          <w:sz w:val="20"/>
          <w:szCs w:val="20"/>
          <w:vertAlign w:val="superscript"/>
          <w:lang w:val="fr-FR"/>
        </w:rPr>
        <w:t>,</w:t>
      </w:r>
      <w:r w:rsidR="003714A2" w:rsidRPr="003714A2">
        <w:rPr>
          <w:sz w:val="20"/>
          <w:szCs w:val="20"/>
          <w:lang w:val="fr-FR"/>
        </w:rPr>
        <w:t xml:space="preserve"> </w:t>
      </w:r>
      <w:r w:rsidR="003714A2" w:rsidRPr="009D4781">
        <w:rPr>
          <w:rFonts w:eastAsiaTheme="minorEastAsia"/>
          <w:b w:val="0"/>
          <w:spacing w:val="0"/>
          <w:w w:val="100"/>
          <w:kern w:val="0"/>
          <w:sz w:val="20"/>
          <w:szCs w:val="20"/>
          <w:lang w:eastAsia="es-ES"/>
        </w:rPr>
        <w:t>**</w:t>
      </w:r>
    </w:p>
    <w:p w14:paraId="2BC6BA19" w14:textId="7E12B042" w:rsidR="00FF0818" w:rsidRDefault="00FF0818" w:rsidP="00FF0818">
      <w:pPr>
        <w:pStyle w:val="SingleTxt"/>
        <w:spacing w:after="0" w:line="120" w:lineRule="exact"/>
        <w:rPr>
          <w:sz w:val="10"/>
          <w:lang w:val="fr-CH"/>
        </w:rPr>
      </w:pPr>
    </w:p>
    <w:p w14:paraId="2E00BF80" w14:textId="77777777" w:rsidR="003714A2" w:rsidRPr="001D3647" w:rsidRDefault="003714A2" w:rsidP="00FF0818">
      <w:pPr>
        <w:pStyle w:val="SingleTxt"/>
        <w:spacing w:after="0" w:line="120" w:lineRule="exact"/>
        <w:rPr>
          <w:sz w:val="10"/>
          <w:lang w:val="fr-CH"/>
        </w:rPr>
      </w:pPr>
    </w:p>
    <w:p w14:paraId="3EDD228D" w14:textId="77777777" w:rsidR="00FF0818" w:rsidRPr="001D3647" w:rsidRDefault="00FF0818" w:rsidP="00FF0818">
      <w:pPr>
        <w:ind w:right="1218"/>
        <w:jc w:val="right"/>
        <w:rPr>
          <w:lang w:val="fr-CH"/>
        </w:rPr>
      </w:pPr>
      <w:r w:rsidRPr="001D3647">
        <w:rPr>
          <w:lang w:val="fr-CH"/>
        </w:rPr>
        <w:t>[</w:t>
      </w:r>
      <w:r>
        <w:rPr>
          <w:lang w:val="fr-FR"/>
        </w:rPr>
        <w:t>Date de réception </w:t>
      </w:r>
      <w:r w:rsidRPr="001D3647">
        <w:rPr>
          <w:lang w:val="fr-CH"/>
        </w:rPr>
        <w:t xml:space="preserve">: 4 </w:t>
      </w:r>
      <w:r>
        <w:rPr>
          <w:lang w:val="fr-FR"/>
        </w:rPr>
        <w:t>novembre 2020</w:t>
      </w:r>
      <w:r w:rsidRPr="001D3647">
        <w:rPr>
          <w:lang w:val="fr-CH"/>
        </w:rPr>
        <w:t>]</w:t>
      </w:r>
    </w:p>
    <w:p w14:paraId="7C497C28" w14:textId="77777777" w:rsidR="00FF0818" w:rsidRPr="001D3647" w:rsidRDefault="00FF0818" w:rsidP="00FF0818">
      <w:pPr>
        <w:pStyle w:val="SingleTxt"/>
        <w:spacing w:after="0" w:line="120" w:lineRule="exact"/>
        <w:rPr>
          <w:sz w:val="10"/>
          <w:lang w:val="fr-CH"/>
        </w:rPr>
      </w:pPr>
    </w:p>
    <w:p w14:paraId="2A2D1573" w14:textId="77777777" w:rsidR="00FF0818" w:rsidRPr="0037061B" w:rsidRDefault="00FF0818" w:rsidP="00FF0818">
      <w:pPr>
        <w:spacing w:after="200" w:line="276" w:lineRule="auto"/>
        <w:rPr>
          <w:b/>
          <w:spacing w:val="-2"/>
          <w:sz w:val="28"/>
          <w:lang w:val="fr-FR"/>
        </w:rPr>
      </w:pPr>
      <w:r w:rsidRPr="001D3647">
        <w:rPr>
          <w:lang w:val="fr-CH"/>
        </w:rPr>
        <w:br w:type="page"/>
      </w:r>
    </w:p>
    <w:p w14:paraId="1E9CADA1" w14:textId="4BC48FBE" w:rsidR="00FF0818" w:rsidRPr="001D3647" w:rsidRDefault="00FF0818" w:rsidP="0037061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D4A1D">
        <w:rPr>
          <w:sz w:val="20"/>
          <w:lang w:val="fr-CH"/>
        </w:rPr>
        <w:lastRenderedPageBreak/>
        <w:tab/>
      </w:r>
      <w:r w:rsidRPr="001D3647">
        <w:rPr>
          <w:lang w:val="fr-CH"/>
        </w:rPr>
        <w:tab/>
      </w:r>
      <w:r w:rsidRPr="009D4781">
        <w:rPr>
          <w:lang w:val="fr-CA"/>
        </w:rPr>
        <w:t>Visibilité de la Convention</w:t>
      </w:r>
    </w:p>
    <w:p w14:paraId="7BBDAC96" w14:textId="77777777" w:rsidR="00FF0818" w:rsidRPr="0037061B" w:rsidRDefault="00FF0818" w:rsidP="00FF0818">
      <w:pPr>
        <w:pStyle w:val="SingleTxt"/>
        <w:spacing w:after="0" w:line="120" w:lineRule="exact"/>
        <w:rPr>
          <w:bCs/>
          <w:sz w:val="10"/>
          <w:lang w:val="fr-CH"/>
        </w:rPr>
      </w:pPr>
    </w:p>
    <w:p w14:paraId="3692F20D" w14:textId="77777777" w:rsidR="00FF0818" w:rsidRPr="0037061B" w:rsidRDefault="00FF0818" w:rsidP="00FF0818">
      <w:pPr>
        <w:pStyle w:val="SingleTxt"/>
        <w:spacing w:after="0" w:line="120" w:lineRule="exact"/>
        <w:rPr>
          <w:bCs/>
          <w:sz w:val="10"/>
          <w:lang w:val="fr-CH"/>
        </w:rPr>
      </w:pPr>
    </w:p>
    <w:p w14:paraId="3E5CA46E" w14:textId="77777777" w:rsidR="00FF0818" w:rsidRPr="001D3647" w:rsidRDefault="00FF0818" w:rsidP="003706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w:t>
      </w:r>
    </w:p>
    <w:p w14:paraId="031CE349" w14:textId="77777777" w:rsidR="00FF0818" w:rsidRDefault="00FF0818" w:rsidP="00FF0818">
      <w:pPr>
        <w:pStyle w:val="SingleTxt"/>
        <w:spacing w:after="0" w:line="120" w:lineRule="exact"/>
        <w:rPr>
          <w:sz w:val="10"/>
          <w:lang w:val="uz-Cyrl-UZ" w:bidi="ru-RU"/>
        </w:rPr>
      </w:pPr>
    </w:p>
    <w:p w14:paraId="06481A66" w14:textId="3FE81B77" w:rsidR="00FF0818" w:rsidRPr="001D3647" w:rsidRDefault="00FF0818" w:rsidP="0037061B">
      <w:pPr>
        <w:pStyle w:val="SingleTxt"/>
        <w:numPr>
          <w:ilvl w:val="0"/>
          <w:numId w:val="17"/>
        </w:numPr>
        <w:spacing w:line="240" w:lineRule="exact"/>
        <w:ind w:left="1267"/>
        <w:rPr>
          <w:lang w:val="fr-CH"/>
        </w:rPr>
      </w:pPr>
      <w:r>
        <w:rPr>
          <w:lang w:val="fr-FR"/>
        </w:rPr>
        <w:t>Les tribunaux et organes en charge de l’application des lois mènent régulièrement des activités de sensibilisation à la violence fondée sur le genre, notamment les suivantes :</w:t>
      </w:r>
    </w:p>
    <w:p w14:paraId="17297B59" w14:textId="46728BC8"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CH"/>
        </w:rPr>
        <w:t xml:space="preserve">En 2018, des juges ont fait </w:t>
      </w:r>
      <w:r>
        <w:rPr>
          <w:lang w:val="fr-FR"/>
        </w:rPr>
        <w:t>80 interventions dans les médias et tenu 252 conférences </w:t>
      </w:r>
      <w:r w:rsidRPr="001D3647">
        <w:rPr>
          <w:lang w:val="fr-CH"/>
        </w:rPr>
        <w:t>;</w:t>
      </w:r>
    </w:p>
    <w:p w14:paraId="2D6DC9F5" w14:textId="3369528C"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CH"/>
        </w:rPr>
        <w:t xml:space="preserve">Les organes judiciaires ont </w:t>
      </w:r>
      <w:r>
        <w:rPr>
          <w:lang w:val="fr-FR"/>
        </w:rPr>
        <w:t>établi et diffusé 2 guides de formation </w:t>
      </w:r>
      <w:r w:rsidRPr="001D3647">
        <w:rPr>
          <w:lang w:val="fr-CH"/>
        </w:rPr>
        <w:t>;</w:t>
      </w:r>
    </w:p>
    <w:p w14:paraId="67E99547"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CH"/>
        </w:rPr>
        <w:t xml:space="preserve">En 2019, des juges ont fait </w:t>
      </w:r>
      <w:r w:rsidRPr="001D3647">
        <w:rPr>
          <w:lang w:val="fr-CH"/>
        </w:rPr>
        <w:t>151 </w:t>
      </w:r>
      <w:r>
        <w:rPr>
          <w:lang w:val="fr-FR"/>
        </w:rPr>
        <w:t>interventions dans les médias et tenu 319 conférences ;</w:t>
      </w:r>
    </w:p>
    <w:p w14:paraId="0710C21D" w14:textId="6A9084FF"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CH"/>
        </w:rPr>
        <w:t xml:space="preserve">Au cours des huit premiers mois de 2020, des juges ont fait </w:t>
      </w:r>
      <w:r>
        <w:rPr>
          <w:lang w:val="fr-FR"/>
        </w:rPr>
        <w:t>104 interventions dans les médias et tenu 128 conférences</w:t>
      </w:r>
      <w:r w:rsidR="0037061B">
        <w:rPr>
          <w:lang w:val="fr-FR"/>
        </w:rPr>
        <w:t> </w:t>
      </w:r>
      <w:r>
        <w:rPr>
          <w:lang w:val="fr-FR"/>
        </w:rPr>
        <w:t>;</w:t>
      </w:r>
    </w:p>
    <w:p w14:paraId="28F39154"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CH"/>
        </w:rPr>
        <w:t xml:space="preserve">Les tribunaux ont diffusé </w:t>
      </w:r>
      <w:r>
        <w:rPr>
          <w:lang w:val="fr-FR"/>
        </w:rPr>
        <w:t>341 guides de formation. Lors de la seule année 2020, des magistrats du Parquet ont mené 287 activités d’information consacrées à la législation en matière de défense des droits des femmes, dont 102 dans les médias.</w:t>
      </w:r>
    </w:p>
    <w:p w14:paraId="231AFF3C" w14:textId="7EEA5477"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point 6 du plan de réalisation de la Stratégie nationale relative aux droits</w:t>
      </w:r>
      <w:r w:rsidR="0037061B">
        <w:rPr>
          <w:lang w:val="fr-FR"/>
        </w:rPr>
        <w:t xml:space="preserve"> </w:t>
      </w:r>
      <w:r w:rsidRPr="0037061B">
        <w:rPr>
          <w:lang w:val="fr-FR"/>
        </w:rPr>
        <w:t>de l’homme, entériné par décret le 22 juin 2020, prévoit la rédaction de guides méthodologiques consacrés à l’application des traités internationaux relatifs aux droits de l’homme, ainsi que la mise en place de programmes de perfectionnement dans le domaines des droits humains, et en particulier des droits des femmes, destinés aux représentants des services de l’État et aux ONG, lors des cours du Centre national pour les droits de l’homme.</w:t>
      </w:r>
    </w:p>
    <w:p w14:paraId="5DBE71B8" w14:textId="6CC06DEB" w:rsidR="00FF0818" w:rsidRPr="0037061B" w:rsidRDefault="00FF0818" w:rsidP="0037061B">
      <w:pPr>
        <w:pStyle w:val="SingleTxt"/>
        <w:numPr>
          <w:ilvl w:val="0"/>
          <w:numId w:val="17"/>
        </w:numPr>
        <w:tabs>
          <w:tab w:val="num" w:pos="2804"/>
        </w:tabs>
        <w:spacing w:line="240" w:lineRule="exact"/>
        <w:ind w:left="1267"/>
        <w:rPr>
          <w:bCs/>
          <w:lang w:val="fr-CH"/>
        </w:rPr>
      </w:pPr>
      <w:r w:rsidRPr="0037061B">
        <w:rPr>
          <w:bCs/>
          <w:lang w:val="fr-FR"/>
        </w:rPr>
        <w:t>L’article 15 de la Constitution affirmant la primauté du droit national, les tribunaux n’invoquent pas directement la Convention. Ils se réfèrent à la loi ouzbèke, et les dispositions des traités internationaux ne sont applicables qu’une fois transposées dans la législation nationale.</w:t>
      </w:r>
    </w:p>
    <w:p w14:paraId="6E1D8046" w14:textId="09738FAF" w:rsidR="00FF0818" w:rsidRPr="0037061B" w:rsidRDefault="00FF0818" w:rsidP="0037061B">
      <w:pPr>
        <w:pStyle w:val="SingleTxt"/>
        <w:numPr>
          <w:ilvl w:val="0"/>
          <w:numId w:val="17"/>
        </w:numPr>
        <w:tabs>
          <w:tab w:val="num" w:pos="2804"/>
        </w:tabs>
        <w:spacing w:line="240" w:lineRule="exact"/>
        <w:ind w:left="1267"/>
        <w:rPr>
          <w:bCs/>
          <w:lang w:val="fr-CH"/>
        </w:rPr>
      </w:pPr>
      <w:r w:rsidRPr="0037061B">
        <w:rPr>
          <w:bCs/>
          <w:lang w:val="fr-FR"/>
        </w:rPr>
        <w:t>L’article 3 de la nouvelle rédaction de la loi sur les traités internationaux signés par la République d’Ouzbékistan, en date du 6 février 2019, dispose que « les traités internationaux auxquels l’Ouzbékistan est partie, ainsi que les normes et principes généraux du droit international, font partie intégrante du système juridique de l’Ouzbékistan ». Conformément au point 5 de la Stratégie nationale relative aux droits de l’homme et à son plan de réalisation, le plenum de la Cour suprême a rédigé un projet de décision relatif à l’application par les tribunaux des principes et des normes du droit international et des traités internationaux signés par l’Ouzbékistan. Ce texte est actuellement en cours d’examen.</w:t>
      </w:r>
    </w:p>
    <w:p w14:paraId="7CCEF4DD" w14:textId="77777777" w:rsidR="00FF0818" w:rsidRPr="0037061B" w:rsidRDefault="00FF0818" w:rsidP="00FF0818">
      <w:pPr>
        <w:pStyle w:val="SingleTxt"/>
        <w:spacing w:after="0" w:line="120" w:lineRule="exact"/>
        <w:rPr>
          <w:bCs/>
          <w:sz w:val="10"/>
          <w:lang w:val="fr-CH"/>
        </w:rPr>
      </w:pPr>
    </w:p>
    <w:p w14:paraId="2A94B0CE"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2</w:t>
      </w:r>
    </w:p>
    <w:p w14:paraId="254FA5AE" w14:textId="77777777" w:rsidR="00FF0818" w:rsidRPr="001D3647" w:rsidRDefault="00FF0818" w:rsidP="00FF0818">
      <w:pPr>
        <w:pStyle w:val="SingleTxt"/>
        <w:spacing w:after="0" w:line="120" w:lineRule="exact"/>
        <w:rPr>
          <w:bCs/>
          <w:sz w:val="10"/>
          <w:lang w:val="fr-CH"/>
        </w:rPr>
      </w:pPr>
    </w:p>
    <w:p w14:paraId="7B93CBB0" w14:textId="7D28CA4D"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24 juillet 2020, a été signé un décret relatif aux mesures complémentaires de perfectionnement de l’activité des tribunaux et de renforcement de l’efficacité de la justice. Il vise un meilleur accès au droit des justiciables, en particulier des femmes, ainsi qu’une amélioration des procédures d’examen des dossiers par les tribunaux.</w:t>
      </w:r>
    </w:p>
    <w:p w14:paraId="6FFA2A14" w14:textId="2E920EAB"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Les femmes vivant en milieu rural bénéficient d’un accès à la justice comparable à celui des citadines. L’amélioration des infrastructures de transport et de communication (téléphone, Internet) suit son cours. Elle assurera aux populations rurales un meilleur accès à la justice. Plus de 70 groupes d’étude et de résolution des problèmes des femmes ont été créés. Ils ont traité plus de 820 requêtes adressées par des femmes, dont plus de 600 ont reçu une réponse positive.</w:t>
      </w:r>
    </w:p>
    <w:p w14:paraId="6B2D26F1" w14:textId="34498DB7"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lastRenderedPageBreak/>
        <w:t>Les points 12 et 22 du plan de réalisation de la Stratégie nationale relative aux droits de l’homme prévoient l’adoption de la loi relative à l’égalité et à la lutte contre la discrimination, qui introduit dans la législation ouzbèke les notions de « discrimination », de « discrimination directe, indirecte et plurielle » et de « motifs de discrimination ». La loi du 15 octobre 2020 relative aux droits des personnes handicapées définit la notion de « discrimination fondée sur le handicap »</w:t>
      </w:r>
      <w:r w:rsidRPr="0037061B">
        <w:rPr>
          <w:lang w:val="fr-CH"/>
        </w:rPr>
        <w:t>.</w:t>
      </w:r>
    </w:p>
    <w:p w14:paraId="3E3BD81F" w14:textId="04CE65EC" w:rsidR="00FF0818" w:rsidRPr="001D3647" w:rsidRDefault="00FF0818" w:rsidP="0037061B">
      <w:pPr>
        <w:pStyle w:val="SingleTxt"/>
        <w:numPr>
          <w:ilvl w:val="0"/>
          <w:numId w:val="17"/>
        </w:numPr>
        <w:tabs>
          <w:tab w:val="num" w:pos="2804"/>
        </w:tabs>
        <w:spacing w:line="240" w:lineRule="exact"/>
        <w:ind w:left="1267"/>
        <w:rPr>
          <w:lang w:val="fr-CH"/>
        </w:rPr>
      </w:pPr>
      <w:r w:rsidRPr="0037061B">
        <w:rPr>
          <w:lang w:val="fr-FR"/>
        </w:rPr>
        <w:t>L’application du décret sur les moyens d’une amélioration radicale de la sensibilisation au droit dans la société a conduit à la création du site Advice.uz, qui propose des consultations juridiques gratuites. Une médaille récemment créée récompense les efforts déployés en faveur d’une meilleure sensibilisation au droit dans la société. Destinée aux agents de l’État, elle a déjà été remise à 12 d’entre eux, dont 6 femmes.</w:t>
      </w:r>
    </w:p>
    <w:p w14:paraId="3DDFA4ED" w14:textId="1E6CCC4C" w:rsidR="00FF0818" w:rsidRPr="00074EC2" w:rsidRDefault="00FF0818" w:rsidP="0037061B">
      <w:pPr>
        <w:pStyle w:val="SingleTxt"/>
        <w:spacing w:after="0" w:line="120" w:lineRule="exact"/>
        <w:rPr>
          <w:bCs/>
          <w:sz w:val="10"/>
          <w:lang w:val="fr-CH"/>
        </w:rPr>
      </w:pPr>
    </w:p>
    <w:p w14:paraId="4EE6466B" w14:textId="77777777" w:rsidR="0037061B" w:rsidRPr="00074EC2" w:rsidRDefault="0037061B" w:rsidP="00FF0818">
      <w:pPr>
        <w:pStyle w:val="SingleTxt"/>
        <w:spacing w:after="0" w:line="120" w:lineRule="exact"/>
        <w:rPr>
          <w:bCs/>
          <w:sz w:val="10"/>
          <w:lang w:val="fr-CH"/>
        </w:rPr>
      </w:pPr>
    </w:p>
    <w:p w14:paraId="47C6F323" w14:textId="2C35939E"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Incidences de la pandémie sur les droits des femmes et l’égalité</w:t>
      </w:r>
      <w:r w:rsidR="0037061B">
        <w:rPr>
          <w:lang w:val="fr-FR"/>
        </w:rPr>
        <w:br/>
      </w:r>
      <w:r>
        <w:rPr>
          <w:lang w:val="fr-FR"/>
        </w:rPr>
        <w:t>des genres</w:t>
      </w:r>
    </w:p>
    <w:p w14:paraId="366A53CB" w14:textId="7328434C" w:rsidR="00FF0818" w:rsidRPr="00074EC2" w:rsidRDefault="00FF0818" w:rsidP="0037061B">
      <w:pPr>
        <w:pStyle w:val="SingleTxt"/>
        <w:spacing w:after="0" w:line="120" w:lineRule="exact"/>
        <w:rPr>
          <w:bCs/>
          <w:sz w:val="10"/>
          <w:lang w:val="fr-CH"/>
        </w:rPr>
      </w:pPr>
    </w:p>
    <w:p w14:paraId="6AAA9EF0" w14:textId="77777777" w:rsidR="0037061B" w:rsidRPr="00074EC2" w:rsidRDefault="0037061B" w:rsidP="00FF0818">
      <w:pPr>
        <w:pStyle w:val="SingleTxt"/>
        <w:spacing w:after="0" w:line="120" w:lineRule="exact"/>
        <w:rPr>
          <w:bCs/>
          <w:sz w:val="10"/>
          <w:lang w:val="fr-CH"/>
        </w:rPr>
      </w:pPr>
    </w:p>
    <w:p w14:paraId="281D5090"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3</w:t>
      </w:r>
    </w:p>
    <w:p w14:paraId="07A87889" w14:textId="77777777" w:rsidR="00FF0818" w:rsidRPr="001D3647" w:rsidRDefault="00FF0818" w:rsidP="00FF0818">
      <w:pPr>
        <w:pStyle w:val="SingleTxt"/>
        <w:spacing w:after="0" w:line="120" w:lineRule="exact"/>
        <w:rPr>
          <w:sz w:val="10"/>
          <w:lang w:val="fr-CH"/>
        </w:rPr>
      </w:pPr>
    </w:p>
    <w:p w14:paraId="6524D98A" w14:textId="2EA03F6B"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29 janvier 2020, le chef de l’État a créé une commission nationale spéciale chargée d’élaborer un programme de mesures visant à prévenir l’introduction et la propagation de la nouvelle maladie à coronavirus en Ouzbékistan.</w:t>
      </w:r>
    </w:p>
    <w:p w14:paraId="51BA5EB2" w14:textId="54ADCABB"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décret du 19 mars 2020, relatif aux mesures prioritaires d’atténuation des effets négatifs de la pandémie et de la crise mondiale sur l’économie, vise à soutenir efficacement la population, notamment les femmes, tout au long de la lutte contre la propagation de la maladie. Un fonds anti-crise doté de 10 000 milliards de soums a été créé afin de financer les mesures anti-COVID-19. Conformément au décret, les parents (ou, à défaut, les tuteurs ou représentants légaux) placés en quarantaine en raison d’une contamination réelle ou supposée, ainsi que les personnes devant s’occuper de leurs enfants de moins de 14 ans, perçoivent une indemnité pour incapacité temporaire de travail égale à 100 % du salaire moyen.</w:t>
      </w:r>
    </w:p>
    <w:p w14:paraId="75CFAB27" w14:textId="2A474020"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Des mesures ont été adoptées afin d’augmenter de 10 %, à partir du 1</w:t>
      </w:r>
      <w:r w:rsidRPr="0037061B">
        <w:rPr>
          <w:vertAlign w:val="superscript"/>
          <w:lang w:val="fr-FR"/>
        </w:rPr>
        <w:t>er </w:t>
      </w:r>
      <w:r w:rsidRPr="0037061B">
        <w:rPr>
          <w:lang w:val="fr-FR"/>
        </w:rPr>
        <w:t>avril 2020, le nombre de bénéficiaires des allocations destinées aux familles comptant des enfants de moins de 14 ans, aux personnes s’occupant d’enfants de moins de 2 ans, à celles percevant une aide matérielle. Une prime journalière égale à 6 % du salaire mensuel est octroyée aux travailleurs médicaux et autres personnes impliquées dans la lutte contre la COVID-19.</w:t>
      </w:r>
    </w:p>
    <w:p w14:paraId="3AE5E4DD" w14:textId="0A975003"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À la fin du premier trimestre de 2020, le nombre de centres d’adaptation et de réhabilitation des victimes de violence et de prévention du suicide s’élevait à 197, répartis en 13 centres régionaux et 184 succursales locales (villes et districts). Un numéro d’urgence, le 1146, reçoit les appels anonymes des femmes. À l’heure actuelle, 19 femmes et 19 enfants victimes de violences familiales et domestiques sont hébergés dans ces centres. En temps de pandémie, ils y reçoivent nourriture, médicaments et produits d’hygiène.</w:t>
      </w:r>
    </w:p>
    <w:p w14:paraId="2089C921" w14:textId="69E5293A"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La disposition gouvernementale du 4 janvier 2021, relative au perfectionnement des instruments de protection des femmes et des filles contre la violence et le harcèlement, entérine :</w:t>
      </w:r>
    </w:p>
    <w:p w14:paraId="60F5BE78"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 procédure de délivrance des ordonnances de protection, ainsi que leurs conditions d’application et de contrôle ;</w:t>
      </w:r>
    </w:p>
    <w:p w14:paraId="4E98E65F" w14:textId="176B815F"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les conditions d’accès aux programmes de prévention et de traitement pour les personnes ayant commis ou étant susceptibles de commettre des actes de harcèlement et de violence.</w:t>
      </w:r>
    </w:p>
    <w:p w14:paraId="5ACAB01D" w14:textId="124ED130"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lastRenderedPageBreak/>
        <w:t>Le Centre national de réhabilitation et d’adaptation des personnes victimes de violence et de prévention du suicide a été créé.</w:t>
      </w:r>
    </w:p>
    <w:p w14:paraId="2CD32E11" w14:textId="74BBD056"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Sur la base du décret du 3 avril 2020, relatif aux mesures complémentaires d’aide à la population, à l’économie et à l’entrepreneuriat en période de pandémie de coronavirus, les familles avec enfants, les personnes s’occupant d’enfants de moins de 2 ans et les bénéficiaires d’aides matérielles ont vu le paiement de leurs allocations automatiquement renouvelé pour six mois consécutifs sans avoir à formuler de demande ni à fournir de documents pour faire valoir leurs droits. Le décret du 5 mai 2020, relatif aux mesures de soutien d’urgence à l’industrie textile, prévoit des mesures visant à préserver des effets négatifs de la pandémie ce secteur d’activité qui emploie essentiellement des femmes.</w:t>
      </w:r>
    </w:p>
    <w:p w14:paraId="3C9AFA5F" w14:textId="303ABB87"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décret du 18 mai</w:t>
      </w:r>
      <w:r w:rsidR="0037061B">
        <w:rPr>
          <w:lang w:val="fr-FR"/>
        </w:rPr>
        <w:t xml:space="preserve"> </w:t>
      </w:r>
      <w:r w:rsidRPr="0037061B">
        <w:rPr>
          <w:lang w:val="fr-FR"/>
        </w:rPr>
        <w:t>2020, instaurant un nouveau train de mesures d’aide à la population et à l’entrepreneuriat en période de pandémie de coronavirus, a une nouvelle fois augmenté de 10 %, à partir du 1</w:t>
      </w:r>
      <w:r w:rsidRPr="0037061B">
        <w:rPr>
          <w:vertAlign w:val="superscript"/>
          <w:lang w:val="fr-FR"/>
        </w:rPr>
        <w:t>er</w:t>
      </w:r>
      <w:r w:rsidRPr="0037061B">
        <w:rPr>
          <w:lang w:val="fr-FR"/>
        </w:rPr>
        <w:t> juin</w:t>
      </w:r>
      <w:r w:rsidR="0037061B">
        <w:rPr>
          <w:lang w:val="fr-FR"/>
        </w:rPr>
        <w:t xml:space="preserve"> </w:t>
      </w:r>
      <w:r w:rsidRPr="0037061B">
        <w:rPr>
          <w:lang w:val="fr-FR"/>
        </w:rPr>
        <w:t>2020, le nombre de bénéficiaires des allocations destinées aux familles comptant des enfants de moins de 14 ans, aux personnes s’occupant d’enfants de moins de 2 ans, à celles percevant une aide matérielle.</w:t>
      </w:r>
    </w:p>
    <w:p w14:paraId="2083F132" w14:textId="4B156FF9"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décret du 20 juillet 2020, instaurant des mesures complémentaires anti-COVID-19 d’aide à la population, à l’entrepreneuriat, aux secteurs de la restauration, du commerce et des services, a pour but de soutenir des secteurs d’activité qui emploient un grand nombre de femmes.</w:t>
      </w:r>
    </w:p>
    <w:p w14:paraId="00C8C71C" w14:textId="1CE11797" w:rsidR="00FF0818" w:rsidRPr="001D3647" w:rsidRDefault="00FF0818" w:rsidP="0037061B">
      <w:pPr>
        <w:pStyle w:val="SingleTxt"/>
        <w:numPr>
          <w:ilvl w:val="0"/>
          <w:numId w:val="17"/>
        </w:numPr>
        <w:tabs>
          <w:tab w:val="num" w:pos="2804"/>
        </w:tabs>
        <w:spacing w:line="240" w:lineRule="exact"/>
        <w:ind w:left="1267"/>
        <w:rPr>
          <w:lang w:val="fr-CH"/>
        </w:rPr>
      </w:pPr>
      <w:r w:rsidRPr="0037061B">
        <w:rPr>
          <w:lang w:val="fr-FR"/>
        </w:rPr>
        <w:t>Le décret</w:t>
      </w:r>
      <w:r>
        <w:rPr>
          <w:lang w:val="fr-FR"/>
        </w:rPr>
        <w:t xml:space="preserve"> du 25 juillet</w:t>
      </w:r>
      <w:r w:rsidR="0037061B">
        <w:rPr>
          <w:lang w:val="fr-FR"/>
        </w:rPr>
        <w:t xml:space="preserve"> </w:t>
      </w:r>
      <w:r>
        <w:rPr>
          <w:lang w:val="fr-FR"/>
        </w:rPr>
        <w:t xml:space="preserve">2020, relatif à l’endiguement de la pandémie de coronavirus, à la transformation du système de protection épidémiologique et de santé, vise à améliorer le système de protection épidémiologique et de santé en y intégrant les </w:t>
      </w:r>
      <w:r>
        <w:rPr>
          <w:i/>
          <w:iCs/>
          <w:lang w:val="fr-FR"/>
        </w:rPr>
        <w:t xml:space="preserve">mahallas </w:t>
      </w:r>
      <w:r>
        <w:rPr>
          <w:lang w:val="fr-FR"/>
        </w:rPr>
        <w:t>et les logements.</w:t>
      </w:r>
    </w:p>
    <w:p w14:paraId="318B3CA3" w14:textId="57030A3D"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décret du 30 juillet</w:t>
      </w:r>
      <w:r w:rsidR="0037061B" w:rsidRPr="0037061B">
        <w:rPr>
          <w:lang w:val="fr-FR"/>
        </w:rPr>
        <w:t xml:space="preserve"> </w:t>
      </w:r>
      <w:r w:rsidRPr="0037061B">
        <w:rPr>
          <w:lang w:val="fr-FR"/>
        </w:rPr>
        <w:t>2020, relatif aux mesures complémentaires de soutien aux populations socialement fragiles en période de pandémie de coronavirus, a fondé l’organisation sociale « Bonté et soutien », et octroyé une aide matérielle exceptionnelle, financée par le budget national, à plus de 400 000 familles défavorisées rassemblant plus d’1,7 million de personnes.</w:t>
      </w:r>
    </w:p>
    <w:p w14:paraId="45A20D49" w14:textId="2AACA266"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Conformément à la décision du 29 août 2020 sur les mesures complémentaires d’aide sociale à la population, qui vise à promouvoir l’organisation « Bonté et soutien », des vêtements d’hiver et des uniformes et des fournitures scolaires ont été distribués aux enfants issus de familles défavorisés.</w:t>
      </w:r>
    </w:p>
    <w:p w14:paraId="74E48737" w14:textId="3BDEED89"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L’aide matérielle exceptionnelle a été fixée à 500 000 soums par enfant de moins de 16 ans.</w:t>
      </w:r>
    </w:p>
    <w:p w14:paraId="7E243B78" w14:textId="18072DFA"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Au cours des trois premiers mois de</w:t>
      </w:r>
      <w:r w:rsidR="0037061B">
        <w:rPr>
          <w:lang w:val="fr-FR"/>
        </w:rPr>
        <w:t xml:space="preserve"> </w:t>
      </w:r>
      <w:r w:rsidRPr="0037061B">
        <w:rPr>
          <w:lang w:val="fr-FR"/>
        </w:rPr>
        <w:t>2020, 316</w:t>
      </w:r>
      <w:r w:rsidR="0037061B">
        <w:rPr>
          <w:lang w:val="fr-FR"/>
        </w:rPr>
        <w:t xml:space="preserve"> </w:t>
      </w:r>
      <w:r w:rsidRPr="0037061B">
        <w:rPr>
          <w:lang w:val="fr-FR"/>
        </w:rPr>
        <w:t>femmes, dont 2</w:t>
      </w:r>
      <w:r w:rsidR="0037061B">
        <w:rPr>
          <w:lang w:val="fr-FR"/>
        </w:rPr>
        <w:t xml:space="preserve"> </w:t>
      </w:r>
      <w:r w:rsidRPr="0037061B">
        <w:rPr>
          <w:lang w:val="fr-FR"/>
        </w:rPr>
        <w:t>mineures et 70 jeunes filles, ont obtenu une ordonnance de protection. Parmi elles, 254 étaient victimes de violence physique, 1 de violence sexuelle, 31 de violence psychologique, et 30 de harcèlement.</w:t>
      </w:r>
    </w:p>
    <w:p w14:paraId="4F0A5969" w14:textId="52166216"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Près de 600 000 familles défavorisées ont bénéficié d’une aide matérielle, et 320 027 personnes ont reçu une aide alimentaire de la part des centres de coordination des dons.</w:t>
      </w:r>
    </w:p>
    <w:p w14:paraId="5B1503DC" w14:textId="3FBDDA82"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La liste précise des personnes nécessitant assistance a été dressée. Elle recense 101 980 foyers, dont 49</w:t>
      </w:r>
      <w:r w:rsidRPr="0037061B">
        <w:rPr>
          <w:lang w:val="fr-CH"/>
        </w:rPr>
        <w:t> </w:t>
      </w:r>
      <w:r w:rsidRPr="0037061B">
        <w:rPr>
          <w:lang w:val="fr-FR"/>
        </w:rPr>
        <w:t>961 familles pauvres et 52</w:t>
      </w:r>
      <w:r w:rsidRPr="0037061B">
        <w:rPr>
          <w:lang w:val="fr-CH"/>
        </w:rPr>
        <w:t> </w:t>
      </w:r>
      <w:r w:rsidRPr="0037061B">
        <w:rPr>
          <w:lang w:val="fr-FR"/>
        </w:rPr>
        <w:t xml:space="preserve">019 familles privées de leur source de revenus par le confinement, ainsi que 106 439 familles socialement fragiles comptant des membres de 65 ans et plus. Un registre des patients a été instauré en collaboration avec les représentants des </w:t>
      </w:r>
      <w:r w:rsidRPr="0037061B">
        <w:rPr>
          <w:i/>
          <w:iCs/>
          <w:lang w:val="fr-FR"/>
        </w:rPr>
        <w:t xml:space="preserve">mahallas </w:t>
      </w:r>
      <w:r w:rsidRPr="0037061B">
        <w:rPr>
          <w:lang w:val="fr-FR"/>
        </w:rPr>
        <w:t>et des autorités sanitaires. Grâce au concours des établissements de santé, 74 836 familles font l’objet d’un suivi étroit.</w:t>
      </w:r>
    </w:p>
    <w:p w14:paraId="5041EC48" w14:textId="667B82FF" w:rsidR="00FF0818" w:rsidRPr="001D3647" w:rsidRDefault="00FF0818" w:rsidP="0037061B">
      <w:pPr>
        <w:pStyle w:val="SingleTxt"/>
        <w:numPr>
          <w:ilvl w:val="0"/>
          <w:numId w:val="17"/>
        </w:numPr>
        <w:spacing w:line="240" w:lineRule="exact"/>
        <w:ind w:left="1267"/>
        <w:rPr>
          <w:lang w:val="fr-CH"/>
        </w:rPr>
      </w:pPr>
      <w:r>
        <w:rPr>
          <w:lang w:val="fr-FR"/>
        </w:rPr>
        <w:lastRenderedPageBreak/>
        <w:t>Dans les premières semaines du confinement, 1 961 femmes enceintes ont été placées en quarantaine, 338 ont reçu une aide médicale d’urgence et 30 ont été déclarées positives à la COVID-19. Afin d’assurer en temps voulu une aide médicale spécialisée de qualité, on a ouvert 13 unités de natalité (340 lits) pour les femmes atteintes de la COVID-19 et 14 unités de natalité (740 lits) pour celles qui avaient été en contact avec des personnes contaminées.</w:t>
      </w:r>
    </w:p>
    <w:p w14:paraId="0C126C70" w14:textId="2B5D4CCD"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passage au télétravail a été approuvé, en particulier pour les femmes enceintes, les personnes âgées, et les employés souffrant de handicap ou de maladies chroniques.</w:t>
      </w:r>
    </w:p>
    <w:p w14:paraId="39D6B5D7" w14:textId="08375EE3"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Les services de l’inspection du travail et l’agence épidémiologique ont mis en place un système de contrôle du respect des normes sanitaires et de sécurité dans les entreprises. Les inspecteurs ont constaté des infractions aux normes de sécurité et d’hygiène dans</w:t>
      </w:r>
      <w:r w:rsidR="0037061B">
        <w:rPr>
          <w:lang w:val="fr-FR"/>
        </w:rPr>
        <w:t xml:space="preserve"> </w:t>
      </w:r>
      <w:r w:rsidRPr="0037061B">
        <w:rPr>
          <w:lang w:val="fr-FR"/>
        </w:rPr>
        <w:t>892 des 5 757</w:t>
      </w:r>
      <w:r w:rsidR="0037061B">
        <w:rPr>
          <w:lang w:val="fr-FR"/>
        </w:rPr>
        <w:t xml:space="preserve"> </w:t>
      </w:r>
      <w:r w:rsidRPr="0037061B">
        <w:rPr>
          <w:lang w:val="fr-FR"/>
        </w:rPr>
        <w:t>entreprises visitées. Dans chaque cas, ils ont formulé des recommandations destinées à corriger les lacunes constatées. De manière générale, quelque 4 500 personnes ont été sanctionnées pour infraction au Code du travail.</w:t>
      </w:r>
    </w:p>
    <w:p w14:paraId="7D0AD8EF" w14:textId="2EB165DB" w:rsidR="00FF0818" w:rsidRPr="001D3647" w:rsidRDefault="00FF0818" w:rsidP="0037061B">
      <w:pPr>
        <w:pStyle w:val="SingleTxt"/>
        <w:numPr>
          <w:ilvl w:val="0"/>
          <w:numId w:val="17"/>
        </w:numPr>
        <w:tabs>
          <w:tab w:val="num" w:pos="2804"/>
        </w:tabs>
        <w:spacing w:line="240" w:lineRule="exact"/>
        <w:ind w:left="1267"/>
        <w:rPr>
          <w:lang w:val="fr-CH"/>
        </w:rPr>
      </w:pPr>
      <w:r w:rsidRPr="0037061B">
        <w:rPr>
          <w:lang w:val="fr-FR"/>
        </w:rPr>
        <w:t>Au cours des huit premiers mois de</w:t>
      </w:r>
      <w:r w:rsidR="0037061B">
        <w:rPr>
          <w:lang w:val="fr-FR"/>
        </w:rPr>
        <w:t xml:space="preserve"> </w:t>
      </w:r>
      <w:r w:rsidRPr="0037061B">
        <w:rPr>
          <w:lang w:val="fr-FR"/>
        </w:rPr>
        <w:t>2020, 3 600 nouveaux entrepreneurs se sont déclarés aux autorités, d</w:t>
      </w:r>
      <w:r>
        <w:rPr>
          <w:lang w:val="fr-FR"/>
        </w:rPr>
        <w:t>ont 1 400 femmes et 1 300 jeunes. Au total, ils ont perçu 801,6 millions de soums d’aides. Une enveloppe de 635,3</w:t>
      </w:r>
      <w:r w:rsidR="0037061B">
        <w:rPr>
          <w:lang w:val="fr-FR"/>
        </w:rPr>
        <w:t xml:space="preserve"> </w:t>
      </w:r>
      <w:r>
        <w:rPr>
          <w:lang w:val="fr-FR"/>
        </w:rPr>
        <w:t>millions de soums d’aide au paiement des salaires a été distribuée à 92</w:t>
      </w:r>
      <w:r w:rsidR="0037061B">
        <w:rPr>
          <w:lang w:val="fr-FR"/>
        </w:rPr>
        <w:t xml:space="preserve"> </w:t>
      </w:r>
      <w:r>
        <w:rPr>
          <w:lang w:val="fr-FR"/>
        </w:rPr>
        <w:t>employeurs, ainsi récompensés pour avoir embauché un total de 175</w:t>
      </w:r>
      <w:r w:rsidR="0037061B">
        <w:rPr>
          <w:lang w:val="fr-FR"/>
        </w:rPr>
        <w:t xml:space="preserve"> </w:t>
      </w:r>
      <w:r>
        <w:rPr>
          <w:lang w:val="fr-FR"/>
        </w:rPr>
        <w:t>femmes et de 146</w:t>
      </w:r>
      <w:r w:rsidR="0037061B">
        <w:rPr>
          <w:lang w:val="fr-FR"/>
        </w:rPr>
        <w:t xml:space="preserve"> </w:t>
      </w:r>
      <w:r>
        <w:rPr>
          <w:lang w:val="fr-FR"/>
        </w:rPr>
        <w:t>jeunes de plus que les quotas fixés.</w:t>
      </w:r>
    </w:p>
    <w:p w14:paraId="2431553E" w14:textId="11FAB646"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 xml:space="preserve">Dans le contexte de la pandémie, le respect des droits de l’homme au niveau judiciaire est assuré grâce à un système permettant aux justiciables d’adresser leurs requêtes aux tribunaux </w:t>
      </w:r>
      <w:r w:rsidRPr="0037061B">
        <w:rPr>
          <w:i/>
          <w:iCs/>
          <w:lang w:val="fr-FR"/>
        </w:rPr>
        <w:t xml:space="preserve">via </w:t>
      </w:r>
      <w:r w:rsidRPr="0037061B">
        <w:rPr>
          <w:lang w:val="fr-FR"/>
        </w:rPr>
        <w:t>Internet. Dans sa résolution du 28 avril 2020, relative à certains problèmes d’application de la loi liés aux mesures anti-COVID-19, le plenum de la Cour suprême a adressé aux tribunaux des clarifications concernant les moyens de préserver le droit des citoyens de se défendre en justice en période de confinement.</w:t>
      </w:r>
    </w:p>
    <w:p w14:paraId="139FEE4A" w14:textId="5A2F46BD" w:rsidR="00FF0818" w:rsidRPr="001D3647" w:rsidRDefault="00FF0818" w:rsidP="0037061B">
      <w:pPr>
        <w:pStyle w:val="SingleTxt"/>
        <w:numPr>
          <w:ilvl w:val="0"/>
          <w:numId w:val="17"/>
        </w:numPr>
        <w:tabs>
          <w:tab w:val="num" w:pos="2804"/>
        </w:tabs>
        <w:spacing w:line="240" w:lineRule="exact"/>
        <w:ind w:left="1267"/>
        <w:rPr>
          <w:lang w:val="fr-CH"/>
        </w:rPr>
      </w:pPr>
      <w:r w:rsidRPr="0037061B">
        <w:rPr>
          <w:lang w:val="fr-FR"/>
        </w:rPr>
        <w:t>Pend</w:t>
      </w:r>
      <w:r>
        <w:rPr>
          <w:lang w:val="fr-FR"/>
        </w:rPr>
        <w:t>ant le confinement, le maintien des activités des tribunaux en vidéoconférence a permis l’examen des dossiers urgents. Cela concernait notamment les affaires civiles de demande de recouvrement des prestations compensatoires, ou les affaires civiles et économiques dont les parties avaient demandé l’examen en leur absence sous réserve que le tribunal n’exige pas leur présence lors des audiences.</w:t>
      </w:r>
    </w:p>
    <w:p w14:paraId="79853A49" w14:textId="77777777" w:rsidR="00FF0818" w:rsidRPr="0037061B" w:rsidRDefault="00FF0818" w:rsidP="00FF0818">
      <w:pPr>
        <w:pStyle w:val="SingleTxt"/>
        <w:spacing w:after="0" w:line="120" w:lineRule="exact"/>
        <w:rPr>
          <w:bCs/>
          <w:sz w:val="10"/>
          <w:lang w:val="fr-CH"/>
        </w:rPr>
      </w:pPr>
    </w:p>
    <w:p w14:paraId="071A0593" w14:textId="77777777" w:rsidR="00FF0818" w:rsidRPr="0037061B" w:rsidRDefault="00FF0818" w:rsidP="00FF0818">
      <w:pPr>
        <w:pStyle w:val="SingleTxt"/>
        <w:spacing w:after="0" w:line="120" w:lineRule="exact"/>
        <w:rPr>
          <w:bCs/>
          <w:sz w:val="10"/>
          <w:lang w:val="fr-CH"/>
        </w:rPr>
      </w:pPr>
    </w:p>
    <w:p w14:paraId="0C54800B"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Définition de la non-discrimination</w:t>
      </w:r>
    </w:p>
    <w:p w14:paraId="20C0DCD9" w14:textId="669D44B8" w:rsidR="00FF0818" w:rsidRPr="0037061B" w:rsidRDefault="00FF0818" w:rsidP="0037061B">
      <w:pPr>
        <w:pStyle w:val="SingleTxt"/>
        <w:spacing w:after="0" w:line="120" w:lineRule="exact"/>
        <w:rPr>
          <w:bCs/>
          <w:sz w:val="10"/>
          <w:lang w:val="fr-CH"/>
        </w:rPr>
      </w:pPr>
    </w:p>
    <w:p w14:paraId="3A622F98" w14:textId="77777777" w:rsidR="0037061B" w:rsidRPr="0037061B" w:rsidRDefault="0037061B" w:rsidP="00FF0818">
      <w:pPr>
        <w:pStyle w:val="SingleTxt"/>
        <w:spacing w:after="0" w:line="120" w:lineRule="exact"/>
        <w:rPr>
          <w:bCs/>
          <w:sz w:val="10"/>
          <w:lang w:val="fr-CH"/>
        </w:rPr>
      </w:pPr>
    </w:p>
    <w:p w14:paraId="21E522D0"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4</w:t>
      </w:r>
    </w:p>
    <w:p w14:paraId="6E753EF4" w14:textId="77777777" w:rsidR="00FF0818" w:rsidRPr="001D3647" w:rsidRDefault="00FF0818" w:rsidP="00FF0818">
      <w:pPr>
        <w:pStyle w:val="SingleTxt"/>
        <w:spacing w:after="0" w:line="120" w:lineRule="exact"/>
        <w:rPr>
          <w:sz w:val="10"/>
          <w:lang w:val="fr-CH"/>
        </w:rPr>
      </w:pPr>
    </w:p>
    <w:p w14:paraId="22FD1C17" w14:textId="63C8B182"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L’article 3 de la loi garantissant l’égalité des droits et des chances aux femmes et aux hommes définit les concepts de discrimination directe et indirecte. La discrimination directe fondée sur le genre consiste en toute distinction, exclusion ou limitation, visant à ne pas reconnaître aux femmes et aux hommes les mêmes droits et libertés dans toutes les sphères de la vie sociale, notamment lorsqu’elles reposent sur la situation familiale, la grossesse, les obligations domestiques ; le harcèlement sexuel et une inégalité salariale à travail égal et compétences égales en sont également deux manifestations. La discrimination indirecte fondée sur le genre consiste, quant à elle, à créer une situation, des conditions ou à instituer des critères qui défavorisent de fait les représentants d’un genre par rapport à ceux de l’autre genre, par exemple en diffusant dans les médias ou à travers l’éducation et la culture un discours prônant l’inégalité des genres, et en établissant des conditions et des exigences pouvant avoir des conséquences négatives pour les personnes d’un genre déterminé.</w:t>
      </w:r>
    </w:p>
    <w:p w14:paraId="632B6529" w14:textId="254EB985"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lastRenderedPageBreak/>
        <w:t>Il convient de souligner que ces définitions ne regardent pas uniquement la sphère publique mais également les organismes sociaux et privés, qui ont l’obligation de respecter la Constitution et les lois du pays, en particulier en matière de lutte contre la discrimination fondée sur le genre.</w:t>
      </w:r>
    </w:p>
    <w:p w14:paraId="12D4C8B0" w14:textId="582FEF5E" w:rsidR="00FF0818" w:rsidRPr="001D3647" w:rsidRDefault="00FF0818" w:rsidP="0037061B">
      <w:pPr>
        <w:pStyle w:val="SingleTxt"/>
        <w:numPr>
          <w:ilvl w:val="0"/>
          <w:numId w:val="17"/>
        </w:numPr>
        <w:tabs>
          <w:tab w:val="num" w:pos="2804"/>
        </w:tabs>
        <w:spacing w:line="240" w:lineRule="exact"/>
        <w:ind w:left="1267"/>
        <w:rPr>
          <w:lang w:val="fr-CH"/>
        </w:rPr>
      </w:pPr>
      <w:r w:rsidRPr="0037061B">
        <w:rPr>
          <w:lang w:val="fr-FR"/>
        </w:rPr>
        <w:t>Le pr</w:t>
      </w:r>
      <w:r>
        <w:rPr>
          <w:lang w:val="fr-FR"/>
        </w:rPr>
        <w:t>ojet de loi relatif à l’égalité et à la lutte contre les discriminations devrait définir la notion de « discrimination plurielle » et instaurer des instruments juridiques de protection contre les discriminations dans les différentes sphères de la vie sociale.</w:t>
      </w:r>
    </w:p>
    <w:p w14:paraId="0823C5E8" w14:textId="77777777" w:rsidR="00FF0818" w:rsidRPr="0037061B" w:rsidRDefault="00FF0818" w:rsidP="00FF0818">
      <w:pPr>
        <w:pStyle w:val="SingleTxt"/>
        <w:spacing w:after="0" w:line="120" w:lineRule="exact"/>
        <w:rPr>
          <w:bCs/>
          <w:sz w:val="10"/>
          <w:lang w:val="fr-CH"/>
        </w:rPr>
      </w:pPr>
    </w:p>
    <w:p w14:paraId="5F6C1113" w14:textId="77777777" w:rsidR="00FF0818" w:rsidRPr="0037061B" w:rsidRDefault="00FF0818" w:rsidP="00FF0818">
      <w:pPr>
        <w:pStyle w:val="SingleTxt"/>
        <w:spacing w:after="0" w:line="120" w:lineRule="exact"/>
        <w:rPr>
          <w:bCs/>
          <w:sz w:val="10"/>
          <w:lang w:val="fr-CH"/>
        </w:rPr>
      </w:pPr>
    </w:p>
    <w:p w14:paraId="4FD7DDCB" w14:textId="77777777" w:rsidR="00FF0818" w:rsidRPr="001D3647" w:rsidRDefault="00FF0818" w:rsidP="003706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Mécanisme national de promotion des femmes</w:t>
      </w:r>
    </w:p>
    <w:p w14:paraId="2764910F" w14:textId="41FED100" w:rsidR="00FF0818" w:rsidRPr="0037061B" w:rsidRDefault="00FF0818" w:rsidP="0037061B">
      <w:pPr>
        <w:pStyle w:val="SingleTxt"/>
        <w:spacing w:after="0" w:line="120" w:lineRule="exact"/>
        <w:rPr>
          <w:bCs/>
          <w:sz w:val="10"/>
          <w:lang w:val="fr-CH"/>
        </w:rPr>
      </w:pPr>
    </w:p>
    <w:p w14:paraId="67A4BD65" w14:textId="77777777" w:rsidR="0037061B" w:rsidRPr="0037061B" w:rsidRDefault="0037061B" w:rsidP="00FF0818">
      <w:pPr>
        <w:pStyle w:val="SingleTxt"/>
        <w:spacing w:after="0" w:line="120" w:lineRule="exact"/>
        <w:rPr>
          <w:bCs/>
          <w:sz w:val="10"/>
          <w:lang w:val="fr-CH"/>
        </w:rPr>
      </w:pPr>
    </w:p>
    <w:p w14:paraId="581DBDE5" w14:textId="77777777" w:rsidR="00FF0818" w:rsidRPr="001D3647" w:rsidRDefault="00FF0818" w:rsidP="003706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5</w:t>
      </w:r>
    </w:p>
    <w:p w14:paraId="080AE50B" w14:textId="77777777" w:rsidR="00FF0818" w:rsidRPr="001D3647" w:rsidRDefault="00FF0818" w:rsidP="00FF0818">
      <w:pPr>
        <w:pStyle w:val="SingleTxt"/>
        <w:spacing w:after="0" w:line="120" w:lineRule="exact"/>
        <w:rPr>
          <w:sz w:val="10"/>
          <w:lang w:val="fr-CH"/>
        </w:rPr>
      </w:pPr>
    </w:p>
    <w:p w14:paraId="25018B39" w14:textId="3602C813"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Une commission chargée de l’égalité des genres a été créée conformément à une décision du 7 mars 2019 renforçant la protection des droits des travailleurs et soutenant l’entrepreneuriat des femmes. Ses attributions sont précisées par l’article 12 de la loi du 2 septembre 2019 garantissant l’égalité des droits et des chances aux femmes et aux hommes : elle coordonne l’activité des organismes publics en charge de la réalisation de l’égalité des droits et des chances dans toutes les sphères de la vie sociale.</w:t>
      </w:r>
    </w:p>
    <w:p w14:paraId="4746D456" w14:textId="23C24876"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La commission assure le suivi et l’analyse des efforts visant la réalisation de l’égalité entre les genres, l’amélioration des conditions de vie sociale des femmes, la promotion intensive et le développement de l’institution familiale, l’inscription dans le droit national des principales normes internationales concernant les femmes, la coopération effective avec les organisations internationales, ainsi que l’application des mesures de développement de la culture juridique des femmes. Ses conclusions font l’objet d’un compte rendu annuel présenté au Parlement.</w:t>
      </w:r>
    </w:p>
    <w:p w14:paraId="034CBDCA" w14:textId="1ADF5A3E" w:rsidR="00FF0818" w:rsidRPr="0037061B" w:rsidRDefault="00FF0818" w:rsidP="0037061B">
      <w:pPr>
        <w:pStyle w:val="SingleTxt"/>
        <w:numPr>
          <w:ilvl w:val="0"/>
          <w:numId w:val="17"/>
        </w:numPr>
        <w:tabs>
          <w:tab w:val="num" w:pos="2804"/>
        </w:tabs>
        <w:spacing w:line="240" w:lineRule="exact"/>
        <w:ind w:left="1267"/>
        <w:rPr>
          <w:lang w:val="fr-CH"/>
        </w:rPr>
      </w:pPr>
      <w:r w:rsidRPr="0037061B">
        <w:rPr>
          <w:lang w:val="fr-FR"/>
        </w:rPr>
        <w:t>Le comité sénatorial chargé de la condition féminine et de l’égalité des genres exerce un contrôle parlementaire sur les mesures prises dans ce domaine et favorise l’inscription dans le droit national des normes internationales visant la disparition de toute forme de discrimination à l’encontre des femmes. Il élabore des recommandations afin d’améliorer la politique de l’État en matière d’égalité des genres et de participation des femmes à la vie publique et sociale. Il veille à ce que le traitement des questions relatives à l’égalité des genres et les lois promouvant l’institution familiale soient conformes aux objectifs des réformes nationales et aux normes du droit international.</w:t>
      </w:r>
    </w:p>
    <w:p w14:paraId="321999FE" w14:textId="351124BC" w:rsidR="00FF0818" w:rsidRPr="001D3647" w:rsidRDefault="00FF0818" w:rsidP="0037061B">
      <w:pPr>
        <w:pStyle w:val="SingleTxt"/>
        <w:numPr>
          <w:ilvl w:val="0"/>
          <w:numId w:val="17"/>
        </w:numPr>
        <w:tabs>
          <w:tab w:val="num" w:pos="2804"/>
        </w:tabs>
        <w:spacing w:line="240" w:lineRule="exact"/>
        <w:ind w:left="1267"/>
        <w:rPr>
          <w:lang w:val="fr-CH"/>
        </w:rPr>
      </w:pPr>
      <w:r w:rsidRPr="0037061B">
        <w:rPr>
          <w:lang w:val="fr-FR"/>
        </w:rPr>
        <w:t>Le dé</w:t>
      </w:r>
      <w:r>
        <w:rPr>
          <w:lang w:val="fr-FR"/>
        </w:rPr>
        <w:t xml:space="preserve">cret du 18 février 2020 sur la normalisation du climat social et spirituel, le soutien à l’institution des </w:t>
      </w:r>
      <w:r>
        <w:rPr>
          <w:i/>
          <w:iCs/>
          <w:lang w:val="fr-FR"/>
        </w:rPr>
        <w:t>mahallas</w:t>
      </w:r>
      <w:r>
        <w:rPr>
          <w:lang w:val="fr-FR"/>
        </w:rPr>
        <w:t xml:space="preserve"> et l’amélioration de la coopération avec les familles et les femmes, a entraîné la création du Ministère du soutien aux </w:t>
      </w:r>
      <w:r>
        <w:rPr>
          <w:i/>
          <w:iCs/>
          <w:lang w:val="fr-FR"/>
        </w:rPr>
        <w:t>mahallas</w:t>
      </w:r>
      <w:r>
        <w:rPr>
          <w:lang w:val="fr-FR"/>
        </w:rPr>
        <w:t xml:space="preserve"> et à la famille. Cet organe exécutif est chargé d’élaborer et de mettre en place la politique gouvernementale en matière d’aide aux familles, aux femmes et aux personnes âgées, de défense de leurs droits et de leurs intérêts légitimes, et de favoriser l’instauration de mécanismes de coopération avec les pouvoirs locaux. Le Ministère veille à ce que les organismes de défense des droits des femmes bénéficient de l’assistance la plus large possible et à ce que l’efficacité de leur action augmente.</w:t>
      </w:r>
    </w:p>
    <w:p w14:paraId="1B35742E" w14:textId="2E3EEC42" w:rsidR="00FF0818" w:rsidRPr="001D3647" w:rsidRDefault="00FF0818" w:rsidP="00AF3BD9">
      <w:pPr>
        <w:pStyle w:val="SingleTxt"/>
        <w:numPr>
          <w:ilvl w:val="0"/>
          <w:numId w:val="17"/>
        </w:numPr>
        <w:spacing w:line="240" w:lineRule="exact"/>
        <w:ind w:left="1267"/>
        <w:rPr>
          <w:lang w:val="fr-CH"/>
        </w:rPr>
      </w:pPr>
      <w:r>
        <w:rPr>
          <w:lang w:val="fr-FR"/>
        </w:rPr>
        <w:t xml:space="preserve">Entre janvier et septembre 2020, le comité sénatorial chargé de la condition féminine et de l’égalité des genres a reçu 699 requêtes, dont 46 % concernaient le logement et les questions foncières, 14 % les affaires familiales et l’activité des pouvoirs locaux (en particulier les </w:t>
      </w:r>
      <w:r>
        <w:rPr>
          <w:i/>
          <w:iCs/>
          <w:lang w:val="fr-FR"/>
        </w:rPr>
        <w:t>mahallas</w:t>
      </w:r>
      <w:r>
        <w:rPr>
          <w:lang w:val="fr-FR"/>
        </w:rPr>
        <w:t>), 12 % l’égalité des genres, 7 % l’emploi et les salaires. Le comité a transmis ces requêtes aux autorités compétentes pour examen.</w:t>
      </w:r>
    </w:p>
    <w:p w14:paraId="6CB6B717" w14:textId="3EFA6715"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lastRenderedPageBreak/>
        <w:t>La commission chargée de l’égalité des genres effectue un suivi régulier du traitement des requêtes. À l’heure actuelle, les problèmes soulevés dans 100 requêtes ont été résolus.</w:t>
      </w:r>
    </w:p>
    <w:p w14:paraId="389AD7E7" w14:textId="275178EE" w:rsidR="00FF0818" w:rsidRPr="001D3647" w:rsidRDefault="00FF0818" w:rsidP="00AF3BD9">
      <w:pPr>
        <w:pStyle w:val="SingleTxt"/>
        <w:numPr>
          <w:ilvl w:val="0"/>
          <w:numId w:val="17"/>
        </w:numPr>
        <w:tabs>
          <w:tab w:val="num" w:pos="2804"/>
        </w:tabs>
        <w:spacing w:line="240" w:lineRule="exact"/>
        <w:ind w:left="1267"/>
        <w:rPr>
          <w:lang w:val="fr-CH"/>
        </w:rPr>
      </w:pPr>
      <w:r w:rsidRPr="00AF3BD9">
        <w:rPr>
          <w:lang w:val="fr-FR"/>
        </w:rPr>
        <w:t>A</w:t>
      </w:r>
      <w:r>
        <w:rPr>
          <w:lang w:val="fr-FR"/>
        </w:rPr>
        <w:t xml:space="preserve">u 10 septembre 2020, le Ministère du soutien aux </w:t>
      </w:r>
      <w:r>
        <w:rPr>
          <w:i/>
          <w:iCs/>
          <w:lang w:val="fr-FR"/>
        </w:rPr>
        <w:t>mahallas</w:t>
      </w:r>
      <w:r>
        <w:rPr>
          <w:lang w:val="fr-FR"/>
        </w:rPr>
        <w:t xml:space="preserve"> et à la famille avait reçu 124 680 requêtes provenant de personnes physiques ou morales. Parmi elles, 119</w:t>
      </w:r>
      <w:r w:rsidRPr="001D3647">
        <w:rPr>
          <w:lang w:val="fr-CH"/>
        </w:rPr>
        <w:t> </w:t>
      </w:r>
      <w:r>
        <w:rPr>
          <w:lang w:val="fr-FR"/>
        </w:rPr>
        <w:t>410 (94,1</w:t>
      </w:r>
      <w:r w:rsidR="00AF3BD9">
        <w:rPr>
          <w:lang w:val="fr-FR"/>
        </w:rPr>
        <w:t> </w:t>
      </w:r>
      <w:r>
        <w:rPr>
          <w:lang w:val="fr-FR"/>
        </w:rPr>
        <w:t xml:space="preserve">%) avaient été adressées </w:t>
      </w:r>
      <w:r>
        <w:rPr>
          <w:i/>
          <w:iCs/>
          <w:lang w:val="fr-FR"/>
        </w:rPr>
        <w:t>via</w:t>
      </w:r>
      <w:r>
        <w:rPr>
          <w:lang w:val="fr-FR"/>
        </w:rPr>
        <w:t xml:space="preserve"> le système de consultations présidentielles publiques et virtuelles, 2 920 (2,5</w:t>
      </w:r>
      <w:r w:rsidR="00AF3BD9">
        <w:rPr>
          <w:lang w:val="fr-FR"/>
        </w:rPr>
        <w:t> </w:t>
      </w:r>
      <w:r>
        <w:rPr>
          <w:lang w:val="fr-FR"/>
        </w:rPr>
        <w:t xml:space="preserve">%) </w:t>
      </w:r>
      <w:r>
        <w:rPr>
          <w:i/>
          <w:iCs/>
          <w:lang w:val="fr-FR"/>
        </w:rPr>
        <w:t>via</w:t>
      </w:r>
      <w:r>
        <w:rPr>
          <w:lang w:val="fr-FR"/>
        </w:rPr>
        <w:t xml:space="preserve"> le système de consultations virtuelles du Parquet, et 2 350 (1,5%) avaient été directement adressées au Ministre. Les requêtes concernaient :</w:t>
      </w:r>
    </w:p>
    <w:p w14:paraId="27599E26"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les aides financières et les allocations sociales (</w:t>
      </w:r>
      <w:r w:rsidRPr="001D3647">
        <w:rPr>
          <w:lang w:val="fr-CH"/>
        </w:rPr>
        <w:t xml:space="preserve">56 766 </w:t>
      </w:r>
      <w:r>
        <w:rPr>
          <w:lang w:val="fr-FR"/>
        </w:rPr>
        <w:t>demandes) </w:t>
      </w:r>
      <w:r w:rsidRPr="001D3647">
        <w:rPr>
          <w:lang w:val="fr-CH"/>
        </w:rPr>
        <w:t>;</w:t>
      </w:r>
    </w:p>
    <w:p w14:paraId="3414DA7E"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les affaires familiales (</w:t>
      </w:r>
      <w:r w:rsidRPr="001D3647">
        <w:rPr>
          <w:lang w:val="fr-CH"/>
        </w:rPr>
        <w:t>4 062</w:t>
      </w:r>
      <w:r>
        <w:rPr>
          <w:lang w:val="fr-FR"/>
        </w:rPr>
        <w:t>) </w:t>
      </w:r>
      <w:r w:rsidRPr="001D3647">
        <w:rPr>
          <w:lang w:val="fr-CH"/>
        </w:rPr>
        <w:t>;</w:t>
      </w:r>
    </w:p>
    <w:p w14:paraId="1F0EE094"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les questions féminines (</w:t>
      </w:r>
      <w:r w:rsidRPr="001D3647">
        <w:rPr>
          <w:lang w:val="fr-CH"/>
        </w:rPr>
        <w:t>183</w:t>
      </w:r>
      <w:r>
        <w:rPr>
          <w:lang w:val="fr-FR"/>
        </w:rPr>
        <w:t>) </w:t>
      </w:r>
      <w:r w:rsidRPr="001D3647">
        <w:rPr>
          <w:lang w:val="fr-CH"/>
        </w:rPr>
        <w:t>;</w:t>
      </w:r>
    </w:p>
    <w:p w14:paraId="18CA4836"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des désaccords avec les décisions des présidents des assemblées de citoyens (</w:t>
      </w:r>
      <w:r w:rsidRPr="001D3647">
        <w:rPr>
          <w:lang w:val="fr-CH"/>
        </w:rPr>
        <w:t>1 492</w:t>
      </w:r>
      <w:r>
        <w:rPr>
          <w:lang w:val="fr-FR"/>
        </w:rPr>
        <w:t>) </w:t>
      </w:r>
      <w:r w:rsidRPr="001D3647">
        <w:rPr>
          <w:lang w:val="fr-CH"/>
        </w:rPr>
        <w:t>;</w:t>
      </w:r>
    </w:p>
    <w:p w14:paraId="23410D2C"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 participation des femmes aux concours d’entrée dans les établissements d’enseignement supérieur (</w:t>
      </w:r>
      <w:r w:rsidRPr="001D3647">
        <w:rPr>
          <w:lang w:val="fr-CH"/>
        </w:rPr>
        <w:t>317</w:t>
      </w:r>
      <w:r>
        <w:rPr>
          <w:lang w:val="fr-FR"/>
        </w:rPr>
        <w:t>) </w:t>
      </w:r>
      <w:r w:rsidRPr="001D3647">
        <w:rPr>
          <w:lang w:val="fr-CH"/>
        </w:rPr>
        <w:t>;</w:t>
      </w:r>
    </w:p>
    <w:p w14:paraId="11A30463"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les aides financières médicales (</w:t>
      </w:r>
      <w:r w:rsidRPr="001D3647">
        <w:rPr>
          <w:lang w:val="fr-CH"/>
        </w:rPr>
        <w:t>537</w:t>
      </w:r>
      <w:r>
        <w:rPr>
          <w:lang w:val="fr-FR"/>
        </w:rPr>
        <w:t>) </w:t>
      </w:r>
      <w:r w:rsidRPr="001D3647">
        <w:rPr>
          <w:lang w:val="fr-CH"/>
        </w:rPr>
        <w:t>;</w:t>
      </w:r>
    </w:p>
    <w:p w14:paraId="35EC14AB"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le logement (</w:t>
      </w:r>
      <w:r w:rsidRPr="001D3647">
        <w:rPr>
          <w:lang w:val="fr-CH"/>
        </w:rPr>
        <w:t>248</w:t>
      </w:r>
      <w:r>
        <w:rPr>
          <w:lang w:val="fr-FR"/>
        </w:rPr>
        <w:t>) </w:t>
      </w:r>
      <w:r w:rsidRPr="001D3647">
        <w:rPr>
          <w:lang w:val="fr-CH"/>
        </w:rPr>
        <w:t>;</w:t>
      </w:r>
    </w:p>
    <w:p w14:paraId="3CE1C1A2"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 lutte contre la criminalité (</w:t>
      </w:r>
      <w:r w:rsidRPr="001D3647">
        <w:rPr>
          <w:lang w:val="fr-CH"/>
        </w:rPr>
        <w:t>539</w:t>
      </w:r>
      <w:r>
        <w:rPr>
          <w:lang w:val="fr-FR"/>
        </w:rPr>
        <w:t>) </w:t>
      </w:r>
      <w:r w:rsidRPr="001D3647">
        <w:rPr>
          <w:lang w:val="fr-CH"/>
        </w:rPr>
        <w:t>;</w:t>
      </w:r>
    </w:p>
    <w:p w14:paraId="3BCE31B4"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 xml:space="preserve">des plaintes visant les agissements de membres des comités et assemblées des </w:t>
      </w:r>
      <w:r>
        <w:rPr>
          <w:i/>
          <w:iCs/>
          <w:lang w:val="fr-FR"/>
        </w:rPr>
        <w:t>mahallas</w:t>
      </w:r>
      <w:r>
        <w:rPr>
          <w:lang w:val="fr-FR"/>
        </w:rPr>
        <w:t xml:space="preserve"> (</w:t>
      </w:r>
      <w:r w:rsidRPr="001D3647">
        <w:rPr>
          <w:lang w:val="fr-CH"/>
        </w:rPr>
        <w:t>5209</w:t>
      </w:r>
      <w:r>
        <w:rPr>
          <w:lang w:val="fr-FR"/>
        </w:rPr>
        <w:t>) </w:t>
      </w:r>
      <w:r w:rsidRPr="001D3647">
        <w:rPr>
          <w:lang w:val="fr-CH"/>
        </w:rPr>
        <w:t>;</w:t>
      </w:r>
    </w:p>
    <w:p w14:paraId="705595AA"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l’accès aux aides financières, à la nourriture et à la protection en période de confinement (</w:t>
      </w:r>
      <w:r w:rsidRPr="001D3647">
        <w:rPr>
          <w:lang w:val="fr-CH"/>
        </w:rPr>
        <w:t>24 478</w:t>
      </w:r>
      <w:r>
        <w:rPr>
          <w:lang w:val="fr-FR"/>
        </w:rPr>
        <w:t>)</w:t>
      </w:r>
      <w:r w:rsidRPr="001D3647">
        <w:rPr>
          <w:lang w:val="fr-CH"/>
        </w:rPr>
        <w:t>.</w:t>
      </w:r>
    </w:p>
    <w:p w14:paraId="1E5B7B58" w14:textId="78995AD7" w:rsidR="00FF0818" w:rsidRPr="001D3647" w:rsidRDefault="00FF0818" w:rsidP="00AF3BD9">
      <w:pPr>
        <w:pStyle w:val="SingleTxt"/>
        <w:numPr>
          <w:ilvl w:val="0"/>
          <w:numId w:val="17"/>
        </w:numPr>
        <w:tabs>
          <w:tab w:val="num" w:pos="2804"/>
        </w:tabs>
        <w:spacing w:line="240" w:lineRule="exact"/>
        <w:ind w:left="1267"/>
        <w:rPr>
          <w:lang w:val="fr-CH"/>
        </w:rPr>
      </w:pPr>
      <w:r>
        <w:rPr>
          <w:lang w:val="fr-FR"/>
        </w:rPr>
        <w:t>Le Ministère a traité 105 182 requêtes, l’examen des 19 498 restantes est en cours. Concernant les affaires traitées, 60 800 demandes ont reçu un avis favorable et 13 752 ont été rejetées ; 30 244 ont fait l’objet de clarifications.</w:t>
      </w:r>
    </w:p>
    <w:p w14:paraId="369797B1" w14:textId="77777777" w:rsidR="00FF0818" w:rsidRPr="001D3647" w:rsidRDefault="00FF0818" w:rsidP="00FF0818">
      <w:pPr>
        <w:pStyle w:val="SingleTxt"/>
        <w:spacing w:after="0" w:line="120" w:lineRule="exact"/>
        <w:rPr>
          <w:b/>
          <w:sz w:val="10"/>
          <w:lang w:val="fr-CH"/>
        </w:rPr>
      </w:pPr>
    </w:p>
    <w:p w14:paraId="70A32808"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6</w:t>
      </w:r>
    </w:p>
    <w:p w14:paraId="3E43A6BA" w14:textId="77777777" w:rsidR="00FF0818" w:rsidRPr="001D3647" w:rsidRDefault="00FF0818" w:rsidP="00FF0818">
      <w:pPr>
        <w:pStyle w:val="SingleTxt"/>
        <w:spacing w:after="0" w:line="120" w:lineRule="exact"/>
        <w:rPr>
          <w:sz w:val="10"/>
          <w:lang w:val="fr-CH"/>
        </w:rPr>
      </w:pPr>
    </w:p>
    <w:p w14:paraId="44601618" w14:textId="7B99164D"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Entériné le 10 octobre 2017, le plan d’action national pour l’application des recommandations du Comité relatives au cinquième rapport périodique de l’Ouzbékistan sur la mise en œuvre de la Convention a été élaboré avec la participation d’ONG de défense des femmes. Son délai d’exécution était fixé à 2019. Composé de 24 points, il avait pour objectif le renforcement des bases juridiques et institutionnelles de la protection des droits des femmes, conformément aux objectifs de développement durable (ODD).</w:t>
      </w:r>
    </w:p>
    <w:p w14:paraId="353C7F78" w14:textId="3AF991FE" w:rsidR="00FF0818" w:rsidRPr="001D3647" w:rsidRDefault="00FF0818" w:rsidP="00AF3BD9">
      <w:pPr>
        <w:pStyle w:val="SingleTxt"/>
        <w:numPr>
          <w:ilvl w:val="0"/>
          <w:numId w:val="17"/>
        </w:numPr>
        <w:tabs>
          <w:tab w:val="num" w:pos="2804"/>
        </w:tabs>
        <w:spacing w:line="240" w:lineRule="exact"/>
        <w:ind w:left="1267"/>
        <w:rPr>
          <w:lang w:val="fr-CH"/>
        </w:rPr>
      </w:pPr>
      <w:r>
        <w:rPr>
          <w:lang w:val="fr-FR"/>
        </w:rPr>
        <w:t>La procédure de collecte de renseignements et de suivi de la mise en œuvre du plan d’action s’est déroulée en trois étapes :</w:t>
      </w:r>
    </w:p>
    <w:p w14:paraId="6CF2F5E2" w14:textId="147F9388"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1</w:t>
      </w:r>
      <w:r>
        <w:rPr>
          <w:vertAlign w:val="superscript"/>
          <w:lang w:val="fr-FR"/>
        </w:rPr>
        <w:t>re</w:t>
      </w:r>
      <w:r>
        <w:rPr>
          <w:lang w:val="fr-FR"/>
        </w:rPr>
        <w:t xml:space="preserve"> étape : à partir du 5 juillet 2018 </w:t>
      </w:r>
      <w:r w:rsidRPr="001D3647">
        <w:rPr>
          <w:lang w:val="fr-CH"/>
        </w:rPr>
        <w:t>;</w:t>
      </w:r>
    </w:p>
    <w:p w14:paraId="3FCFD065"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2</w:t>
      </w:r>
      <w:r>
        <w:rPr>
          <w:vertAlign w:val="superscript"/>
          <w:lang w:val="fr-FR"/>
        </w:rPr>
        <w:t>e</w:t>
      </w:r>
      <w:r>
        <w:rPr>
          <w:lang w:val="fr-FR"/>
        </w:rPr>
        <w:t xml:space="preserve"> étape : à partir du 3 octobre 2018 </w:t>
      </w:r>
      <w:r w:rsidRPr="001D3647">
        <w:rPr>
          <w:lang w:val="fr-CH"/>
        </w:rPr>
        <w:t>;</w:t>
      </w:r>
    </w:p>
    <w:p w14:paraId="227A7EBF" w14:textId="1362873B"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3</w:t>
      </w:r>
      <w:r>
        <w:rPr>
          <w:vertAlign w:val="superscript"/>
          <w:lang w:val="fr-FR"/>
        </w:rPr>
        <w:t>e</w:t>
      </w:r>
      <w:r>
        <w:rPr>
          <w:lang w:val="fr-FR"/>
        </w:rPr>
        <w:t xml:space="preserve"> étape : sur les deux dernières années (de mars à juillet)</w:t>
      </w:r>
      <w:r w:rsidRPr="001D3647">
        <w:rPr>
          <w:lang w:val="fr-CH"/>
        </w:rPr>
        <w:t>.</w:t>
      </w:r>
    </w:p>
    <w:p w14:paraId="505D26E0" w14:textId="45EAA0A0"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Un rapport détaillé a été effectué pour chaque point du plan d’action à partir des données transmises par l’administration et par les ONG. Afin d’évaluer les avancées au niveau local, des tables rondes consacrées au plan d’action ont eu lieu dans les provinces de Ferghana, d’Andijan, de Namangan, de Syrdarya, de Djizak, de Samarcande, de Boukhara et de Navoï.</w:t>
      </w:r>
    </w:p>
    <w:p w14:paraId="20A92FC6" w14:textId="5520EAD2"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lastRenderedPageBreak/>
        <w:t>Du 6 au 10 Mai 2019, des consultations fondées sur des exemples concrets et des données statistiques ont été organisées afin d’évaluer l’application du plan d’action dans les provinces de Djizak, de Boukhara et d’Andijan.</w:t>
      </w:r>
    </w:p>
    <w:p w14:paraId="159A94F3" w14:textId="6ADD6C2E" w:rsidR="00FF0818" w:rsidRPr="001D3647" w:rsidRDefault="00FF0818" w:rsidP="00AF3BD9">
      <w:pPr>
        <w:pStyle w:val="SingleTxt"/>
        <w:numPr>
          <w:ilvl w:val="0"/>
          <w:numId w:val="17"/>
        </w:numPr>
        <w:tabs>
          <w:tab w:val="num" w:pos="2804"/>
        </w:tabs>
        <w:spacing w:line="240" w:lineRule="exact"/>
        <w:ind w:left="1267"/>
        <w:rPr>
          <w:lang w:val="fr-CH"/>
        </w:rPr>
      </w:pPr>
      <w:r>
        <w:rPr>
          <w:lang w:val="fr-FR"/>
        </w:rPr>
        <w:t>Les mesures suivantes ont été prises dans le cadre du plan d’action :</w:t>
      </w:r>
    </w:p>
    <w:p w14:paraId="6650F5D5"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adoption du décret sur la transformation radicale des activités liées à l’assistance aux femmes et à la consolidation de l’institution familiale ;</w:t>
      </w:r>
    </w:p>
    <w:p w14:paraId="4AF3D820"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création d’un fonds de soutien aux femmes et aux familles ;</w:t>
      </w:r>
    </w:p>
    <w:p w14:paraId="07B7251C"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paiement des premières allocations aux femmes confrontées à des difficultés de logement ;</w:t>
      </w:r>
    </w:p>
    <w:p w14:paraId="181762B7"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t>é</w:t>
      </w:r>
      <w:r>
        <w:rPr>
          <w:lang w:val="fr-FR"/>
        </w:rPr>
        <w:t>laboration d’un train de mesures de soutien aux filles, incluant l’organisation d’un sommet à Samarcande ;</w:t>
      </w:r>
    </w:p>
    <w:p w14:paraId="5432BB27"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t>f</w:t>
      </w:r>
      <w:r>
        <w:rPr>
          <w:lang w:val="fr-FR"/>
        </w:rPr>
        <w:t>ondation d’un centre de réhabilitation sociale et d’adaptation sous l’égide du comité des femmes ;</w:t>
      </w:r>
    </w:p>
    <w:p w14:paraId="3942BB9B"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ouverture de pépinières d’entreprises dans les provinces ;</w:t>
      </w:r>
    </w:p>
    <w:p w14:paraId="50240D7D"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création d’une commission de défense de l’égalité des genres ;</w:t>
      </w:r>
    </w:p>
    <w:p w14:paraId="122648A2"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élaboration d’un projet de doctrine pour la mise en œuvre de la politique gouvernementale en faveur de l’égalité des genres ;</w:t>
      </w:r>
    </w:p>
    <w:p w14:paraId="61BD289F"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adoption des lois garantissant l’égalité des droits et des chances aux femmes et aux hommes et protégeant les femmes contre le harcèlement et la violence.</w:t>
      </w:r>
    </w:p>
    <w:p w14:paraId="30CC3753"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 xml:space="preserve">En outre, dans les </w:t>
      </w:r>
      <w:r>
        <w:rPr>
          <w:i/>
          <w:iCs/>
          <w:lang w:val="fr-FR"/>
        </w:rPr>
        <w:t>mahallas</w:t>
      </w:r>
      <w:r>
        <w:rPr>
          <w:lang w:val="fr-FR"/>
        </w:rPr>
        <w:t>,</w:t>
      </w:r>
      <w:r>
        <w:rPr>
          <w:i/>
          <w:iCs/>
          <w:lang w:val="fr-FR"/>
        </w:rPr>
        <w:t xml:space="preserve"> </w:t>
      </w:r>
      <w:r>
        <w:rPr>
          <w:lang w:val="fr-FR"/>
        </w:rPr>
        <w:t>plus de 9 000 femmes travaillent actuellement en tant que spécialistes de l’aide aux femmes et du renforcement des valeurs spirituelles et morales dans les familles.</w:t>
      </w:r>
    </w:p>
    <w:p w14:paraId="257343A5" w14:textId="517AD7E6" w:rsidR="00FF0818" w:rsidRPr="001D3647" w:rsidRDefault="00FF0818" w:rsidP="00AF3BD9">
      <w:pPr>
        <w:pStyle w:val="SingleTxt"/>
        <w:numPr>
          <w:ilvl w:val="0"/>
          <w:numId w:val="17"/>
        </w:numPr>
        <w:spacing w:line="240" w:lineRule="exact"/>
        <w:ind w:left="1267"/>
        <w:rPr>
          <w:lang w:val="fr-CH"/>
        </w:rPr>
      </w:pPr>
      <w:r>
        <w:rPr>
          <w:lang w:val="fr-FR"/>
        </w:rPr>
        <w:t>Afin de réaliser l’égalité des genres à l’horizon 2020-2030 et d’appuyer les mesures d’aide aux femmes dans toutes les sphères de la vie sociale, un projet de stratégie a été rédigé. Il prévoit :</w:t>
      </w:r>
    </w:p>
    <w:p w14:paraId="51F6D846"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l’élargissement des programmes de défense des droits et des intérêts des femmes dans la sphère économique et sociale, l’utilisation intensive des nouvelles technologies, notamment dans les domaines de l’information et des communications, afin de favoriser l’autonomisation des femmes ;</w:t>
      </w:r>
    </w:p>
    <w:p w14:paraId="05D3CC47"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 mise en conformité exacte de la base juridique et des mécanismes de défense des femmes contre la violence domestique avec les critères internationaux ;</w:t>
      </w:r>
    </w:p>
    <w:p w14:paraId="295060EA"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 sensibilisation accrue de la population à la question de l’égalité des genres ;</w:t>
      </w:r>
    </w:p>
    <w:p w14:paraId="0BA2AF6D"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 mise en œuvre de mesures efficaces promouvant l’égalité des genres dans toutes les sphères de la vie sociale, en particulier dans la politique et dans les processus décisionnels ;</w:t>
      </w:r>
    </w:p>
    <w:p w14:paraId="7B30A7D5" w14:textId="550DD2E8"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l’élaboration de propositions en faveur d’une adhésion de l’Ouzbékistan aux traités internationaux sur les droits des femmes, ainsi par exemple qu’aux conventions de l’Organisation internationale du travail sur les travailleurs ayant des responsabilités familiales (</w:t>
      </w:r>
      <w:r w:rsidR="00B80934">
        <w:rPr>
          <w:lang w:val="fr-FR"/>
        </w:rPr>
        <w:t>n</w:t>
      </w:r>
      <w:r w:rsidR="00B80934" w:rsidRPr="00B80934">
        <w:rPr>
          <w:vertAlign w:val="superscript"/>
          <w:lang w:val="fr-FR"/>
        </w:rPr>
        <w:t>o</w:t>
      </w:r>
      <w:r w:rsidR="00B80934">
        <w:rPr>
          <w:lang w:val="fr-FR"/>
        </w:rPr>
        <w:t> </w:t>
      </w:r>
      <w:r>
        <w:rPr>
          <w:lang w:val="fr-FR"/>
        </w:rPr>
        <w:t>156) et sur la protection de la maternité (</w:t>
      </w:r>
      <w:r w:rsidR="00B80934">
        <w:rPr>
          <w:lang w:val="fr-FR"/>
        </w:rPr>
        <w:t>n</w:t>
      </w:r>
      <w:r w:rsidR="00B80934" w:rsidRPr="00B80934">
        <w:rPr>
          <w:vertAlign w:val="superscript"/>
          <w:lang w:val="fr-FR"/>
        </w:rPr>
        <w:t>o</w:t>
      </w:r>
      <w:r>
        <w:rPr>
          <w:lang w:val="fr-FR"/>
        </w:rPr>
        <w:t> 183).</w:t>
      </w:r>
    </w:p>
    <w:p w14:paraId="14A3A246" w14:textId="77777777" w:rsidR="00FF0818" w:rsidRPr="00074EC2" w:rsidRDefault="00FF0818" w:rsidP="00FF0818">
      <w:pPr>
        <w:pStyle w:val="SingleTxt"/>
        <w:spacing w:after="0" w:line="120" w:lineRule="exact"/>
        <w:rPr>
          <w:bCs/>
          <w:sz w:val="10"/>
          <w:lang w:val="fr-CH"/>
        </w:rPr>
      </w:pPr>
    </w:p>
    <w:p w14:paraId="64950FB3" w14:textId="77777777" w:rsidR="00FF0818" w:rsidRPr="00074EC2" w:rsidRDefault="00FF0818" w:rsidP="00FF0818">
      <w:pPr>
        <w:pStyle w:val="SingleTxt"/>
        <w:spacing w:after="0" w:line="120" w:lineRule="exact"/>
        <w:rPr>
          <w:bCs/>
          <w:sz w:val="10"/>
          <w:lang w:val="fr-CH"/>
        </w:rPr>
      </w:pPr>
    </w:p>
    <w:p w14:paraId="45882FAD" w14:textId="77777777" w:rsidR="00FF0818" w:rsidRPr="001D3647" w:rsidRDefault="00FF0818" w:rsidP="00AF3B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lastRenderedPageBreak/>
        <w:tab/>
      </w:r>
      <w:r w:rsidRPr="001D3647">
        <w:rPr>
          <w:lang w:val="fr-CH"/>
        </w:rPr>
        <w:tab/>
      </w:r>
      <w:r>
        <w:rPr>
          <w:lang w:val="fr-FR"/>
        </w:rPr>
        <w:t>Mesures temporaires spéciales</w:t>
      </w:r>
    </w:p>
    <w:p w14:paraId="1499DE09" w14:textId="26422BFA" w:rsidR="00FF0818" w:rsidRPr="00074EC2" w:rsidRDefault="00FF0818" w:rsidP="00AF3BD9">
      <w:pPr>
        <w:pStyle w:val="SingleTxt"/>
        <w:keepNext/>
        <w:keepLines/>
        <w:spacing w:after="0" w:line="120" w:lineRule="exact"/>
        <w:rPr>
          <w:bCs/>
          <w:sz w:val="10"/>
          <w:lang w:val="fr-CH"/>
        </w:rPr>
      </w:pPr>
    </w:p>
    <w:p w14:paraId="539DE924" w14:textId="77777777" w:rsidR="00AF3BD9" w:rsidRPr="00074EC2" w:rsidRDefault="00AF3BD9" w:rsidP="00AF3BD9">
      <w:pPr>
        <w:pStyle w:val="SingleTxt"/>
        <w:keepNext/>
        <w:keepLines/>
        <w:spacing w:after="0" w:line="120" w:lineRule="exact"/>
        <w:rPr>
          <w:bCs/>
          <w:sz w:val="10"/>
          <w:lang w:val="fr-CH"/>
        </w:rPr>
      </w:pPr>
    </w:p>
    <w:p w14:paraId="6DE7BF1B" w14:textId="77777777" w:rsidR="00FF0818" w:rsidRPr="001D3647" w:rsidRDefault="00FF0818" w:rsidP="00AF3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7</w:t>
      </w:r>
    </w:p>
    <w:p w14:paraId="6E9B65B8" w14:textId="77777777" w:rsidR="00FF0818" w:rsidRPr="001D3647" w:rsidRDefault="00FF0818" w:rsidP="00AF3BD9">
      <w:pPr>
        <w:pStyle w:val="SingleTxt"/>
        <w:keepNext/>
        <w:keepLines/>
        <w:spacing w:after="0" w:line="120" w:lineRule="exact"/>
        <w:rPr>
          <w:sz w:val="10"/>
          <w:lang w:val="fr-CH"/>
        </w:rPr>
      </w:pPr>
    </w:p>
    <w:p w14:paraId="5A9A27DF" w14:textId="6C05E351" w:rsidR="00FF0818" w:rsidRPr="001D3647" w:rsidRDefault="00FF0818" w:rsidP="00AF3BD9">
      <w:pPr>
        <w:pStyle w:val="SingleTxt"/>
        <w:numPr>
          <w:ilvl w:val="0"/>
          <w:numId w:val="17"/>
        </w:numPr>
        <w:spacing w:line="240" w:lineRule="exact"/>
        <w:ind w:left="1267"/>
        <w:rPr>
          <w:lang w:val="fr-CH"/>
        </w:rPr>
      </w:pPr>
      <w:r>
        <w:rPr>
          <w:lang w:val="fr-FR"/>
        </w:rPr>
        <w:t xml:space="preserve">Dans le cadre des réflexions sur une stratégie d’instauration et de mise en œuvre de mesures temporaires spéciales visant l’égalité réelle entre les hommes et les femmes, des études ont été menées concernant des propositions favorisant </w:t>
      </w:r>
      <w:r>
        <w:rPr>
          <w:i/>
          <w:iCs/>
          <w:lang w:val="fr-FR"/>
        </w:rPr>
        <w:t>in fine</w:t>
      </w:r>
      <w:r>
        <w:rPr>
          <w:lang w:val="fr-FR"/>
        </w:rPr>
        <w:t xml:space="preserve"> l’inscription de l’article 4 de la Convention dans le droit national.</w:t>
      </w:r>
    </w:p>
    <w:p w14:paraId="66F882BB" w14:textId="38EE8114" w:rsidR="00FF0818" w:rsidRPr="001D3647" w:rsidRDefault="00FF0818" w:rsidP="00AF3BD9">
      <w:pPr>
        <w:pStyle w:val="SingleTxt"/>
        <w:numPr>
          <w:ilvl w:val="0"/>
          <w:numId w:val="17"/>
        </w:numPr>
        <w:tabs>
          <w:tab w:val="num" w:pos="2804"/>
        </w:tabs>
        <w:spacing w:line="240" w:lineRule="exact"/>
        <w:ind w:left="1267"/>
        <w:rPr>
          <w:lang w:val="fr-CH"/>
        </w:rPr>
      </w:pPr>
      <w:r w:rsidRPr="00AF3BD9">
        <w:rPr>
          <w:szCs w:val="20"/>
          <w:lang w:val="fr-FR"/>
        </w:rPr>
        <w:t>Les</w:t>
      </w:r>
      <w:r>
        <w:rPr>
          <w:lang w:val="fr-FR"/>
        </w:rPr>
        <w:t xml:space="preserve"> objectifs de ces études ont été remplis :</w:t>
      </w:r>
    </w:p>
    <w:p w14:paraId="66BC2F46"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trois lois garantissant l’égalité des droits et des chances entre les femmes et les hommes, protégeant les femmes contre le harcèlement et la violence, et préservant la santé reproductive ont été adoptées ;</w:t>
      </w:r>
    </w:p>
    <w:p w14:paraId="5C6E8D7C"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l’article 15 du Code familial a été modifié afin que l’âge nubile des hommes et des femmes soit identique, et le Code du travail a été amendé.</w:t>
      </w:r>
    </w:p>
    <w:p w14:paraId="1836ADF5" w14:textId="4B6A388C" w:rsidR="00FF0818" w:rsidRPr="001D3647" w:rsidRDefault="00FF0818" w:rsidP="00AF3BD9">
      <w:pPr>
        <w:pStyle w:val="SingleTxt"/>
        <w:numPr>
          <w:ilvl w:val="0"/>
          <w:numId w:val="17"/>
        </w:numPr>
        <w:spacing w:line="240" w:lineRule="exact"/>
        <w:ind w:left="1267"/>
        <w:rPr>
          <w:lang w:val="fr-CH"/>
        </w:rPr>
      </w:pPr>
      <w:r>
        <w:rPr>
          <w:lang w:val="fr-FR"/>
        </w:rPr>
        <w:t>Entre autres avancées, la décision du 7 mars 2019 renforçant la protection des droits des travailleurs et soutenant l’entrepreneuriat des femmes :</w:t>
      </w:r>
    </w:p>
    <w:p w14:paraId="04BC56AA"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supprime l’interdiction faite aux femmes d’accéder à certains secteurs économiques et d’exercer certaines professions ;</w:t>
      </w:r>
    </w:p>
    <w:p w14:paraId="4855763F"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entérine la liste indicative des secteurs et des professions pouvant avoir des effets néfastes sur la santé des femmes ;</w:t>
      </w:r>
    </w:p>
    <w:p w14:paraId="11A63B76"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interdit la mise à la retraite forcée des femmes par les employeurs.</w:t>
      </w:r>
    </w:p>
    <w:p w14:paraId="3143D8E9" w14:textId="34C16203" w:rsidR="00FF0818" w:rsidRPr="001D3647" w:rsidRDefault="00FF0818" w:rsidP="00AF3BD9">
      <w:pPr>
        <w:pStyle w:val="SingleTxt"/>
        <w:numPr>
          <w:ilvl w:val="0"/>
          <w:numId w:val="17"/>
        </w:numPr>
        <w:spacing w:line="240" w:lineRule="exact"/>
        <w:ind w:left="1267"/>
        <w:rPr>
          <w:lang w:val="fr-CH"/>
        </w:rPr>
      </w:pPr>
      <w:r>
        <w:rPr>
          <w:lang w:val="fr-FR"/>
        </w:rPr>
        <w:t>L’ordonnance gouvernementale du 12 avril 2018 entérine la procédure d’accès aux logements à coût abordable pour les femmes et les filles en situation précaire, ainsi que les mères souffrant de handicap, à faible revenu ou élevant seules leurs enfants et nécessitant une amélioration de leurs conditions de logement.</w:t>
      </w:r>
    </w:p>
    <w:p w14:paraId="12E54195" w14:textId="79D9ED25"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 xml:space="preserve">Les efforts conjoints des activistes des </w:t>
      </w:r>
      <w:r w:rsidRPr="00AF3BD9">
        <w:rPr>
          <w:i/>
          <w:iCs/>
          <w:lang w:val="fr-FR"/>
        </w:rPr>
        <w:t>mahallas</w:t>
      </w:r>
      <w:r w:rsidRPr="00AF3BD9">
        <w:rPr>
          <w:lang w:val="fr-FR"/>
        </w:rPr>
        <w:t xml:space="preserve"> et des organismes compétents ont permis de réconcilier 15 290 couples en voie de divorce. Des ordonnances de protection ont été prononcées en faveur de 3 592 femmes victimes de violence, dont les familles font l’objet d’un suivi.</w:t>
      </w:r>
    </w:p>
    <w:p w14:paraId="0011A9EE" w14:textId="386B9F66"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À travers le pays, 7 700 femmes étaient éligibles au titre du programme 2020 d’accès à l’emploi pour les femmes en situation précaire, et 5 500 d’entre elles (71,0 %) ont été embauchées.</w:t>
      </w:r>
    </w:p>
    <w:p w14:paraId="40B0B6CC" w14:textId="13CEE8BE"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Assistées dans leurs démarches auprès des banques, 11 000 femmes ayant reçu une formation professionnelle et présentant des aptitudes à l’entrepreneuriat se sont vu octroyer des prêts pour un total de 1 000 milliards de soums.</w:t>
      </w:r>
    </w:p>
    <w:p w14:paraId="566197CF" w14:textId="03C38EF4" w:rsidR="00FF0818" w:rsidRPr="001D3647" w:rsidRDefault="00FF0818" w:rsidP="00AF3BD9">
      <w:pPr>
        <w:pStyle w:val="SingleTxt"/>
        <w:numPr>
          <w:ilvl w:val="0"/>
          <w:numId w:val="17"/>
        </w:numPr>
        <w:tabs>
          <w:tab w:val="num" w:pos="2804"/>
        </w:tabs>
        <w:spacing w:line="240" w:lineRule="exact"/>
        <w:ind w:left="1267"/>
        <w:rPr>
          <w:lang w:val="fr-CH"/>
        </w:rPr>
      </w:pPr>
      <w:r>
        <w:rPr>
          <w:lang w:val="fr-FR"/>
        </w:rPr>
        <w:t xml:space="preserve">Chaque </w:t>
      </w:r>
      <w:r>
        <w:rPr>
          <w:i/>
          <w:iCs/>
          <w:lang w:val="fr-FR"/>
        </w:rPr>
        <w:t>mahalla</w:t>
      </w:r>
      <w:r>
        <w:rPr>
          <w:lang w:val="fr-FR"/>
        </w:rPr>
        <w:t xml:space="preserve"> a donné lieu à un recensement des femmes nécessitant une orientation professionnelle et une formation de courte durée. Sur 37 000 femmes, 3 716 ont reçu une formation.</w:t>
      </w:r>
    </w:p>
    <w:p w14:paraId="7909D6A8" w14:textId="3CC746F4"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Le fonds public de soutien aux femmes et aux familles a octroyé à 5 500</w:t>
      </w:r>
      <w:r w:rsidR="00AF3BD9">
        <w:rPr>
          <w:lang w:val="fr-FR"/>
        </w:rPr>
        <w:t xml:space="preserve"> </w:t>
      </w:r>
      <w:r w:rsidRPr="00AF3BD9">
        <w:rPr>
          <w:lang w:val="fr-FR"/>
        </w:rPr>
        <w:t>femmes des prêts à taux réduit pour les petites entreprises, grâce aux financements de banques commerciales à hauteur de 92 milliards de soums.</w:t>
      </w:r>
    </w:p>
    <w:p w14:paraId="097CF1E8" w14:textId="11E588C8"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Des conseils consultatifs ont été créés afin de développer l’entrepreneuriat des femmes, notamment dans le secteur agricole des zones rurales. Ces organes permanents sont constitués de femmes chefs d’entreprise, de représentants d’ONG et des pouvoirs publics compétents.</w:t>
      </w:r>
    </w:p>
    <w:p w14:paraId="195902F6" w14:textId="2DBD19AE" w:rsidR="00FF0818" w:rsidRPr="001D3647" w:rsidRDefault="00FF0818" w:rsidP="00AF3BD9">
      <w:pPr>
        <w:pStyle w:val="SingleTxt"/>
        <w:numPr>
          <w:ilvl w:val="0"/>
          <w:numId w:val="17"/>
        </w:numPr>
        <w:tabs>
          <w:tab w:val="num" w:pos="2804"/>
        </w:tabs>
        <w:spacing w:line="240" w:lineRule="exact"/>
        <w:ind w:left="1267"/>
        <w:rPr>
          <w:lang w:val="fr-CH"/>
        </w:rPr>
      </w:pPr>
      <w:r>
        <w:rPr>
          <w:lang w:val="fr-FR"/>
        </w:rPr>
        <w:t xml:space="preserve">Selon une enquête sociologique sur la question de l’égalité des genres dans la société ouzbèke, menée en 2019 auprès de 1 400 personnes, la quasi-totalité de la </w:t>
      </w:r>
      <w:r>
        <w:rPr>
          <w:lang w:val="fr-FR"/>
        </w:rPr>
        <w:lastRenderedPageBreak/>
        <w:t>population (89 %) juge primordial que les filles et les garçons reçoivent un même niveau d’éducation. Dans toutes les catégories d’âge, hommes et femmes affirment qu’un accès égal à l’enseignement supérieur est nécessaire pour assurer la compétitivité des jeunes des deux sexes sur le marché du travail. Cependant, environ 60 % des sondés pensent que les hommes font de meilleurs chefs ; 26 % considèrent que les qualités de direction ne dépendent pas du sexe.</w:t>
      </w:r>
    </w:p>
    <w:p w14:paraId="06D35B42" w14:textId="43F9E212" w:rsidR="00FF0818" w:rsidRPr="001D3647" w:rsidRDefault="00FF0818" w:rsidP="00AF3BD9">
      <w:pPr>
        <w:pStyle w:val="SingleTxt"/>
        <w:numPr>
          <w:ilvl w:val="0"/>
          <w:numId w:val="17"/>
        </w:numPr>
        <w:spacing w:line="240" w:lineRule="exact"/>
        <w:ind w:left="1267"/>
        <w:rPr>
          <w:lang w:val="fr-CH"/>
        </w:rPr>
      </w:pPr>
      <w:r>
        <w:rPr>
          <w:lang w:val="fr-FR"/>
        </w:rPr>
        <w:t>Un sondage sur le thème des pratiques et de la santé reproductives, ainsi que des droits en matière de procréation, aboutit aux conclusions suivantes :</w:t>
      </w:r>
    </w:p>
    <w:p w14:paraId="756095D1"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dans toutes les régions du pays, la majorité des sondés (73,9 %) des deux sexes, indépendamment de l’âge, du niveau d’éducation et de revenu, affirment que le but principal de la famille, ce qui lui donne sa valeur, est d’avoir des enfants ;</w:t>
      </w:r>
    </w:p>
    <w:p w14:paraId="15605E87"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il existe un consensus sur l’âge idéal de la femme à son premier enfant. La majorité le situe entre 21 et 25 ans.</w:t>
      </w:r>
    </w:p>
    <w:p w14:paraId="2D170E3A" w14:textId="4808C33A" w:rsidR="00FF0818" w:rsidRPr="001D3647" w:rsidRDefault="00FF0818" w:rsidP="00AF3BD9">
      <w:pPr>
        <w:pStyle w:val="SingleTxt"/>
        <w:numPr>
          <w:ilvl w:val="0"/>
          <w:numId w:val="17"/>
        </w:numPr>
        <w:spacing w:line="240" w:lineRule="exact"/>
        <w:ind w:left="1267"/>
        <w:rPr>
          <w:bCs/>
          <w:lang w:val="fr-CH"/>
        </w:rPr>
      </w:pPr>
      <w:r>
        <w:rPr>
          <w:bCs/>
          <w:lang w:val="fr-FR"/>
        </w:rPr>
        <w:t>Selon un sondage consacré à l’évolution des relations intrafamiliales et à la répartition des rôles pendant le confinement, la famille et les enfants, l’éducation de ces derniers, leur développement moral et spirituel demeurent les principales valeurs dans la société ouzbèke. La majorité des sondés (67,5 %) considèrent que l’éducation et l’épanouissement des enfants sont de la responsabilité de la famille, qu’ils constituent l’obligation première et le devoir le plus important des parents.</w:t>
      </w:r>
    </w:p>
    <w:p w14:paraId="68898ED9" w14:textId="77777777" w:rsidR="00FF0818" w:rsidRPr="00AF3BD9" w:rsidRDefault="00FF0818" w:rsidP="00FF0818">
      <w:pPr>
        <w:pStyle w:val="SingleTxt"/>
        <w:spacing w:after="0" w:line="120" w:lineRule="exact"/>
        <w:rPr>
          <w:bCs/>
          <w:sz w:val="10"/>
          <w:lang w:val="fr-CH"/>
        </w:rPr>
      </w:pPr>
    </w:p>
    <w:p w14:paraId="003A1B7D" w14:textId="77777777" w:rsidR="00FF0818" w:rsidRPr="00AF3BD9" w:rsidRDefault="00FF0818" w:rsidP="00FF0818">
      <w:pPr>
        <w:pStyle w:val="SingleTxt"/>
        <w:spacing w:after="0" w:line="120" w:lineRule="exact"/>
        <w:rPr>
          <w:bCs/>
          <w:sz w:val="10"/>
          <w:lang w:val="fr-CH"/>
        </w:rPr>
      </w:pPr>
    </w:p>
    <w:p w14:paraId="503D392A"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Stéréotypes et pratiques préjudiciables</w:t>
      </w:r>
    </w:p>
    <w:p w14:paraId="57C6E749" w14:textId="7D4B9474" w:rsidR="00FF0818" w:rsidRDefault="00FF0818" w:rsidP="00FF0818">
      <w:pPr>
        <w:pStyle w:val="SingleTxt"/>
        <w:spacing w:after="0" w:line="120" w:lineRule="exact"/>
        <w:rPr>
          <w:bCs/>
          <w:sz w:val="10"/>
          <w:lang w:val="fr-CH"/>
        </w:rPr>
      </w:pPr>
    </w:p>
    <w:p w14:paraId="578B345A" w14:textId="77777777" w:rsidR="00074EC2" w:rsidRPr="00AF3BD9" w:rsidRDefault="00074EC2" w:rsidP="00FF0818">
      <w:pPr>
        <w:pStyle w:val="SingleTxt"/>
        <w:spacing w:after="0" w:line="120" w:lineRule="exact"/>
        <w:rPr>
          <w:bCs/>
          <w:sz w:val="10"/>
          <w:lang w:val="fr-CH"/>
        </w:rPr>
      </w:pPr>
    </w:p>
    <w:p w14:paraId="04A3BA62"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8</w:t>
      </w:r>
    </w:p>
    <w:p w14:paraId="1831F36E" w14:textId="77777777" w:rsidR="00FF0818" w:rsidRPr="001D3647" w:rsidRDefault="00FF0818" w:rsidP="00FF0818">
      <w:pPr>
        <w:pStyle w:val="SingleTxt"/>
        <w:spacing w:after="0" w:line="120" w:lineRule="exact"/>
        <w:rPr>
          <w:bCs/>
          <w:sz w:val="10"/>
          <w:lang w:val="fr-CH"/>
        </w:rPr>
      </w:pPr>
    </w:p>
    <w:p w14:paraId="4F5494C8" w14:textId="0A52D595"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La commission chargée de l’égalité des genres et le comité sénatorial chargé de la condition féminine et de l’égalité des genres coordonnent les procédures d’élaboration et de validation par les organismes gouvernementaux et indépendants du projet de stratégie pour l’égalité des genres à l’horizon 2020-2030. Ce dernier a pour objectif l’égalité des droits et des chances entre les femmes et les hommes dans les sphères sociale, économique et politique. Il se conforme aux objectifs de développement durable fixés par les Nations Unies pour</w:t>
      </w:r>
      <w:r w:rsidR="00AF3BD9">
        <w:rPr>
          <w:lang w:val="fr-FR"/>
        </w:rPr>
        <w:t xml:space="preserve"> </w:t>
      </w:r>
      <w:r w:rsidRPr="00AF3BD9">
        <w:rPr>
          <w:lang w:val="fr-FR"/>
        </w:rPr>
        <w:t>2030.</w:t>
      </w:r>
    </w:p>
    <w:p w14:paraId="7ADCA3FB" w14:textId="271507CD"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Dans le cadre de l’élaboration de cette stratégie, on a mené une enquête sociologique sur l’égalité des genres dans la société ouzbèke, afin de disposer d’une évaluation exhaustive des relations entre les genres et des stéréotypes traditionnels ayant cours aujourd’hui. Les diverses mesures prises devraient favoriser l’élimination des stéréotypes discriminants, des postures patriarcales et des pratiques préjudiciables.</w:t>
      </w:r>
    </w:p>
    <w:p w14:paraId="7D8BC087" w14:textId="6CD91E0F"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L’article 5 de la loi sur l’éducation garantit l’égalité des droits en la matière, indépendamment du sexe, de la race, de l’origine ethnique, de la langue, de la religion, de l’origine sociale, des convictions, de la situation personnelle et sociale. Afin que les enfants d’âge scolaire acquièrent la notion d’égalité des genres, tous les écoliers des établissements généraux bénéficient des mêmes conditions d’accès à un enseignement de qualité, quel que soit leur sexe.</w:t>
      </w:r>
    </w:p>
    <w:p w14:paraId="7565EE0E" w14:textId="60631670"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On prévoit d’ouvrir des cours spéciaux consacrés aux droits de l’homme, aux droits des femmes et aux droits des enfants, dans les établissements d’enseignement supérieur, afin que les étudiants et les étudiantes disposent de connaissances juridiques sur ces sujets. En outre, les programmes de formation continue des enseignants du supérieur intégreront des modules consacrés à l’influence profonde de l’approche différenciée selon les sexes sur les processus d’apprentissage.</w:t>
      </w:r>
    </w:p>
    <w:p w14:paraId="626A8865" w14:textId="5460C398"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lastRenderedPageBreak/>
        <w:t>Un total de 146 « écoles innovantes pour futurs maris et femmes » ont ouvert. Plus de 62 070 futurs maris et femmes y ont assisté aux séminaires de plus de 400 intervenants spécialisés.</w:t>
      </w:r>
    </w:p>
    <w:p w14:paraId="2BFF6787" w14:textId="1F3C7031" w:rsidR="00FF0818" w:rsidRPr="001D3647" w:rsidRDefault="00FF0818" w:rsidP="00AF3BD9">
      <w:pPr>
        <w:pStyle w:val="SingleTxt"/>
        <w:numPr>
          <w:ilvl w:val="0"/>
          <w:numId w:val="17"/>
        </w:numPr>
        <w:tabs>
          <w:tab w:val="num" w:pos="2804"/>
        </w:tabs>
        <w:spacing w:line="240" w:lineRule="exact"/>
        <w:ind w:left="1267"/>
        <w:rPr>
          <w:lang w:val="fr-CH"/>
        </w:rPr>
      </w:pPr>
      <w:r>
        <w:rPr>
          <w:lang w:val="fr-FR"/>
        </w:rPr>
        <w:t>L’Union de la jeunesse a doté ces écoles de plus de 700 livres sur l’Art. Quelque 20 000 brochures de conseils pour le mariage, intitulées « Notes pour le futur marié » et « Notes pour la future mariée », ont été publiées avec le soutien du Centre de services sociaux et psychologiques pour la jeunesse. Trois types d’affiches imprimées à 30 000 exemplaires, aux slogans tels que « Pour les parents », « Pour les jeunes hommes et femmes » ou « Se séparer n’est pas une solution », ont été diffusés à travers le pays. Enfin, les chaînes de télévision Ma Patrie et Jeunesse ont produit 16 vidéos à caractère social, diffusées sur les chaînes Famille et Jeunesse.</w:t>
      </w:r>
    </w:p>
    <w:p w14:paraId="003381E9" w14:textId="77777777" w:rsidR="00FF0818" w:rsidRPr="00AF3BD9" w:rsidRDefault="00FF0818" w:rsidP="00FF0818">
      <w:pPr>
        <w:pStyle w:val="SingleTxt"/>
        <w:spacing w:after="0" w:line="120" w:lineRule="exact"/>
        <w:rPr>
          <w:bCs/>
          <w:sz w:val="10"/>
          <w:lang w:val="fr-CH"/>
        </w:rPr>
      </w:pPr>
    </w:p>
    <w:p w14:paraId="530B6F48" w14:textId="77777777" w:rsidR="00FF0818" w:rsidRPr="00AF3BD9" w:rsidRDefault="00FF0818" w:rsidP="00FF0818">
      <w:pPr>
        <w:pStyle w:val="SingleTxt"/>
        <w:spacing w:after="0" w:line="120" w:lineRule="exact"/>
        <w:rPr>
          <w:bCs/>
          <w:sz w:val="10"/>
          <w:lang w:val="fr-CH"/>
        </w:rPr>
      </w:pPr>
    </w:p>
    <w:p w14:paraId="78B8FA5E"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Violence à l’égard des femmes fondée sur le genre</w:t>
      </w:r>
    </w:p>
    <w:p w14:paraId="6B69CEDF" w14:textId="26D86F80" w:rsidR="00FF0818" w:rsidRPr="00AF3BD9" w:rsidRDefault="00FF0818" w:rsidP="00AF3BD9">
      <w:pPr>
        <w:pStyle w:val="SingleTxt"/>
        <w:spacing w:after="0" w:line="120" w:lineRule="exact"/>
        <w:rPr>
          <w:bCs/>
          <w:sz w:val="10"/>
          <w:lang w:val="fr-CH"/>
        </w:rPr>
      </w:pPr>
    </w:p>
    <w:p w14:paraId="583A4815" w14:textId="77777777" w:rsidR="00AF3BD9" w:rsidRPr="00AF3BD9" w:rsidRDefault="00AF3BD9" w:rsidP="00FF0818">
      <w:pPr>
        <w:pStyle w:val="SingleTxt"/>
        <w:spacing w:after="0" w:line="120" w:lineRule="exact"/>
        <w:rPr>
          <w:bCs/>
          <w:sz w:val="10"/>
          <w:lang w:val="fr-CH"/>
        </w:rPr>
      </w:pPr>
    </w:p>
    <w:p w14:paraId="55324269"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9</w:t>
      </w:r>
    </w:p>
    <w:p w14:paraId="042AAAA9" w14:textId="77777777" w:rsidR="00FF0818" w:rsidRPr="001D3647" w:rsidRDefault="00FF0818" w:rsidP="00FF0818">
      <w:pPr>
        <w:pStyle w:val="SingleTxt"/>
        <w:spacing w:after="0" w:line="120" w:lineRule="exact"/>
        <w:rPr>
          <w:bCs/>
          <w:sz w:val="10"/>
          <w:lang w:val="fr-CH"/>
        </w:rPr>
      </w:pPr>
    </w:p>
    <w:p w14:paraId="73E1DA2D" w14:textId="7F3CD971"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Une disposition du 4 janvier 2020 entérine la procédure de délivrance des ordonnances de protection, de défense des droits et de suivi des femmes victimes de harcèlement et de violence. En matière de violence domestique envers des femmes, les services du Ministère de l’intérieur ont enregistré 8 773</w:t>
      </w:r>
      <w:r w:rsidR="00AF3BD9">
        <w:rPr>
          <w:lang w:val="fr-FR"/>
        </w:rPr>
        <w:t xml:space="preserve"> </w:t>
      </w:r>
      <w:r w:rsidRPr="00AF3BD9">
        <w:rPr>
          <w:lang w:val="fr-FR"/>
        </w:rPr>
        <w:t>infractions administratives (contre respectivement 16 692 et 12 237 lors des huit premiers mois de 2018 et 2019) et 571 délits et crimes (contre respectivement 473 et 292 lors des huit premiers mois de 2018 et 2019)</w:t>
      </w:r>
    </w:p>
    <w:p w14:paraId="3A7BE6CF" w14:textId="30C713EC"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Au cours des huit premiers mois de 2020, 4 780 femmes (dont 44 mineures et 1 222 âgées de 18 à 30</w:t>
      </w:r>
      <w:r w:rsidR="00AF3BD9">
        <w:rPr>
          <w:lang w:val="fr-FR"/>
        </w:rPr>
        <w:t xml:space="preserve"> </w:t>
      </w:r>
      <w:r w:rsidRPr="00AF3BD9">
        <w:rPr>
          <w:lang w:val="fr-FR"/>
        </w:rPr>
        <w:t>ans) ont bénéficié d’une ordonnance de protection après des faits de violence physique (2 421</w:t>
      </w:r>
      <w:r w:rsidR="00AF3BD9">
        <w:rPr>
          <w:lang w:val="fr-FR"/>
        </w:rPr>
        <w:t xml:space="preserve"> </w:t>
      </w:r>
      <w:r w:rsidRPr="00AF3BD9">
        <w:rPr>
          <w:lang w:val="fr-FR"/>
        </w:rPr>
        <w:t>femmes), sexuelle</w:t>
      </w:r>
      <w:r w:rsidR="00AF3BD9">
        <w:rPr>
          <w:lang w:val="fr-FR"/>
        </w:rPr>
        <w:t xml:space="preserve"> </w:t>
      </w:r>
      <w:r w:rsidRPr="00AF3BD9">
        <w:rPr>
          <w:lang w:val="fr-FR"/>
        </w:rPr>
        <w:t>(25), psychologique</w:t>
      </w:r>
      <w:r w:rsidR="00AF3BD9">
        <w:rPr>
          <w:lang w:val="fr-FR"/>
        </w:rPr>
        <w:t xml:space="preserve"> </w:t>
      </w:r>
      <w:r w:rsidRPr="00AF3BD9">
        <w:rPr>
          <w:lang w:val="fr-FR"/>
        </w:rPr>
        <w:t>(1 946), économique</w:t>
      </w:r>
      <w:r w:rsidR="00AF3BD9">
        <w:rPr>
          <w:lang w:val="fr-FR"/>
        </w:rPr>
        <w:t xml:space="preserve"> </w:t>
      </w:r>
      <w:r w:rsidRPr="00AF3BD9">
        <w:rPr>
          <w:lang w:val="fr-FR"/>
        </w:rPr>
        <w:t>(57), ou de harcèlement</w:t>
      </w:r>
      <w:r w:rsidR="00AF3BD9">
        <w:rPr>
          <w:lang w:val="fr-FR"/>
        </w:rPr>
        <w:t xml:space="preserve"> </w:t>
      </w:r>
      <w:r w:rsidRPr="00AF3BD9">
        <w:rPr>
          <w:lang w:val="fr-FR"/>
        </w:rPr>
        <w:t>(398). Pendant cette période, 213</w:t>
      </w:r>
      <w:r w:rsidR="00AF3BD9">
        <w:rPr>
          <w:lang w:val="fr-FR"/>
        </w:rPr>
        <w:t xml:space="preserve"> </w:t>
      </w:r>
      <w:r w:rsidRPr="00AF3BD9">
        <w:rPr>
          <w:lang w:val="fr-FR"/>
        </w:rPr>
        <w:t>femmes et filles en situation de grande précarité ont été placées par les services du Ministère de l’intérieur dans des centres d’adaptation et de réhabilitation des victimes de violence et de prévention du suicide.</w:t>
      </w:r>
    </w:p>
    <w:p w14:paraId="3E5273C8" w14:textId="33C57831"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La loi du 2 septembre 2019 sur la protection des femmes contre le harcèlement et la violence définit les notions de « violence », de « violence sexuelle », de « violence physique », de « violence économique », de « violence psychologique ».</w:t>
      </w:r>
    </w:p>
    <w:p w14:paraId="7C309EA9" w14:textId="0EE1F55C"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L’article 118 du Code pénal définit le viol comme « un rapport sexuel imposé en recourant à la violence ou à des menaces, ou en profitant de la faiblesse de la victime ». En outre, l’alinéa</w:t>
      </w:r>
      <w:r w:rsidR="00AF3BD9">
        <w:rPr>
          <w:lang w:val="fr-FR"/>
        </w:rPr>
        <w:t xml:space="preserve"> </w:t>
      </w:r>
      <w:r w:rsidRPr="00AF3BD9">
        <w:rPr>
          <w:lang w:val="fr-FR"/>
        </w:rPr>
        <w:t>b) du paragraphe</w:t>
      </w:r>
      <w:r w:rsidR="00AF3BD9">
        <w:rPr>
          <w:lang w:val="fr-FR"/>
        </w:rPr>
        <w:t xml:space="preserve"> </w:t>
      </w:r>
      <w:r w:rsidRPr="00AF3BD9">
        <w:rPr>
          <w:lang w:val="fr-FR"/>
        </w:rPr>
        <w:t>3 dispose que l’existence d’un lien familial entre l’auteur des faits et la victime constitue une circonstance aggravante alourdissant la peine.</w:t>
      </w:r>
    </w:p>
    <w:p w14:paraId="7043C5E2" w14:textId="2B087C42"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Les autres formes de violence sexuelle font l’objet de l’article</w:t>
      </w:r>
      <w:r w:rsidR="00AF3BD9">
        <w:rPr>
          <w:lang w:val="fr-FR"/>
        </w:rPr>
        <w:t xml:space="preserve"> </w:t>
      </w:r>
      <w:r w:rsidRPr="00AF3BD9">
        <w:rPr>
          <w:lang w:val="fr-FR"/>
        </w:rPr>
        <w:t>119 du Code pénal, qui condamne « l’assouvissement contre-nature des besoins sexuels imposé en recourant à la violence ou à des menaces, ou en profitant de la faiblesse de la victime ». De la même manière, l’alinéa</w:t>
      </w:r>
      <w:r w:rsidR="00AF3BD9">
        <w:rPr>
          <w:lang w:val="fr-FR"/>
        </w:rPr>
        <w:t xml:space="preserve"> </w:t>
      </w:r>
      <w:r w:rsidRPr="00AF3BD9">
        <w:rPr>
          <w:lang w:val="fr-FR"/>
        </w:rPr>
        <w:t>b) du paragraphe</w:t>
      </w:r>
      <w:r w:rsidR="00AF3BD9">
        <w:rPr>
          <w:lang w:val="fr-FR"/>
        </w:rPr>
        <w:t xml:space="preserve"> </w:t>
      </w:r>
      <w:r w:rsidRPr="00AF3BD9">
        <w:rPr>
          <w:lang w:val="fr-FR"/>
        </w:rPr>
        <w:t>3 dispose que l’existence d’un lien familial entre l’auteur des faits et la victime constitue une circonstance aggravante alourdissant la peine.</w:t>
      </w:r>
    </w:p>
    <w:p w14:paraId="730B5F1E" w14:textId="618A416D" w:rsidR="00FF0818" w:rsidRPr="001D3647" w:rsidRDefault="00FF0818" w:rsidP="00AF3BD9">
      <w:pPr>
        <w:pStyle w:val="SingleTxt"/>
        <w:numPr>
          <w:ilvl w:val="0"/>
          <w:numId w:val="17"/>
        </w:numPr>
        <w:tabs>
          <w:tab w:val="num" w:pos="2804"/>
        </w:tabs>
        <w:spacing w:line="240" w:lineRule="exact"/>
        <w:ind w:left="1267"/>
        <w:rPr>
          <w:lang w:val="fr-CH"/>
        </w:rPr>
      </w:pPr>
      <w:r>
        <w:rPr>
          <w:lang w:val="fr-FR"/>
        </w:rPr>
        <w:t>Le premier paragraphe de l’article</w:t>
      </w:r>
      <w:r w:rsidR="00AF3BD9">
        <w:rPr>
          <w:lang w:val="fr-FR"/>
        </w:rPr>
        <w:t xml:space="preserve"> </w:t>
      </w:r>
      <w:r>
        <w:rPr>
          <w:lang w:val="fr-FR"/>
        </w:rPr>
        <w:t xml:space="preserve">121 du Code pénal condamne « tout acte sexuel ou assouvissement contre-nature des besoins sexuels imposés à une femme se trouvant en position de dépendance professionnelle, matérielle ou autre vis-à-vis de l’auteur de l’acte ». La législation ouzbèke condamne également le viol commis dans le cadre du mariage et toute autre forme de violence sexuelle. Introduire dans le Code pénal la notion de « viol fondé sur le consentement » n’aurait aucun sens, la notion de « viol » supposant des actes de violence physique ou psychologique (menaces) ou </w:t>
      </w:r>
      <w:r>
        <w:rPr>
          <w:lang w:val="fr-FR"/>
        </w:rPr>
        <w:lastRenderedPageBreak/>
        <w:t>l’exploitation de la faiblesse de la victime, ce qui exclut toute idée de consentement volontaire de la part de cette dernière.</w:t>
      </w:r>
    </w:p>
    <w:p w14:paraId="164CF105" w14:textId="0FFCE41E"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Le Parquet général s’est doté d’une commission chargée d’accompagner l’intégration des questions liées à l’égalité des genres au sein du ministère public dans les formations dispensées par son académie. Par exemple, les problèmes de violation des droits des femmes sont abordés dans le module « Prise de décision managériale », destiné aux directeurs des divers organes locaux.</w:t>
      </w:r>
    </w:p>
    <w:p w14:paraId="20C70EAE" w14:textId="20DFE12C"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L’Académie du Ministère de l’intérieur forme à appliquer les lois condamnant pénalement la violence fondée sur le genre et la violation des droits des femmes, et à immédiatement communiquer sur l’ouverture d’enquêtes pour des faits de violence de genre. De</w:t>
      </w:r>
      <w:r w:rsidR="00AF3BD9">
        <w:rPr>
          <w:lang w:val="fr-FR"/>
        </w:rPr>
        <w:t xml:space="preserve"> </w:t>
      </w:r>
      <w:r w:rsidRPr="00AF3BD9">
        <w:rPr>
          <w:lang w:val="fr-FR"/>
        </w:rPr>
        <w:t>2018 à</w:t>
      </w:r>
      <w:r w:rsidR="00AF3BD9">
        <w:rPr>
          <w:lang w:val="fr-FR"/>
        </w:rPr>
        <w:t xml:space="preserve"> </w:t>
      </w:r>
      <w:r w:rsidRPr="00AF3BD9">
        <w:rPr>
          <w:lang w:val="fr-FR"/>
        </w:rPr>
        <w:t>2020, l’Académie a dispensé à ses élèves (inscrits en présentiel ou à distance) et à son personnel, des cours et des séminaires interactifs sur la théorie générale des droits de l’homme, afin de perfectionner leur connaissance des normes internationales. Sur cette période, l’établissement a organisé sept conférences, neuf tables rondes et douze séminaires consacrés à la législation pénale en matière de violence fondée sur le genre.</w:t>
      </w:r>
    </w:p>
    <w:p w14:paraId="0F8AF617" w14:textId="5CBA7642" w:rsidR="00FF0818" w:rsidRPr="001D3647" w:rsidRDefault="00FF0818" w:rsidP="00AF3BD9">
      <w:pPr>
        <w:pStyle w:val="SingleTxt"/>
        <w:numPr>
          <w:ilvl w:val="0"/>
          <w:numId w:val="17"/>
        </w:numPr>
        <w:tabs>
          <w:tab w:val="num" w:pos="2804"/>
        </w:tabs>
        <w:spacing w:line="240" w:lineRule="exact"/>
        <w:ind w:left="1267"/>
        <w:rPr>
          <w:lang w:val="fr-CH"/>
        </w:rPr>
      </w:pPr>
      <w:r w:rsidRPr="00AF3BD9">
        <w:rPr>
          <w:szCs w:val="20"/>
          <w:lang w:val="fr-FR"/>
        </w:rPr>
        <w:t>Afin</w:t>
      </w:r>
      <w:r>
        <w:rPr>
          <w:lang w:val="fr-FR"/>
        </w:rPr>
        <w:t xml:space="preserve"> d’assurer la diffusion de l’information concernant les mécanismes et les mesures d’aide, de consultation et de prévention du harcèlement et de la violence envers les femmes, le</w:t>
      </w:r>
      <w:r w:rsidR="0037061B">
        <w:rPr>
          <w:lang w:val="fr-FR"/>
        </w:rPr>
        <w:t xml:space="preserve"> </w:t>
      </w:r>
      <w:r>
        <w:rPr>
          <w:lang w:val="fr-FR"/>
        </w:rPr>
        <w:t xml:space="preserve">Ministère du soutien aux </w:t>
      </w:r>
      <w:r>
        <w:rPr>
          <w:i/>
          <w:iCs/>
          <w:lang w:val="fr-FR"/>
        </w:rPr>
        <w:t>mahallas</w:t>
      </w:r>
      <w:r>
        <w:rPr>
          <w:lang w:val="fr-FR"/>
        </w:rPr>
        <w:t xml:space="preserve"> et à la famille a mis en place un numéro vert fonctionnant 24 heures sur 24 et garantissant toute la confidentialité nécessaire.</w:t>
      </w:r>
    </w:p>
    <w:p w14:paraId="2D57FBFF" w14:textId="6B68B788"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Toute victime de harcèlement ou de violence ou son représentant légal peut demander son placement dans un refuge. Les organismes compétents la placent alors dans un centre spécialisé.</w:t>
      </w:r>
    </w:p>
    <w:p w14:paraId="236B3FC7" w14:textId="2B55DAA9"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Les procédures d’approbation des guides pratiques et la mise en place des formations à la réponse intersectorielle à apporter à la violence de genre sont en cours. Les professionnels médicaux prenant en charge les victimes disposent maintenant de procédures standardisées d’intervention. Celles-ci décrivent les bonnes pratiques facilitant l’intégration des services de réponse intersectorielle dans le travail quotidien des établissements médicaux qui accueillent les victimes.</w:t>
      </w:r>
    </w:p>
    <w:p w14:paraId="647A7C79" w14:textId="17B261C9"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Plus de 24 000 rencontres et débats ont eu lieu dans le cadre d’une campagne d’information axée sur la stabilité sociale et spirituelle des familles et sur la prévention de la violence fondée sur le genre.</w:t>
      </w:r>
    </w:p>
    <w:p w14:paraId="4A061D3A" w14:textId="64FE76B2" w:rsidR="00FF0818" w:rsidRPr="001D3647" w:rsidRDefault="00FF0818" w:rsidP="00AF3BD9">
      <w:pPr>
        <w:pStyle w:val="SingleTxt"/>
        <w:numPr>
          <w:ilvl w:val="0"/>
          <w:numId w:val="17"/>
        </w:numPr>
        <w:tabs>
          <w:tab w:val="num" w:pos="2804"/>
        </w:tabs>
        <w:spacing w:line="240" w:lineRule="exact"/>
        <w:ind w:left="1267"/>
        <w:rPr>
          <w:lang w:val="fr-CH"/>
        </w:rPr>
      </w:pPr>
      <w:r>
        <w:rPr>
          <w:lang w:val="fr-FR"/>
        </w:rPr>
        <w:t>Un système de réception et d’examen des requêtes a été mis en place. En</w:t>
      </w:r>
      <w:r w:rsidR="00AF3BD9">
        <w:rPr>
          <w:lang w:val="fr-FR"/>
        </w:rPr>
        <w:t xml:space="preserve"> </w:t>
      </w:r>
      <w:r>
        <w:rPr>
          <w:lang w:val="fr-FR"/>
        </w:rPr>
        <w:t xml:space="preserve">2020, la commission chargée de la consolidation des valeurs familiales près les assemblées citoyennes des </w:t>
      </w:r>
      <w:r>
        <w:rPr>
          <w:i/>
          <w:iCs/>
          <w:lang w:val="fr-FR"/>
        </w:rPr>
        <w:t>mahallas</w:t>
      </w:r>
      <w:r>
        <w:rPr>
          <w:lang w:val="fr-FR"/>
        </w:rPr>
        <w:t xml:space="preserve"> a reçu plus de 18 000 signalements, dont environ 14 000 concernant des différends familiaux. Leur examen a permis d’apaiser les tensions dans plus de 11 698 familles (contre 15 000 en</w:t>
      </w:r>
      <w:r w:rsidR="00AF3BD9">
        <w:rPr>
          <w:lang w:val="fr-FR"/>
        </w:rPr>
        <w:t xml:space="preserve"> </w:t>
      </w:r>
      <w:r>
        <w:rPr>
          <w:lang w:val="fr-FR"/>
        </w:rPr>
        <w:t>2018 et 11 000 en</w:t>
      </w:r>
      <w:r w:rsidR="00AF3BD9">
        <w:rPr>
          <w:lang w:val="fr-FR"/>
        </w:rPr>
        <w:t xml:space="preserve"> </w:t>
      </w:r>
      <w:r>
        <w:rPr>
          <w:lang w:val="fr-FR"/>
        </w:rPr>
        <w:t>2019) et d’éviter le divorce de 4 577 couples (contre respectivement 6 000 et 7 000 au cours des huit premiers mois de</w:t>
      </w:r>
      <w:r w:rsidR="00AF3BD9">
        <w:rPr>
          <w:lang w:val="fr-FR"/>
        </w:rPr>
        <w:t xml:space="preserve"> </w:t>
      </w:r>
      <w:r>
        <w:rPr>
          <w:lang w:val="fr-FR"/>
        </w:rPr>
        <w:t>2018 et</w:t>
      </w:r>
      <w:r w:rsidR="00AF3BD9">
        <w:rPr>
          <w:lang w:val="fr-FR"/>
        </w:rPr>
        <w:t xml:space="preserve"> </w:t>
      </w:r>
      <w:r>
        <w:rPr>
          <w:lang w:val="fr-FR"/>
        </w:rPr>
        <w:t>2019).</w:t>
      </w:r>
    </w:p>
    <w:p w14:paraId="679C09CB" w14:textId="0E9F3EA0"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L’étude des statistiques permet de dresser un tableau détaillé des violences domestiques. Ainsi, sur les 4 691 actes commis, 863 l’ont été par jalousie ou à cause d’une dispute au sein de la famille, et 863 ont entraîné des blessures physiques. On compte 335</w:t>
      </w:r>
      <w:r w:rsidR="00AF3BD9" w:rsidRPr="00AF3BD9">
        <w:rPr>
          <w:lang w:val="fr-FR"/>
        </w:rPr>
        <w:t xml:space="preserve"> </w:t>
      </w:r>
      <w:r w:rsidRPr="00AF3BD9">
        <w:rPr>
          <w:lang w:val="fr-FR"/>
        </w:rPr>
        <w:t>actes de violence du mari envers sa femme, 41 de la femme envers son mari. Les violences peuvent également viser un voisin (75</w:t>
      </w:r>
      <w:r w:rsidR="00074EC2">
        <w:rPr>
          <w:lang w:val="fr-FR"/>
        </w:rPr>
        <w:t xml:space="preserve"> </w:t>
      </w:r>
      <w:r w:rsidRPr="00AF3BD9">
        <w:rPr>
          <w:lang w:val="fr-FR"/>
        </w:rPr>
        <w:t>cas), un frère</w:t>
      </w:r>
      <w:r w:rsidR="00074EC2">
        <w:rPr>
          <w:lang w:val="fr-FR"/>
        </w:rPr>
        <w:t xml:space="preserve"> </w:t>
      </w:r>
      <w:r w:rsidRPr="00AF3BD9">
        <w:rPr>
          <w:lang w:val="fr-FR"/>
        </w:rPr>
        <w:t>(69) ou un autre membre de la famille</w:t>
      </w:r>
      <w:r w:rsidR="00074EC2">
        <w:rPr>
          <w:lang w:val="fr-FR"/>
        </w:rPr>
        <w:t xml:space="preserve"> </w:t>
      </w:r>
      <w:r w:rsidRPr="00AF3BD9">
        <w:rPr>
          <w:lang w:val="fr-FR"/>
        </w:rPr>
        <w:t>(343). Les auteurs des faits sont aussi des tiers impliqués dans la dispute</w:t>
      </w:r>
      <w:r w:rsidR="00074EC2">
        <w:rPr>
          <w:lang w:val="fr-FR"/>
        </w:rPr>
        <w:t xml:space="preserve"> </w:t>
      </w:r>
      <w:r w:rsidRPr="00AF3BD9">
        <w:rPr>
          <w:lang w:val="fr-FR"/>
        </w:rPr>
        <w:t>(22), des personnes déjà condamnées</w:t>
      </w:r>
      <w:r w:rsidR="00AF3BD9" w:rsidRPr="00AF3BD9">
        <w:rPr>
          <w:lang w:val="fr-FR"/>
        </w:rPr>
        <w:t xml:space="preserve"> </w:t>
      </w:r>
      <w:r w:rsidRPr="00AF3BD9">
        <w:rPr>
          <w:lang w:val="fr-FR"/>
        </w:rPr>
        <w:t>(9), dépendantes à l’alcool, à la drogue, ou à d’autres substances toxiques</w:t>
      </w:r>
      <w:r w:rsidR="00074EC2">
        <w:rPr>
          <w:lang w:val="fr-FR"/>
        </w:rPr>
        <w:t> </w:t>
      </w:r>
      <w:r w:rsidRPr="00AF3BD9">
        <w:rPr>
          <w:lang w:val="fr-FR"/>
        </w:rPr>
        <w:t>(1), présentant des troubles psychologiques</w:t>
      </w:r>
      <w:r w:rsidR="00074EC2">
        <w:rPr>
          <w:lang w:val="fr-FR"/>
        </w:rPr>
        <w:t> </w:t>
      </w:r>
      <w:r w:rsidRPr="00AF3BD9">
        <w:rPr>
          <w:lang w:val="fr-FR"/>
        </w:rPr>
        <w:t>(8), surveillées par les services de police</w:t>
      </w:r>
      <w:r w:rsidR="00AF3BD9" w:rsidRPr="00AF3BD9">
        <w:rPr>
          <w:lang w:val="fr-FR"/>
        </w:rPr>
        <w:t xml:space="preserve"> </w:t>
      </w:r>
      <w:r w:rsidRPr="00AF3BD9">
        <w:rPr>
          <w:lang w:val="fr-FR"/>
        </w:rPr>
        <w:t>(13), en situation délictuelle au moment de l’altercation</w:t>
      </w:r>
      <w:r w:rsidR="00074EC2">
        <w:rPr>
          <w:lang w:val="fr-FR"/>
        </w:rPr>
        <w:t xml:space="preserve"> </w:t>
      </w:r>
      <w:r w:rsidRPr="00AF3BD9">
        <w:rPr>
          <w:lang w:val="fr-FR"/>
        </w:rPr>
        <w:t>(45) ou en état d’ivresse</w:t>
      </w:r>
      <w:r w:rsidR="00074EC2">
        <w:rPr>
          <w:lang w:val="fr-FR"/>
        </w:rPr>
        <w:t xml:space="preserve"> </w:t>
      </w:r>
      <w:r w:rsidRPr="00AF3BD9">
        <w:rPr>
          <w:lang w:val="fr-FR"/>
        </w:rPr>
        <w:t xml:space="preserve">(93). Concernant le lieu, sur </w:t>
      </w:r>
      <w:r w:rsidRPr="00AF3BD9">
        <w:rPr>
          <w:lang w:val="fr-FR"/>
        </w:rPr>
        <w:lastRenderedPageBreak/>
        <w:t>863 faits analysés, 646 se sont déroulés à domicile, 9</w:t>
      </w:r>
      <w:r w:rsidR="00AF3BD9" w:rsidRPr="00AF3BD9">
        <w:rPr>
          <w:lang w:val="fr-FR"/>
        </w:rPr>
        <w:t xml:space="preserve"> </w:t>
      </w:r>
      <w:r w:rsidRPr="00AF3BD9">
        <w:rPr>
          <w:lang w:val="fr-FR"/>
        </w:rPr>
        <w:t>à l’hôtel, 20</w:t>
      </w:r>
      <w:r w:rsidR="00AF3BD9" w:rsidRPr="00AF3BD9">
        <w:rPr>
          <w:lang w:val="fr-FR"/>
        </w:rPr>
        <w:t xml:space="preserve"> </w:t>
      </w:r>
      <w:r w:rsidRPr="00AF3BD9">
        <w:rPr>
          <w:lang w:val="fr-FR"/>
        </w:rPr>
        <w:t>dans un lieu public, 188</w:t>
      </w:r>
      <w:r w:rsidR="00AF3BD9" w:rsidRPr="00AF3BD9">
        <w:rPr>
          <w:lang w:val="fr-FR"/>
        </w:rPr>
        <w:t xml:space="preserve"> </w:t>
      </w:r>
      <w:r w:rsidRPr="00AF3BD9">
        <w:rPr>
          <w:lang w:val="fr-FR"/>
        </w:rPr>
        <w:t>dans un autre endroit ; et 513 ont fait l’objet d’un signalement et d’une enquête des services de police.</w:t>
      </w:r>
    </w:p>
    <w:p w14:paraId="683094C6" w14:textId="619B5B7E"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Sur 500 meurtres prémédités et tentatives de meurtre, 188 avaient la jalousie ou une dispute pour mobiles, et l’on recense 189 meurtres prémédités au sein de la famille. Sur 189 meurtres et tentatives de meurtre dans le cercle familial, 80 ont le mari pour auteur et la femme pour victime (l’inverse vaut pour 7 cas) ; la victime est un voisin, un frère ou un autre membre de la famille respectivement dans 8, 22 et 72 cas. Parmi les auteurs, on recense des personnes déjà condamnées (15</w:t>
      </w:r>
      <w:r w:rsidR="00A07075">
        <w:rPr>
          <w:lang w:val="fr-FR"/>
        </w:rPr>
        <w:t xml:space="preserve"> </w:t>
      </w:r>
      <w:r w:rsidRPr="00AF3BD9">
        <w:rPr>
          <w:lang w:val="fr-FR"/>
        </w:rPr>
        <w:t>cas) ou ayant déjà commis un délit dans le cercle familial</w:t>
      </w:r>
      <w:r w:rsidR="00A07075">
        <w:rPr>
          <w:lang w:val="fr-FR"/>
        </w:rPr>
        <w:t xml:space="preserve"> </w:t>
      </w:r>
      <w:r w:rsidRPr="00AF3BD9">
        <w:rPr>
          <w:lang w:val="fr-FR"/>
        </w:rPr>
        <w:t>(7), des personnes présentant des troubles psychologiques</w:t>
      </w:r>
      <w:r w:rsidR="00A07075">
        <w:rPr>
          <w:lang w:val="fr-FR"/>
        </w:rPr>
        <w:t xml:space="preserve"> </w:t>
      </w:r>
      <w:r w:rsidRPr="00AF3BD9">
        <w:rPr>
          <w:lang w:val="fr-FR"/>
        </w:rPr>
        <w:t>(9), surveillées par les services de police</w:t>
      </w:r>
      <w:r w:rsidR="00A07075">
        <w:rPr>
          <w:lang w:val="fr-FR"/>
        </w:rPr>
        <w:t xml:space="preserve"> </w:t>
      </w:r>
      <w:r w:rsidRPr="00AF3BD9">
        <w:rPr>
          <w:lang w:val="fr-FR"/>
        </w:rPr>
        <w:t>(5) ou en état d’ivresse</w:t>
      </w:r>
      <w:r w:rsidR="00A07075">
        <w:rPr>
          <w:lang w:val="fr-FR"/>
        </w:rPr>
        <w:t xml:space="preserve"> </w:t>
      </w:r>
      <w:r w:rsidRPr="00AF3BD9">
        <w:rPr>
          <w:lang w:val="fr-FR"/>
        </w:rPr>
        <w:t>(40). Sur les 189</w:t>
      </w:r>
      <w:r w:rsidR="00A07075">
        <w:rPr>
          <w:lang w:val="fr-FR"/>
        </w:rPr>
        <w:t xml:space="preserve"> </w:t>
      </w:r>
      <w:r w:rsidRPr="00AF3BD9">
        <w:rPr>
          <w:lang w:val="fr-FR"/>
        </w:rPr>
        <w:t>cas analysés, le meurtre (ou la tentative) a été perpétré à domicile</w:t>
      </w:r>
      <w:r w:rsidR="009D4781">
        <w:rPr>
          <w:lang w:val="fr-FR"/>
        </w:rPr>
        <w:t xml:space="preserve"> </w:t>
      </w:r>
      <w:r w:rsidRPr="00AF3BD9">
        <w:rPr>
          <w:lang w:val="fr-FR"/>
        </w:rPr>
        <w:t>(152</w:t>
      </w:r>
      <w:r w:rsidR="009D4781">
        <w:rPr>
          <w:lang w:val="fr-FR"/>
        </w:rPr>
        <w:t> </w:t>
      </w:r>
      <w:r w:rsidR="00A07075">
        <w:rPr>
          <w:lang w:val="fr-FR"/>
        </w:rPr>
        <w:t xml:space="preserve"> </w:t>
      </w:r>
      <w:r w:rsidRPr="00AF3BD9">
        <w:rPr>
          <w:lang w:val="fr-FR"/>
        </w:rPr>
        <w:t>cas), à l’hôtel</w:t>
      </w:r>
      <w:r w:rsidR="00074EC2">
        <w:rPr>
          <w:lang w:val="fr-FR"/>
        </w:rPr>
        <w:t xml:space="preserve"> </w:t>
      </w:r>
      <w:r w:rsidRPr="00AF3BD9">
        <w:rPr>
          <w:lang w:val="fr-FR"/>
        </w:rPr>
        <w:t>(2), dans un lieu public</w:t>
      </w:r>
      <w:r w:rsidR="00A07075">
        <w:rPr>
          <w:lang w:val="fr-FR"/>
        </w:rPr>
        <w:t xml:space="preserve"> </w:t>
      </w:r>
      <w:r w:rsidRPr="00AF3BD9">
        <w:rPr>
          <w:lang w:val="fr-FR"/>
        </w:rPr>
        <w:t>(10) ou dans un autre endroit</w:t>
      </w:r>
      <w:r w:rsidR="00A07075">
        <w:rPr>
          <w:lang w:val="fr-FR"/>
        </w:rPr>
        <w:t xml:space="preserve"> </w:t>
      </w:r>
      <w:r w:rsidRPr="00AF3BD9">
        <w:rPr>
          <w:lang w:val="fr-FR"/>
        </w:rPr>
        <w:t>(25). Les faits ont entraîné un signalement et une enquête de police dans 261</w:t>
      </w:r>
      <w:r w:rsidR="00A07075">
        <w:rPr>
          <w:lang w:val="fr-FR"/>
        </w:rPr>
        <w:t xml:space="preserve"> </w:t>
      </w:r>
      <w:r w:rsidRPr="00AF3BD9">
        <w:rPr>
          <w:lang w:val="fr-FR"/>
        </w:rPr>
        <w:t>cas.</w:t>
      </w:r>
    </w:p>
    <w:p w14:paraId="2AC85C94" w14:textId="15A7EB4E" w:rsidR="00FF0818" w:rsidRPr="00AF3BD9" w:rsidRDefault="00FF0818" w:rsidP="00AF3BD9">
      <w:pPr>
        <w:pStyle w:val="SingleTxt"/>
        <w:numPr>
          <w:ilvl w:val="0"/>
          <w:numId w:val="17"/>
        </w:numPr>
        <w:tabs>
          <w:tab w:val="num" w:pos="2804"/>
        </w:tabs>
        <w:spacing w:line="240" w:lineRule="exact"/>
        <w:ind w:left="1267"/>
        <w:rPr>
          <w:lang w:val="fr-CH"/>
        </w:rPr>
      </w:pPr>
      <w:r w:rsidRPr="00AF3BD9">
        <w:rPr>
          <w:lang w:val="fr-FR"/>
        </w:rPr>
        <w:t>Dans un but de prévention de la violence fondée sur le genre et de promotion de l’égalité des droits des femmes et des hommes, le Ministère de l’enseignement spécial secondaire et supérieur a créé un conseil consultatif pour l’égalité des droits et des chances entre les deux sexes. En outre, le Parquet général s’est doté d’une commission chargée de l’égalité des genres et le délégué aux droits de l’enfant a mis sur pied un conseil des droits des femmes. Enfin, au Ministère de l’intérieur, 360</w:t>
      </w:r>
      <w:r w:rsidR="00074EC2">
        <w:rPr>
          <w:lang w:val="fr-FR"/>
        </w:rPr>
        <w:t xml:space="preserve"> </w:t>
      </w:r>
      <w:r w:rsidRPr="00AF3BD9">
        <w:rPr>
          <w:lang w:val="fr-FR"/>
        </w:rPr>
        <w:t>inspectrices sont chargées du suivi des femmes nécessitant une assistance juridique et sociale.</w:t>
      </w:r>
    </w:p>
    <w:p w14:paraId="63945BC7" w14:textId="53E7109D" w:rsidR="00FF0818" w:rsidRPr="001D3647" w:rsidRDefault="00FF0818" w:rsidP="00AF3BD9">
      <w:pPr>
        <w:pStyle w:val="SingleTxt"/>
        <w:numPr>
          <w:ilvl w:val="0"/>
          <w:numId w:val="17"/>
        </w:numPr>
        <w:tabs>
          <w:tab w:val="num" w:pos="2804"/>
        </w:tabs>
        <w:spacing w:line="240" w:lineRule="exact"/>
        <w:ind w:left="1267"/>
        <w:rPr>
          <w:lang w:val="fr-CH"/>
        </w:rPr>
      </w:pPr>
      <w:r>
        <w:rPr>
          <w:lang w:val="fr-FR"/>
        </w:rPr>
        <w:t>Conformément à une décision du 2 juillet 2018 relative à l’amélioration du système de réhabilitation sociale et d’adaptation et à la prévention de la violence domestique, des centres de réhabilitation et d’adaptation ont vu le jour afin d’apporter une aide psychologique, juridique et sociale aux victimes de violence domestique.</w:t>
      </w:r>
    </w:p>
    <w:p w14:paraId="4D91BC1B" w14:textId="77777777" w:rsidR="00FF0818" w:rsidRPr="00074EC2" w:rsidRDefault="00FF0818" w:rsidP="00FF0818">
      <w:pPr>
        <w:pStyle w:val="SingleTxt"/>
        <w:spacing w:after="0" w:line="120" w:lineRule="exact"/>
        <w:rPr>
          <w:bCs/>
          <w:sz w:val="10"/>
          <w:lang w:val="fr-CH"/>
        </w:rPr>
      </w:pPr>
    </w:p>
    <w:p w14:paraId="6AEA3757"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10</w:t>
      </w:r>
    </w:p>
    <w:p w14:paraId="3659F526" w14:textId="77777777" w:rsidR="00FF0818" w:rsidRPr="001D3647" w:rsidRDefault="00FF0818" w:rsidP="00FF0818">
      <w:pPr>
        <w:pStyle w:val="SingleTxt"/>
        <w:spacing w:after="0" w:line="120" w:lineRule="exact"/>
        <w:rPr>
          <w:bCs/>
          <w:sz w:val="10"/>
          <w:lang w:val="fr-CH"/>
        </w:rPr>
      </w:pPr>
    </w:p>
    <w:p w14:paraId="341E860D" w14:textId="5F6F7E7A" w:rsidR="00FF0818" w:rsidRPr="00A07075" w:rsidRDefault="00FF0818" w:rsidP="00A07075">
      <w:pPr>
        <w:pStyle w:val="SingleTxt"/>
        <w:numPr>
          <w:ilvl w:val="0"/>
          <w:numId w:val="17"/>
        </w:numPr>
        <w:tabs>
          <w:tab w:val="num" w:pos="2804"/>
        </w:tabs>
        <w:spacing w:line="240" w:lineRule="exact"/>
        <w:ind w:left="1267"/>
        <w:rPr>
          <w:lang w:val="fr-CH"/>
        </w:rPr>
      </w:pPr>
      <w:r w:rsidRPr="00A07075">
        <w:rPr>
          <w:lang w:val="fr-FR"/>
        </w:rPr>
        <w:t>En 2019, les tribunaux ont examiné 1 309 affaires de violence fondée sur le genre. Sur 1 545 prévenus, 1 218 ont été condamnés pénalement dans 1 025 affaires : 1 016 hommes et 202 femmes. Parmi eux, 40 avaient moins de 18</w:t>
      </w:r>
      <w:r w:rsidR="00A07075">
        <w:rPr>
          <w:lang w:val="fr-FR"/>
        </w:rPr>
        <w:t xml:space="preserve"> </w:t>
      </w:r>
      <w:r w:rsidRPr="00A07075">
        <w:rPr>
          <w:lang w:val="fr-FR"/>
        </w:rPr>
        <w:t>ans, 502 entre</w:t>
      </w:r>
      <w:r w:rsidR="00A07075">
        <w:rPr>
          <w:lang w:val="fr-FR"/>
        </w:rPr>
        <w:t xml:space="preserve"> </w:t>
      </w:r>
      <w:r w:rsidRPr="00A07075">
        <w:rPr>
          <w:lang w:val="fr-FR"/>
        </w:rPr>
        <w:t>18</w:t>
      </w:r>
      <w:r w:rsidR="00074EC2">
        <w:rPr>
          <w:lang w:val="fr-FR"/>
        </w:rPr>
        <w:t> </w:t>
      </w:r>
      <w:r w:rsidRPr="00A07075">
        <w:rPr>
          <w:lang w:val="fr-FR"/>
        </w:rPr>
        <w:t>et</w:t>
      </w:r>
      <w:r w:rsidR="00A07075">
        <w:rPr>
          <w:lang w:val="fr-FR"/>
        </w:rPr>
        <w:t xml:space="preserve"> </w:t>
      </w:r>
      <w:r w:rsidRPr="00A07075">
        <w:rPr>
          <w:lang w:val="fr-FR"/>
        </w:rPr>
        <w:t>30</w:t>
      </w:r>
      <w:r w:rsidR="00A07075">
        <w:rPr>
          <w:lang w:val="fr-FR"/>
        </w:rPr>
        <w:t xml:space="preserve"> </w:t>
      </w:r>
      <w:r w:rsidRPr="00A07075">
        <w:rPr>
          <w:lang w:val="fr-FR"/>
        </w:rPr>
        <w:t>ans, 644 entr</w:t>
      </w:r>
      <w:r w:rsidR="00A07075">
        <w:rPr>
          <w:lang w:val="fr-FR"/>
        </w:rPr>
        <w:t xml:space="preserve">e </w:t>
      </w:r>
      <w:r w:rsidRPr="00A07075">
        <w:rPr>
          <w:lang w:val="fr-FR"/>
        </w:rPr>
        <w:t>31 et</w:t>
      </w:r>
      <w:r w:rsidR="00A07075">
        <w:rPr>
          <w:lang w:val="fr-FR"/>
        </w:rPr>
        <w:t xml:space="preserve"> </w:t>
      </w:r>
      <w:r w:rsidRPr="00A07075">
        <w:rPr>
          <w:lang w:val="fr-FR"/>
        </w:rPr>
        <w:t>60 ans, et 32 plus de 60</w:t>
      </w:r>
      <w:r w:rsidR="00A07075">
        <w:rPr>
          <w:lang w:val="fr-FR"/>
        </w:rPr>
        <w:t xml:space="preserve"> </w:t>
      </w:r>
      <w:r w:rsidRPr="00A07075">
        <w:rPr>
          <w:lang w:val="fr-FR"/>
        </w:rPr>
        <w:t>ans. En outre, 908 étaient sans emploi. Les victimes appartenaient aux ethnies ouzbèke</w:t>
      </w:r>
      <w:r w:rsidR="00A07075">
        <w:rPr>
          <w:lang w:val="fr-FR"/>
        </w:rPr>
        <w:t xml:space="preserve"> </w:t>
      </w:r>
      <w:r w:rsidRPr="00A07075">
        <w:rPr>
          <w:lang w:val="fr-FR"/>
        </w:rPr>
        <w:t>(1 079), kirghize</w:t>
      </w:r>
      <w:r w:rsidR="00A07075">
        <w:rPr>
          <w:lang w:val="fr-FR"/>
        </w:rPr>
        <w:t xml:space="preserve"> </w:t>
      </w:r>
      <w:r w:rsidRPr="00A07075">
        <w:rPr>
          <w:lang w:val="fr-FR"/>
        </w:rPr>
        <w:t>(1), kazakhe</w:t>
      </w:r>
      <w:r w:rsidR="00A07075">
        <w:rPr>
          <w:lang w:val="fr-FR"/>
        </w:rPr>
        <w:t> </w:t>
      </w:r>
      <w:r w:rsidRPr="00A07075">
        <w:rPr>
          <w:lang w:val="fr-FR"/>
        </w:rPr>
        <w:t>(19), tadjike</w:t>
      </w:r>
      <w:r w:rsidR="00A07075">
        <w:rPr>
          <w:lang w:val="fr-FR"/>
        </w:rPr>
        <w:t xml:space="preserve"> </w:t>
      </w:r>
      <w:r w:rsidRPr="00A07075">
        <w:rPr>
          <w:lang w:val="fr-FR"/>
        </w:rPr>
        <w:t>(26), turkmène</w:t>
      </w:r>
      <w:r w:rsidR="00A07075">
        <w:rPr>
          <w:lang w:val="fr-FR"/>
        </w:rPr>
        <w:t xml:space="preserve"> </w:t>
      </w:r>
      <w:r w:rsidRPr="00A07075">
        <w:rPr>
          <w:lang w:val="fr-FR"/>
        </w:rPr>
        <w:t>(2), tatare</w:t>
      </w:r>
      <w:r w:rsidR="00A07075">
        <w:rPr>
          <w:lang w:val="fr-FR"/>
        </w:rPr>
        <w:t xml:space="preserve"> </w:t>
      </w:r>
      <w:r w:rsidRPr="00A07075">
        <w:rPr>
          <w:lang w:val="fr-FR"/>
        </w:rPr>
        <w:t>(10), russe</w:t>
      </w:r>
      <w:r w:rsidR="00A07075">
        <w:rPr>
          <w:lang w:val="fr-FR"/>
        </w:rPr>
        <w:t xml:space="preserve"> </w:t>
      </w:r>
      <w:r w:rsidRPr="00A07075">
        <w:rPr>
          <w:lang w:val="fr-FR"/>
        </w:rPr>
        <w:t>(53) ou autres (28).</w:t>
      </w:r>
    </w:p>
    <w:p w14:paraId="120972FF" w14:textId="0D1AAB15" w:rsidR="00FF0818" w:rsidRPr="00A07075" w:rsidRDefault="00FF0818" w:rsidP="00A07075">
      <w:pPr>
        <w:pStyle w:val="SingleTxt"/>
        <w:numPr>
          <w:ilvl w:val="0"/>
          <w:numId w:val="17"/>
        </w:numPr>
        <w:tabs>
          <w:tab w:val="num" w:pos="2804"/>
        </w:tabs>
        <w:spacing w:line="240" w:lineRule="exact"/>
        <w:ind w:left="1267"/>
        <w:rPr>
          <w:lang w:val="fr-CH"/>
        </w:rPr>
      </w:pPr>
      <w:r w:rsidRPr="00A07075">
        <w:rPr>
          <w:lang w:val="fr-FR"/>
        </w:rPr>
        <w:t>Sur les 1 025 affaires mentionnées (1 218 condamnations), 386 concernaient des actes de violence domestique (451</w:t>
      </w:r>
      <w:r w:rsidR="00A07075">
        <w:rPr>
          <w:lang w:val="fr-FR"/>
        </w:rPr>
        <w:t xml:space="preserve"> </w:t>
      </w:r>
      <w:r w:rsidRPr="00A07075">
        <w:rPr>
          <w:lang w:val="fr-FR"/>
        </w:rPr>
        <w:t>condamnations), 197 des actes de violence sexuelle (229</w:t>
      </w:r>
      <w:r w:rsidR="00A07075">
        <w:rPr>
          <w:lang w:val="fr-FR"/>
        </w:rPr>
        <w:t> </w:t>
      </w:r>
      <w:r w:rsidRPr="00A07075">
        <w:rPr>
          <w:lang w:val="fr-FR"/>
        </w:rPr>
        <w:t>condamnations), 4 des faits de discrimination et de violence au travail (7</w:t>
      </w:r>
      <w:r w:rsidR="00A07075">
        <w:rPr>
          <w:lang w:val="fr-FR"/>
        </w:rPr>
        <w:t> </w:t>
      </w:r>
      <w:r w:rsidRPr="00A07075">
        <w:rPr>
          <w:lang w:val="fr-FR"/>
        </w:rPr>
        <w:t>condamnations), et 438 des faits de discrimination et de violence d’un autre type (531</w:t>
      </w:r>
      <w:r w:rsidR="00A07075">
        <w:rPr>
          <w:lang w:val="fr-FR"/>
        </w:rPr>
        <w:t xml:space="preserve"> </w:t>
      </w:r>
      <w:r w:rsidRPr="00A07075">
        <w:rPr>
          <w:lang w:val="fr-FR"/>
        </w:rPr>
        <w:t>condamnations). Parmi les condamnés, on comptait 36</w:t>
      </w:r>
      <w:r w:rsidR="00A07075">
        <w:rPr>
          <w:lang w:val="fr-FR"/>
        </w:rPr>
        <w:t xml:space="preserve"> </w:t>
      </w:r>
      <w:r w:rsidRPr="00A07075">
        <w:rPr>
          <w:lang w:val="fr-FR"/>
        </w:rPr>
        <w:t>pères et mères des victimes, 45</w:t>
      </w:r>
      <w:r w:rsidR="00A07075">
        <w:rPr>
          <w:lang w:val="fr-FR"/>
        </w:rPr>
        <w:t xml:space="preserve"> </w:t>
      </w:r>
      <w:r w:rsidRPr="00A07075">
        <w:rPr>
          <w:lang w:val="fr-FR"/>
        </w:rPr>
        <w:t>frères et sœurs, frères et sœurs voire belles-sœurs du mari, 209</w:t>
      </w:r>
      <w:r w:rsidR="00A07075">
        <w:rPr>
          <w:lang w:val="fr-FR"/>
        </w:rPr>
        <w:t xml:space="preserve"> </w:t>
      </w:r>
      <w:r w:rsidRPr="00A07075">
        <w:rPr>
          <w:lang w:val="fr-FR"/>
        </w:rPr>
        <w:t>époux et épouses, 98</w:t>
      </w:r>
      <w:r w:rsidR="00A07075">
        <w:rPr>
          <w:lang w:val="fr-FR"/>
        </w:rPr>
        <w:t xml:space="preserve"> </w:t>
      </w:r>
      <w:r w:rsidRPr="00A07075">
        <w:rPr>
          <w:lang w:val="fr-FR"/>
        </w:rPr>
        <w:t>autres membres de la famille, et 830</w:t>
      </w:r>
      <w:r w:rsidR="00A07075">
        <w:rPr>
          <w:lang w:val="fr-FR"/>
        </w:rPr>
        <w:t xml:space="preserve"> </w:t>
      </w:r>
      <w:r w:rsidRPr="00A07075">
        <w:rPr>
          <w:lang w:val="fr-FR"/>
        </w:rPr>
        <w:t>personnes extérieures.</w:t>
      </w:r>
    </w:p>
    <w:p w14:paraId="0F8D650D" w14:textId="44F2B7C5" w:rsidR="00FF0818" w:rsidRPr="00A07075" w:rsidRDefault="00FF0818" w:rsidP="00A07075">
      <w:pPr>
        <w:pStyle w:val="SingleTxt"/>
        <w:numPr>
          <w:ilvl w:val="0"/>
          <w:numId w:val="17"/>
        </w:numPr>
        <w:tabs>
          <w:tab w:val="num" w:pos="2804"/>
        </w:tabs>
        <w:spacing w:line="240" w:lineRule="exact"/>
        <w:ind w:left="1267"/>
        <w:rPr>
          <w:lang w:val="fr-CH"/>
        </w:rPr>
      </w:pPr>
      <w:r w:rsidRPr="00A07075">
        <w:rPr>
          <w:lang w:val="fr-FR"/>
        </w:rPr>
        <w:t>Sur l’ensemble des affaires examinées, on comptait 1</w:t>
      </w:r>
      <w:r w:rsidR="00A07075">
        <w:rPr>
          <w:lang w:val="fr-FR"/>
        </w:rPr>
        <w:t> </w:t>
      </w:r>
      <w:r w:rsidRPr="00A07075">
        <w:rPr>
          <w:lang w:val="fr-FR"/>
        </w:rPr>
        <w:t>505</w:t>
      </w:r>
      <w:r w:rsidR="00A07075">
        <w:rPr>
          <w:lang w:val="fr-FR"/>
        </w:rPr>
        <w:t xml:space="preserve"> </w:t>
      </w:r>
      <w:r w:rsidRPr="00A07075">
        <w:rPr>
          <w:lang w:val="fr-FR"/>
        </w:rPr>
        <w:t>victimes dont 140 avaient moins de 18</w:t>
      </w:r>
      <w:r w:rsidR="00A07075">
        <w:rPr>
          <w:lang w:val="fr-FR"/>
        </w:rPr>
        <w:t xml:space="preserve"> </w:t>
      </w:r>
      <w:r w:rsidRPr="00A07075">
        <w:rPr>
          <w:lang w:val="fr-FR"/>
        </w:rPr>
        <w:t>ans, 560 entre</w:t>
      </w:r>
      <w:r w:rsidR="00A07075">
        <w:rPr>
          <w:lang w:val="fr-FR"/>
        </w:rPr>
        <w:t xml:space="preserve"> </w:t>
      </w:r>
      <w:r w:rsidRPr="00A07075">
        <w:rPr>
          <w:lang w:val="fr-FR"/>
        </w:rPr>
        <w:t>18 et 30</w:t>
      </w:r>
      <w:r w:rsidR="00A07075">
        <w:rPr>
          <w:lang w:val="fr-FR"/>
        </w:rPr>
        <w:t xml:space="preserve"> </w:t>
      </w:r>
      <w:r w:rsidRPr="00A07075">
        <w:rPr>
          <w:lang w:val="fr-FR"/>
        </w:rPr>
        <w:t>ans, 742 entre</w:t>
      </w:r>
      <w:r w:rsidR="00A07075">
        <w:rPr>
          <w:lang w:val="fr-FR"/>
        </w:rPr>
        <w:t xml:space="preserve"> </w:t>
      </w:r>
      <w:r w:rsidRPr="00A07075">
        <w:rPr>
          <w:lang w:val="fr-FR"/>
        </w:rPr>
        <w:t>31 et 60</w:t>
      </w:r>
      <w:r w:rsidR="00A07075">
        <w:rPr>
          <w:lang w:val="fr-FR"/>
        </w:rPr>
        <w:t xml:space="preserve"> </w:t>
      </w:r>
      <w:r w:rsidRPr="00A07075">
        <w:rPr>
          <w:lang w:val="fr-FR"/>
        </w:rPr>
        <w:t>ans, et 63 avaient plus de 60</w:t>
      </w:r>
      <w:r w:rsidR="00A07075">
        <w:rPr>
          <w:lang w:val="fr-FR"/>
        </w:rPr>
        <w:t xml:space="preserve"> </w:t>
      </w:r>
      <w:r w:rsidRPr="00A07075">
        <w:rPr>
          <w:lang w:val="fr-FR"/>
        </w:rPr>
        <w:t>ans. Par ailleurs, 657</w:t>
      </w:r>
      <w:r w:rsidR="00A07075">
        <w:rPr>
          <w:lang w:val="fr-FR"/>
        </w:rPr>
        <w:t xml:space="preserve"> </w:t>
      </w:r>
      <w:r w:rsidRPr="00A07075">
        <w:rPr>
          <w:lang w:val="fr-FR"/>
        </w:rPr>
        <w:t>victimes étaient sans emploi. Elles appartenaient aux ethnies ouzbèke</w:t>
      </w:r>
      <w:r w:rsidR="00A07075">
        <w:rPr>
          <w:lang w:val="fr-FR"/>
        </w:rPr>
        <w:t xml:space="preserve"> </w:t>
      </w:r>
      <w:r w:rsidRPr="00A07075">
        <w:rPr>
          <w:lang w:val="fr-FR"/>
        </w:rPr>
        <w:t>(1</w:t>
      </w:r>
      <w:r w:rsidR="00A07075">
        <w:rPr>
          <w:lang w:val="fr-FR"/>
        </w:rPr>
        <w:t xml:space="preserve"> </w:t>
      </w:r>
      <w:r w:rsidRPr="00A07075">
        <w:rPr>
          <w:lang w:val="fr-FR"/>
        </w:rPr>
        <w:t>364), kirghize</w:t>
      </w:r>
      <w:r w:rsidR="00A07075">
        <w:rPr>
          <w:lang w:val="fr-FR"/>
        </w:rPr>
        <w:t xml:space="preserve"> </w:t>
      </w:r>
      <w:r w:rsidRPr="00A07075">
        <w:rPr>
          <w:lang w:val="fr-FR"/>
        </w:rPr>
        <w:t>(1), kazakhe</w:t>
      </w:r>
      <w:r w:rsidR="00A07075">
        <w:rPr>
          <w:lang w:val="fr-FR"/>
        </w:rPr>
        <w:t xml:space="preserve"> </w:t>
      </w:r>
      <w:r w:rsidRPr="00A07075">
        <w:rPr>
          <w:lang w:val="fr-FR"/>
        </w:rPr>
        <w:t>(16), tadjike</w:t>
      </w:r>
      <w:r w:rsidR="00A07075">
        <w:rPr>
          <w:lang w:val="fr-FR"/>
        </w:rPr>
        <w:t xml:space="preserve"> </w:t>
      </w:r>
      <w:r w:rsidRPr="00A07075">
        <w:rPr>
          <w:lang w:val="fr-FR"/>
        </w:rPr>
        <w:t>(11), turkmène</w:t>
      </w:r>
      <w:r w:rsidR="00A07075">
        <w:rPr>
          <w:lang w:val="fr-FR"/>
        </w:rPr>
        <w:t xml:space="preserve"> </w:t>
      </w:r>
      <w:r w:rsidRPr="00A07075">
        <w:rPr>
          <w:lang w:val="fr-FR"/>
        </w:rPr>
        <w:t>(3), tatare</w:t>
      </w:r>
      <w:r w:rsidR="00A07075">
        <w:rPr>
          <w:lang w:val="fr-FR"/>
        </w:rPr>
        <w:t> </w:t>
      </w:r>
      <w:r w:rsidRPr="00A07075">
        <w:rPr>
          <w:lang w:val="fr-FR"/>
        </w:rPr>
        <w:t>(12), russe</w:t>
      </w:r>
      <w:r w:rsidR="00A07075">
        <w:rPr>
          <w:lang w:val="fr-FR"/>
        </w:rPr>
        <w:t xml:space="preserve"> </w:t>
      </w:r>
      <w:r w:rsidRPr="00A07075">
        <w:rPr>
          <w:lang w:val="fr-FR"/>
        </w:rPr>
        <w:t>(58) ou autres</w:t>
      </w:r>
      <w:r w:rsidR="00A07075">
        <w:rPr>
          <w:lang w:val="fr-FR"/>
        </w:rPr>
        <w:t xml:space="preserve"> </w:t>
      </w:r>
      <w:r w:rsidRPr="00A07075">
        <w:rPr>
          <w:lang w:val="fr-FR"/>
        </w:rPr>
        <w:t>(40). Elles avaient subi des violences domestiques</w:t>
      </w:r>
      <w:r w:rsidR="00A07075">
        <w:rPr>
          <w:lang w:val="fr-FR"/>
        </w:rPr>
        <w:t xml:space="preserve"> </w:t>
      </w:r>
      <w:r w:rsidRPr="00A07075">
        <w:rPr>
          <w:lang w:val="fr-FR"/>
        </w:rPr>
        <w:t>(447) ou sexuelles</w:t>
      </w:r>
      <w:r w:rsidR="00A07075">
        <w:rPr>
          <w:lang w:val="fr-FR"/>
        </w:rPr>
        <w:t xml:space="preserve"> </w:t>
      </w:r>
      <w:r w:rsidRPr="00A07075">
        <w:rPr>
          <w:lang w:val="fr-FR"/>
        </w:rPr>
        <w:t>(248), de la discrimination ou des violences au travail</w:t>
      </w:r>
      <w:r w:rsidR="00A07075">
        <w:rPr>
          <w:lang w:val="fr-FR"/>
        </w:rPr>
        <w:t xml:space="preserve"> </w:t>
      </w:r>
      <w:r w:rsidRPr="00A07075">
        <w:rPr>
          <w:lang w:val="fr-FR"/>
        </w:rPr>
        <w:t>(4), ou des violences d’un autre type</w:t>
      </w:r>
      <w:r w:rsidR="00A07075">
        <w:rPr>
          <w:lang w:val="fr-FR"/>
        </w:rPr>
        <w:t xml:space="preserve"> </w:t>
      </w:r>
      <w:r w:rsidRPr="00A07075">
        <w:rPr>
          <w:lang w:val="fr-FR"/>
        </w:rPr>
        <w:t>(489). La justice a ordonné une indemnisation au titre du préjudice matériel et moral pour</w:t>
      </w:r>
      <w:r w:rsidR="00A07075">
        <w:rPr>
          <w:lang w:val="fr-FR"/>
        </w:rPr>
        <w:t xml:space="preserve"> </w:t>
      </w:r>
      <w:r w:rsidRPr="00A07075">
        <w:rPr>
          <w:lang w:val="fr-FR"/>
        </w:rPr>
        <w:t>155 victimes, et 83 ont obtenu la restauration de leurs droits par d’autres moyens. Le traitement médical obligatoire imposé à 15</w:t>
      </w:r>
      <w:r w:rsidR="00A07075">
        <w:rPr>
          <w:lang w:val="fr-FR"/>
        </w:rPr>
        <w:t xml:space="preserve"> </w:t>
      </w:r>
      <w:r w:rsidRPr="00A07075">
        <w:rPr>
          <w:lang w:val="fr-FR"/>
        </w:rPr>
        <w:t>condamnés constitue également un mode de défense des droits des victimes et de protection contre la violence. En</w:t>
      </w:r>
      <w:r w:rsidR="00A07075">
        <w:rPr>
          <w:lang w:val="fr-FR"/>
        </w:rPr>
        <w:t xml:space="preserve"> </w:t>
      </w:r>
      <w:r w:rsidRPr="00A07075">
        <w:rPr>
          <w:lang w:val="fr-FR"/>
        </w:rPr>
        <w:t>2019, 256</w:t>
      </w:r>
      <w:r w:rsidR="00A07075">
        <w:rPr>
          <w:lang w:val="fr-FR"/>
        </w:rPr>
        <w:t xml:space="preserve"> </w:t>
      </w:r>
      <w:r w:rsidRPr="00A07075">
        <w:rPr>
          <w:lang w:val="fr-FR"/>
        </w:rPr>
        <w:t xml:space="preserve">affaires ayant abouti à 291 condamnations ont été </w:t>
      </w:r>
      <w:r w:rsidRPr="00A07075">
        <w:rPr>
          <w:lang w:val="fr-FR"/>
        </w:rPr>
        <w:lastRenderedPageBreak/>
        <w:t>examinées en audience foraine. Les tribunaux ont rendu 700</w:t>
      </w:r>
      <w:r w:rsidR="00A07075">
        <w:rPr>
          <w:lang w:val="fr-FR"/>
        </w:rPr>
        <w:t xml:space="preserve"> </w:t>
      </w:r>
      <w:r w:rsidRPr="00A07075">
        <w:rPr>
          <w:lang w:val="fr-FR"/>
        </w:rPr>
        <w:t>jugements exigeant l’élimination des causes et des circonstances qui ont favorisé les actes incriminés.</w:t>
      </w:r>
    </w:p>
    <w:p w14:paraId="3E6A50FB" w14:textId="17A7F6C8" w:rsidR="00FF0818" w:rsidRPr="001D3647" w:rsidRDefault="00FF0818" w:rsidP="00A07075">
      <w:pPr>
        <w:pStyle w:val="SingleTxt"/>
        <w:numPr>
          <w:ilvl w:val="0"/>
          <w:numId w:val="17"/>
        </w:numPr>
        <w:tabs>
          <w:tab w:val="num" w:pos="2804"/>
        </w:tabs>
        <w:spacing w:line="240" w:lineRule="exact"/>
        <w:ind w:left="1267"/>
        <w:rPr>
          <w:lang w:val="fr-CH"/>
        </w:rPr>
      </w:pPr>
      <w:r w:rsidRPr="00A07075">
        <w:rPr>
          <w:lang w:val="fr-FR"/>
        </w:rPr>
        <w:t>Au</w:t>
      </w:r>
      <w:r>
        <w:rPr>
          <w:lang w:val="fr-FR"/>
        </w:rPr>
        <w:t xml:space="preserve"> cours des huit premiers mois de</w:t>
      </w:r>
      <w:r w:rsidR="00A07075">
        <w:rPr>
          <w:lang w:val="fr-FR"/>
        </w:rPr>
        <w:t xml:space="preserve"> </w:t>
      </w:r>
      <w:r>
        <w:rPr>
          <w:lang w:val="fr-FR"/>
        </w:rPr>
        <w:t>2020, 1</w:t>
      </w:r>
      <w:r w:rsidR="00A07075">
        <w:rPr>
          <w:lang w:val="fr-FR"/>
        </w:rPr>
        <w:t xml:space="preserve"> </w:t>
      </w:r>
      <w:r>
        <w:rPr>
          <w:lang w:val="fr-FR"/>
        </w:rPr>
        <w:t>141 personnes ont été inculpées dans 972</w:t>
      </w:r>
      <w:r w:rsidR="00A07075">
        <w:rPr>
          <w:lang w:val="fr-FR"/>
        </w:rPr>
        <w:t xml:space="preserve"> </w:t>
      </w:r>
      <w:r>
        <w:rPr>
          <w:lang w:val="fr-FR"/>
        </w:rPr>
        <w:t>affaires de violence fondée sur le genre, pour 807</w:t>
      </w:r>
      <w:r w:rsidR="00A07075">
        <w:rPr>
          <w:lang w:val="fr-FR"/>
        </w:rPr>
        <w:t xml:space="preserve"> </w:t>
      </w:r>
      <w:r>
        <w:rPr>
          <w:lang w:val="fr-FR"/>
        </w:rPr>
        <w:t>condamnations (dans 688</w:t>
      </w:r>
      <w:r w:rsidR="00A07075">
        <w:rPr>
          <w:lang w:val="fr-FR"/>
        </w:rPr>
        <w:t xml:space="preserve"> </w:t>
      </w:r>
      <w:r>
        <w:rPr>
          <w:lang w:val="fr-FR"/>
        </w:rPr>
        <w:t>affaires). Sur ces 807</w:t>
      </w:r>
      <w:r w:rsidR="00A07075">
        <w:rPr>
          <w:lang w:val="fr-FR"/>
        </w:rPr>
        <w:t xml:space="preserve"> </w:t>
      </w:r>
      <w:r>
        <w:rPr>
          <w:lang w:val="fr-FR"/>
        </w:rPr>
        <w:t>condamnés, on comptait 631</w:t>
      </w:r>
      <w:r w:rsidR="00A07075">
        <w:rPr>
          <w:lang w:val="fr-FR"/>
        </w:rPr>
        <w:t xml:space="preserve"> </w:t>
      </w:r>
      <w:r>
        <w:rPr>
          <w:lang w:val="fr-FR"/>
        </w:rPr>
        <w:t>hommes et 176</w:t>
      </w:r>
      <w:r w:rsidR="00A07075">
        <w:rPr>
          <w:lang w:val="fr-FR"/>
        </w:rPr>
        <w:t xml:space="preserve"> </w:t>
      </w:r>
      <w:r>
        <w:rPr>
          <w:lang w:val="fr-FR"/>
        </w:rPr>
        <w:t>femmes</w:t>
      </w:r>
      <w:r w:rsidR="00A07075">
        <w:rPr>
          <w:lang w:val="fr-FR"/>
        </w:rPr>
        <w:t> </w:t>
      </w:r>
      <w:r>
        <w:rPr>
          <w:lang w:val="fr-FR"/>
        </w:rPr>
        <w:t>; 16</w:t>
      </w:r>
      <w:r w:rsidR="00A07075">
        <w:rPr>
          <w:lang w:val="fr-FR"/>
        </w:rPr>
        <w:t> </w:t>
      </w:r>
      <w:r>
        <w:rPr>
          <w:lang w:val="fr-FR"/>
        </w:rPr>
        <w:t>avaient moins de 18</w:t>
      </w:r>
      <w:r w:rsidR="00A07075">
        <w:rPr>
          <w:lang w:val="fr-FR"/>
        </w:rPr>
        <w:t xml:space="preserve"> </w:t>
      </w:r>
      <w:r>
        <w:rPr>
          <w:lang w:val="fr-FR"/>
        </w:rPr>
        <w:t>ans, 291 entre</w:t>
      </w:r>
      <w:r w:rsidR="00A07075">
        <w:rPr>
          <w:lang w:val="fr-FR"/>
        </w:rPr>
        <w:t xml:space="preserve"> </w:t>
      </w:r>
      <w:r>
        <w:rPr>
          <w:lang w:val="fr-FR"/>
        </w:rPr>
        <w:t>18 et</w:t>
      </w:r>
      <w:r w:rsidR="00A07075">
        <w:rPr>
          <w:lang w:val="fr-FR"/>
        </w:rPr>
        <w:t xml:space="preserve"> </w:t>
      </w:r>
      <w:r>
        <w:rPr>
          <w:lang w:val="fr-FR"/>
        </w:rPr>
        <w:t>30</w:t>
      </w:r>
      <w:r w:rsidR="00A07075">
        <w:rPr>
          <w:lang w:val="fr-FR"/>
        </w:rPr>
        <w:t xml:space="preserve"> </w:t>
      </w:r>
      <w:r>
        <w:rPr>
          <w:lang w:val="fr-FR"/>
        </w:rPr>
        <w:t>ans, 582 entre</w:t>
      </w:r>
      <w:r w:rsidR="00A07075">
        <w:rPr>
          <w:lang w:val="fr-FR"/>
        </w:rPr>
        <w:t xml:space="preserve"> </w:t>
      </w:r>
      <w:r>
        <w:rPr>
          <w:lang w:val="fr-FR"/>
        </w:rPr>
        <w:t>31 et</w:t>
      </w:r>
      <w:r w:rsidR="00A07075">
        <w:rPr>
          <w:lang w:val="fr-FR"/>
        </w:rPr>
        <w:t xml:space="preserve"> </w:t>
      </w:r>
      <w:r>
        <w:rPr>
          <w:lang w:val="fr-FR"/>
        </w:rPr>
        <w:t>60</w:t>
      </w:r>
      <w:r w:rsidR="00A07075">
        <w:rPr>
          <w:lang w:val="fr-FR"/>
        </w:rPr>
        <w:t xml:space="preserve"> </w:t>
      </w:r>
      <w:r>
        <w:rPr>
          <w:lang w:val="fr-FR"/>
        </w:rPr>
        <w:t>ans, et</w:t>
      </w:r>
      <w:r w:rsidR="00A07075">
        <w:rPr>
          <w:lang w:val="fr-FR"/>
        </w:rPr>
        <w:t xml:space="preserve"> </w:t>
      </w:r>
      <w:r>
        <w:rPr>
          <w:lang w:val="fr-FR"/>
        </w:rPr>
        <w:t>18</w:t>
      </w:r>
      <w:r w:rsidR="00A07075">
        <w:rPr>
          <w:lang w:val="fr-FR"/>
        </w:rPr>
        <w:t> </w:t>
      </w:r>
      <w:r>
        <w:rPr>
          <w:lang w:val="fr-FR"/>
        </w:rPr>
        <w:t>avaient plus de 60</w:t>
      </w:r>
      <w:r w:rsidR="00A07075">
        <w:rPr>
          <w:lang w:val="fr-FR"/>
        </w:rPr>
        <w:t> </w:t>
      </w:r>
      <w:r>
        <w:rPr>
          <w:lang w:val="fr-FR"/>
        </w:rPr>
        <w:t>ans. En outre, 639 étaient sans emploi. Les condamnés appartenaient aux ethnies ouzbèke</w:t>
      </w:r>
      <w:r w:rsidR="00A07075">
        <w:rPr>
          <w:lang w:val="fr-FR"/>
        </w:rPr>
        <w:t xml:space="preserve"> </w:t>
      </w:r>
      <w:r>
        <w:rPr>
          <w:lang w:val="fr-FR"/>
        </w:rPr>
        <w:t>(732), kirghize</w:t>
      </w:r>
      <w:r w:rsidR="00A07075">
        <w:rPr>
          <w:lang w:val="fr-FR"/>
        </w:rPr>
        <w:t xml:space="preserve"> </w:t>
      </w:r>
      <w:r>
        <w:rPr>
          <w:lang w:val="fr-FR"/>
        </w:rPr>
        <w:t>(2), kazakhe</w:t>
      </w:r>
      <w:r w:rsidR="00A07075">
        <w:rPr>
          <w:lang w:val="fr-FR"/>
        </w:rPr>
        <w:t xml:space="preserve"> </w:t>
      </w:r>
      <w:r>
        <w:rPr>
          <w:lang w:val="fr-FR"/>
        </w:rPr>
        <w:t>(19), tadjike</w:t>
      </w:r>
      <w:r w:rsidR="00A07075">
        <w:rPr>
          <w:lang w:val="fr-FR"/>
        </w:rPr>
        <w:t xml:space="preserve"> </w:t>
      </w:r>
      <w:r>
        <w:rPr>
          <w:lang w:val="fr-FR"/>
        </w:rPr>
        <w:t>(8), turkmène</w:t>
      </w:r>
      <w:r w:rsidR="00A07075">
        <w:rPr>
          <w:lang w:val="fr-FR"/>
        </w:rPr>
        <w:t xml:space="preserve"> </w:t>
      </w:r>
      <w:r>
        <w:rPr>
          <w:lang w:val="fr-FR"/>
        </w:rPr>
        <w:t>(3), tatare</w:t>
      </w:r>
      <w:r w:rsidR="00A07075">
        <w:rPr>
          <w:lang w:val="fr-FR"/>
        </w:rPr>
        <w:t xml:space="preserve"> </w:t>
      </w:r>
      <w:r>
        <w:rPr>
          <w:lang w:val="fr-FR"/>
        </w:rPr>
        <w:t>(3), russe</w:t>
      </w:r>
      <w:r w:rsidR="00A07075">
        <w:rPr>
          <w:lang w:val="fr-FR"/>
        </w:rPr>
        <w:t xml:space="preserve"> </w:t>
      </w:r>
      <w:r>
        <w:rPr>
          <w:lang w:val="fr-FR"/>
        </w:rPr>
        <w:t>(23) ou autres</w:t>
      </w:r>
      <w:r w:rsidR="00A07075">
        <w:rPr>
          <w:lang w:val="fr-FR"/>
        </w:rPr>
        <w:t xml:space="preserve"> </w:t>
      </w:r>
      <w:r>
        <w:rPr>
          <w:lang w:val="fr-FR"/>
        </w:rPr>
        <w:t>(17).</w:t>
      </w:r>
    </w:p>
    <w:p w14:paraId="26EC55FE" w14:textId="209F589D" w:rsidR="00FF0818" w:rsidRPr="001D3647" w:rsidRDefault="00FF0818" w:rsidP="00A07075">
      <w:pPr>
        <w:pStyle w:val="SingleTxt"/>
        <w:numPr>
          <w:ilvl w:val="0"/>
          <w:numId w:val="17"/>
        </w:numPr>
        <w:spacing w:line="240" w:lineRule="exact"/>
        <w:ind w:left="1267"/>
        <w:rPr>
          <w:bCs/>
          <w:lang w:val="fr-CH"/>
        </w:rPr>
      </w:pPr>
      <w:r>
        <w:rPr>
          <w:bCs/>
          <w:lang w:val="fr-FR"/>
        </w:rPr>
        <w:t>Sur 688 affaires ayant abouti à 807 condamnations, 258 concernaient la violence domestique (296 condamnations), 129 la violence sexuelle (149 condamnations), 7 la discrimination et la violence au travail (7 condamnations), 294 la discrimination et la violence d’un autre type (355 condamnations). Parmi les condamnés, on comptait 26 pères et mères des victimes, 40 frères et sœurs, frères et sœurs voire belles-sœurs du mari, 153 époux et épouses, 84 autres membres de la famille, et 504 personnes extérieures.</w:t>
      </w:r>
    </w:p>
    <w:p w14:paraId="53ABC6C4" w14:textId="4BB2DDF0" w:rsidR="00FF0818" w:rsidRPr="00A07075" w:rsidRDefault="00FF0818" w:rsidP="00A07075">
      <w:pPr>
        <w:pStyle w:val="SingleTxt"/>
        <w:numPr>
          <w:ilvl w:val="0"/>
          <w:numId w:val="17"/>
        </w:numPr>
        <w:spacing w:line="240" w:lineRule="exact"/>
        <w:ind w:left="1267"/>
        <w:rPr>
          <w:bCs/>
          <w:lang w:val="fr-CH"/>
        </w:rPr>
      </w:pPr>
      <w:r w:rsidRPr="00A07075">
        <w:rPr>
          <w:bCs/>
          <w:lang w:val="fr-FR"/>
        </w:rPr>
        <w:t>Sur l’ensemble des affaires examinées, on comptait 1 077</w:t>
      </w:r>
      <w:r w:rsidR="00A07075">
        <w:rPr>
          <w:bCs/>
          <w:lang w:val="fr-FR"/>
        </w:rPr>
        <w:t xml:space="preserve"> </w:t>
      </w:r>
      <w:r w:rsidRPr="00A07075">
        <w:rPr>
          <w:bCs/>
          <w:lang w:val="fr-FR"/>
        </w:rPr>
        <w:t>victimes dont 91</w:t>
      </w:r>
      <w:r w:rsidR="00A07075">
        <w:rPr>
          <w:bCs/>
          <w:lang w:val="fr-FR"/>
        </w:rPr>
        <w:t> </w:t>
      </w:r>
      <w:r w:rsidRPr="00A07075">
        <w:rPr>
          <w:bCs/>
          <w:lang w:val="fr-FR"/>
        </w:rPr>
        <w:t>avaient moins de 18</w:t>
      </w:r>
      <w:r w:rsidR="00A07075">
        <w:rPr>
          <w:bCs/>
          <w:lang w:val="fr-FR"/>
        </w:rPr>
        <w:t xml:space="preserve"> </w:t>
      </w:r>
      <w:r w:rsidRPr="00A07075">
        <w:rPr>
          <w:bCs/>
          <w:lang w:val="fr-FR"/>
        </w:rPr>
        <w:t>ans, 342 entre</w:t>
      </w:r>
      <w:r w:rsidR="00A07075">
        <w:rPr>
          <w:bCs/>
          <w:lang w:val="fr-FR"/>
        </w:rPr>
        <w:t xml:space="preserve"> </w:t>
      </w:r>
      <w:r w:rsidRPr="00A07075">
        <w:rPr>
          <w:bCs/>
          <w:lang w:val="fr-FR"/>
        </w:rPr>
        <w:t>18 et 30</w:t>
      </w:r>
      <w:r w:rsidR="00A07075">
        <w:rPr>
          <w:bCs/>
          <w:lang w:val="fr-FR"/>
        </w:rPr>
        <w:t xml:space="preserve"> </w:t>
      </w:r>
      <w:r w:rsidRPr="00A07075">
        <w:rPr>
          <w:bCs/>
          <w:lang w:val="fr-FR"/>
        </w:rPr>
        <w:t>ans, 576 entre</w:t>
      </w:r>
      <w:r w:rsidR="00A07075">
        <w:rPr>
          <w:bCs/>
          <w:lang w:val="fr-FR"/>
        </w:rPr>
        <w:t xml:space="preserve"> </w:t>
      </w:r>
      <w:r w:rsidRPr="00A07075">
        <w:rPr>
          <w:bCs/>
          <w:lang w:val="fr-FR"/>
        </w:rPr>
        <w:t>31 et 60</w:t>
      </w:r>
      <w:r w:rsidR="00A07075">
        <w:rPr>
          <w:bCs/>
          <w:lang w:val="fr-FR"/>
        </w:rPr>
        <w:t xml:space="preserve"> </w:t>
      </w:r>
      <w:r w:rsidRPr="00A07075">
        <w:rPr>
          <w:bCs/>
          <w:lang w:val="fr-FR"/>
        </w:rPr>
        <w:t>ans, et</w:t>
      </w:r>
      <w:r w:rsidR="00A07075">
        <w:rPr>
          <w:bCs/>
          <w:lang w:val="fr-FR"/>
        </w:rPr>
        <w:t xml:space="preserve"> </w:t>
      </w:r>
      <w:r w:rsidRPr="00A07075">
        <w:rPr>
          <w:bCs/>
          <w:lang w:val="fr-FR"/>
        </w:rPr>
        <w:t>68</w:t>
      </w:r>
      <w:r w:rsidR="00A07075">
        <w:rPr>
          <w:bCs/>
          <w:lang w:val="fr-FR"/>
        </w:rPr>
        <w:t> </w:t>
      </w:r>
      <w:r w:rsidRPr="00A07075">
        <w:rPr>
          <w:bCs/>
          <w:lang w:val="fr-FR"/>
        </w:rPr>
        <w:t>avaient plus de 60</w:t>
      </w:r>
      <w:r w:rsidR="00A07075">
        <w:rPr>
          <w:bCs/>
          <w:lang w:val="fr-FR"/>
        </w:rPr>
        <w:t xml:space="preserve"> </w:t>
      </w:r>
      <w:r w:rsidRPr="00A07075">
        <w:rPr>
          <w:bCs/>
          <w:lang w:val="fr-FR"/>
        </w:rPr>
        <w:t>ans. Par ailleurs, 550</w:t>
      </w:r>
      <w:r w:rsidR="00A07075">
        <w:rPr>
          <w:bCs/>
          <w:lang w:val="fr-FR"/>
        </w:rPr>
        <w:t xml:space="preserve"> </w:t>
      </w:r>
      <w:r w:rsidRPr="00A07075">
        <w:rPr>
          <w:bCs/>
          <w:lang w:val="fr-FR"/>
        </w:rPr>
        <w:t>victimes étaient sans emploi. Elles appartenaient aux ethnies ouzbèke</w:t>
      </w:r>
      <w:r w:rsidR="00A07075">
        <w:rPr>
          <w:bCs/>
          <w:lang w:val="fr-FR"/>
        </w:rPr>
        <w:t xml:space="preserve"> </w:t>
      </w:r>
      <w:r w:rsidRPr="00A07075">
        <w:rPr>
          <w:bCs/>
          <w:lang w:val="fr-FR"/>
        </w:rPr>
        <w:t>(972), kazakhe</w:t>
      </w:r>
      <w:r w:rsidR="00A07075">
        <w:rPr>
          <w:bCs/>
          <w:lang w:val="fr-FR"/>
        </w:rPr>
        <w:t xml:space="preserve"> </w:t>
      </w:r>
      <w:r w:rsidRPr="00A07075">
        <w:rPr>
          <w:bCs/>
          <w:lang w:val="fr-FR"/>
        </w:rPr>
        <w:t>(14), tadjike</w:t>
      </w:r>
      <w:r w:rsidR="00A07075">
        <w:rPr>
          <w:bCs/>
          <w:lang w:val="fr-FR"/>
        </w:rPr>
        <w:t xml:space="preserve"> </w:t>
      </w:r>
      <w:r w:rsidRPr="00A07075">
        <w:rPr>
          <w:bCs/>
          <w:lang w:val="fr-FR"/>
        </w:rPr>
        <w:t>(14), turkmène</w:t>
      </w:r>
      <w:r w:rsidR="00A07075">
        <w:rPr>
          <w:bCs/>
          <w:lang w:val="fr-FR"/>
        </w:rPr>
        <w:t xml:space="preserve"> </w:t>
      </w:r>
      <w:r w:rsidRPr="00A07075">
        <w:rPr>
          <w:bCs/>
          <w:lang w:val="fr-FR"/>
        </w:rPr>
        <w:t>(4), tatare</w:t>
      </w:r>
      <w:r w:rsidR="00A07075">
        <w:rPr>
          <w:bCs/>
          <w:lang w:val="fr-FR"/>
        </w:rPr>
        <w:t xml:space="preserve"> </w:t>
      </w:r>
      <w:r w:rsidRPr="00A07075">
        <w:rPr>
          <w:bCs/>
          <w:lang w:val="fr-FR"/>
        </w:rPr>
        <w:t>(8), russe</w:t>
      </w:r>
      <w:r w:rsidR="00A07075">
        <w:rPr>
          <w:bCs/>
          <w:lang w:val="fr-FR"/>
        </w:rPr>
        <w:t xml:space="preserve"> </w:t>
      </w:r>
      <w:r w:rsidRPr="00A07075">
        <w:rPr>
          <w:bCs/>
          <w:lang w:val="fr-FR"/>
        </w:rPr>
        <w:t>(36) ou autres</w:t>
      </w:r>
      <w:r w:rsidR="00A07075">
        <w:rPr>
          <w:bCs/>
          <w:lang w:val="fr-FR"/>
        </w:rPr>
        <w:t xml:space="preserve"> </w:t>
      </w:r>
      <w:r w:rsidRPr="00A07075">
        <w:rPr>
          <w:bCs/>
          <w:lang w:val="fr-FR"/>
        </w:rPr>
        <w:t>(29). Elles avaient subi des violences domestiques</w:t>
      </w:r>
      <w:r w:rsidR="00A07075">
        <w:rPr>
          <w:bCs/>
          <w:lang w:val="fr-FR"/>
        </w:rPr>
        <w:t> </w:t>
      </w:r>
      <w:r w:rsidRPr="00A07075">
        <w:rPr>
          <w:bCs/>
          <w:lang w:val="fr-FR"/>
        </w:rPr>
        <w:t>(270) ou sexuelles</w:t>
      </w:r>
      <w:r w:rsidR="00A07075">
        <w:rPr>
          <w:bCs/>
          <w:lang w:val="fr-FR"/>
        </w:rPr>
        <w:t xml:space="preserve"> </w:t>
      </w:r>
      <w:r w:rsidRPr="00A07075">
        <w:rPr>
          <w:bCs/>
          <w:lang w:val="fr-FR"/>
        </w:rPr>
        <w:t>(152), de la discrimination ou des violences au travail</w:t>
      </w:r>
      <w:r w:rsidR="00A07075">
        <w:rPr>
          <w:bCs/>
          <w:lang w:val="fr-FR"/>
        </w:rPr>
        <w:t> </w:t>
      </w:r>
      <w:r w:rsidRPr="00A07075">
        <w:rPr>
          <w:bCs/>
          <w:lang w:val="fr-FR"/>
        </w:rPr>
        <w:t>(8), ou des violences d’un autre type</w:t>
      </w:r>
      <w:r w:rsidR="00A07075">
        <w:rPr>
          <w:bCs/>
          <w:lang w:val="fr-FR"/>
        </w:rPr>
        <w:t xml:space="preserve"> </w:t>
      </w:r>
      <w:r w:rsidRPr="00A07075">
        <w:rPr>
          <w:bCs/>
          <w:lang w:val="fr-FR"/>
        </w:rPr>
        <w:t>(342). La justice a ordonné une indemnisation au titre du préjudice matériel et moral pour</w:t>
      </w:r>
      <w:r w:rsidR="00A07075">
        <w:rPr>
          <w:bCs/>
          <w:lang w:val="fr-FR"/>
        </w:rPr>
        <w:t xml:space="preserve"> </w:t>
      </w:r>
      <w:r w:rsidRPr="00A07075">
        <w:rPr>
          <w:bCs/>
          <w:lang w:val="fr-FR"/>
        </w:rPr>
        <w:t>93 victimes, et 63 ont obtenu la restauration de leurs droits par d’autres moyens.</w:t>
      </w:r>
    </w:p>
    <w:p w14:paraId="7FF530B4" w14:textId="37994F0A" w:rsidR="00FF0818" w:rsidRPr="00A07075" w:rsidRDefault="00FF0818" w:rsidP="00A07075">
      <w:pPr>
        <w:pStyle w:val="SingleTxt"/>
        <w:numPr>
          <w:ilvl w:val="0"/>
          <w:numId w:val="19"/>
        </w:numPr>
        <w:spacing w:line="240" w:lineRule="exact"/>
        <w:ind w:left="1267"/>
        <w:rPr>
          <w:bCs/>
          <w:lang w:val="fr-CH"/>
        </w:rPr>
      </w:pPr>
      <w:r w:rsidRPr="00A07075">
        <w:rPr>
          <w:bCs/>
          <w:lang w:val="fr-CH"/>
        </w:rPr>
        <w:t>Le traitement médical obligatoire imposé à 5</w:t>
      </w:r>
      <w:r w:rsidR="00A07075">
        <w:rPr>
          <w:bCs/>
          <w:lang w:val="fr-CH"/>
        </w:rPr>
        <w:t xml:space="preserve"> </w:t>
      </w:r>
      <w:r w:rsidRPr="00A07075">
        <w:rPr>
          <w:bCs/>
          <w:lang w:val="fr-CH"/>
        </w:rPr>
        <w:t xml:space="preserve">condamnés constitue également un mode de défense des droits des victimes et de protection contre la violence. </w:t>
      </w:r>
      <w:r w:rsidRPr="00A07075">
        <w:rPr>
          <w:bCs/>
          <w:lang w:val="fr-FR"/>
        </w:rPr>
        <w:t>Au cours des huit premiers mois de</w:t>
      </w:r>
      <w:r w:rsidR="00A07075">
        <w:rPr>
          <w:bCs/>
          <w:lang w:val="fr-FR"/>
        </w:rPr>
        <w:t xml:space="preserve"> </w:t>
      </w:r>
      <w:r w:rsidRPr="00A07075">
        <w:rPr>
          <w:bCs/>
          <w:lang w:val="fr-FR"/>
        </w:rPr>
        <w:t>2020</w:t>
      </w:r>
      <w:r w:rsidRPr="00A07075">
        <w:rPr>
          <w:bCs/>
          <w:lang w:val="fr-CH"/>
        </w:rPr>
        <w:t xml:space="preserve">, </w:t>
      </w:r>
      <w:r w:rsidRPr="00A07075">
        <w:rPr>
          <w:bCs/>
          <w:lang w:val="fr-FR"/>
        </w:rPr>
        <w:t>73</w:t>
      </w:r>
      <w:r w:rsidR="00A07075">
        <w:rPr>
          <w:bCs/>
          <w:lang w:val="fr-CH"/>
        </w:rPr>
        <w:t xml:space="preserve"> </w:t>
      </w:r>
      <w:r w:rsidRPr="00A07075">
        <w:rPr>
          <w:bCs/>
          <w:lang w:val="fr-CH"/>
        </w:rPr>
        <w:t xml:space="preserve">affaires </w:t>
      </w:r>
      <w:r w:rsidRPr="00A07075">
        <w:rPr>
          <w:bCs/>
          <w:lang w:val="fr-FR"/>
        </w:rPr>
        <w:t>(78</w:t>
      </w:r>
      <w:r w:rsidR="00A07075">
        <w:rPr>
          <w:bCs/>
          <w:lang w:val="fr-CH"/>
        </w:rPr>
        <w:t xml:space="preserve"> </w:t>
      </w:r>
      <w:r w:rsidRPr="00A07075">
        <w:rPr>
          <w:bCs/>
          <w:lang w:val="fr-FR"/>
        </w:rPr>
        <w:t>prévenus)</w:t>
      </w:r>
      <w:r w:rsidRPr="00A07075">
        <w:rPr>
          <w:bCs/>
          <w:lang w:val="fr-CH"/>
        </w:rPr>
        <w:t xml:space="preserve"> ont été examinées en audience foraine. Les tribunaux ont rendu </w:t>
      </w:r>
      <w:r w:rsidRPr="00A07075">
        <w:rPr>
          <w:bCs/>
          <w:lang w:val="fr-FR"/>
        </w:rPr>
        <w:t>455</w:t>
      </w:r>
      <w:r w:rsidR="00A07075">
        <w:rPr>
          <w:bCs/>
          <w:lang w:val="fr-CH"/>
        </w:rPr>
        <w:t xml:space="preserve"> </w:t>
      </w:r>
      <w:r w:rsidRPr="00A07075">
        <w:rPr>
          <w:bCs/>
          <w:lang w:val="fr-CH"/>
        </w:rPr>
        <w:t xml:space="preserve">jugements exigeant l’élimination des causes et des circonstances </w:t>
      </w:r>
      <w:r w:rsidRPr="00A07075">
        <w:rPr>
          <w:bCs/>
          <w:lang w:val="fr-FR"/>
        </w:rPr>
        <w:t xml:space="preserve">qui ont favorisé les actes </w:t>
      </w:r>
      <w:r w:rsidRPr="00A07075">
        <w:rPr>
          <w:bCs/>
          <w:lang w:val="fr-CH"/>
        </w:rPr>
        <w:t>incriminés.</w:t>
      </w:r>
    </w:p>
    <w:p w14:paraId="7C5A71FB" w14:textId="77777777" w:rsidR="00FF0818" w:rsidRPr="00A07075" w:rsidRDefault="00FF0818" w:rsidP="00FF0818">
      <w:pPr>
        <w:pStyle w:val="SingleTxt"/>
        <w:spacing w:after="0" w:line="120" w:lineRule="exact"/>
        <w:rPr>
          <w:bCs/>
          <w:sz w:val="10"/>
          <w:lang w:val="fr-CH"/>
        </w:rPr>
      </w:pPr>
    </w:p>
    <w:p w14:paraId="34D3AF7B"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11</w:t>
      </w:r>
    </w:p>
    <w:p w14:paraId="37FFE0EB" w14:textId="77777777" w:rsidR="00FF0818" w:rsidRPr="001D3647" w:rsidRDefault="00FF0818" w:rsidP="00FF0818">
      <w:pPr>
        <w:pStyle w:val="SingleTxt"/>
        <w:spacing w:after="0" w:line="120" w:lineRule="exact"/>
        <w:rPr>
          <w:bCs/>
          <w:sz w:val="10"/>
          <w:lang w:val="fr-CH"/>
        </w:rPr>
      </w:pPr>
    </w:p>
    <w:p w14:paraId="6E646C0A" w14:textId="0E417C92" w:rsidR="00FF0818" w:rsidRPr="00A07075" w:rsidRDefault="00FF0818" w:rsidP="00A07075">
      <w:pPr>
        <w:pStyle w:val="SingleTxt"/>
        <w:numPr>
          <w:ilvl w:val="0"/>
          <w:numId w:val="19"/>
        </w:numPr>
        <w:spacing w:line="240" w:lineRule="exact"/>
        <w:ind w:left="1267"/>
        <w:rPr>
          <w:bCs/>
          <w:lang w:val="fr-CH"/>
        </w:rPr>
      </w:pPr>
      <w:r w:rsidRPr="00A07075">
        <w:rPr>
          <w:bCs/>
          <w:lang w:val="fr-FR"/>
        </w:rPr>
        <w:t>L’Ouzbékistan dispose aujourd’hui des conditions juridiques et institutionnelles assurant la défense des droits des victimes de violence fondée sur le genre. À l’heure actuelle, il existe 197</w:t>
      </w:r>
      <w:r w:rsidR="00A07075">
        <w:rPr>
          <w:bCs/>
          <w:lang w:val="fr-FR"/>
        </w:rPr>
        <w:t xml:space="preserve"> </w:t>
      </w:r>
      <w:r w:rsidRPr="00A07075">
        <w:rPr>
          <w:bCs/>
          <w:lang w:val="fr-FR"/>
        </w:rPr>
        <w:t>centres de réhabilitation et d’adaptation des victimes de violence à travers le pays</w:t>
      </w:r>
      <w:r w:rsidR="00A07075">
        <w:rPr>
          <w:bCs/>
          <w:lang w:val="fr-FR"/>
        </w:rPr>
        <w:t> </w:t>
      </w:r>
      <w:r w:rsidRPr="00A07075">
        <w:rPr>
          <w:bCs/>
          <w:lang w:val="fr-FR"/>
        </w:rPr>
        <w:t>: un établissement national, 14</w:t>
      </w:r>
      <w:r w:rsidR="00A07075">
        <w:rPr>
          <w:bCs/>
          <w:lang w:val="fr-FR"/>
        </w:rPr>
        <w:t xml:space="preserve"> </w:t>
      </w:r>
      <w:r w:rsidRPr="00A07075">
        <w:rPr>
          <w:bCs/>
          <w:lang w:val="fr-FR"/>
        </w:rPr>
        <w:t>établissements provinciaux et 183</w:t>
      </w:r>
      <w:r w:rsidR="00A07075">
        <w:rPr>
          <w:bCs/>
          <w:lang w:val="fr-FR"/>
        </w:rPr>
        <w:t xml:space="preserve"> </w:t>
      </w:r>
      <w:r w:rsidRPr="00A07075">
        <w:rPr>
          <w:bCs/>
          <w:lang w:val="fr-FR"/>
        </w:rPr>
        <w:t>au niveau des villes et des districts. Les personnes se retrouvant en difficulté sociale à la suite de problèmes familiaux ou de violences domestiques y reçoivent une aide médicale d’urgence et bénéficient d’une assistance psychologique, sociale, pédagogique ou encore juridique.</w:t>
      </w:r>
    </w:p>
    <w:p w14:paraId="1D919F37" w14:textId="725288EB" w:rsidR="00FF0818" w:rsidRPr="00A07075" w:rsidRDefault="00FF0818" w:rsidP="00A07075">
      <w:pPr>
        <w:pStyle w:val="SingleTxt"/>
        <w:numPr>
          <w:ilvl w:val="0"/>
          <w:numId w:val="19"/>
        </w:numPr>
        <w:spacing w:line="240" w:lineRule="exact"/>
        <w:ind w:left="1267"/>
        <w:rPr>
          <w:bCs/>
          <w:lang w:val="fr-CH"/>
        </w:rPr>
      </w:pPr>
      <w:r w:rsidRPr="00A07075">
        <w:rPr>
          <w:bCs/>
          <w:lang w:val="fr-FR"/>
        </w:rPr>
        <w:t>Au</w:t>
      </w:r>
      <w:r w:rsidR="00A07075">
        <w:rPr>
          <w:bCs/>
          <w:lang w:val="fr-FR"/>
        </w:rPr>
        <w:t xml:space="preserve"> </w:t>
      </w:r>
      <w:r w:rsidRPr="00A07075">
        <w:rPr>
          <w:bCs/>
          <w:lang w:val="fr-FR"/>
        </w:rPr>
        <w:t>1</w:t>
      </w:r>
      <w:r w:rsidRPr="00A07075">
        <w:rPr>
          <w:bCs/>
          <w:vertAlign w:val="superscript"/>
          <w:lang w:val="fr-FR"/>
        </w:rPr>
        <w:t>er</w:t>
      </w:r>
      <w:r w:rsidR="00A07075">
        <w:rPr>
          <w:bCs/>
          <w:vertAlign w:val="superscript"/>
          <w:lang w:val="fr-FR"/>
        </w:rPr>
        <w:t xml:space="preserve"> </w:t>
      </w:r>
      <w:r w:rsidRPr="00A07075">
        <w:rPr>
          <w:bCs/>
          <w:lang w:val="fr-FR"/>
        </w:rPr>
        <w:t>octobre</w:t>
      </w:r>
      <w:r w:rsidR="00A07075">
        <w:rPr>
          <w:bCs/>
          <w:lang w:val="fr-FR"/>
        </w:rPr>
        <w:t xml:space="preserve"> </w:t>
      </w:r>
      <w:r w:rsidRPr="00A07075">
        <w:rPr>
          <w:bCs/>
          <w:lang w:val="fr-FR"/>
        </w:rPr>
        <w:t>2020, 11</w:t>
      </w:r>
      <w:r w:rsidR="00A07075">
        <w:rPr>
          <w:bCs/>
          <w:lang w:val="fr-FR"/>
        </w:rPr>
        <w:t xml:space="preserve"> </w:t>
      </w:r>
      <w:r w:rsidRPr="00A07075">
        <w:rPr>
          <w:bCs/>
          <w:lang w:val="fr-FR"/>
        </w:rPr>
        <w:t>570 personnes s’étaient adressées à ces centres</w:t>
      </w:r>
      <w:r w:rsidR="00A07075">
        <w:rPr>
          <w:bCs/>
          <w:lang w:val="fr-FR"/>
        </w:rPr>
        <w:t xml:space="preserve"> </w:t>
      </w:r>
      <w:r w:rsidRPr="00A07075">
        <w:rPr>
          <w:bCs/>
          <w:lang w:val="fr-FR"/>
        </w:rPr>
        <w:t>: 10</w:t>
      </w:r>
      <w:r w:rsidR="00A07075">
        <w:rPr>
          <w:bCs/>
          <w:lang w:val="fr-FR"/>
        </w:rPr>
        <w:t xml:space="preserve"> </w:t>
      </w:r>
      <w:r w:rsidRPr="00A07075">
        <w:rPr>
          <w:bCs/>
          <w:lang w:val="fr-FR"/>
        </w:rPr>
        <w:t>229</w:t>
      </w:r>
      <w:r w:rsidR="00A07075">
        <w:rPr>
          <w:bCs/>
          <w:lang w:val="fr-FR"/>
        </w:rPr>
        <w:t xml:space="preserve"> </w:t>
      </w:r>
      <w:r w:rsidRPr="00A07075">
        <w:rPr>
          <w:bCs/>
          <w:lang w:val="fr-FR"/>
        </w:rPr>
        <w:t>femmes (dont 5</w:t>
      </w:r>
      <w:r w:rsidR="00A07075">
        <w:rPr>
          <w:bCs/>
          <w:lang w:val="fr-FR"/>
        </w:rPr>
        <w:t xml:space="preserve"> </w:t>
      </w:r>
      <w:r w:rsidRPr="00A07075">
        <w:rPr>
          <w:bCs/>
          <w:lang w:val="fr-FR"/>
        </w:rPr>
        <w:t>046 en situation de vulnérabilité), 1</w:t>
      </w:r>
      <w:r w:rsidR="00A07075">
        <w:rPr>
          <w:bCs/>
          <w:lang w:val="fr-FR"/>
        </w:rPr>
        <w:t xml:space="preserve"> </w:t>
      </w:r>
      <w:r w:rsidRPr="00A07075">
        <w:rPr>
          <w:bCs/>
          <w:lang w:val="fr-FR"/>
        </w:rPr>
        <w:t>122</w:t>
      </w:r>
      <w:r w:rsidR="00A07075">
        <w:rPr>
          <w:bCs/>
          <w:lang w:val="fr-FR"/>
        </w:rPr>
        <w:t xml:space="preserve"> </w:t>
      </w:r>
      <w:r w:rsidRPr="00A07075">
        <w:rPr>
          <w:bCs/>
          <w:lang w:val="fr-FR"/>
        </w:rPr>
        <w:t>hommes et 205</w:t>
      </w:r>
      <w:r w:rsidR="00A07075">
        <w:rPr>
          <w:bCs/>
          <w:lang w:val="fr-FR"/>
        </w:rPr>
        <w:t xml:space="preserve"> </w:t>
      </w:r>
      <w:r w:rsidRPr="00A07075">
        <w:rPr>
          <w:bCs/>
          <w:lang w:val="fr-FR"/>
        </w:rPr>
        <w:t>enfants de moins de 18</w:t>
      </w:r>
      <w:r w:rsidR="00A07075">
        <w:rPr>
          <w:bCs/>
          <w:lang w:val="fr-FR"/>
        </w:rPr>
        <w:t xml:space="preserve"> </w:t>
      </w:r>
      <w:r w:rsidRPr="00A07075">
        <w:rPr>
          <w:bCs/>
          <w:lang w:val="fr-FR"/>
        </w:rPr>
        <w:t>ans. Un total de 5</w:t>
      </w:r>
      <w:r w:rsidR="00A07075">
        <w:rPr>
          <w:bCs/>
          <w:lang w:val="fr-FR"/>
        </w:rPr>
        <w:t xml:space="preserve"> </w:t>
      </w:r>
      <w:r w:rsidRPr="00A07075">
        <w:rPr>
          <w:bCs/>
          <w:lang w:val="fr-FR"/>
        </w:rPr>
        <w:t>322 personnes (4</w:t>
      </w:r>
      <w:r w:rsidR="00A07075">
        <w:rPr>
          <w:bCs/>
          <w:lang w:val="fr-FR"/>
        </w:rPr>
        <w:t xml:space="preserve"> </w:t>
      </w:r>
      <w:r w:rsidRPr="00A07075">
        <w:rPr>
          <w:bCs/>
          <w:lang w:val="fr-FR"/>
        </w:rPr>
        <w:t>706</w:t>
      </w:r>
      <w:r w:rsidR="00A07075">
        <w:rPr>
          <w:bCs/>
          <w:lang w:val="fr-FR"/>
        </w:rPr>
        <w:t xml:space="preserve"> </w:t>
      </w:r>
      <w:r w:rsidRPr="00A07075">
        <w:rPr>
          <w:bCs/>
          <w:lang w:val="fr-FR"/>
        </w:rPr>
        <w:t>femmes, 481</w:t>
      </w:r>
      <w:r w:rsidR="00A07075">
        <w:rPr>
          <w:bCs/>
          <w:lang w:val="fr-FR"/>
        </w:rPr>
        <w:t xml:space="preserve"> </w:t>
      </w:r>
      <w:r w:rsidRPr="00A07075">
        <w:rPr>
          <w:bCs/>
          <w:lang w:val="fr-FR"/>
        </w:rPr>
        <w:t>hommes, 135</w:t>
      </w:r>
      <w:r w:rsidR="00A07075">
        <w:rPr>
          <w:bCs/>
          <w:lang w:val="fr-FR"/>
        </w:rPr>
        <w:t xml:space="preserve"> </w:t>
      </w:r>
      <w:r w:rsidRPr="00A07075">
        <w:rPr>
          <w:bCs/>
          <w:lang w:val="fr-FR"/>
        </w:rPr>
        <w:t>enfants) s’étaient directement rendues dans un centre, 5</w:t>
      </w:r>
      <w:r w:rsidR="00A07075">
        <w:rPr>
          <w:bCs/>
          <w:lang w:val="fr-FR"/>
        </w:rPr>
        <w:t xml:space="preserve"> </w:t>
      </w:r>
      <w:r w:rsidRPr="00A07075">
        <w:rPr>
          <w:bCs/>
          <w:lang w:val="fr-FR"/>
        </w:rPr>
        <w:t>013 (4</w:t>
      </w:r>
      <w:r w:rsidR="00A07075">
        <w:rPr>
          <w:bCs/>
          <w:lang w:val="fr-FR"/>
        </w:rPr>
        <w:t xml:space="preserve"> </w:t>
      </w:r>
      <w:r w:rsidRPr="00A07075">
        <w:rPr>
          <w:bCs/>
          <w:lang w:val="fr-FR"/>
        </w:rPr>
        <w:t>361</w:t>
      </w:r>
      <w:r w:rsidR="00A07075">
        <w:rPr>
          <w:bCs/>
          <w:lang w:val="fr-FR"/>
        </w:rPr>
        <w:t xml:space="preserve"> </w:t>
      </w:r>
      <w:r w:rsidRPr="00A07075">
        <w:rPr>
          <w:bCs/>
          <w:lang w:val="fr-FR"/>
        </w:rPr>
        <w:t>femmes, 624</w:t>
      </w:r>
      <w:r w:rsidR="00A07075">
        <w:rPr>
          <w:bCs/>
          <w:lang w:val="fr-FR"/>
        </w:rPr>
        <w:t xml:space="preserve"> </w:t>
      </w:r>
      <w:r w:rsidRPr="00A07075">
        <w:rPr>
          <w:bCs/>
          <w:lang w:val="fr-FR"/>
        </w:rPr>
        <w:t>hommes, 28</w:t>
      </w:r>
      <w:r w:rsidR="00A07075">
        <w:rPr>
          <w:bCs/>
          <w:lang w:val="fr-FR"/>
        </w:rPr>
        <w:t xml:space="preserve"> </w:t>
      </w:r>
      <w:r w:rsidRPr="00A07075">
        <w:rPr>
          <w:bCs/>
          <w:lang w:val="fr-FR"/>
        </w:rPr>
        <w:t>enfants) avaient d’abord téléphoné au numéro vert.</w:t>
      </w:r>
    </w:p>
    <w:p w14:paraId="7695C3E3" w14:textId="3B92DE82" w:rsidR="00FF0818" w:rsidRPr="00A07075" w:rsidRDefault="00FF0818" w:rsidP="00A07075">
      <w:pPr>
        <w:pStyle w:val="SingleTxt"/>
        <w:numPr>
          <w:ilvl w:val="0"/>
          <w:numId w:val="19"/>
        </w:numPr>
        <w:spacing w:line="240" w:lineRule="exact"/>
        <w:ind w:left="1267"/>
        <w:rPr>
          <w:bCs/>
          <w:lang w:val="fr-CH"/>
        </w:rPr>
      </w:pPr>
      <w:r w:rsidRPr="00A07075">
        <w:rPr>
          <w:bCs/>
          <w:lang w:val="fr-FR"/>
        </w:rPr>
        <w:t>Quelque 120</w:t>
      </w:r>
      <w:r w:rsidR="00A07075">
        <w:rPr>
          <w:bCs/>
          <w:lang w:val="fr-FR"/>
        </w:rPr>
        <w:t xml:space="preserve"> </w:t>
      </w:r>
      <w:r w:rsidRPr="00A07075">
        <w:rPr>
          <w:bCs/>
          <w:lang w:val="fr-FR"/>
        </w:rPr>
        <w:t xml:space="preserve">femmes ont contacté les services d’aide </w:t>
      </w:r>
      <w:r w:rsidRPr="00A07075">
        <w:rPr>
          <w:bCs/>
          <w:i/>
          <w:iCs/>
          <w:lang w:val="fr-FR"/>
        </w:rPr>
        <w:t>via</w:t>
      </w:r>
      <w:r w:rsidRPr="00A07075">
        <w:rPr>
          <w:bCs/>
          <w:lang w:val="fr-FR"/>
        </w:rPr>
        <w:t xml:space="preserve"> les réseaux sociaux, 507</w:t>
      </w:r>
      <w:r w:rsidR="00A07075">
        <w:rPr>
          <w:bCs/>
          <w:lang w:val="fr-FR"/>
        </w:rPr>
        <w:t xml:space="preserve"> </w:t>
      </w:r>
      <w:r w:rsidRPr="00A07075">
        <w:rPr>
          <w:bCs/>
          <w:lang w:val="fr-FR"/>
        </w:rPr>
        <w:t>personnes (dont 418</w:t>
      </w:r>
      <w:r w:rsidR="00A07075">
        <w:rPr>
          <w:bCs/>
          <w:lang w:val="fr-FR"/>
        </w:rPr>
        <w:t xml:space="preserve"> </w:t>
      </w:r>
      <w:r w:rsidRPr="00A07075">
        <w:rPr>
          <w:bCs/>
          <w:lang w:val="fr-FR"/>
        </w:rPr>
        <w:t>femmes et 18</w:t>
      </w:r>
      <w:r w:rsidR="00A07075">
        <w:rPr>
          <w:bCs/>
          <w:lang w:val="fr-FR"/>
        </w:rPr>
        <w:t xml:space="preserve"> </w:t>
      </w:r>
      <w:r w:rsidRPr="00A07075">
        <w:rPr>
          <w:bCs/>
          <w:lang w:val="fr-FR"/>
        </w:rPr>
        <w:t>enfants de moins de 20</w:t>
      </w:r>
      <w:r w:rsidR="00A07075">
        <w:rPr>
          <w:bCs/>
          <w:lang w:val="fr-FR"/>
        </w:rPr>
        <w:t xml:space="preserve"> </w:t>
      </w:r>
      <w:r w:rsidRPr="00A07075">
        <w:rPr>
          <w:bCs/>
          <w:lang w:val="fr-FR"/>
        </w:rPr>
        <w:t xml:space="preserve">ans) se sont adressées aux services du Ministère du soutien aux </w:t>
      </w:r>
      <w:r w:rsidRPr="00A07075">
        <w:rPr>
          <w:bCs/>
          <w:i/>
          <w:iCs/>
          <w:lang w:val="fr-FR"/>
        </w:rPr>
        <w:t>mahallas</w:t>
      </w:r>
      <w:r w:rsidRPr="00A07075">
        <w:rPr>
          <w:bCs/>
          <w:lang w:val="fr-FR"/>
        </w:rPr>
        <w:t xml:space="preserve"> et à la famille, et 587</w:t>
      </w:r>
      <w:r w:rsidR="00A07075">
        <w:rPr>
          <w:bCs/>
          <w:lang w:val="fr-FR"/>
        </w:rPr>
        <w:t xml:space="preserve"> </w:t>
      </w:r>
      <w:r w:rsidRPr="00A07075">
        <w:rPr>
          <w:bCs/>
          <w:lang w:val="fr-FR"/>
        </w:rPr>
        <w:t>personnes (548</w:t>
      </w:r>
      <w:r w:rsidR="00A07075">
        <w:rPr>
          <w:bCs/>
          <w:lang w:val="fr-FR"/>
        </w:rPr>
        <w:t xml:space="preserve"> </w:t>
      </w:r>
      <w:r w:rsidRPr="00A07075">
        <w:rPr>
          <w:bCs/>
          <w:lang w:val="fr-FR"/>
        </w:rPr>
        <w:t>femmes, 17</w:t>
      </w:r>
      <w:r w:rsidR="00A07075">
        <w:rPr>
          <w:bCs/>
          <w:lang w:val="fr-FR"/>
        </w:rPr>
        <w:t xml:space="preserve"> </w:t>
      </w:r>
      <w:r w:rsidRPr="00A07075">
        <w:rPr>
          <w:bCs/>
          <w:lang w:val="fr-FR"/>
        </w:rPr>
        <w:t>hommes et 22</w:t>
      </w:r>
      <w:r w:rsidR="00A07075">
        <w:rPr>
          <w:bCs/>
          <w:lang w:val="fr-FR"/>
        </w:rPr>
        <w:t xml:space="preserve"> </w:t>
      </w:r>
      <w:r w:rsidRPr="00A07075">
        <w:rPr>
          <w:bCs/>
          <w:lang w:val="fr-FR"/>
        </w:rPr>
        <w:t>enfants de moins de 18</w:t>
      </w:r>
      <w:r w:rsidR="00A07075">
        <w:rPr>
          <w:bCs/>
          <w:lang w:val="fr-FR"/>
        </w:rPr>
        <w:t xml:space="preserve"> </w:t>
      </w:r>
      <w:r w:rsidRPr="00A07075">
        <w:rPr>
          <w:bCs/>
          <w:lang w:val="fr-FR"/>
        </w:rPr>
        <w:t>ans) aux services de police. Une femme a contacté les autorités sanitaires, 2 les services du Ministère de l’emploi, et 21 se sont adressées à d’autres organismes.</w:t>
      </w:r>
    </w:p>
    <w:p w14:paraId="6A88E388" w14:textId="2BCC8CED" w:rsidR="00FF0818" w:rsidRPr="001D3647" w:rsidRDefault="00FF0818" w:rsidP="00A07075">
      <w:pPr>
        <w:pStyle w:val="SingleTxt"/>
        <w:numPr>
          <w:ilvl w:val="0"/>
          <w:numId w:val="19"/>
        </w:numPr>
        <w:spacing w:line="240" w:lineRule="exact"/>
        <w:ind w:left="1267"/>
        <w:rPr>
          <w:bCs/>
          <w:lang w:val="fr-CH"/>
        </w:rPr>
      </w:pPr>
      <w:r w:rsidRPr="00A07075">
        <w:rPr>
          <w:bCs/>
          <w:lang w:val="fr-FR"/>
        </w:rPr>
        <w:lastRenderedPageBreak/>
        <w:t>Au total, 4</w:t>
      </w:r>
      <w:r w:rsidR="00A07075">
        <w:rPr>
          <w:bCs/>
          <w:lang w:val="fr-FR"/>
        </w:rPr>
        <w:t> </w:t>
      </w:r>
      <w:r w:rsidRPr="00A07075">
        <w:rPr>
          <w:bCs/>
          <w:lang w:val="fr-FR"/>
        </w:rPr>
        <w:t>145</w:t>
      </w:r>
      <w:r w:rsidR="00A07075">
        <w:rPr>
          <w:bCs/>
          <w:lang w:val="fr-FR"/>
        </w:rPr>
        <w:t xml:space="preserve"> </w:t>
      </w:r>
      <w:r w:rsidRPr="00A07075">
        <w:rPr>
          <w:bCs/>
          <w:lang w:val="fr-FR"/>
        </w:rPr>
        <w:t>femmes ont reçu une assistance juridique, 3</w:t>
      </w:r>
      <w:r w:rsidR="00A07075">
        <w:rPr>
          <w:bCs/>
          <w:lang w:val="fr-FR"/>
        </w:rPr>
        <w:t> </w:t>
      </w:r>
      <w:r w:rsidRPr="00A07075">
        <w:rPr>
          <w:bCs/>
          <w:lang w:val="fr-FR"/>
        </w:rPr>
        <w:t>242 une aide psychologique et 708 des soins médicaux</w:t>
      </w:r>
      <w:r w:rsidR="00A07075">
        <w:rPr>
          <w:bCs/>
          <w:lang w:val="fr-FR"/>
        </w:rPr>
        <w:t xml:space="preserve"> </w:t>
      </w:r>
      <w:r w:rsidRPr="00A07075">
        <w:rPr>
          <w:bCs/>
          <w:lang w:val="fr-FR"/>
        </w:rPr>
        <w:t>; 313 ont été embauchées et 1</w:t>
      </w:r>
      <w:r w:rsidR="00A07075">
        <w:rPr>
          <w:bCs/>
          <w:lang w:val="fr-FR"/>
        </w:rPr>
        <w:t xml:space="preserve"> </w:t>
      </w:r>
      <w:r w:rsidRPr="00A07075">
        <w:rPr>
          <w:bCs/>
          <w:lang w:val="fr-FR"/>
        </w:rPr>
        <w:t>686 ont trouvé un travail à domicile</w:t>
      </w:r>
      <w:r w:rsidR="00A07075">
        <w:rPr>
          <w:bCs/>
          <w:lang w:val="fr-FR"/>
        </w:rPr>
        <w:t xml:space="preserve"> </w:t>
      </w:r>
      <w:r w:rsidRPr="00A07075">
        <w:rPr>
          <w:bCs/>
          <w:lang w:val="fr-FR"/>
        </w:rPr>
        <w:t>; 412</w:t>
      </w:r>
      <w:r w:rsidR="00A07075">
        <w:rPr>
          <w:bCs/>
          <w:lang w:val="fr-FR"/>
        </w:rPr>
        <w:t xml:space="preserve"> </w:t>
      </w:r>
      <w:r w:rsidRPr="00A07075">
        <w:rPr>
          <w:bCs/>
          <w:lang w:val="fr-FR"/>
        </w:rPr>
        <w:t>femmes ont bénéficié d’un autre type d’assista</w:t>
      </w:r>
      <w:r>
        <w:rPr>
          <w:bCs/>
          <w:lang w:val="fr-FR"/>
        </w:rPr>
        <w:t>nce.</w:t>
      </w:r>
    </w:p>
    <w:p w14:paraId="7BECB3A7" w14:textId="0CE564A5" w:rsidR="00FF0818" w:rsidRPr="001D3647" w:rsidRDefault="00FF0818" w:rsidP="00A07075">
      <w:pPr>
        <w:pStyle w:val="SingleTxt"/>
        <w:numPr>
          <w:ilvl w:val="0"/>
          <w:numId w:val="19"/>
        </w:numPr>
        <w:spacing w:line="240" w:lineRule="exact"/>
        <w:ind w:left="1267"/>
        <w:rPr>
          <w:bCs/>
          <w:lang w:val="fr-CH"/>
        </w:rPr>
      </w:pPr>
      <w:r>
        <w:rPr>
          <w:bCs/>
          <w:lang w:val="fr-FR"/>
        </w:rPr>
        <w:t>En 2019, l’ONG Madad [« Aide »], qui offre une assistance juridique gratuite, notamment par téléphone, a ouvert des filiales et cabinets juridiques dans diverses villes et districts du pays. Selon l’article 26 de la loi sur le Parquet, en cas de violation des droits et des libertés susceptibles d’être défendus en justice, si le plaignant est dans l’incapacité de faire valoir ses droits devant le tribunal en raison de son âge, de son état de santé ou pour un autre motif, il revient au procureur de le représenter.</w:t>
      </w:r>
    </w:p>
    <w:p w14:paraId="42B5033B" w14:textId="5752BD85"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Conformément à l’article 985 du Code civil, une victime peut demander réparation d’un préjudice moral ou matériel devant un tribunal civil, indépendamment de toute procédure pénale. Conformément à l’article 8, paragraphe 5, de la loi du 6 janvier 2020 relative aux taxes administratives, le plaignant n’est pas soumis au paiement de la taxe judiciaire en cas de demande de réparation d’un préjudice consécutif à une infraction pénale. Les demandes de réparation de préjudices moraux, y compris consécutifs à une infraction pénale, sont examinés selon la procédure civile, conformément aux articles 1021 et 1022 du Code civil.</w:t>
      </w:r>
    </w:p>
    <w:p w14:paraId="3549C820" w14:textId="1C3D7E45"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En 2019, 21 558 personnes se sont adressées au centre national de réhabilitation et d’adaptation des victimes de violence et de prévention du suicide, ainsi qu’à ses succursales locales. Entre janvier et septembre 2020, 4 317 personnes ont bénéficié de leurs services : assistance juridique pour 385 femmes et 57 hommes, soutien psychologique pour 3 140 femmes et 208 hommes, soins médicaux pour 307 femmes victimes de violence domestique, 6 hommes et 34 enfants de moins de 18 ans. En outre, 180 femmes ont bénéficié d’une ordonnance de protection préservant leur sécurité et leur inviolabilité.</w:t>
      </w:r>
    </w:p>
    <w:p w14:paraId="6A8F375C" w14:textId="7E21E691"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Le centre national de réhabilitation et d’adaptation des victimes de violence et de prévention du suicide est financé par l’État, par ses fondateurs, ainsi que par des fonds d’origine légale.</w:t>
      </w:r>
    </w:p>
    <w:p w14:paraId="134BA60E" w14:textId="75975025" w:rsidR="00FF0818" w:rsidRPr="001D3647" w:rsidRDefault="00FF0818" w:rsidP="00A07075">
      <w:pPr>
        <w:pStyle w:val="SingleTxt"/>
        <w:numPr>
          <w:ilvl w:val="0"/>
          <w:numId w:val="19"/>
        </w:numPr>
        <w:tabs>
          <w:tab w:val="num" w:pos="2804"/>
        </w:tabs>
        <w:spacing w:line="240" w:lineRule="exact"/>
        <w:ind w:left="1267"/>
        <w:rPr>
          <w:lang w:val="fr-CH"/>
        </w:rPr>
      </w:pPr>
      <w:r w:rsidRPr="00A07075">
        <w:rPr>
          <w:lang w:val="fr-FR"/>
        </w:rPr>
        <w:t>Le centre national de réhabilitation et d’adaptation des victimes de violence et de prévention du suicide a mis en place un centre d’appel d’urgence, joignable gratuitement au 1146 partout dans le pays. En plus d’une assistance aux femmes en situation de vulnérabilité, il offre une aide psychologique d’urgence et un soutien juridique, et joue un rôle de consultant et de coordinateur en informant la population sur les organismes compétents susceptibles de proposer leur aide</w:t>
      </w:r>
      <w:r>
        <w:rPr>
          <w:lang w:val="fr-FR"/>
        </w:rPr>
        <w:t>.</w:t>
      </w:r>
    </w:p>
    <w:p w14:paraId="582E3490" w14:textId="2F34FA3F" w:rsidR="00FF0818" w:rsidRPr="00A07075" w:rsidRDefault="00FF0818" w:rsidP="00A07075">
      <w:pPr>
        <w:pStyle w:val="SingleTxt"/>
        <w:spacing w:after="0" w:line="120" w:lineRule="exact"/>
        <w:rPr>
          <w:bCs/>
          <w:sz w:val="10"/>
          <w:lang w:val="fr-CH"/>
        </w:rPr>
      </w:pPr>
    </w:p>
    <w:p w14:paraId="1E7116F5" w14:textId="77777777" w:rsidR="00A07075" w:rsidRPr="00A07075" w:rsidRDefault="00A07075" w:rsidP="00FF0818">
      <w:pPr>
        <w:pStyle w:val="SingleTxt"/>
        <w:spacing w:after="0" w:line="120" w:lineRule="exact"/>
        <w:rPr>
          <w:bCs/>
          <w:sz w:val="10"/>
          <w:lang w:val="fr-CH"/>
        </w:rPr>
      </w:pPr>
    </w:p>
    <w:p w14:paraId="7FA34B1B"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Traite des êtres humains et exploitation de la prostitution</w:t>
      </w:r>
    </w:p>
    <w:p w14:paraId="36853FFF" w14:textId="738A8733" w:rsidR="00FF0818" w:rsidRPr="00A07075" w:rsidRDefault="00FF0818" w:rsidP="00A07075">
      <w:pPr>
        <w:pStyle w:val="SingleTxt"/>
        <w:spacing w:after="0" w:line="120" w:lineRule="exact"/>
        <w:rPr>
          <w:bCs/>
          <w:sz w:val="10"/>
          <w:lang w:val="fr-CH"/>
        </w:rPr>
      </w:pPr>
    </w:p>
    <w:p w14:paraId="24719355" w14:textId="77777777" w:rsidR="00A07075" w:rsidRPr="00A07075" w:rsidRDefault="00A07075" w:rsidP="00FF0818">
      <w:pPr>
        <w:pStyle w:val="SingleTxt"/>
        <w:spacing w:after="0" w:line="120" w:lineRule="exact"/>
        <w:rPr>
          <w:bCs/>
          <w:sz w:val="10"/>
          <w:lang w:val="fr-CH"/>
        </w:rPr>
      </w:pPr>
    </w:p>
    <w:p w14:paraId="30F4F6C6" w14:textId="77777777" w:rsidR="00FF0818" w:rsidRPr="002852F5"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2852F5">
        <w:rPr>
          <w:lang w:val="fr-CH"/>
        </w:rPr>
        <w:t xml:space="preserve"> 12</w:t>
      </w:r>
    </w:p>
    <w:p w14:paraId="40ABDB4D" w14:textId="77777777" w:rsidR="00FF0818" w:rsidRPr="002852F5" w:rsidRDefault="00FF0818" w:rsidP="00FF0818">
      <w:pPr>
        <w:pStyle w:val="SingleTxt"/>
        <w:spacing w:after="0" w:line="120" w:lineRule="exact"/>
        <w:rPr>
          <w:bCs/>
          <w:sz w:val="10"/>
          <w:lang w:val="fr-CH"/>
        </w:rPr>
      </w:pPr>
    </w:p>
    <w:p w14:paraId="1C08FCDB" w14:textId="09C5DBA3" w:rsidR="00FF0818" w:rsidRPr="001D3647" w:rsidRDefault="00FF0818" w:rsidP="00A07075">
      <w:pPr>
        <w:pStyle w:val="SingleTxt"/>
        <w:numPr>
          <w:ilvl w:val="0"/>
          <w:numId w:val="19"/>
        </w:numPr>
        <w:spacing w:line="240" w:lineRule="exact"/>
        <w:ind w:left="1267"/>
        <w:rPr>
          <w:bCs/>
          <w:lang w:val="fr-CH"/>
        </w:rPr>
      </w:pPr>
      <w:r>
        <w:rPr>
          <w:bCs/>
          <w:lang w:val="fr-FR"/>
        </w:rPr>
        <w:t>Le décret du 31 juillet</w:t>
      </w:r>
      <w:r w:rsidR="00A07075">
        <w:rPr>
          <w:bCs/>
          <w:lang w:val="fr-FR"/>
        </w:rPr>
        <w:t xml:space="preserve"> </w:t>
      </w:r>
      <w:r>
        <w:rPr>
          <w:bCs/>
          <w:lang w:val="fr-FR"/>
        </w:rPr>
        <w:t>2019 renforçant la lutte contre la traite des êtres humains et le travail forcé a transformé la commission interministérielle de lutte contre la traite des êtres humains en commission nationale de lutte contre la traite des êtres humains et le travail forcé. Il crée également la fonction de rapporteur</w:t>
      </w:r>
      <w:r w:rsidR="0037061B">
        <w:rPr>
          <w:bCs/>
          <w:lang w:val="fr-FR"/>
        </w:rPr>
        <w:t xml:space="preserve"> </w:t>
      </w:r>
      <w:r>
        <w:rPr>
          <w:bCs/>
          <w:lang w:val="fr-FR"/>
        </w:rPr>
        <w:t>national dans un but de centralisation de l’information. Sur 53</w:t>
      </w:r>
      <w:r w:rsidR="00A07075">
        <w:rPr>
          <w:bCs/>
          <w:lang w:val="fr-FR"/>
        </w:rPr>
        <w:t xml:space="preserve"> </w:t>
      </w:r>
      <w:r>
        <w:rPr>
          <w:bCs/>
          <w:lang w:val="fr-FR"/>
        </w:rPr>
        <w:t>cas de traite des êtres humains découverts en</w:t>
      </w:r>
      <w:r w:rsidR="00A07075">
        <w:rPr>
          <w:bCs/>
          <w:lang w:val="fr-FR"/>
        </w:rPr>
        <w:t xml:space="preserve"> </w:t>
      </w:r>
      <w:r>
        <w:rPr>
          <w:bCs/>
          <w:lang w:val="fr-FR"/>
        </w:rPr>
        <w:t>2019, 50</w:t>
      </w:r>
      <w:r w:rsidR="00A07075">
        <w:rPr>
          <w:bCs/>
          <w:lang w:val="fr-FR"/>
        </w:rPr>
        <w:t xml:space="preserve"> </w:t>
      </w:r>
      <w:r>
        <w:rPr>
          <w:bCs/>
          <w:lang w:val="fr-FR"/>
        </w:rPr>
        <w:t>avaient pour but l’exploitation sexuelle et 3, l’exploitation du travail. Ces 50</w:t>
      </w:r>
      <w:r w:rsidR="00A07075">
        <w:rPr>
          <w:bCs/>
          <w:lang w:val="fr-FR"/>
        </w:rPr>
        <w:t xml:space="preserve"> </w:t>
      </w:r>
      <w:r>
        <w:rPr>
          <w:bCs/>
          <w:lang w:val="fr-FR"/>
        </w:rPr>
        <w:t>affaires d’exploitation sexuelle impliquaient 61</w:t>
      </w:r>
      <w:r w:rsidR="00A07075">
        <w:rPr>
          <w:bCs/>
          <w:lang w:val="fr-FR"/>
        </w:rPr>
        <w:t xml:space="preserve"> </w:t>
      </w:r>
      <w:r>
        <w:rPr>
          <w:bCs/>
          <w:lang w:val="fr-FR"/>
        </w:rPr>
        <w:t>personnes (6</w:t>
      </w:r>
      <w:r w:rsidR="00A07075">
        <w:rPr>
          <w:bCs/>
          <w:lang w:val="fr-FR"/>
        </w:rPr>
        <w:t xml:space="preserve"> </w:t>
      </w:r>
      <w:r>
        <w:rPr>
          <w:bCs/>
          <w:lang w:val="fr-FR"/>
        </w:rPr>
        <w:t>hommes et 55</w:t>
      </w:r>
      <w:r w:rsidR="00A07075">
        <w:rPr>
          <w:bCs/>
          <w:lang w:val="fr-FR"/>
        </w:rPr>
        <w:t> </w:t>
      </w:r>
      <w:r>
        <w:rPr>
          <w:bCs/>
          <w:lang w:val="fr-FR"/>
        </w:rPr>
        <w:t>femmes)</w:t>
      </w:r>
      <w:r w:rsidR="00A07075">
        <w:rPr>
          <w:bCs/>
          <w:lang w:val="fr-FR"/>
        </w:rPr>
        <w:t> </w:t>
      </w:r>
      <w:r>
        <w:rPr>
          <w:bCs/>
          <w:lang w:val="fr-FR"/>
        </w:rPr>
        <w:t>; les 3</w:t>
      </w:r>
      <w:r w:rsidR="00A07075">
        <w:rPr>
          <w:bCs/>
          <w:lang w:val="fr-FR"/>
        </w:rPr>
        <w:t xml:space="preserve"> </w:t>
      </w:r>
      <w:r>
        <w:rPr>
          <w:bCs/>
          <w:lang w:val="fr-FR"/>
        </w:rPr>
        <w:t>affaires d’exploitation du travail impliquaient 3</w:t>
      </w:r>
      <w:r w:rsidR="00A07075">
        <w:rPr>
          <w:bCs/>
          <w:lang w:val="fr-FR"/>
        </w:rPr>
        <w:t> </w:t>
      </w:r>
      <w:r>
        <w:rPr>
          <w:bCs/>
          <w:lang w:val="fr-FR"/>
        </w:rPr>
        <w:t>personnes (exclusivement des hommes). Cette même année, 66</w:t>
      </w:r>
      <w:r w:rsidR="00A07075">
        <w:rPr>
          <w:bCs/>
          <w:lang w:val="fr-FR"/>
        </w:rPr>
        <w:t xml:space="preserve"> </w:t>
      </w:r>
      <w:r>
        <w:rPr>
          <w:bCs/>
          <w:lang w:val="fr-FR"/>
        </w:rPr>
        <w:t>enquêtes pénales pour trafic d’êtres humains se sont achevées (4</w:t>
      </w:r>
      <w:r w:rsidR="00A07075">
        <w:rPr>
          <w:bCs/>
          <w:lang w:val="fr-FR"/>
        </w:rPr>
        <w:t xml:space="preserve"> </w:t>
      </w:r>
      <w:r>
        <w:rPr>
          <w:bCs/>
          <w:lang w:val="fr-FR"/>
        </w:rPr>
        <w:t>remontaient à</w:t>
      </w:r>
      <w:r w:rsidR="00A07075">
        <w:rPr>
          <w:bCs/>
          <w:lang w:val="fr-FR"/>
        </w:rPr>
        <w:t xml:space="preserve"> </w:t>
      </w:r>
      <w:r>
        <w:rPr>
          <w:bCs/>
          <w:lang w:val="fr-FR"/>
        </w:rPr>
        <w:t>2018, 6</w:t>
      </w:r>
      <w:r w:rsidR="00A07075">
        <w:rPr>
          <w:bCs/>
          <w:lang w:val="fr-FR"/>
        </w:rPr>
        <w:t xml:space="preserve"> </w:t>
      </w:r>
      <w:r>
        <w:rPr>
          <w:bCs/>
          <w:lang w:val="fr-FR"/>
        </w:rPr>
        <w:t>autres, ouvertes en</w:t>
      </w:r>
      <w:r w:rsidR="00A07075">
        <w:rPr>
          <w:bCs/>
          <w:lang w:val="fr-FR"/>
        </w:rPr>
        <w:t xml:space="preserve"> </w:t>
      </w:r>
      <w:r>
        <w:rPr>
          <w:bCs/>
          <w:lang w:val="fr-FR"/>
        </w:rPr>
        <w:t>2019, se sont poursuivies en</w:t>
      </w:r>
      <w:r w:rsidR="00A07075">
        <w:rPr>
          <w:bCs/>
          <w:lang w:val="fr-FR"/>
        </w:rPr>
        <w:t xml:space="preserve"> </w:t>
      </w:r>
      <w:r>
        <w:rPr>
          <w:bCs/>
          <w:lang w:val="fr-FR"/>
        </w:rPr>
        <w:t>2020)</w:t>
      </w:r>
      <w:r w:rsidR="00A07075">
        <w:rPr>
          <w:bCs/>
          <w:lang w:val="fr-FR"/>
        </w:rPr>
        <w:t> </w:t>
      </w:r>
      <w:r>
        <w:rPr>
          <w:bCs/>
          <w:lang w:val="fr-FR"/>
        </w:rPr>
        <w:t>: 59</w:t>
      </w:r>
      <w:r w:rsidR="00A07075">
        <w:rPr>
          <w:bCs/>
          <w:lang w:val="fr-FR"/>
        </w:rPr>
        <w:t xml:space="preserve"> </w:t>
      </w:r>
      <w:r>
        <w:rPr>
          <w:bCs/>
          <w:lang w:val="fr-FR"/>
        </w:rPr>
        <w:t>concernaient l’exploitation sexuelle et 7, l’exploitation du travail.</w:t>
      </w:r>
    </w:p>
    <w:p w14:paraId="1FD915E8" w14:textId="29E3DB0D"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lastRenderedPageBreak/>
        <w:t>On observe actuellement une baisse des crimes et délits liés à la traite des êtres humains. Cela s’explique par l’ouverture de plus de 170</w:t>
      </w:r>
      <w:r w:rsidR="00A07075" w:rsidRPr="00A07075">
        <w:rPr>
          <w:lang w:val="fr-FR"/>
        </w:rPr>
        <w:t xml:space="preserve"> </w:t>
      </w:r>
      <w:r w:rsidRPr="00A07075">
        <w:rPr>
          <w:lang w:val="fr-FR"/>
        </w:rPr>
        <w:t>postes et de 820</w:t>
      </w:r>
      <w:r w:rsidR="00A07075" w:rsidRPr="00A07075">
        <w:rPr>
          <w:lang w:val="fr-FR"/>
        </w:rPr>
        <w:t xml:space="preserve"> </w:t>
      </w:r>
      <w:r w:rsidRPr="00A07075">
        <w:rPr>
          <w:lang w:val="fr-FR"/>
        </w:rPr>
        <w:t>bureaux de police dans les villes et les campagnes (leur nombre total est passé respectivement de</w:t>
      </w:r>
      <w:r w:rsidR="00A07075" w:rsidRPr="00A07075">
        <w:rPr>
          <w:lang w:val="fr-FR"/>
        </w:rPr>
        <w:t xml:space="preserve"> </w:t>
      </w:r>
      <w:r w:rsidRPr="00A07075">
        <w:rPr>
          <w:lang w:val="fr-FR"/>
        </w:rPr>
        <w:t>108 à</w:t>
      </w:r>
      <w:r w:rsidR="00A07075" w:rsidRPr="00A07075">
        <w:rPr>
          <w:lang w:val="fr-FR"/>
        </w:rPr>
        <w:t xml:space="preserve"> </w:t>
      </w:r>
      <w:r w:rsidRPr="00A07075">
        <w:rPr>
          <w:lang w:val="fr-FR"/>
        </w:rPr>
        <w:t>283 et de</w:t>
      </w:r>
      <w:r w:rsidR="00A07075" w:rsidRPr="00A07075">
        <w:rPr>
          <w:lang w:val="fr-FR"/>
        </w:rPr>
        <w:t xml:space="preserve"> </w:t>
      </w:r>
      <w:r w:rsidRPr="00A07075">
        <w:rPr>
          <w:lang w:val="fr-FR"/>
        </w:rPr>
        <w:t>4</w:t>
      </w:r>
      <w:r w:rsidR="00A07075" w:rsidRPr="00A07075">
        <w:rPr>
          <w:lang w:val="fr-FR"/>
        </w:rPr>
        <w:t xml:space="preserve"> </w:t>
      </w:r>
      <w:r w:rsidRPr="00A07075">
        <w:rPr>
          <w:lang w:val="fr-FR"/>
        </w:rPr>
        <w:t>024 à</w:t>
      </w:r>
      <w:r w:rsidR="00A07075" w:rsidRPr="00A07075">
        <w:rPr>
          <w:lang w:val="fr-FR"/>
        </w:rPr>
        <w:t xml:space="preserve"> </w:t>
      </w:r>
      <w:r w:rsidRPr="00A07075">
        <w:rPr>
          <w:lang w:val="fr-FR"/>
        </w:rPr>
        <w:t>4</w:t>
      </w:r>
      <w:r w:rsidR="00A07075" w:rsidRPr="00A07075">
        <w:rPr>
          <w:lang w:val="fr-FR"/>
        </w:rPr>
        <w:t xml:space="preserve"> </w:t>
      </w:r>
      <w:r w:rsidRPr="00A07075">
        <w:rPr>
          <w:lang w:val="fr-FR"/>
        </w:rPr>
        <w:t>848). Le nombre d’officiers de prévention a également augmenté, de 5</w:t>
      </w:r>
      <w:r w:rsidR="00A07075" w:rsidRPr="00A07075">
        <w:rPr>
          <w:lang w:val="fr-FR"/>
        </w:rPr>
        <w:t xml:space="preserve"> </w:t>
      </w:r>
      <w:r w:rsidRPr="00A07075">
        <w:rPr>
          <w:lang w:val="fr-FR"/>
        </w:rPr>
        <w:t>867 à</w:t>
      </w:r>
      <w:r w:rsidR="00A07075" w:rsidRPr="00A07075">
        <w:rPr>
          <w:lang w:val="fr-FR"/>
        </w:rPr>
        <w:t xml:space="preserve"> </w:t>
      </w:r>
      <w:r w:rsidRPr="00A07075">
        <w:rPr>
          <w:lang w:val="fr-FR"/>
        </w:rPr>
        <w:t>6</w:t>
      </w:r>
      <w:r w:rsidR="00A07075" w:rsidRPr="00A07075">
        <w:rPr>
          <w:lang w:val="fr-FR"/>
        </w:rPr>
        <w:t xml:space="preserve"> </w:t>
      </w:r>
      <w:r w:rsidRPr="00A07075">
        <w:rPr>
          <w:lang w:val="fr-FR"/>
        </w:rPr>
        <w:t>969) (+1</w:t>
      </w:r>
      <w:r w:rsidR="00A07075" w:rsidRPr="00A07075">
        <w:rPr>
          <w:lang w:val="fr-FR"/>
        </w:rPr>
        <w:t xml:space="preserve"> </w:t>
      </w:r>
      <w:r w:rsidRPr="00A07075">
        <w:rPr>
          <w:lang w:val="fr-FR"/>
        </w:rPr>
        <w:t>100, soit +19</w:t>
      </w:r>
      <w:r w:rsidR="00A07075" w:rsidRPr="00A07075">
        <w:rPr>
          <w:lang w:val="fr-FR"/>
        </w:rPr>
        <w:t xml:space="preserve"> </w:t>
      </w:r>
      <w:r w:rsidRPr="00A07075">
        <w:rPr>
          <w:lang w:val="fr-FR"/>
        </w:rPr>
        <w:t>%).</w:t>
      </w:r>
    </w:p>
    <w:p w14:paraId="662A2F88" w14:textId="5758CBE1"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Dans sa nouvelle rédaction adoptée le 17</w:t>
      </w:r>
      <w:r w:rsidR="00A07075" w:rsidRPr="00A07075">
        <w:rPr>
          <w:lang w:val="fr-FR"/>
        </w:rPr>
        <w:t xml:space="preserve"> </w:t>
      </w:r>
      <w:r w:rsidRPr="00A07075">
        <w:rPr>
          <w:lang w:val="fr-FR"/>
        </w:rPr>
        <w:t>août</w:t>
      </w:r>
      <w:r w:rsidR="00A07075" w:rsidRPr="00A07075">
        <w:rPr>
          <w:lang w:val="fr-FR"/>
        </w:rPr>
        <w:t xml:space="preserve"> </w:t>
      </w:r>
      <w:r w:rsidRPr="00A07075">
        <w:rPr>
          <w:lang w:val="fr-FR"/>
        </w:rPr>
        <w:t>2020, la loi sur la lutte contre la traite d’êtres humains harmonise certaines dispositions pénales avec le Protocole visant à prévenir, réprimer et punir la traite des personnes, en particulier des femmes et des enfants. Le 16</w:t>
      </w:r>
      <w:r w:rsidR="00A07075" w:rsidRPr="00A07075">
        <w:rPr>
          <w:lang w:val="fr-FR"/>
        </w:rPr>
        <w:t xml:space="preserve"> </w:t>
      </w:r>
      <w:r w:rsidRPr="00A07075">
        <w:rPr>
          <w:lang w:val="fr-FR"/>
        </w:rPr>
        <w:t>septembre</w:t>
      </w:r>
      <w:r w:rsidR="00A07075" w:rsidRPr="00A07075">
        <w:rPr>
          <w:lang w:val="fr-FR"/>
        </w:rPr>
        <w:t xml:space="preserve"> </w:t>
      </w:r>
      <w:r w:rsidRPr="00A07075">
        <w:rPr>
          <w:lang w:val="fr-FR"/>
        </w:rPr>
        <w:t>2008, une loi amendant le Code pénal avait été adoptée en conséquence de l’adoption d’une loi sur la lutte contre la traite d’êtres humains. L’ancien article sur «</w:t>
      </w:r>
      <w:r w:rsidR="00A07075">
        <w:rPr>
          <w:lang w:val="fr-FR"/>
        </w:rPr>
        <w:t> </w:t>
      </w:r>
      <w:r w:rsidRPr="00A07075">
        <w:rPr>
          <w:lang w:val="fr-FR"/>
        </w:rPr>
        <w:t>le recrutement d’êtres humains en vue de leur exploitation</w:t>
      </w:r>
      <w:r w:rsidR="00A07075">
        <w:rPr>
          <w:lang w:val="fr-FR"/>
        </w:rPr>
        <w:t> </w:t>
      </w:r>
      <w:r w:rsidRPr="00A07075">
        <w:rPr>
          <w:lang w:val="fr-FR"/>
        </w:rPr>
        <w:t>» a été renommé «</w:t>
      </w:r>
      <w:r w:rsidR="00A07075" w:rsidRPr="00A07075">
        <w:rPr>
          <w:lang w:val="fr-FR"/>
        </w:rPr>
        <w:t xml:space="preserve"> </w:t>
      </w:r>
      <w:r w:rsidRPr="00A07075">
        <w:rPr>
          <w:lang w:val="fr-FR"/>
        </w:rPr>
        <w:t>traite d’êtres humains</w:t>
      </w:r>
      <w:r w:rsidR="00A07075" w:rsidRPr="00A07075">
        <w:rPr>
          <w:lang w:val="fr-FR"/>
        </w:rPr>
        <w:t xml:space="preserve"> </w:t>
      </w:r>
      <w:r w:rsidRPr="00A07075">
        <w:rPr>
          <w:lang w:val="fr-FR"/>
        </w:rPr>
        <w:t>», et les peines encourues ont été renforcées</w:t>
      </w:r>
      <w:r w:rsidR="00A07075">
        <w:rPr>
          <w:lang w:val="fr-FR"/>
        </w:rPr>
        <w:t> </w:t>
      </w:r>
      <w:r w:rsidRPr="00A07075">
        <w:rPr>
          <w:lang w:val="fr-FR"/>
        </w:rPr>
        <w:t>: en cas de circonstances aggravantes, la traite d’êtres humains est considérée comme un délit grave, voire un crime.</w:t>
      </w:r>
    </w:p>
    <w:p w14:paraId="7B6E74D4" w14:textId="221C11A7"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L’adoption de la loi relative à l’adhésion de la République d’Ouzbékistan au Protocole facultatif à la Convention relative aux droits de l’enfant, concernant la vente d’enfants, la prostitution des enfants et la pornographie mettant en scène des enfants, ainsi que celle de la loi du 17</w:t>
      </w:r>
      <w:r w:rsidR="00A07075" w:rsidRPr="00A07075">
        <w:rPr>
          <w:lang w:val="fr-FR"/>
        </w:rPr>
        <w:t xml:space="preserve"> </w:t>
      </w:r>
      <w:r w:rsidRPr="00A07075">
        <w:rPr>
          <w:lang w:val="fr-FR"/>
        </w:rPr>
        <w:t>août</w:t>
      </w:r>
      <w:r w:rsidR="00A07075" w:rsidRPr="00A07075">
        <w:rPr>
          <w:lang w:val="fr-FR"/>
        </w:rPr>
        <w:t xml:space="preserve"> </w:t>
      </w:r>
      <w:r w:rsidRPr="00A07075">
        <w:rPr>
          <w:lang w:val="fr-FR"/>
        </w:rPr>
        <w:t>2020 sur la lutte contre la traite des êtres humains, ont pour but de renforcer la législation en la matière.</w:t>
      </w:r>
    </w:p>
    <w:p w14:paraId="5784F5F4" w14:textId="009C9A36"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En</w:t>
      </w:r>
      <w:r w:rsidR="00A07075" w:rsidRPr="00A07075">
        <w:rPr>
          <w:lang w:val="fr-FR"/>
        </w:rPr>
        <w:t xml:space="preserve"> </w:t>
      </w:r>
      <w:r w:rsidRPr="00A07075">
        <w:rPr>
          <w:lang w:val="fr-FR"/>
        </w:rPr>
        <w:t>2020, les articles</w:t>
      </w:r>
      <w:r w:rsidR="00A07075" w:rsidRPr="00A07075">
        <w:rPr>
          <w:lang w:val="fr-FR"/>
        </w:rPr>
        <w:t xml:space="preserve"> </w:t>
      </w:r>
      <w:r w:rsidRPr="00A07075">
        <w:rPr>
          <w:lang w:val="fr-FR"/>
        </w:rPr>
        <w:t>130, 130</w:t>
      </w:r>
      <w:r w:rsidRPr="00A07075">
        <w:rPr>
          <w:vertAlign w:val="superscript"/>
          <w:lang w:val="fr-FR"/>
        </w:rPr>
        <w:t>1</w:t>
      </w:r>
      <w:r w:rsidRPr="00A07075">
        <w:rPr>
          <w:lang w:val="fr-FR"/>
        </w:rPr>
        <w:t xml:space="preserve"> et</w:t>
      </w:r>
      <w:r w:rsidR="00A07075" w:rsidRPr="00A07075">
        <w:rPr>
          <w:lang w:val="fr-FR"/>
        </w:rPr>
        <w:t xml:space="preserve"> </w:t>
      </w:r>
      <w:r w:rsidRPr="00A07075">
        <w:rPr>
          <w:lang w:val="fr-FR"/>
        </w:rPr>
        <w:t>131 du Code pénal ont été amendés afin d’harmoniser la législation pénale ouzbèke avec le Protocole facultatif . En</w:t>
      </w:r>
      <w:r w:rsidR="00A07075" w:rsidRPr="00A07075">
        <w:rPr>
          <w:lang w:val="fr-FR"/>
        </w:rPr>
        <w:t xml:space="preserve"> </w:t>
      </w:r>
      <w:r w:rsidRPr="00A07075">
        <w:rPr>
          <w:lang w:val="fr-FR"/>
        </w:rPr>
        <w:t>2019, deux enquêtes pénales ont visé trois personnes accusées de l’exploitation sexuelle de deux enfants mineurs (proxénétisme). La qualification de «</w:t>
      </w:r>
      <w:r w:rsidR="00A07075" w:rsidRPr="00A07075">
        <w:rPr>
          <w:lang w:val="fr-FR"/>
        </w:rPr>
        <w:t xml:space="preserve"> </w:t>
      </w:r>
      <w:r w:rsidRPr="00A07075">
        <w:rPr>
          <w:lang w:val="fr-FR"/>
        </w:rPr>
        <w:t>traite d’êtres humains</w:t>
      </w:r>
      <w:r w:rsidR="00A07075" w:rsidRPr="00A07075">
        <w:rPr>
          <w:lang w:val="fr-FR"/>
        </w:rPr>
        <w:t xml:space="preserve"> </w:t>
      </w:r>
      <w:r w:rsidRPr="00A07075">
        <w:rPr>
          <w:lang w:val="fr-FR"/>
        </w:rPr>
        <w:t>» a été retenue conformément à l’article</w:t>
      </w:r>
      <w:r w:rsidR="00A07075" w:rsidRPr="00A07075">
        <w:rPr>
          <w:lang w:val="fr-FR"/>
        </w:rPr>
        <w:t xml:space="preserve"> </w:t>
      </w:r>
      <w:r w:rsidRPr="00A07075">
        <w:rPr>
          <w:lang w:val="fr-FR"/>
        </w:rPr>
        <w:t>135, paragraphe</w:t>
      </w:r>
      <w:r w:rsidR="00A07075" w:rsidRPr="00A07075">
        <w:rPr>
          <w:lang w:val="fr-FR"/>
        </w:rPr>
        <w:t xml:space="preserve"> </w:t>
      </w:r>
      <w:r w:rsidRPr="00A07075">
        <w:rPr>
          <w:lang w:val="fr-FR"/>
        </w:rPr>
        <w:t>3, alinéa</w:t>
      </w:r>
      <w:r w:rsidR="00A07075" w:rsidRPr="00A07075">
        <w:rPr>
          <w:lang w:val="fr-FR"/>
        </w:rPr>
        <w:t xml:space="preserve"> </w:t>
      </w:r>
      <w:r w:rsidRPr="00A07075">
        <w:rPr>
          <w:lang w:val="fr-FR"/>
        </w:rPr>
        <w:t>a) du Code pénal.</w:t>
      </w:r>
    </w:p>
    <w:p w14:paraId="22DC851B" w14:textId="1CC94AE4"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Toute personne étrangère ou apatride reconnue victime de traite d’êtres humains se voit accorder un permis de séjour temporaire en Ouzbékistan, indépendamment de ses conditions d’entrée dans le pays. Les victimes de traite d’êtres humains ne portent aucune responsabilité civile, administrative ou pénale pour des faits commis sous la contrainte ou la menace.</w:t>
      </w:r>
    </w:p>
    <w:p w14:paraId="00EB3321" w14:textId="60FF2BCB"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 xml:space="preserve">Dans un but de détection des victimes de traite d’êtres humains, et afin de leur fournir une aide sociale et juridique, les autorités ont créé le site internet </w:t>
      </w:r>
      <w:hyperlink r:id="rId18" w:history="1">
        <w:r w:rsidR="00A07075" w:rsidRPr="00A07075">
          <w:rPr>
            <w:rStyle w:val="Hyperlink"/>
            <w:u w:val="none"/>
            <w:lang w:val="fr-FR"/>
          </w:rPr>
          <w:t>www.ht.gov.uz</w:t>
        </w:r>
      </w:hyperlink>
      <w:r w:rsidRPr="00A07075">
        <w:rPr>
          <w:lang w:val="fr-FR"/>
        </w:rPr>
        <w:t xml:space="preserve"> et un centre d’appel au numéro +99899</w:t>
      </w:r>
      <w:r w:rsidR="00A07075" w:rsidRPr="00A07075">
        <w:rPr>
          <w:lang w:val="fr-FR"/>
        </w:rPr>
        <w:t xml:space="preserve"> </w:t>
      </w:r>
      <w:r w:rsidRPr="00A07075">
        <w:rPr>
          <w:lang w:val="fr-FR"/>
        </w:rPr>
        <w:t>311</w:t>
      </w:r>
      <w:r w:rsidR="00A07075" w:rsidRPr="00A07075">
        <w:rPr>
          <w:lang w:val="fr-FR"/>
        </w:rPr>
        <w:t xml:space="preserve"> </w:t>
      </w:r>
      <w:r w:rsidRPr="00A07075">
        <w:rPr>
          <w:lang w:val="fr-FR"/>
        </w:rPr>
        <w:t>01</w:t>
      </w:r>
      <w:r w:rsidR="00A07075" w:rsidRPr="00A07075">
        <w:rPr>
          <w:lang w:val="fr-FR"/>
        </w:rPr>
        <w:t xml:space="preserve"> </w:t>
      </w:r>
      <w:r w:rsidRPr="00A07075">
        <w:rPr>
          <w:lang w:val="fr-FR"/>
        </w:rPr>
        <w:t>01. Grâce à l’ONG Istiqbolli Avlod [«</w:t>
      </w:r>
      <w:r w:rsidR="00A07075" w:rsidRPr="00A07075">
        <w:rPr>
          <w:lang w:val="fr-FR"/>
        </w:rPr>
        <w:t xml:space="preserve"> </w:t>
      </w:r>
      <w:r w:rsidRPr="00A07075">
        <w:rPr>
          <w:lang w:val="fr-FR"/>
        </w:rPr>
        <w:t>Génération future</w:t>
      </w:r>
      <w:r w:rsidR="00A07075" w:rsidRPr="00A07075">
        <w:rPr>
          <w:lang w:val="fr-FR"/>
        </w:rPr>
        <w:t xml:space="preserve"> </w:t>
      </w:r>
      <w:r w:rsidRPr="00A07075">
        <w:rPr>
          <w:lang w:val="fr-FR"/>
        </w:rPr>
        <w:t>»], entre</w:t>
      </w:r>
      <w:r w:rsidR="00A07075" w:rsidRPr="00A07075">
        <w:rPr>
          <w:lang w:val="fr-FR"/>
        </w:rPr>
        <w:t xml:space="preserve"> </w:t>
      </w:r>
      <w:r w:rsidRPr="00A07075">
        <w:rPr>
          <w:lang w:val="fr-FR"/>
        </w:rPr>
        <w:t>2018 et</w:t>
      </w:r>
      <w:r w:rsidR="00A07075" w:rsidRPr="00A07075">
        <w:rPr>
          <w:lang w:val="fr-FR"/>
        </w:rPr>
        <w:t xml:space="preserve"> </w:t>
      </w:r>
      <w:r w:rsidRPr="00A07075">
        <w:rPr>
          <w:lang w:val="fr-FR"/>
        </w:rPr>
        <w:t>2020, 3</w:t>
      </w:r>
      <w:r w:rsidR="00A07075" w:rsidRPr="00A07075">
        <w:rPr>
          <w:lang w:val="fr-FR"/>
        </w:rPr>
        <w:t xml:space="preserve"> </w:t>
      </w:r>
      <w:r w:rsidRPr="00A07075">
        <w:rPr>
          <w:lang w:val="fr-FR"/>
        </w:rPr>
        <w:t>223</w:t>
      </w:r>
      <w:r w:rsidR="00A07075" w:rsidRPr="00A07075">
        <w:rPr>
          <w:lang w:val="fr-FR"/>
        </w:rPr>
        <w:t xml:space="preserve"> </w:t>
      </w:r>
      <w:r w:rsidRPr="00A07075">
        <w:rPr>
          <w:lang w:val="fr-FR"/>
        </w:rPr>
        <w:t>femmes (dont 294</w:t>
      </w:r>
      <w:r w:rsidR="008E1087">
        <w:rPr>
          <w:lang w:val="fr-FR"/>
        </w:rPr>
        <w:t> </w:t>
      </w:r>
      <w:r w:rsidRPr="00A07075">
        <w:rPr>
          <w:lang w:val="fr-FR"/>
        </w:rPr>
        <w:t>victimes de traite d’êtres humains) ont bénéficié d’une assistance juridique, et 170</w:t>
      </w:r>
      <w:r w:rsidR="00A07075" w:rsidRPr="00A07075">
        <w:rPr>
          <w:lang w:val="fr-FR"/>
        </w:rPr>
        <w:t xml:space="preserve"> </w:t>
      </w:r>
      <w:r w:rsidRPr="00A07075">
        <w:rPr>
          <w:lang w:val="fr-FR"/>
        </w:rPr>
        <w:t>femmes victimes de traite d’êtres humains sont retournées dans leur pays ou région d’origine.</w:t>
      </w:r>
    </w:p>
    <w:p w14:paraId="5A15360E" w14:textId="5E465520"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En</w:t>
      </w:r>
      <w:r w:rsidR="00A07075" w:rsidRPr="00A07075">
        <w:rPr>
          <w:lang w:val="fr-FR"/>
        </w:rPr>
        <w:t xml:space="preserve"> </w:t>
      </w:r>
      <w:r w:rsidRPr="00A07075">
        <w:rPr>
          <w:lang w:val="fr-FR"/>
        </w:rPr>
        <w:t>2019, le nombre de victimes de traite d’êtres humains s’élevait à</w:t>
      </w:r>
      <w:r w:rsidR="00A07075" w:rsidRPr="00A07075">
        <w:rPr>
          <w:lang w:val="fr-FR"/>
        </w:rPr>
        <w:t xml:space="preserve"> </w:t>
      </w:r>
      <w:r w:rsidRPr="00A07075">
        <w:rPr>
          <w:lang w:val="fr-FR"/>
        </w:rPr>
        <w:t>137 (dont 90</w:t>
      </w:r>
      <w:r w:rsidR="00A07075" w:rsidRPr="00A07075">
        <w:rPr>
          <w:lang w:val="fr-FR"/>
        </w:rPr>
        <w:t xml:space="preserve"> </w:t>
      </w:r>
      <w:r w:rsidRPr="00A07075">
        <w:rPr>
          <w:lang w:val="fr-FR"/>
        </w:rPr>
        <w:t>femmes et 2</w:t>
      </w:r>
      <w:r w:rsidR="00A07075" w:rsidRPr="00A07075">
        <w:rPr>
          <w:lang w:val="fr-FR"/>
        </w:rPr>
        <w:t xml:space="preserve"> </w:t>
      </w:r>
      <w:r w:rsidRPr="00A07075">
        <w:rPr>
          <w:lang w:val="fr-FR"/>
        </w:rPr>
        <w:t>enfants mineurs)</w:t>
      </w:r>
      <w:r w:rsidR="00A07075" w:rsidRPr="00A07075">
        <w:rPr>
          <w:lang w:val="fr-FR"/>
        </w:rPr>
        <w:t xml:space="preserve"> </w:t>
      </w:r>
      <w:r w:rsidRPr="00A07075">
        <w:rPr>
          <w:lang w:val="fr-FR"/>
        </w:rPr>
        <w:t>; 220</w:t>
      </w:r>
      <w:r w:rsidR="00A07075" w:rsidRPr="00A07075">
        <w:rPr>
          <w:lang w:val="fr-FR"/>
        </w:rPr>
        <w:t xml:space="preserve"> </w:t>
      </w:r>
      <w:r w:rsidRPr="00A07075">
        <w:rPr>
          <w:lang w:val="fr-FR"/>
        </w:rPr>
        <w:t>personnes (dont 63</w:t>
      </w:r>
      <w:r w:rsidR="00A07075" w:rsidRPr="00A07075">
        <w:rPr>
          <w:lang w:val="fr-FR"/>
        </w:rPr>
        <w:t xml:space="preserve"> </w:t>
      </w:r>
      <w:r w:rsidRPr="00A07075">
        <w:rPr>
          <w:lang w:val="fr-FR"/>
        </w:rPr>
        <w:t>femmes et 36</w:t>
      </w:r>
      <w:r w:rsidR="00A07075" w:rsidRPr="00A07075">
        <w:rPr>
          <w:lang w:val="fr-FR"/>
        </w:rPr>
        <w:t xml:space="preserve"> </w:t>
      </w:r>
      <w:r w:rsidRPr="00A07075">
        <w:rPr>
          <w:lang w:val="fr-FR"/>
        </w:rPr>
        <w:t>enfants mineurs) ont contacté un centre de réhabilitation. Au cours des six premiers mois de</w:t>
      </w:r>
      <w:r w:rsidR="00A07075" w:rsidRPr="00A07075">
        <w:rPr>
          <w:lang w:val="fr-FR"/>
        </w:rPr>
        <w:t xml:space="preserve"> </w:t>
      </w:r>
      <w:r w:rsidRPr="00A07075">
        <w:rPr>
          <w:lang w:val="fr-FR"/>
        </w:rPr>
        <w:t>2020, le nombre de victimes de traite d’êtres humains s’élevait à</w:t>
      </w:r>
      <w:r w:rsidR="00A07075" w:rsidRPr="00A07075">
        <w:rPr>
          <w:lang w:val="fr-FR"/>
        </w:rPr>
        <w:t xml:space="preserve"> </w:t>
      </w:r>
      <w:r w:rsidRPr="00A07075">
        <w:rPr>
          <w:lang w:val="fr-FR"/>
        </w:rPr>
        <w:t>54 (dont 47</w:t>
      </w:r>
      <w:r w:rsidR="00A07075" w:rsidRPr="00A07075">
        <w:rPr>
          <w:lang w:val="fr-FR"/>
        </w:rPr>
        <w:t xml:space="preserve"> </w:t>
      </w:r>
      <w:r w:rsidRPr="00A07075">
        <w:rPr>
          <w:lang w:val="fr-FR"/>
        </w:rPr>
        <w:t>femmes et 2</w:t>
      </w:r>
      <w:r w:rsidR="00A07075" w:rsidRPr="00A07075">
        <w:rPr>
          <w:lang w:val="fr-FR"/>
        </w:rPr>
        <w:t xml:space="preserve"> </w:t>
      </w:r>
      <w:r w:rsidRPr="00A07075">
        <w:rPr>
          <w:lang w:val="fr-FR"/>
        </w:rPr>
        <w:t>enfants mineurs)</w:t>
      </w:r>
      <w:r w:rsidR="00A07075" w:rsidRPr="00A07075">
        <w:rPr>
          <w:lang w:val="fr-FR"/>
        </w:rPr>
        <w:t xml:space="preserve"> </w:t>
      </w:r>
      <w:r w:rsidRPr="00A07075">
        <w:rPr>
          <w:lang w:val="fr-FR"/>
        </w:rPr>
        <w:t>; 54</w:t>
      </w:r>
      <w:r w:rsidR="00A07075" w:rsidRPr="00A07075">
        <w:rPr>
          <w:lang w:val="fr-FR"/>
        </w:rPr>
        <w:t xml:space="preserve"> </w:t>
      </w:r>
      <w:r w:rsidRPr="00A07075">
        <w:rPr>
          <w:lang w:val="fr-FR"/>
        </w:rPr>
        <w:t>personnes (dont 28</w:t>
      </w:r>
      <w:r w:rsidR="00A07075" w:rsidRPr="00A07075">
        <w:rPr>
          <w:lang w:val="fr-FR"/>
        </w:rPr>
        <w:t xml:space="preserve"> </w:t>
      </w:r>
      <w:r w:rsidRPr="00A07075">
        <w:rPr>
          <w:lang w:val="fr-FR"/>
        </w:rPr>
        <w:t>femmes et 6</w:t>
      </w:r>
      <w:r w:rsidR="00A07075" w:rsidRPr="00A07075">
        <w:rPr>
          <w:lang w:val="fr-FR"/>
        </w:rPr>
        <w:t xml:space="preserve"> </w:t>
      </w:r>
      <w:r w:rsidRPr="00A07075">
        <w:rPr>
          <w:lang w:val="fr-FR"/>
        </w:rPr>
        <w:t>enfants mineurs) ont cherché du secours auprès d’un centre de réhabilitation.</w:t>
      </w:r>
    </w:p>
    <w:p w14:paraId="7AC79259" w14:textId="0313EACA"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Une ordonnance gouvernementale du 10</w:t>
      </w:r>
      <w:r w:rsidR="00A07075" w:rsidRPr="00A07075">
        <w:rPr>
          <w:lang w:val="fr-FR"/>
        </w:rPr>
        <w:t xml:space="preserve"> </w:t>
      </w:r>
      <w:r w:rsidRPr="00A07075">
        <w:rPr>
          <w:lang w:val="fr-FR"/>
        </w:rPr>
        <w:t>mai</w:t>
      </w:r>
      <w:r w:rsidR="00A07075" w:rsidRPr="00A07075">
        <w:rPr>
          <w:lang w:val="fr-FR"/>
        </w:rPr>
        <w:t xml:space="preserve"> </w:t>
      </w:r>
      <w:r w:rsidRPr="00A07075">
        <w:rPr>
          <w:lang w:val="fr-FR"/>
        </w:rPr>
        <w:t>2018 dispose que la participation aux journées de travail bénévole d’intérêt commun, que celles-ci soient organisées par les pouvoirs publics ou par d’autres organismes, repose exclusivement sur la base du volontariat.</w:t>
      </w:r>
    </w:p>
    <w:p w14:paraId="55464EC6" w14:textId="384001CF"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 xml:space="preserve">Les services de l’inspection du travail mènent des actions de lutte contre toute forme de travail forcé. Le Ministère de l’emploi dispose d’un système de réaction rapide aux signalements reçus </w:t>
      </w:r>
      <w:r w:rsidRPr="00A07075">
        <w:rPr>
          <w:i/>
          <w:iCs/>
          <w:lang w:val="fr-FR"/>
        </w:rPr>
        <w:t>via</w:t>
      </w:r>
      <w:r w:rsidRPr="00A07075">
        <w:rPr>
          <w:lang w:val="fr-FR"/>
        </w:rPr>
        <w:t xml:space="preserve"> le centre d’appel (numéro</w:t>
      </w:r>
      <w:r w:rsidR="00A07075" w:rsidRPr="00A07075">
        <w:rPr>
          <w:lang w:val="fr-FR"/>
        </w:rPr>
        <w:t xml:space="preserve"> </w:t>
      </w:r>
      <w:r w:rsidRPr="00A07075">
        <w:rPr>
          <w:lang w:val="fr-FR"/>
        </w:rPr>
        <w:t xml:space="preserve">1176), la page Internet </w:t>
      </w:r>
      <w:hyperlink r:id="rId19" w:history="1">
        <w:r w:rsidRPr="00A07075">
          <w:rPr>
            <w:rStyle w:val="Hyperlink"/>
            <w:u w:val="none"/>
            <w:lang w:val="fr-FR"/>
          </w:rPr>
          <w:t>dmi.mehnat.uz</w:t>
        </w:r>
      </w:hyperlink>
      <w:r w:rsidRPr="00A07075">
        <w:rPr>
          <w:lang w:val="fr-FR"/>
        </w:rPr>
        <w:t xml:space="preserve">, la messagerie Telegram (@mehnathuquqbot) et les réseaux sociaux. </w:t>
      </w:r>
      <w:r w:rsidRPr="00A07075">
        <w:rPr>
          <w:lang w:val="fr-FR"/>
        </w:rPr>
        <w:lastRenderedPageBreak/>
        <w:t>En</w:t>
      </w:r>
      <w:r w:rsidR="00A07075" w:rsidRPr="00A07075">
        <w:rPr>
          <w:lang w:val="fr-FR"/>
        </w:rPr>
        <w:t xml:space="preserve"> </w:t>
      </w:r>
      <w:r w:rsidRPr="00A07075">
        <w:rPr>
          <w:lang w:val="fr-FR"/>
        </w:rPr>
        <w:t>août</w:t>
      </w:r>
      <w:r w:rsidR="00A07075" w:rsidRPr="00A07075">
        <w:rPr>
          <w:lang w:val="fr-FR"/>
        </w:rPr>
        <w:t xml:space="preserve"> </w:t>
      </w:r>
      <w:r w:rsidRPr="00A07075">
        <w:rPr>
          <w:lang w:val="fr-FR"/>
        </w:rPr>
        <w:t>2020, cela a permis de sanctionner administrativement 47</w:t>
      </w:r>
      <w:r w:rsidR="00A07075" w:rsidRPr="00A07075">
        <w:rPr>
          <w:lang w:val="fr-FR"/>
        </w:rPr>
        <w:t xml:space="preserve"> </w:t>
      </w:r>
      <w:r w:rsidRPr="00A07075">
        <w:rPr>
          <w:lang w:val="fr-FR"/>
        </w:rPr>
        <w:t>fonctionnaires, dont 12</w:t>
      </w:r>
      <w:r w:rsidR="00A07075" w:rsidRPr="00A07075">
        <w:rPr>
          <w:lang w:val="fr-FR"/>
        </w:rPr>
        <w:t xml:space="preserve"> </w:t>
      </w:r>
      <w:r w:rsidRPr="00A07075">
        <w:rPr>
          <w:lang w:val="fr-FR"/>
        </w:rPr>
        <w:t>femmes, pour travail forcé.</w:t>
      </w:r>
    </w:p>
    <w:p w14:paraId="0548F83F" w14:textId="6A9DCBC2" w:rsidR="00FF0818" w:rsidRPr="001D3647" w:rsidRDefault="00FF0818" w:rsidP="00A07075">
      <w:pPr>
        <w:pStyle w:val="SingleTxt"/>
        <w:numPr>
          <w:ilvl w:val="0"/>
          <w:numId w:val="19"/>
        </w:numPr>
        <w:tabs>
          <w:tab w:val="num" w:pos="2804"/>
        </w:tabs>
        <w:spacing w:line="240" w:lineRule="exact"/>
        <w:ind w:left="1267"/>
        <w:rPr>
          <w:lang w:val="fr-CH"/>
        </w:rPr>
      </w:pPr>
      <w:r w:rsidRPr="00A07075">
        <w:rPr>
          <w:lang w:val="fr-FR"/>
        </w:rPr>
        <w:t>Une loi du 22</w:t>
      </w:r>
      <w:r w:rsidR="00A07075" w:rsidRPr="00A07075">
        <w:rPr>
          <w:lang w:val="fr-FR"/>
        </w:rPr>
        <w:t xml:space="preserve"> </w:t>
      </w:r>
      <w:r w:rsidRPr="00A07075">
        <w:rPr>
          <w:lang w:val="fr-FR"/>
        </w:rPr>
        <w:t>janvier</w:t>
      </w:r>
      <w:r w:rsidR="00A07075" w:rsidRPr="00A07075">
        <w:rPr>
          <w:lang w:val="fr-FR"/>
        </w:rPr>
        <w:t xml:space="preserve"> </w:t>
      </w:r>
      <w:r w:rsidRPr="00A07075">
        <w:rPr>
          <w:lang w:val="fr-FR"/>
        </w:rPr>
        <w:t>2020 amende le Code de responsabilité administrative. Le travail forcé sous quelque forme que ce soit est désormais puni administrativement d’une amende de</w:t>
      </w:r>
      <w:r w:rsidR="00A07075" w:rsidRPr="00A07075">
        <w:rPr>
          <w:lang w:val="fr-FR"/>
        </w:rPr>
        <w:t xml:space="preserve"> </w:t>
      </w:r>
      <w:r w:rsidRPr="00A07075">
        <w:rPr>
          <w:lang w:val="fr-FR"/>
        </w:rPr>
        <w:t>50 à</w:t>
      </w:r>
      <w:r w:rsidR="00A07075" w:rsidRPr="00A07075">
        <w:rPr>
          <w:lang w:val="fr-FR"/>
        </w:rPr>
        <w:t xml:space="preserve"> </w:t>
      </w:r>
      <w:r w:rsidRPr="00A07075">
        <w:rPr>
          <w:lang w:val="fr-FR"/>
        </w:rPr>
        <w:t>100 unités comptables de base. La même infraction commise à l’égard de mineurs est passible de</w:t>
      </w:r>
      <w:r w:rsidR="00A07075" w:rsidRPr="00A07075">
        <w:rPr>
          <w:lang w:val="fr-FR"/>
        </w:rPr>
        <w:t xml:space="preserve"> </w:t>
      </w:r>
      <w:r w:rsidRPr="00A07075">
        <w:rPr>
          <w:lang w:val="fr-FR"/>
        </w:rPr>
        <w:t>70 à</w:t>
      </w:r>
      <w:r w:rsidR="00A07075" w:rsidRPr="00A07075">
        <w:rPr>
          <w:lang w:val="fr-FR"/>
        </w:rPr>
        <w:t xml:space="preserve"> </w:t>
      </w:r>
      <w:r w:rsidRPr="00A07075">
        <w:rPr>
          <w:lang w:val="fr-FR"/>
        </w:rPr>
        <w:t>100</w:t>
      </w:r>
      <w:r w:rsidR="00A07075" w:rsidRPr="00A07075">
        <w:rPr>
          <w:lang w:val="fr-FR"/>
        </w:rPr>
        <w:t xml:space="preserve"> </w:t>
      </w:r>
      <w:r w:rsidRPr="00A07075">
        <w:rPr>
          <w:lang w:val="fr-FR"/>
        </w:rPr>
        <w:t>unités comptables de base. En outre, l’auteur des faits est responsable pénalement en cas d’exploitation du travail des mineurs</w:t>
      </w:r>
      <w:r>
        <w:rPr>
          <w:lang w:val="fr-FR"/>
        </w:rPr>
        <w:t>.</w:t>
      </w:r>
    </w:p>
    <w:p w14:paraId="5B683518" w14:textId="77777777" w:rsidR="00FF0818" w:rsidRPr="00A07075" w:rsidRDefault="00FF0818" w:rsidP="00FF0818">
      <w:pPr>
        <w:pStyle w:val="SingleTxt"/>
        <w:spacing w:after="0" w:line="120" w:lineRule="exact"/>
        <w:rPr>
          <w:bCs/>
          <w:sz w:val="10"/>
          <w:lang w:val="fr-CH"/>
        </w:rPr>
      </w:pPr>
    </w:p>
    <w:p w14:paraId="47C9BA00"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13</w:t>
      </w:r>
    </w:p>
    <w:p w14:paraId="20F17B80" w14:textId="77777777" w:rsidR="00FF0818" w:rsidRPr="001D3647" w:rsidRDefault="00FF0818" w:rsidP="00FF0818">
      <w:pPr>
        <w:pStyle w:val="SingleTxt"/>
        <w:spacing w:after="0" w:line="120" w:lineRule="exact"/>
        <w:rPr>
          <w:bCs/>
          <w:sz w:val="10"/>
          <w:lang w:val="fr-CH"/>
        </w:rPr>
      </w:pPr>
    </w:p>
    <w:p w14:paraId="6B1BADBF" w14:textId="0931F66A"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La législation actuelle ne prévoit qu’une sanction administrative pour les faits de prostitution. En 2019, les tribunaux administratifs ont statué sur 1 449 affaires impliquant 1 741 prévenus au titre de l’article 190 du Code de responsabilité administrative. Ils ont sanctionné 1 601 personnes d’une amende ou d’une incarcération administrative.</w:t>
      </w:r>
    </w:p>
    <w:p w14:paraId="1FE566D5" w14:textId="5CC6E333"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En 2018-2019, grâce au soutien financier de l’ambassade des États-Unis en Ouzbékistan, le centre de l’ONG Istiqbolli Avlod a accueilli les participantes du programme « New skills – new opportunities » [« De nouvelles aptitudes pour de nouvelles opportunités »], dont l’objectif est de réduire le nombre de jeunes filles se tournant vers la prostitution.</w:t>
      </w:r>
    </w:p>
    <w:p w14:paraId="3EA6C954" w14:textId="0AEAAAB6"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En 2020, avec le soutien de l’Office des Nations Unies contre la drogue et le crime, le centre s’est engagé dans la réalisation du programme national de développement des services de réintégration pour les victimes de la traite de personnes en Ouzbékistan</w:t>
      </w:r>
      <w:r w:rsidR="00462FB3">
        <w:rPr>
          <w:lang w:val="fr-FR"/>
        </w:rPr>
        <w:t>.</w:t>
      </w:r>
    </w:p>
    <w:p w14:paraId="1F866E17" w14:textId="0792823A" w:rsidR="00FF0818" w:rsidRPr="00A07075" w:rsidRDefault="00FF0818" w:rsidP="00A07075">
      <w:pPr>
        <w:pStyle w:val="SingleTxt"/>
        <w:numPr>
          <w:ilvl w:val="0"/>
          <w:numId w:val="19"/>
        </w:numPr>
        <w:tabs>
          <w:tab w:val="num" w:pos="2804"/>
        </w:tabs>
        <w:spacing w:line="240" w:lineRule="exact"/>
        <w:ind w:left="1267"/>
        <w:rPr>
          <w:lang w:val="fr-CH"/>
        </w:rPr>
      </w:pPr>
      <w:r w:rsidRPr="00A07075">
        <w:rPr>
          <w:lang w:val="fr-FR"/>
        </w:rPr>
        <w:t>Le centre organise des événements dans le cadre de campagnes de prévention de la traite d’êtres humains :</w:t>
      </w:r>
    </w:p>
    <w:p w14:paraId="033A2247"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en 2018, 1 187 stagiaires, bénévoles et employés du centre ont assisté aux 10 séminaires d’information organisés ;</w:t>
      </w:r>
    </w:p>
    <w:p w14:paraId="6841C0ED"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en 2019, 14 000 personnes ont participé à 63 séminaires ;</w:t>
      </w:r>
    </w:p>
    <w:p w14:paraId="3D933AB6" w14:textId="77777777" w:rsidR="00FF0818" w:rsidRPr="001D3647" w:rsidRDefault="00FF0818" w:rsidP="00FF0818">
      <w:pPr>
        <w:pStyle w:val="SingleTxt"/>
        <w:tabs>
          <w:tab w:val="right" w:pos="1685"/>
        </w:tabs>
        <w:ind w:left="1742" w:hanging="475"/>
        <w:rPr>
          <w:lang w:val="fr-CH"/>
        </w:rPr>
      </w:pPr>
      <w:r w:rsidRPr="001D3647">
        <w:rPr>
          <w:lang w:val="fr-CH"/>
        </w:rPr>
        <w:tab/>
        <w:t>•</w:t>
      </w:r>
      <w:r w:rsidRPr="001D3647">
        <w:rPr>
          <w:lang w:val="fr-CH"/>
        </w:rPr>
        <w:tab/>
      </w:r>
      <w:r>
        <w:rPr>
          <w:lang w:val="fr-FR"/>
        </w:rPr>
        <w:t xml:space="preserve">en 2020, diverses activités ont été menées : un camp d’hiver de formation des bénévoles du programme « Personne n’est laissé de côté », 14 séminaires, 70 rencontres dans les </w:t>
      </w:r>
      <w:r>
        <w:rPr>
          <w:i/>
          <w:iCs/>
          <w:lang w:val="fr-FR"/>
        </w:rPr>
        <w:t>mahallas</w:t>
      </w:r>
      <w:r>
        <w:rPr>
          <w:lang w:val="fr-FR"/>
        </w:rPr>
        <w:t xml:space="preserve"> de Tachkent, et le marathon de l’information « 30 jours ensemble contre la traite des êtres humains ».</w:t>
      </w:r>
    </w:p>
    <w:p w14:paraId="54403733" w14:textId="77777777" w:rsidR="00FF0818" w:rsidRPr="00462FB3" w:rsidRDefault="00FF0818" w:rsidP="00FF0818">
      <w:pPr>
        <w:pStyle w:val="SingleTxt"/>
        <w:spacing w:after="0" w:line="120" w:lineRule="exact"/>
        <w:rPr>
          <w:bCs/>
          <w:sz w:val="10"/>
          <w:lang w:val="fr-CH"/>
        </w:rPr>
      </w:pPr>
    </w:p>
    <w:p w14:paraId="3E928CA0" w14:textId="77777777" w:rsidR="00FF0818" w:rsidRPr="00462FB3" w:rsidRDefault="00FF0818" w:rsidP="00FF0818">
      <w:pPr>
        <w:pStyle w:val="SingleTxt"/>
        <w:spacing w:after="0" w:line="120" w:lineRule="exact"/>
        <w:rPr>
          <w:bCs/>
          <w:sz w:val="10"/>
          <w:lang w:val="fr-CH"/>
        </w:rPr>
      </w:pPr>
    </w:p>
    <w:p w14:paraId="17299B96"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Participation à la vie politique et sociale</w:t>
      </w:r>
    </w:p>
    <w:p w14:paraId="32428B95" w14:textId="5353E84F" w:rsidR="00FF0818" w:rsidRDefault="00FF0818" w:rsidP="00FF0818">
      <w:pPr>
        <w:pStyle w:val="SingleTxt"/>
        <w:spacing w:after="0" w:line="120" w:lineRule="exact"/>
        <w:rPr>
          <w:bCs/>
          <w:sz w:val="10"/>
          <w:lang w:val="fr-CH"/>
        </w:rPr>
      </w:pPr>
    </w:p>
    <w:p w14:paraId="5503FE4F" w14:textId="77777777" w:rsidR="00074EC2" w:rsidRPr="00462FB3" w:rsidRDefault="00074EC2" w:rsidP="00FF0818">
      <w:pPr>
        <w:pStyle w:val="SingleTxt"/>
        <w:spacing w:after="0" w:line="120" w:lineRule="exact"/>
        <w:rPr>
          <w:bCs/>
          <w:sz w:val="10"/>
          <w:lang w:val="fr-CH"/>
        </w:rPr>
      </w:pPr>
    </w:p>
    <w:p w14:paraId="3DF18E8C"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14</w:t>
      </w:r>
    </w:p>
    <w:p w14:paraId="76F66C45" w14:textId="77777777" w:rsidR="00FF0818" w:rsidRPr="001D3647" w:rsidRDefault="00FF0818" w:rsidP="00FF0818">
      <w:pPr>
        <w:pStyle w:val="SingleTxt"/>
        <w:spacing w:after="0" w:line="120" w:lineRule="exact"/>
        <w:rPr>
          <w:bCs/>
          <w:sz w:val="10"/>
          <w:lang w:val="fr-CH"/>
        </w:rPr>
      </w:pPr>
    </w:p>
    <w:p w14:paraId="66A483FB" w14:textId="51BB5492" w:rsidR="00FF0818" w:rsidRPr="00462FB3" w:rsidRDefault="00FF0818" w:rsidP="00462FB3">
      <w:pPr>
        <w:pStyle w:val="SingleTxt"/>
        <w:numPr>
          <w:ilvl w:val="0"/>
          <w:numId w:val="19"/>
        </w:numPr>
        <w:spacing w:line="240" w:lineRule="exact"/>
        <w:ind w:left="1267"/>
        <w:rPr>
          <w:bCs/>
          <w:lang w:val="fr-CH"/>
        </w:rPr>
      </w:pPr>
      <w:r w:rsidRPr="00462FB3">
        <w:rPr>
          <w:bCs/>
          <w:lang w:val="fr-FR"/>
        </w:rPr>
        <w:t>En application de la loi garantissant l’égalité des droits et des chances aux femmes et aux hommes, des mesures sont prises afin de renforcer la présence des femmes dans la vie sociale et politique, et pour créer les conditions favorisant l’expression de leur potentiel et leur permettant de saisir les opportunités s’offrant à elles dans les sphères d’activité les plus variées. Actuellement, plus de 1 380</w:t>
      </w:r>
      <w:r w:rsidR="00462FB3">
        <w:rPr>
          <w:bCs/>
          <w:lang w:val="fr-FR"/>
        </w:rPr>
        <w:t xml:space="preserve"> </w:t>
      </w:r>
      <w:r w:rsidRPr="00462FB3">
        <w:rPr>
          <w:bCs/>
          <w:lang w:val="fr-FR"/>
        </w:rPr>
        <w:t>femmes exercent des fonctions dirigeantes au sein de l’administration publique et d’organismes sociaux.</w:t>
      </w:r>
    </w:p>
    <w:p w14:paraId="50682A32" w14:textId="739B9D4A" w:rsidR="00FF0818" w:rsidRPr="00462FB3" w:rsidRDefault="00FF0818" w:rsidP="00462FB3">
      <w:pPr>
        <w:pStyle w:val="SingleTxt"/>
        <w:numPr>
          <w:ilvl w:val="0"/>
          <w:numId w:val="19"/>
        </w:numPr>
        <w:spacing w:line="240" w:lineRule="exact"/>
        <w:ind w:left="1267"/>
        <w:rPr>
          <w:bCs/>
          <w:lang w:val="fr-CH"/>
        </w:rPr>
      </w:pPr>
      <w:r w:rsidRPr="00462FB3">
        <w:rPr>
          <w:bCs/>
          <w:lang w:val="fr-FR"/>
        </w:rPr>
        <w:t>Un programme de préparation aux fonctions dirigeantes, incluant formation et hausse des qualifications, existe pour les femmes engagées socialement. Si, en</w:t>
      </w:r>
      <w:r w:rsidR="00462FB3">
        <w:rPr>
          <w:bCs/>
          <w:lang w:val="fr-FR"/>
        </w:rPr>
        <w:t xml:space="preserve"> </w:t>
      </w:r>
      <w:r w:rsidRPr="00462FB3">
        <w:rPr>
          <w:bCs/>
          <w:lang w:val="fr-FR"/>
        </w:rPr>
        <w:t>2016, les femmes occupaient 7 % des postes de direction, ce chiffre atteint 12 % en</w:t>
      </w:r>
      <w:r w:rsidR="00462FB3">
        <w:rPr>
          <w:bCs/>
          <w:lang w:val="fr-FR"/>
        </w:rPr>
        <w:t xml:space="preserve"> </w:t>
      </w:r>
      <w:r w:rsidRPr="00462FB3">
        <w:rPr>
          <w:bCs/>
          <w:lang w:val="fr-FR"/>
        </w:rPr>
        <w:t>2020. En</w:t>
      </w:r>
      <w:r w:rsidR="00462FB3">
        <w:rPr>
          <w:bCs/>
          <w:lang w:val="fr-FR"/>
        </w:rPr>
        <w:t xml:space="preserve"> </w:t>
      </w:r>
      <w:r w:rsidRPr="00462FB3">
        <w:rPr>
          <w:bCs/>
          <w:lang w:val="fr-FR"/>
        </w:rPr>
        <w:t>2019, pour la première fois dans l’histoire de l’Ouzbékistan, 48</w:t>
      </w:r>
      <w:r w:rsidR="00462FB3">
        <w:rPr>
          <w:bCs/>
          <w:lang w:val="fr-FR"/>
        </w:rPr>
        <w:t xml:space="preserve"> </w:t>
      </w:r>
      <w:r w:rsidRPr="00462FB3">
        <w:rPr>
          <w:bCs/>
          <w:lang w:val="fr-FR"/>
        </w:rPr>
        <w:t xml:space="preserve">femmes ont été </w:t>
      </w:r>
      <w:r w:rsidRPr="00462FB3">
        <w:rPr>
          <w:bCs/>
          <w:lang w:val="fr-FR"/>
        </w:rPr>
        <w:lastRenderedPageBreak/>
        <w:t>élues à la Chambre législative, sur un total de 150</w:t>
      </w:r>
      <w:r w:rsidR="00462FB3">
        <w:rPr>
          <w:bCs/>
          <w:lang w:val="fr-FR"/>
        </w:rPr>
        <w:t xml:space="preserve"> </w:t>
      </w:r>
      <w:r w:rsidRPr="00462FB3">
        <w:rPr>
          <w:bCs/>
          <w:lang w:val="fr-FR"/>
        </w:rPr>
        <w:t>députés (32 %). Elles occupent 25 % des sièges au Sénat.</w:t>
      </w:r>
    </w:p>
    <w:p w14:paraId="47279D3A" w14:textId="3A76D18C" w:rsidR="00FF0818" w:rsidRPr="00462FB3" w:rsidRDefault="00FF0818" w:rsidP="00462FB3">
      <w:pPr>
        <w:pStyle w:val="SingleTxt"/>
        <w:numPr>
          <w:ilvl w:val="0"/>
          <w:numId w:val="19"/>
        </w:numPr>
        <w:spacing w:line="240" w:lineRule="exact"/>
        <w:ind w:left="1267"/>
        <w:rPr>
          <w:bCs/>
          <w:lang w:val="fr-CH"/>
        </w:rPr>
      </w:pPr>
      <w:r w:rsidRPr="00462FB3">
        <w:rPr>
          <w:bCs/>
          <w:lang w:val="fr-FR"/>
        </w:rPr>
        <w:t xml:space="preserve">Dans les conseils locaux, les femmes comptent pour 23 % des représentants. Plus de mille femmes président des assemblées de citoyens dans les </w:t>
      </w:r>
      <w:r w:rsidRPr="00462FB3">
        <w:rPr>
          <w:bCs/>
          <w:i/>
          <w:iCs/>
          <w:lang w:val="fr-FR"/>
        </w:rPr>
        <w:t>mahallas</w:t>
      </w:r>
      <w:r w:rsidRPr="00462FB3">
        <w:rPr>
          <w:bCs/>
          <w:lang w:val="fr-FR"/>
        </w:rPr>
        <w:t>. Pour la première fois, six femmes ont été nommées à la tête (</w:t>
      </w:r>
      <w:r w:rsidRPr="00462FB3">
        <w:rPr>
          <w:bCs/>
          <w:i/>
          <w:iCs/>
          <w:lang w:val="fr-FR"/>
        </w:rPr>
        <w:t>hokim</w:t>
      </w:r>
      <w:r w:rsidRPr="00462FB3">
        <w:rPr>
          <w:bCs/>
          <w:lang w:val="fr-FR"/>
        </w:rPr>
        <w:t xml:space="preserve">) d’un district. </w:t>
      </w:r>
    </w:p>
    <w:p w14:paraId="55C78479" w14:textId="33EE222F" w:rsidR="00FF0818" w:rsidRPr="00462FB3" w:rsidRDefault="00FF0818" w:rsidP="00462FB3">
      <w:pPr>
        <w:pStyle w:val="SingleTxt"/>
        <w:numPr>
          <w:ilvl w:val="0"/>
          <w:numId w:val="19"/>
        </w:numPr>
        <w:spacing w:line="240" w:lineRule="exact"/>
        <w:ind w:left="1267"/>
        <w:rPr>
          <w:bCs/>
          <w:lang w:val="fr-CH"/>
        </w:rPr>
      </w:pPr>
      <w:r w:rsidRPr="00462FB3">
        <w:rPr>
          <w:bCs/>
          <w:lang w:val="fr-FR"/>
        </w:rPr>
        <w:t xml:space="preserve">Parmi les femmes occupant de hautes responsabilités, citons notamment la Présidente du Sénat, la Déléguée aux droits de l’enfant, la Ministre de l’enseignement préscolaire, l’Ambassadrice extraordinaire et plénipotentiaire d’Ouzbékistan en Israël, ou encore les vice-ministres de la santé, de la culture, des </w:t>
      </w:r>
      <w:r w:rsidRPr="00462FB3">
        <w:rPr>
          <w:bCs/>
          <w:i/>
          <w:iCs/>
          <w:lang w:val="fr-FR"/>
        </w:rPr>
        <w:t>mahallas</w:t>
      </w:r>
      <w:r w:rsidRPr="00462FB3">
        <w:rPr>
          <w:bCs/>
          <w:lang w:val="fr-FR"/>
        </w:rPr>
        <w:t xml:space="preserve"> et de la famille.</w:t>
      </w:r>
    </w:p>
    <w:p w14:paraId="6231FDF5" w14:textId="50946CCE" w:rsidR="00FF0818" w:rsidRPr="00462FB3" w:rsidRDefault="00FF0818" w:rsidP="00462FB3">
      <w:pPr>
        <w:pStyle w:val="SingleTxt"/>
        <w:numPr>
          <w:ilvl w:val="0"/>
          <w:numId w:val="19"/>
        </w:numPr>
        <w:spacing w:line="240" w:lineRule="exact"/>
        <w:ind w:left="1267"/>
        <w:rPr>
          <w:bCs/>
          <w:lang w:val="fr-CH"/>
        </w:rPr>
      </w:pPr>
      <w:r w:rsidRPr="00462FB3">
        <w:rPr>
          <w:bCs/>
          <w:lang w:val="fr-FR"/>
        </w:rPr>
        <w:t>Le Sénat travaille à la mise en œuvre de la décision de la commission en charge de l’égalité des genres, en date du 16 juillet</w:t>
      </w:r>
      <w:r w:rsidR="00074EC2">
        <w:rPr>
          <w:bCs/>
          <w:lang w:val="fr-FR"/>
        </w:rPr>
        <w:t xml:space="preserve"> </w:t>
      </w:r>
      <w:r w:rsidRPr="00462FB3">
        <w:rPr>
          <w:bCs/>
          <w:lang w:val="fr-FR"/>
        </w:rPr>
        <w:t>2020, concernant la formation de femmes à l’exercice de fonctions dirigeantes et leur placement sur une liste de réserve. L’agence de développement des services de l’État a rédigé une proposition de loi, actuellement en débat, sur les services civils de l’État.</w:t>
      </w:r>
    </w:p>
    <w:p w14:paraId="32E87E57" w14:textId="4DD17801" w:rsidR="00FF0818" w:rsidRPr="00462FB3" w:rsidRDefault="00FF0818" w:rsidP="00462FB3">
      <w:pPr>
        <w:pStyle w:val="SingleTxt"/>
        <w:numPr>
          <w:ilvl w:val="0"/>
          <w:numId w:val="19"/>
        </w:numPr>
        <w:spacing w:line="240" w:lineRule="exact"/>
        <w:ind w:left="1267"/>
        <w:rPr>
          <w:bCs/>
          <w:lang w:val="fr-CH"/>
        </w:rPr>
      </w:pPr>
      <w:r w:rsidRPr="00462FB3">
        <w:rPr>
          <w:bCs/>
          <w:lang w:val="fr-FR"/>
        </w:rPr>
        <w:t>L’administration centrale du Ministère des affaires étrangères compte 22,6 % de femmes. Elles représentent 4 % des effectifs des représentations diplomatiques et consulaires, 32 % de ceux de l’agence de presse du Ministère (Dunyo), 32 % de ceux du bureau de traduction et d’interprétation, 18 % de ceux du bureau des services au corps diplomatique, 32 % de ceux du centre d’information et d’analyse sur les relations internationales. Elles représentent 62 % des enseignants et directeurs de l’Université de l’économie mondiale et de la diplomatie près le Ministère, mais 20 % des étudiants de l’établissement.</w:t>
      </w:r>
    </w:p>
    <w:p w14:paraId="1C439D62" w14:textId="27A63B9A" w:rsidR="00FF0818" w:rsidRPr="00462FB3" w:rsidRDefault="00FF0818" w:rsidP="00462FB3">
      <w:pPr>
        <w:pStyle w:val="SingleTxt"/>
        <w:numPr>
          <w:ilvl w:val="0"/>
          <w:numId w:val="19"/>
        </w:numPr>
        <w:spacing w:line="240" w:lineRule="exact"/>
        <w:ind w:left="1267"/>
        <w:rPr>
          <w:bCs/>
          <w:lang w:val="fr-CH"/>
        </w:rPr>
      </w:pPr>
      <w:r w:rsidRPr="00462FB3">
        <w:rPr>
          <w:bCs/>
          <w:lang w:val="fr-FR"/>
        </w:rPr>
        <w:t>Conformément au Code électoral, un parti politique finance sa participation à une élection exclusivement sur les dotations publiques allouées à cet effet. Tout financement ou soutien matériel provenant d’une autre source est interdit. Le financement public des partis politiques engagés dans les élections législatives de</w:t>
      </w:r>
      <w:r w:rsidR="00462FB3">
        <w:rPr>
          <w:bCs/>
          <w:lang w:val="fr-FR"/>
        </w:rPr>
        <w:t xml:space="preserve"> </w:t>
      </w:r>
      <w:r w:rsidRPr="00462FB3">
        <w:rPr>
          <w:bCs/>
          <w:lang w:val="fr-FR"/>
        </w:rPr>
        <w:t>2019 s’élevait à 46,6 milliards de soums.</w:t>
      </w:r>
    </w:p>
    <w:p w14:paraId="68F980E8" w14:textId="2413721B" w:rsidR="00FF0818" w:rsidRPr="001D3647" w:rsidRDefault="00FF0818" w:rsidP="00462FB3">
      <w:pPr>
        <w:pStyle w:val="SingleTxt"/>
        <w:numPr>
          <w:ilvl w:val="0"/>
          <w:numId w:val="19"/>
        </w:numPr>
        <w:spacing w:line="240" w:lineRule="exact"/>
        <w:ind w:left="1267"/>
        <w:rPr>
          <w:bCs/>
          <w:lang w:val="fr-CH"/>
        </w:rPr>
      </w:pPr>
      <w:r w:rsidRPr="00462FB3">
        <w:rPr>
          <w:bCs/>
          <w:lang w:val="fr-FR"/>
        </w:rPr>
        <w:t>Sur proposition des partis politiques, 30 % des sommes allouées lors des campagnes électorales sont directement versées sur le compte bancaire des candidats</w:t>
      </w:r>
      <w:r>
        <w:rPr>
          <w:bCs/>
          <w:lang w:val="fr-FR"/>
        </w:rPr>
        <w:t>.</w:t>
      </w:r>
    </w:p>
    <w:p w14:paraId="46D328FC" w14:textId="77777777" w:rsidR="00FF0818" w:rsidRPr="00462FB3" w:rsidRDefault="00FF0818" w:rsidP="00FF0818">
      <w:pPr>
        <w:pStyle w:val="SingleTxt"/>
        <w:spacing w:after="0" w:line="120" w:lineRule="exact"/>
        <w:rPr>
          <w:bCs/>
          <w:sz w:val="10"/>
          <w:lang w:val="fr-CH"/>
        </w:rPr>
      </w:pPr>
    </w:p>
    <w:p w14:paraId="2DD82A2F" w14:textId="77777777" w:rsidR="00FF0818" w:rsidRPr="00462FB3" w:rsidRDefault="00FF0818" w:rsidP="00FF0818">
      <w:pPr>
        <w:pStyle w:val="SingleTxt"/>
        <w:spacing w:after="0" w:line="120" w:lineRule="exact"/>
        <w:rPr>
          <w:bCs/>
          <w:sz w:val="10"/>
          <w:lang w:val="fr-CH"/>
        </w:rPr>
      </w:pPr>
    </w:p>
    <w:p w14:paraId="58D7105C"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Citoyenneté</w:t>
      </w:r>
    </w:p>
    <w:p w14:paraId="4D9B779B" w14:textId="691F05E8" w:rsidR="00FF0818" w:rsidRDefault="00FF0818" w:rsidP="00FF0818">
      <w:pPr>
        <w:pStyle w:val="SingleTxt"/>
        <w:spacing w:after="0" w:line="120" w:lineRule="exact"/>
        <w:rPr>
          <w:bCs/>
          <w:sz w:val="10"/>
          <w:lang w:val="fr-CH"/>
        </w:rPr>
      </w:pPr>
    </w:p>
    <w:p w14:paraId="663284C6" w14:textId="77777777" w:rsidR="00074EC2" w:rsidRPr="00462FB3" w:rsidRDefault="00074EC2" w:rsidP="00FF0818">
      <w:pPr>
        <w:pStyle w:val="SingleTxt"/>
        <w:spacing w:after="0" w:line="120" w:lineRule="exact"/>
        <w:rPr>
          <w:bCs/>
          <w:sz w:val="10"/>
          <w:lang w:val="fr-CH"/>
        </w:rPr>
      </w:pPr>
    </w:p>
    <w:p w14:paraId="60485B82" w14:textId="2F493932"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15</w:t>
      </w:r>
    </w:p>
    <w:p w14:paraId="52EB8123" w14:textId="77777777" w:rsidR="00FF0818" w:rsidRPr="001D3647" w:rsidRDefault="00FF0818" w:rsidP="00FF0818">
      <w:pPr>
        <w:pStyle w:val="SingleTxt"/>
        <w:spacing w:after="0" w:line="120" w:lineRule="exact"/>
        <w:rPr>
          <w:bCs/>
          <w:sz w:val="10"/>
          <w:lang w:val="fr-CH"/>
        </w:rPr>
      </w:pPr>
    </w:p>
    <w:p w14:paraId="2FC5FFAC" w14:textId="2723FA1F" w:rsidR="00FF0818" w:rsidRPr="001D3647" w:rsidRDefault="00FF0818" w:rsidP="00462FB3">
      <w:pPr>
        <w:pStyle w:val="SingleTxt"/>
        <w:numPr>
          <w:ilvl w:val="0"/>
          <w:numId w:val="19"/>
        </w:numPr>
        <w:spacing w:line="240" w:lineRule="exact"/>
        <w:ind w:left="1267"/>
        <w:rPr>
          <w:bCs/>
          <w:lang w:val="fr-CH"/>
        </w:rPr>
      </w:pPr>
      <w:r>
        <w:rPr>
          <w:bCs/>
          <w:lang w:val="fr-FR"/>
        </w:rPr>
        <w:t>À l’heure actuelle, l’Ouzbékistan n’a reçu aucune demande officielle d’asile politique provenant de ressortissants étrangers. Des discussions se poursuivent concernant l’élaboration et l’adoption d’une loi sur l’asile politique, conformément aux recommandations du Comité pour l’élimination de la discrimination raciale.</w:t>
      </w:r>
    </w:p>
    <w:p w14:paraId="20A0069C" w14:textId="3129A1A6"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 loi sur la citoyenneté a été adoptée dans sa nouvelle rédaction le 13</w:t>
      </w:r>
      <w:r w:rsidR="00462FB3">
        <w:rPr>
          <w:lang w:val="fr-FR"/>
        </w:rPr>
        <w:t xml:space="preserve"> </w:t>
      </w:r>
      <w:r w:rsidRPr="00462FB3">
        <w:rPr>
          <w:lang w:val="fr-FR"/>
        </w:rPr>
        <w:t>mai</w:t>
      </w:r>
      <w:r w:rsidR="00462FB3">
        <w:rPr>
          <w:lang w:val="fr-FR"/>
        </w:rPr>
        <w:t xml:space="preserve"> </w:t>
      </w:r>
      <w:r w:rsidRPr="00462FB3">
        <w:rPr>
          <w:lang w:val="fr-FR"/>
        </w:rPr>
        <w:t>2020. Depuis</w:t>
      </w:r>
      <w:r w:rsidR="00462FB3">
        <w:rPr>
          <w:lang w:val="fr-FR"/>
        </w:rPr>
        <w:t xml:space="preserve"> </w:t>
      </w:r>
      <w:r w:rsidRPr="00462FB3">
        <w:rPr>
          <w:lang w:val="fr-FR"/>
        </w:rPr>
        <w:t>2016, l’Ouzbékistan a accordé la citoyenneté à 16 298 apatrides : 179 en</w:t>
      </w:r>
      <w:r w:rsidR="00074EC2">
        <w:rPr>
          <w:lang w:val="fr-FR"/>
        </w:rPr>
        <w:t xml:space="preserve"> </w:t>
      </w:r>
      <w:r w:rsidRPr="00462FB3">
        <w:rPr>
          <w:lang w:val="fr-FR"/>
        </w:rPr>
        <w:t>2016, 1 064 en</w:t>
      </w:r>
      <w:r w:rsidR="00074EC2">
        <w:rPr>
          <w:lang w:val="fr-FR"/>
        </w:rPr>
        <w:t xml:space="preserve"> </w:t>
      </w:r>
      <w:r w:rsidRPr="00462FB3">
        <w:rPr>
          <w:lang w:val="fr-FR"/>
        </w:rPr>
        <w:t>2017, 2 759 en</w:t>
      </w:r>
      <w:r w:rsidR="00462FB3">
        <w:rPr>
          <w:lang w:val="fr-FR"/>
        </w:rPr>
        <w:t xml:space="preserve"> </w:t>
      </w:r>
      <w:r w:rsidRPr="00462FB3">
        <w:rPr>
          <w:lang w:val="fr-FR"/>
        </w:rPr>
        <w:t>2018, 6 318 en</w:t>
      </w:r>
      <w:r w:rsidR="00462FB3">
        <w:rPr>
          <w:lang w:val="fr-FR"/>
        </w:rPr>
        <w:t xml:space="preserve"> </w:t>
      </w:r>
      <w:r w:rsidRPr="00462FB3">
        <w:rPr>
          <w:lang w:val="fr-FR"/>
        </w:rPr>
        <w:t>2019, 5 978 au cours des 8</w:t>
      </w:r>
      <w:r w:rsidR="00462FB3">
        <w:rPr>
          <w:lang w:val="fr-FR"/>
        </w:rPr>
        <w:t xml:space="preserve"> </w:t>
      </w:r>
      <w:r w:rsidRPr="00462FB3">
        <w:rPr>
          <w:lang w:val="fr-FR"/>
        </w:rPr>
        <w:t>premiers mois de 2020.</w:t>
      </w:r>
    </w:p>
    <w:p w14:paraId="362A42BF" w14:textId="2EB9BE4B"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Conformément à la législation, 4 734 apatrides ayant officiellement résidé en permanence en Ouzbékistan avant le 1</w:t>
      </w:r>
      <w:r w:rsidRPr="00462FB3">
        <w:rPr>
          <w:vertAlign w:val="superscript"/>
          <w:lang w:val="fr-FR"/>
        </w:rPr>
        <w:t>er</w:t>
      </w:r>
      <w:r w:rsidRPr="00074EC2">
        <w:rPr>
          <w:lang w:val="fr-FR"/>
        </w:rPr>
        <w:t> </w:t>
      </w:r>
      <w:r w:rsidRPr="00462FB3">
        <w:rPr>
          <w:lang w:val="fr-FR"/>
        </w:rPr>
        <w:t>janvier</w:t>
      </w:r>
      <w:r w:rsidR="00462FB3">
        <w:rPr>
          <w:lang w:val="fr-FR"/>
        </w:rPr>
        <w:t xml:space="preserve"> </w:t>
      </w:r>
      <w:r w:rsidRPr="00462FB3">
        <w:rPr>
          <w:lang w:val="fr-FR"/>
        </w:rPr>
        <w:t>1995 sans en avoir obtenu la citoyenneté, ont été faits citoyens.</w:t>
      </w:r>
    </w:p>
    <w:p w14:paraId="0E4F7C72" w14:textId="7BD3D591"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L’Ouzbékistan déploie des efforts spécifiques afin de renforcer les bases juridiques de la défense des droits des citoyens et des non-ressortissants vivant dans le pays, contre les discriminations dans les diverses sphères de la vie sociale. Le plan de réalisation de la Stratégie nationale relative aux droits</w:t>
      </w:r>
      <w:r w:rsidR="0037061B" w:rsidRPr="00462FB3">
        <w:rPr>
          <w:lang w:val="fr-FR"/>
        </w:rPr>
        <w:t xml:space="preserve"> </w:t>
      </w:r>
      <w:r w:rsidRPr="00462FB3">
        <w:rPr>
          <w:lang w:val="fr-FR"/>
        </w:rPr>
        <w:t xml:space="preserve">de l’homme prévoit </w:t>
      </w:r>
      <w:r w:rsidRPr="00462FB3">
        <w:rPr>
          <w:lang w:val="fr-FR"/>
        </w:rPr>
        <w:lastRenderedPageBreak/>
        <w:t>l’élaboration de projets de loi sur l’égalité et la lutte contre la discrimination (point 12), sur le statut juridique des ressortissants étrangers et apatrides (point 15), sur la migration de travail (point 41). Il prévoit également des discussions sur la ratification de la Convention internationale sur la protection des droits de tous les travailleurs migrants et des membres de leur famille (point 43), la préparation de propositions concernant l’adhésion de la République d’Ouzbékistan aux traités internationaux relatifs à la défense des droits des migrants (point 72), en particulier la Convention relative au statut des réfugiés, la Convention relative au statut des apatrides et la Convention sur la réduction des cas d’apatridie.</w:t>
      </w:r>
    </w:p>
    <w:p w14:paraId="1A65D9D6" w14:textId="77777777" w:rsidR="00FF0818" w:rsidRPr="00462FB3" w:rsidRDefault="00FF0818" w:rsidP="00FF0818">
      <w:pPr>
        <w:pStyle w:val="SingleTxt"/>
        <w:spacing w:after="0" w:line="120" w:lineRule="exact"/>
        <w:rPr>
          <w:bCs/>
          <w:sz w:val="10"/>
          <w:lang w:val="fr-CH"/>
        </w:rPr>
      </w:pPr>
    </w:p>
    <w:p w14:paraId="5062B7F7" w14:textId="77777777" w:rsidR="00FF0818" w:rsidRPr="00462FB3" w:rsidRDefault="00FF0818" w:rsidP="00FF0818">
      <w:pPr>
        <w:pStyle w:val="SingleTxt"/>
        <w:spacing w:after="0" w:line="120" w:lineRule="exact"/>
        <w:rPr>
          <w:bCs/>
          <w:sz w:val="10"/>
          <w:lang w:val="fr-CH"/>
        </w:rPr>
      </w:pPr>
    </w:p>
    <w:p w14:paraId="763854AC" w14:textId="71FEC429"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t>Éducation</w:t>
      </w:r>
    </w:p>
    <w:p w14:paraId="6A15316F" w14:textId="252B20AB" w:rsidR="00FF0818" w:rsidRPr="00074EC2" w:rsidRDefault="00FF0818" w:rsidP="00FF0818">
      <w:pPr>
        <w:pStyle w:val="SingleTxt"/>
        <w:spacing w:after="0" w:line="120" w:lineRule="exact"/>
        <w:rPr>
          <w:bCs/>
          <w:sz w:val="10"/>
          <w:lang w:val="fr-CH"/>
        </w:rPr>
      </w:pPr>
    </w:p>
    <w:p w14:paraId="0290FEEA" w14:textId="77777777" w:rsidR="00074EC2" w:rsidRPr="00074EC2" w:rsidRDefault="00074EC2" w:rsidP="00FF0818">
      <w:pPr>
        <w:pStyle w:val="SingleTxt"/>
        <w:spacing w:after="0" w:line="120" w:lineRule="exact"/>
        <w:rPr>
          <w:bCs/>
          <w:sz w:val="10"/>
          <w:lang w:val="fr-CH"/>
        </w:rPr>
      </w:pPr>
    </w:p>
    <w:p w14:paraId="4A165F57"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16</w:t>
      </w:r>
    </w:p>
    <w:p w14:paraId="57547BA6" w14:textId="77777777" w:rsidR="00FF0818" w:rsidRPr="001D3647" w:rsidRDefault="00FF0818" w:rsidP="00FF0818">
      <w:pPr>
        <w:pStyle w:val="SingleTxt"/>
        <w:spacing w:after="0" w:line="120" w:lineRule="exact"/>
        <w:rPr>
          <w:bCs/>
          <w:sz w:val="10"/>
          <w:lang w:val="fr-CH"/>
        </w:rPr>
      </w:pPr>
    </w:p>
    <w:p w14:paraId="5F18707C" w14:textId="55B845D7"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 loi fixe à 11 ans la durée du cursus scolaire obligatoire. En conséquence, les filles ont accès de droit à l’enseignement secondaire des établissements généraux ainsi qu’aux formations professionnalisantes de base, dispensées dans les écoles professionnelles, dans le cadre de ces onze années d’éducation obligatoire, indépendamment de leur région de domicile et de leur état de santé.</w:t>
      </w:r>
    </w:p>
    <w:p w14:paraId="47A03570" w14:textId="118FCA06"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En 2018, les établissements d’enseignement général ont accueilli 5</w:t>
      </w:r>
      <w:r w:rsidRPr="00462FB3">
        <w:rPr>
          <w:lang w:val="fr-CH"/>
        </w:rPr>
        <w:t> </w:t>
      </w:r>
      <w:r w:rsidRPr="00462FB3">
        <w:rPr>
          <w:lang w:val="fr-FR"/>
        </w:rPr>
        <w:t>850</w:t>
      </w:r>
      <w:r w:rsidRPr="00462FB3">
        <w:rPr>
          <w:lang w:val="fr-CH"/>
        </w:rPr>
        <w:t> </w:t>
      </w:r>
      <w:r w:rsidRPr="00462FB3">
        <w:rPr>
          <w:lang w:val="fr-FR"/>
        </w:rPr>
        <w:t>852 élèves dont 2</w:t>
      </w:r>
      <w:r w:rsidR="00462FB3">
        <w:rPr>
          <w:lang w:val="fr-CH"/>
        </w:rPr>
        <w:t xml:space="preserve"> </w:t>
      </w:r>
      <w:r w:rsidRPr="00462FB3">
        <w:rPr>
          <w:lang w:val="fr-FR"/>
        </w:rPr>
        <w:t>847</w:t>
      </w:r>
      <w:r w:rsidR="00462FB3">
        <w:rPr>
          <w:lang w:val="fr-CH"/>
        </w:rPr>
        <w:t xml:space="preserve"> </w:t>
      </w:r>
      <w:r w:rsidRPr="00462FB3">
        <w:rPr>
          <w:lang w:val="fr-FR"/>
        </w:rPr>
        <w:t>197 filles</w:t>
      </w:r>
      <w:r w:rsidR="0037061B" w:rsidRPr="00462FB3">
        <w:rPr>
          <w:lang w:val="fr-FR"/>
        </w:rPr>
        <w:t xml:space="preserve"> </w:t>
      </w:r>
      <w:r w:rsidRPr="00462FB3">
        <w:rPr>
          <w:lang w:val="fr-FR"/>
        </w:rPr>
        <w:t>; en</w:t>
      </w:r>
      <w:r w:rsidR="00462FB3">
        <w:rPr>
          <w:lang w:val="fr-FR"/>
        </w:rPr>
        <w:t xml:space="preserve"> </w:t>
      </w:r>
      <w:r w:rsidRPr="00462FB3">
        <w:rPr>
          <w:lang w:val="fr-FR"/>
        </w:rPr>
        <w:t>2019, ils comptaient 6</w:t>
      </w:r>
      <w:r w:rsidR="00462FB3">
        <w:rPr>
          <w:lang w:val="fr-CH"/>
        </w:rPr>
        <w:t xml:space="preserve"> </w:t>
      </w:r>
      <w:r w:rsidRPr="00462FB3">
        <w:rPr>
          <w:lang w:val="fr-FR"/>
        </w:rPr>
        <w:t>168</w:t>
      </w:r>
      <w:r w:rsidR="00462FB3">
        <w:rPr>
          <w:lang w:val="fr-CH"/>
        </w:rPr>
        <w:t xml:space="preserve"> </w:t>
      </w:r>
      <w:r w:rsidRPr="00462FB3">
        <w:rPr>
          <w:lang w:val="fr-FR"/>
        </w:rPr>
        <w:t>198</w:t>
      </w:r>
      <w:r w:rsidR="00462FB3">
        <w:rPr>
          <w:lang w:val="fr-FR"/>
        </w:rPr>
        <w:t xml:space="preserve"> </w:t>
      </w:r>
      <w:r w:rsidRPr="00462FB3">
        <w:rPr>
          <w:lang w:val="fr-FR"/>
        </w:rPr>
        <w:t>élèves, dont 2</w:t>
      </w:r>
      <w:r w:rsidR="00462FB3">
        <w:rPr>
          <w:lang w:val="fr-CH"/>
        </w:rPr>
        <w:t xml:space="preserve"> </w:t>
      </w:r>
      <w:r w:rsidRPr="00462FB3">
        <w:rPr>
          <w:lang w:val="fr-FR"/>
        </w:rPr>
        <w:t>989</w:t>
      </w:r>
      <w:r w:rsidR="00462FB3">
        <w:rPr>
          <w:lang w:val="fr-CH"/>
        </w:rPr>
        <w:t> </w:t>
      </w:r>
      <w:r w:rsidRPr="00462FB3">
        <w:rPr>
          <w:lang w:val="fr-FR"/>
        </w:rPr>
        <w:t>962</w:t>
      </w:r>
      <w:r w:rsidR="00462FB3">
        <w:rPr>
          <w:lang w:val="fr-FR"/>
        </w:rPr>
        <w:t xml:space="preserve"> </w:t>
      </w:r>
      <w:r w:rsidRPr="00462FB3">
        <w:rPr>
          <w:lang w:val="fr-FR"/>
        </w:rPr>
        <w:t>filles. Les lycées académiques ont accueilli 71</w:t>
      </w:r>
      <w:r w:rsidR="00462FB3">
        <w:rPr>
          <w:lang w:val="fr-CH"/>
        </w:rPr>
        <w:t xml:space="preserve"> </w:t>
      </w:r>
      <w:r w:rsidRPr="00462FB3">
        <w:rPr>
          <w:lang w:val="fr-FR"/>
        </w:rPr>
        <w:t>809</w:t>
      </w:r>
      <w:r w:rsidR="00462FB3">
        <w:rPr>
          <w:lang w:val="fr-FR"/>
        </w:rPr>
        <w:t xml:space="preserve"> </w:t>
      </w:r>
      <w:r w:rsidRPr="00462FB3">
        <w:rPr>
          <w:lang w:val="fr-FR"/>
        </w:rPr>
        <w:t>élèves, dont 29</w:t>
      </w:r>
      <w:r w:rsidR="00462FB3">
        <w:rPr>
          <w:lang w:val="fr-CH"/>
        </w:rPr>
        <w:t xml:space="preserve"> </w:t>
      </w:r>
      <w:r w:rsidRPr="00462FB3">
        <w:rPr>
          <w:lang w:val="fr-FR"/>
        </w:rPr>
        <w:t>502</w:t>
      </w:r>
      <w:r w:rsidR="00462FB3">
        <w:rPr>
          <w:lang w:val="fr-FR"/>
        </w:rPr>
        <w:t xml:space="preserve"> </w:t>
      </w:r>
      <w:r w:rsidRPr="00462FB3">
        <w:rPr>
          <w:lang w:val="fr-FR"/>
        </w:rPr>
        <w:t>filles, en 2018-2019</w:t>
      </w:r>
      <w:r w:rsidR="00462FB3">
        <w:rPr>
          <w:lang w:val="fr-FR"/>
        </w:rPr>
        <w:t> </w:t>
      </w:r>
      <w:r w:rsidRPr="00462FB3">
        <w:rPr>
          <w:lang w:val="fr-FR"/>
        </w:rPr>
        <w:t>; et 43</w:t>
      </w:r>
      <w:r w:rsidR="00462FB3">
        <w:rPr>
          <w:lang w:val="fr-CH"/>
        </w:rPr>
        <w:t xml:space="preserve"> </w:t>
      </w:r>
      <w:r w:rsidRPr="00462FB3">
        <w:rPr>
          <w:lang w:val="fr-FR"/>
        </w:rPr>
        <w:t>193</w:t>
      </w:r>
      <w:r w:rsidR="00462FB3">
        <w:rPr>
          <w:lang w:val="fr-FR"/>
        </w:rPr>
        <w:t xml:space="preserve"> </w:t>
      </w:r>
      <w:r w:rsidRPr="00462FB3">
        <w:rPr>
          <w:lang w:val="fr-FR"/>
        </w:rPr>
        <w:t>élèves, dont 15</w:t>
      </w:r>
      <w:r w:rsidR="00462FB3">
        <w:rPr>
          <w:lang w:val="fr-CH"/>
        </w:rPr>
        <w:t xml:space="preserve"> </w:t>
      </w:r>
      <w:r w:rsidRPr="00462FB3">
        <w:rPr>
          <w:lang w:val="fr-FR"/>
        </w:rPr>
        <w:t>679</w:t>
      </w:r>
      <w:r w:rsidR="00462FB3">
        <w:rPr>
          <w:lang w:val="fr-FR"/>
        </w:rPr>
        <w:t xml:space="preserve"> </w:t>
      </w:r>
      <w:r w:rsidRPr="00462FB3">
        <w:rPr>
          <w:lang w:val="fr-FR"/>
        </w:rPr>
        <w:t>filles, en 2019-2020. Les collèges professionnels ont accueilli 656</w:t>
      </w:r>
      <w:r w:rsidR="00462FB3">
        <w:rPr>
          <w:lang w:val="fr-CH"/>
        </w:rPr>
        <w:t xml:space="preserve"> </w:t>
      </w:r>
      <w:r w:rsidRPr="00462FB3">
        <w:rPr>
          <w:lang w:val="fr-FR"/>
        </w:rPr>
        <w:t>297</w:t>
      </w:r>
      <w:r w:rsidR="00462FB3">
        <w:rPr>
          <w:lang w:val="fr-FR"/>
        </w:rPr>
        <w:t xml:space="preserve"> </w:t>
      </w:r>
      <w:r w:rsidRPr="00462FB3">
        <w:rPr>
          <w:lang w:val="fr-FR"/>
        </w:rPr>
        <w:t>élèves, dont</w:t>
      </w:r>
      <w:r w:rsidR="0037061B" w:rsidRPr="00462FB3">
        <w:rPr>
          <w:lang w:val="fr-FR"/>
        </w:rPr>
        <w:t xml:space="preserve"> </w:t>
      </w:r>
      <w:r w:rsidRPr="00462FB3">
        <w:rPr>
          <w:lang w:val="fr-FR"/>
        </w:rPr>
        <w:t>327</w:t>
      </w:r>
      <w:r w:rsidR="00462FB3">
        <w:rPr>
          <w:lang w:val="fr-CH"/>
        </w:rPr>
        <w:t xml:space="preserve"> </w:t>
      </w:r>
      <w:r w:rsidRPr="00462FB3">
        <w:rPr>
          <w:lang w:val="fr-FR"/>
        </w:rPr>
        <w:t>432</w:t>
      </w:r>
      <w:r w:rsidR="00462FB3">
        <w:rPr>
          <w:lang w:val="fr-FR"/>
        </w:rPr>
        <w:t xml:space="preserve"> </w:t>
      </w:r>
      <w:r w:rsidRPr="00462FB3">
        <w:rPr>
          <w:lang w:val="fr-FR"/>
        </w:rPr>
        <w:t>filles en</w:t>
      </w:r>
      <w:r w:rsidR="00462FB3">
        <w:rPr>
          <w:lang w:val="fr-FR"/>
        </w:rPr>
        <w:t xml:space="preserve"> </w:t>
      </w:r>
      <w:r w:rsidRPr="00462FB3">
        <w:rPr>
          <w:lang w:val="fr-FR"/>
        </w:rPr>
        <w:t>2018-2019</w:t>
      </w:r>
      <w:r w:rsidR="00462FB3">
        <w:rPr>
          <w:lang w:val="fr-FR"/>
        </w:rPr>
        <w:t> </w:t>
      </w:r>
      <w:r w:rsidRPr="00462FB3">
        <w:rPr>
          <w:lang w:val="fr-FR"/>
        </w:rPr>
        <w:t>; et 239</w:t>
      </w:r>
      <w:r w:rsidR="00462FB3">
        <w:rPr>
          <w:lang w:val="fr-CH"/>
        </w:rPr>
        <w:t xml:space="preserve"> </w:t>
      </w:r>
      <w:r w:rsidRPr="00462FB3">
        <w:rPr>
          <w:lang w:val="fr-FR"/>
        </w:rPr>
        <w:t>240</w:t>
      </w:r>
      <w:r w:rsidR="00462FB3">
        <w:rPr>
          <w:lang w:val="fr-FR"/>
        </w:rPr>
        <w:t xml:space="preserve"> </w:t>
      </w:r>
      <w:r w:rsidRPr="00462FB3">
        <w:rPr>
          <w:lang w:val="fr-FR"/>
        </w:rPr>
        <w:t>élèves, dont 129</w:t>
      </w:r>
      <w:r w:rsidR="00462FB3">
        <w:rPr>
          <w:lang w:val="fr-CH"/>
        </w:rPr>
        <w:t xml:space="preserve"> </w:t>
      </w:r>
      <w:r w:rsidRPr="00462FB3">
        <w:rPr>
          <w:lang w:val="fr-FR"/>
        </w:rPr>
        <w:t>003</w:t>
      </w:r>
      <w:r w:rsidR="00462FB3">
        <w:rPr>
          <w:lang w:val="fr-FR"/>
        </w:rPr>
        <w:t xml:space="preserve"> </w:t>
      </w:r>
      <w:r w:rsidRPr="00462FB3">
        <w:rPr>
          <w:lang w:val="fr-FR"/>
        </w:rPr>
        <w:t>filles, en</w:t>
      </w:r>
      <w:r w:rsidR="00462FB3">
        <w:rPr>
          <w:lang w:val="fr-FR"/>
        </w:rPr>
        <w:t xml:space="preserve"> </w:t>
      </w:r>
      <w:r w:rsidRPr="00462FB3">
        <w:rPr>
          <w:lang w:val="fr-FR"/>
        </w:rPr>
        <w:t>2019-2020. Enfin, les établissements d’enseignement supérieur ont accueilli 360</w:t>
      </w:r>
      <w:r w:rsidR="00462FB3">
        <w:rPr>
          <w:lang w:val="fr-CH"/>
        </w:rPr>
        <w:t xml:space="preserve"> </w:t>
      </w:r>
      <w:r w:rsidRPr="00462FB3">
        <w:rPr>
          <w:lang w:val="fr-FR"/>
        </w:rPr>
        <w:t>204</w:t>
      </w:r>
      <w:r w:rsidR="00462FB3">
        <w:rPr>
          <w:lang w:val="fr-FR"/>
        </w:rPr>
        <w:t xml:space="preserve"> </w:t>
      </w:r>
      <w:r w:rsidRPr="00462FB3">
        <w:rPr>
          <w:lang w:val="fr-FR"/>
        </w:rPr>
        <w:t>étudiants, dont 159</w:t>
      </w:r>
      <w:r w:rsidR="00462FB3">
        <w:rPr>
          <w:lang w:val="fr-CH"/>
        </w:rPr>
        <w:t xml:space="preserve"> </w:t>
      </w:r>
      <w:r w:rsidRPr="00462FB3">
        <w:rPr>
          <w:lang w:val="fr-FR"/>
        </w:rPr>
        <w:t>399</w:t>
      </w:r>
      <w:r w:rsidR="00462FB3">
        <w:rPr>
          <w:lang w:val="fr-FR"/>
        </w:rPr>
        <w:t xml:space="preserve"> </w:t>
      </w:r>
      <w:r w:rsidRPr="00462FB3">
        <w:rPr>
          <w:lang w:val="fr-FR"/>
        </w:rPr>
        <w:t>filles, en</w:t>
      </w:r>
      <w:r w:rsidR="00462FB3">
        <w:rPr>
          <w:lang w:val="fr-FR"/>
        </w:rPr>
        <w:t xml:space="preserve"> </w:t>
      </w:r>
      <w:r w:rsidRPr="00462FB3">
        <w:rPr>
          <w:lang w:val="fr-FR"/>
        </w:rPr>
        <w:t>2018-2019</w:t>
      </w:r>
      <w:r w:rsidR="00462FB3">
        <w:rPr>
          <w:lang w:val="fr-FR"/>
        </w:rPr>
        <w:t> </w:t>
      </w:r>
      <w:r w:rsidRPr="00462FB3">
        <w:rPr>
          <w:lang w:val="fr-FR"/>
        </w:rPr>
        <w:t>; et 440</w:t>
      </w:r>
      <w:r w:rsidR="00462FB3">
        <w:rPr>
          <w:lang w:val="fr-CH"/>
        </w:rPr>
        <w:t xml:space="preserve"> </w:t>
      </w:r>
      <w:r w:rsidRPr="00462FB3">
        <w:rPr>
          <w:lang w:val="fr-FR"/>
        </w:rPr>
        <w:t>991</w:t>
      </w:r>
      <w:r w:rsidR="00462FB3">
        <w:rPr>
          <w:lang w:val="fr-FR"/>
        </w:rPr>
        <w:t xml:space="preserve"> </w:t>
      </w:r>
      <w:r w:rsidRPr="00462FB3">
        <w:rPr>
          <w:lang w:val="fr-FR"/>
        </w:rPr>
        <w:t>étudiants, dont 202</w:t>
      </w:r>
      <w:r w:rsidR="00462FB3">
        <w:rPr>
          <w:lang w:val="fr-CH"/>
        </w:rPr>
        <w:t xml:space="preserve"> </w:t>
      </w:r>
      <w:r w:rsidRPr="00462FB3">
        <w:rPr>
          <w:lang w:val="fr-FR"/>
        </w:rPr>
        <w:t>537</w:t>
      </w:r>
      <w:r w:rsidR="00462FB3">
        <w:rPr>
          <w:lang w:val="fr-FR"/>
        </w:rPr>
        <w:t xml:space="preserve"> </w:t>
      </w:r>
      <w:r w:rsidRPr="00462FB3">
        <w:rPr>
          <w:lang w:val="fr-FR"/>
        </w:rPr>
        <w:t>filles, en</w:t>
      </w:r>
      <w:r w:rsidR="00462FB3">
        <w:rPr>
          <w:lang w:val="fr-FR"/>
        </w:rPr>
        <w:t xml:space="preserve"> </w:t>
      </w:r>
      <w:r w:rsidRPr="00462FB3">
        <w:rPr>
          <w:lang w:val="fr-FR"/>
        </w:rPr>
        <w:t>2019-2020.</w:t>
      </w:r>
    </w:p>
    <w:p w14:paraId="682EF535" w14:textId="7F566857"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On recense aujourd’hui plus de 78 000 enfants handicapés. Parmi eux, 21 100 (27 %) fréquentent 86 écoles et internats spécialisés, 6 100 (8 %) se rendent dans 21 écoles médicalisées, 13 300 (17 %) suivent des cours individuels à domicile, et plus de 13 000 (17 %) sont scolarisés dans des établissements généraux.</w:t>
      </w:r>
    </w:p>
    <w:p w14:paraId="6C81E531" w14:textId="1C89458F"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Basée sur la Classification internationale type de l’éducation (CITE de</w:t>
      </w:r>
      <w:r w:rsidR="00462FB3">
        <w:rPr>
          <w:lang w:val="fr-FR"/>
        </w:rPr>
        <w:t xml:space="preserve"> </w:t>
      </w:r>
      <w:r w:rsidRPr="00462FB3">
        <w:rPr>
          <w:lang w:val="fr-FR"/>
        </w:rPr>
        <w:t>2011) et sur les exigences du marché du travail, une classification des professions destinée aux personnes handicapées a vu le jour. Sa description des différents métiers vise à orienter les jeunes en fonction de leur pathologie.</w:t>
      </w:r>
    </w:p>
    <w:p w14:paraId="4E427B11" w14:textId="4C4FC6A4"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Les conditions nécessaires à la formation des femmes sont créées afin de leur assurer une place digne dans la société. Chaque année, la part d’étudiantes augmente dans les établissements d’enseignement supérieur. Entre</w:t>
      </w:r>
      <w:r w:rsidR="00462FB3">
        <w:rPr>
          <w:lang w:val="fr-FR"/>
        </w:rPr>
        <w:t xml:space="preserve"> </w:t>
      </w:r>
      <w:r w:rsidRPr="00462FB3">
        <w:rPr>
          <w:lang w:val="fr-FR"/>
        </w:rPr>
        <w:t>2016 et</w:t>
      </w:r>
      <w:r w:rsidR="00462FB3">
        <w:rPr>
          <w:lang w:val="fr-FR"/>
        </w:rPr>
        <w:t xml:space="preserve"> </w:t>
      </w:r>
      <w:r w:rsidRPr="00462FB3">
        <w:rPr>
          <w:lang w:val="fr-FR"/>
        </w:rPr>
        <w:t>2019, la hausse était de 16 % en moyenne, toutes spécialités confondues. Dans le détail, elle était de 14,3 % en sciences humaines, de 11,9 % en sciences sociales, économie et droit, de 8,8 % dans les filières industrielles et technologiques, de 13 % en agronomie et gestion des ressources hydriques, de 17,9 % en médecine et service social, et de 24,2 % dans les services.</w:t>
      </w:r>
    </w:p>
    <w:p w14:paraId="6778152A" w14:textId="1BA688F5"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 nombre d’étudiantes inscrites en deuxième cycle augmente également, de 27,5 % entre 2017 et 2019 : elles étaient 1 632 en</w:t>
      </w:r>
      <w:r w:rsidR="00462FB3">
        <w:rPr>
          <w:lang w:val="fr-FR"/>
        </w:rPr>
        <w:t xml:space="preserve"> </w:t>
      </w:r>
      <w:r w:rsidRPr="00462FB3">
        <w:rPr>
          <w:lang w:val="fr-FR"/>
        </w:rPr>
        <w:t>2017, 2 706 en</w:t>
      </w:r>
      <w:r w:rsidR="00462FB3">
        <w:rPr>
          <w:lang w:val="fr-FR"/>
        </w:rPr>
        <w:t xml:space="preserve"> </w:t>
      </w:r>
      <w:r w:rsidRPr="00462FB3">
        <w:rPr>
          <w:lang w:val="fr-FR"/>
        </w:rPr>
        <w:t>2018, et 4 488 en</w:t>
      </w:r>
      <w:r w:rsidR="00462FB3">
        <w:rPr>
          <w:lang w:val="fr-FR"/>
        </w:rPr>
        <w:t> </w:t>
      </w:r>
      <w:r w:rsidRPr="00462FB3">
        <w:rPr>
          <w:lang w:val="fr-FR"/>
        </w:rPr>
        <w:t>2019.</w:t>
      </w:r>
    </w:p>
    <w:p w14:paraId="04D0CBDF" w14:textId="7610BB26"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 disposition présidentielle du 12 juin</w:t>
      </w:r>
      <w:r w:rsidR="00462FB3">
        <w:rPr>
          <w:lang w:val="fr-FR"/>
        </w:rPr>
        <w:t xml:space="preserve"> </w:t>
      </w:r>
      <w:r w:rsidRPr="00462FB3">
        <w:rPr>
          <w:lang w:val="fr-FR"/>
        </w:rPr>
        <w:t xml:space="preserve">2020 encadrant l’organisation de la rentrée 2020-2021 des établissements d’enseignement supérieur, ajoute 4 % de bourses supplémentaires aux quotas généraux de premier cycle en présentiel. Ces dotations sont réservées à un ensemble de filles et de femmes bénéficiant d’une recommandation du Ministère du soutien aux </w:t>
      </w:r>
      <w:r w:rsidRPr="00462FB3">
        <w:rPr>
          <w:i/>
          <w:iCs/>
          <w:lang w:val="fr-FR"/>
        </w:rPr>
        <w:t>mahallas</w:t>
      </w:r>
      <w:r w:rsidRPr="00462FB3">
        <w:rPr>
          <w:lang w:val="fr-FR"/>
        </w:rPr>
        <w:t xml:space="preserve"> et à la famille. Cette mesure </w:t>
      </w:r>
      <w:r w:rsidRPr="00462FB3">
        <w:rPr>
          <w:lang w:val="fr-FR"/>
        </w:rPr>
        <w:lastRenderedPageBreak/>
        <w:t>remédie à l’inégalité d’accès à l’enseignement supérieur dont pouvaient pâtir les filles et les femmes en raison du bonus de 50 % obtenu aux examens d’entrée par les candidats ayant terminé leur service militaire avant l’année 2019-2020 et possédant une lettre de recommandation de leur hiérarchie.</w:t>
      </w:r>
    </w:p>
    <w:p w14:paraId="5929D4CB" w14:textId="09BCF25F"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Un groupe de travail composé d’experts et créé sous l’égide du Centre national de l’éducation a mis en place une procédure de révision des programmes scolaires, des manuels et des guides pédagogiques destinés aux établissements généraux du secondaire, notamment du point de vue de la question de l’égalité des genres. Le plan de réalisation de la Stratégie nationale relative aux droits de l’homme prévoit des modules sur les droits de l’homme et sur les droits des femmes dans le cadre des programmes de formation professionnelle continue proposés par le Centre national pour les droits de l’homme (point</w:t>
      </w:r>
      <w:r w:rsidR="00462FB3">
        <w:rPr>
          <w:lang w:val="fr-FR"/>
        </w:rPr>
        <w:t xml:space="preserve"> </w:t>
      </w:r>
      <w:r w:rsidRPr="00462FB3">
        <w:rPr>
          <w:lang w:val="fr-FR"/>
        </w:rPr>
        <w:t>4). Il exige également l’intégration des thématiques liées aux droits de l’homme et à ceux des femmes dans les programmes scolaires de tous niveaux et les établissements de tous types (point</w:t>
      </w:r>
      <w:r w:rsidR="00462FB3">
        <w:rPr>
          <w:lang w:val="fr-FR"/>
        </w:rPr>
        <w:t xml:space="preserve"> </w:t>
      </w:r>
      <w:r w:rsidRPr="00462FB3">
        <w:rPr>
          <w:lang w:val="fr-FR"/>
        </w:rPr>
        <w:t>64), ainsi que la création de cours et de manuels sur les droits des femmes (point</w:t>
      </w:r>
      <w:r w:rsidR="00462FB3">
        <w:rPr>
          <w:lang w:val="fr-FR"/>
        </w:rPr>
        <w:t xml:space="preserve"> </w:t>
      </w:r>
      <w:r w:rsidRPr="00462FB3">
        <w:rPr>
          <w:lang w:val="fr-FR"/>
        </w:rPr>
        <w:t>68).</w:t>
      </w:r>
    </w:p>
    <w:p w14:paraId="34D56516" w14:textId="30AAED2C" w:rsidR="00FF0818" w:rsidRPr="00074EC2" w:rsidRDefault="00FF0818" w:rsidP="00462FB3">
      <w:pPr>
        <w:pStyle w:val="SingleTxt"/>
        <w:spacing w:after="0" w:line="120" w:lineRule="exact"/>
        <w:rPr>
          <w:bCs/>
          <w:sz w:val="10"/>
          <w:lang w:val="fr-CH"/>
        </w:rPr>
      </w:pPr>
    </w:p>
    <w:p w14:paraId="28596F7A" w14:textId="77777777" w:rsidR="00462FB3" w:rsidRPr="00074EC2" w:rsidRDefault="00462FB3" w:rsidP="00FF0818">
      <w:pPr>
        <w:pStyle w:val="SingleTxt"/>
        <w:spacing w:after="0" w:line="120" w:lineRule="exact"/>
        <w:rPr>
          <w:bCs/>
          <w:sz w:val="10"/>
          <w:lang w:val="fr-CH"/>
        </w:rPr>
      </w:pPr>
    </w:p>
    <w:p w14:paraId="7993C1B3"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Emploi</w:t>
      </w:r>
    </w:p>
    <w:p w14:paraId="347ADF86" w14:textId="0A166188" w:rsidR="00FF0818" w:rsidRPr="00074EC2" w:rsidRDefault="00FF0818" w:rsidP="00462FB3">
      <w:pPr>
        <w:pStyle w:val="SingleTxt"/>
        <w:spacing w:after="0" w:line="120" w:lineRule="exact"/>
        <w:rPr>
          <w:bCs/>
          <w:sz w:val="10"/>
          <w:lang w:val="fr-CH"/>
        </w:rPr>
      </w:pPr>
    </w:p>
    <w:p w14:paraId="17A85974" w14:textId="77777777" w:rsidR="00462FB3" w:rsidRPr="00074EC2" w:rsidRDefault="00462FB3" w:rsidP="00FF0818">
      <w:pPr>
        <w:pStyle w:val="SingleTxt"/>
        <w:spacing w:after="0" w:line="120" w:lineRule="exact"/>
        <w:rPr>
          <w:bCs/>
          <w:sz w:val="10"/>
          <w:lang w:val="fr-CH"/>
        </w:rPr>
      </w:pPr>
    </w:p>
    <w:p w14:paraId="68DDD5F1"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17</w:t>
      </w:r>
    </w:p>
    <w:p w14:paraId="21657C95" w14:textId="77777777" w:rsidR="00FF0818" w:rsidRPr="001D3647" w:rsidRDefault="00FF0818" w:rsidP="00FF0818">
      <w:pPr>
        <w:pStyle w:val="SingleTxt"/>
        <w:spacing w:after="0" w:line="120" w:lineRule="exact"/>
        <w:rPr>
          <w:bCs/>
          <w:sz w:val="10"/>
          <w:lang w:val="fr-CH"/>
        </w:rPr>
      </w:pPr>
    </w:p>
    <w:p w14:paraId="4D692789" w14:textId="01270D0B"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De nouvelles mesures visent à augmenter le taux d’emploi dans la population. Elles incluent notamment un vaste plan de promotion du travail rémunéré et des formations professionnalisantes. Un décret du Ministère de l’emploi entérine la procédure d’octroi des allocations et subventions du Fonds public pour l’emploi. Les employeurs perçoivent chaque mois, pendant six mois, une indemnité équivalant à quatre fois le montant de base mensuel, afin de couvrir les frais de formation initiale ou complémentaire de leurs employés. Ainsi, plus de 19 000 personnes sans emploi, dont 13 500</w:t>
      </w:r>
      <w:r w:rsidR="00462FB3" w:rsidRPr="00462FB3">
        <w:rPr>
          <w:lang w:val="fr-FR"/>
        </w:rPr>
        <w:t xml:space="preserve"> </w:t>
      </w:r>
      <w:r w:rsidRPr="00462FB3">
        <w:rPr>
          <w:lang w:val="fr-FR"/>
        </w:rPr>
        <w:t>femmes, ont suivi une formation ou un complément de formation encadré par les agences</w:t>
      </w:r>
      <w:r w:rsidR="0037061B" w:rsidRPr="00462FB3">
        <w:rPr>
          <w:lang w:val="fr-FR"/>
        </w:rPr>
        <w:t xml:space="preserve"> </w:t>
      </w:r>
      <w:r w:rsidRPr="00462FB3">
        <w:rPr>
          <w:lang w:val="fr-FR"/>
        </w:rPr>
        <w:t>régionales pour l’emploi.</w:t>
      </w:r>
    </w:p>
    <w:p w14:paraId="561E9094" w14:textId="522C1CF6"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Au cours des huit premiers mois de</w:t>
      </w:r>
      <w:r w:rsidR="00462FB3" w:rsidRPr="00462FB3">
        <w:rPr>
          <w:lang w:val="fr-FR"/>
        </w:rPr>
        <w:t xml:space="preserve"> </w:t>
      </w:r>
      <w:r w:rsidRPr="00462FB3">
        <w:rPr>
          <w:lang w:val="fr-FR"/>
        </w:rPr>
        <w:t>2020, 3 600 nouveaux entrepreneurs se sont déclarés aux autorités, dont 1 400 femmes et 1 300 jeunes. Au total, ils ont perçu 801,6</w:t>
      </w:r>
      <w:r w:rsidR="00462FB3" w:rsidRPr="00462FB3">
        <w:rPr>
          <w:lang w:val="fr-FR"/>
        </w:rPr>
        <w:t xml:space="preserve"> </w:t>
      </w:r>
      <w:r w:rsidRPr="00462FB3">
        <w:rPr>
          <w:lang w:val="fr-FR"/>
        </w:rPr>
        <w:t>millions de soums d’aides. Une enveloppe de 635,3</w:t>
      </w:r>
      <w:r w:rsidR="00462FB3" w:rsidRPr="00462FB3">
        <w:rPr>
          <w:lang w:val="fr-FR"/>
        </w:rPr>
        <w:t xml:space="preserve"> </w:t>
      </w:r>
      <w:r w:rsidRPr="00462FB3">
        <w:rPr>
          <w:lang w:val="fr-FR"/>
        </w:rPr>
        <w:t>millions de soums d’aide au paiement des salaires a été distribuée à 92</w:t>
      </w:r>
      <w:r w:rsidR="00462FB3" w:rsidRPr="00462FB3">
        <w:rPr>
          <w:lang w:val="fr-FR"/>
        </w:rPr>
        <w:t xml:space="preserve"> </w:t>
      </w:r>
      <w:r w:rsidRPr="00462FB3">
        <w:rPr>
          <w:lang w:val="fr-FR"/>
        </w:rPr>
        <w:t>employeurs pour avoir embauché 175 femmes et 146 jeunes de plus que les quotas fixés.</w:t>
      </w:r>
    </w:p>
    <w:p w14:paraId="6D9D677D" w14:textId="57B41360"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 décision présidentielle du 5 mars</w:t>
      </w:r>
      <w:r w:rsidR="00462FB3">
        <w:rPr>
          <w:lang w:val="fr-FR"/>
        </w:rPr>
        <w:t xml:space="preserve"> </w:t>
      </w:r>
      <w:r w:rsidRPr="00462FB3">
        <w:rPr>
          <w:lang w:val="fr-FR"/>
        </w:rPr>
        <w:t>2020 sur la création de nouveaux emplois en 2019 indemnise les établissements de formation professionnelle pour la prise en charge des chômeurs en reconversion, en particulier des travailleurs migrants de retour en Ouzbékistan et des femmes issues de familles défavorisées.</w:t>
      </w:r>
    </w:p>
    <w:p w14:paraId="4A980B90" w14:textId="566B2F5C"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 nombre de femmes occupant un poste décisionnel dans l’administration augmente. En 2018, on comptait 149 479</w:t>
      </w:r>
      <w:r w:rsidR="00462FB3">
        <w:rPr>
          <w:lang w:val="fr-FR"/>
        </w:rPr>
        <w:t> </w:t>
      </w:r>
      <w:r w:rsidRPr="00462FB3">
        <w:rPr>
          <w:lang w:val="fr-FR"/>
        </w:rPr>
        <w:t>employés administratifs, dont 40</w:t>
      </w:r>
      <w:r w:rsidRPr="00462FB3">
        <w:rPr>
          <w:lang w:val="fr-CH"/>
        </w:rPr>
        <w:t> </w:t>
      </w:r>
      <w:r w:rsidRPr="00462FB3">
        <w:rPr>
          <w:lang w:val="fr-FR"/>
        </w:rPr>
        <w:t>364 femmes ; en 2019, elles étaient 41</w:t>
      </w:r>
      <w:r w:rsidRPr="00462FB3">
        <w:rPr>
          <w:lang w:val="fr-CH"/>
        </w:rPr>
        <w:t> </w:t>
      </w:r>
      <w:r w:rsidRPr="00462FB3">
        <w:rPr>
          <w:lang w:val="fr-FR"/>
        </w:rPr>
        <w:t>015 sur 153</w:t>
      </w:r>
      <w:r w:rsidRPr="00462FB3">
        <w:rPr>
          <w:lang w:val="fr-CH"/>
        </w:rPr>
        <w:t> </w:t>
      </w:r>
      <w:r w:rsidRPr="00462FB3">
        <w:rPr>
          <w:lang w:val="fr-FR"/>
        </w:rPr>
        <w:t>945. Les femmes sont de plus en plus nombreuses à la tête d’entreprises et d’organisations : elles étaient 47 632 sur 434</w:t>
      </w:r>
      <w:r w:rsidRPr="00462FB3">
        <w:rPr>
          <w:lang w:val="fr-CH"/>
        </w:rPr>
        <w:t> </w:t>
      </w:r>
      <w:r w:rsidRPr="00462FB3">
        <w:rPr>
          <w:lang w:val="fr-FR"/>
        </w:rPr>
        <w:t>135 chefs d’entreprise en</w:t>
      </w:r>
      <w:r w:rsidR="00462FB3">
        <w:rPr>
          <w:lang w:val="fr-FR"/>
        </w:rPr>
        <w:t xml:space="preserve"> </w:t>
      </w:r>
      <w:r w:rsidRPr="00462FB3">
        <w:rPr>
          <w:lang w:val="fr-FR"/>
        </w:rPr>
        <w:t>2018, et 51</w:t>
      </w:r>
      <w:r w:rsidR="00462FB3">
        <w:rPr>
          <w:lang w:val="fr-CH"/>
        </w:rPr>
        <w:t xml:space="preserve"> </w:t>
      </w:r>
      <w:r w:rsidRPr="00462FB3">
        <w:rPr>
          <w:lang w:val="fr-FR"/>
        </w:rPr>
        <w:t>495 sur 462</w:t>
      </w:r>
      <w:r w:rsidR="00462FB3">
        <w:rPr>
          <w:lang w:val="fr-CH"/>
        </w:rPr>
        <w:t xml:space="preserve"> </w:t>
      </w:r>
      <w:r w:rsidRPr="00462FB3">
        <w:rPr>
          <w:lang w:val="fr-FR"/>
        </w:rPr>
        <w:t>634 en</w:t>
      </w:r>
      <w:r w:rsidR="00462FB3">
        <w:rPr>
          <w:lang w:val="fr-FR"/>
        </w:rPr>
        <w:t xml:space="preserve"> </w:t>
      </w:r>
      <w:r w:rsidRPr="00462FB3">
        <w:rPr>
          <w:lang w:val="fr-FR"/>
        </w:rPr>
        <w:t>2019.</w:t>
      </w:r>
    </w:p>
    <w:p w14:paraId="4600758B" w14:textId="2ABB9A51"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 part de femmes employées dans les petites et moyennes entreprises (PME), y compris dans le secteur de l’élevage, a crû modestement entre</w:t>
      </w:r>
      <w:r w:rsidR="00462FB3">
        <w:rPr>
          <w:lang w:val="fr-FR"/>
        </w:rPr>
        <w:t xml:space="preserve"> </w:t>
      </w:r>
      <w:r w:rsidRPr="00462FB3">
        <w:rPr>
          <w:lang w:val="fr-FR"/>
        </w:rPr>
        <w:t>2014 et</w:t>
      </w:r>
      <w:r w:rsidR="00462FB3">
        <w:rPr>
          <w:lang w:val="fr-FR"/>
        </w:rPr>
        <w:t xml:space="preserve"> </w:t>
      </w:r>
      <w:r w:rsidRPr="00462FB3">
        <w:rPr>
          <w:lang w:val="fr-FR"/>
        </w:rPr>
        <w:t>2016, passant de</w:t>
      </w:r>
      <w:r w:rsidR="00462FB3">
        <w:rPr>
          <w:lang w:val="fr-FR"/>
        </w:rPr>
        <w:t xml:space="preserve"> </w:t>
      </w:r>
      <w:r w:rsidRPr="00462FB3">
        <w:rPr>
          <w:lang w:val="fr-FR"/>
        </w:rPr>
        <w:t>21,7 % à</w:t>
      </w:r>
      <w:r w:rsidR="00462FB3">
        <w:rPr>
          <w:lang w:val="fr-FR"/>
        </w:rPr>
        <w:t xml:space="preserve"> </w:t>
      </w:r>
      <w:r w:rsidRPr="00462FB3">
        <w:rPr>
          <w:lang w:val="fr-FR"/>
        </w:rPr>
        <w:t>22,5 %. La présence des femmes dans les PME et l’entrepreneuriat en général a bondi à partir de 2017. Au début de</w:t>
      </w:r>
      <w:r w:rsidR="00462FB3">
        <w:rPr>
          <w:lang w:val="fr-FR"/>
        </w:rPr>
        <w:t xml:space="preserve"> </w:t>
      </w:r>
      <w:r w:rsidRPr="00462FB3">
        <w:rPr>
          <w:lang w:val="fr-FR"/>
        </w:rPr>
        <w:t>2019, on recensait plus de 182 000 femmes entrepreneures en Ouzbékistan, soit 29 % du nombre total d’entreprises enregistrées.</w:t>
      </w:r>
    </w:p>
    <w:p w14:paraId="1AAA345C" w14:textId="1B0D6885"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 xml:space="preserve">La réalisation du projet de préparation des cadres du centre de formation professionnelle continue (Samarcande) fait l’objet d’un memorandum de coopération </w:t>
      </w:r>
      <w:r w:rsidRPr="00462FB3">
        <w:rPr>
          <w:lang w:val="fr-FR"/>
        </w:rPr>
        <w:lastRenderedPageBreak/>
        <w:t>signé le 25 février</w:t>
      </w:r>
      <w:r w:rsidR="00462FB3">
        <w:rPr>
          <w:lang w:val="fr-FR"/>
        </w:rPr>
        <w:t xml:space="preserve"> </w:t>
      </w:r>
      <w:r w:rsidRPr="00462FB3">
        <w:rPr>
          <w:lang w:val="fr-FR"/>
        </w:rPr>
        <w:t>2019 par le Ministère de l’emploi, le bureau à Tachkent de l’Agence de coopération internationale de la République de Corée et la Keimyung College University. Ce memorandum a permis l’organisation de formations en ingénierie mécanique et en design informatique, et favorisé la création de la pépinière d’entreprises et de start-ups de Samarcande.</w:t>
      </w:r>
    </w:p>
    <w:p w14:paraId="0EA75F41" w14:textId="35660333"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L’article</w:t>
      </w:r>
      <w:r w:rsidR="00462FB3">
        <w:rPr>
          <w:lang w:val="fr-FR"/>
        </w:rPr>
        <w:t xml:space="preserve"> </w:t>
      </w:r>
      <w:r w:rsidRPr="00462FB3">
        <w:rPr>
          <w:lang w:val="fr-FR"/>
        </w:rPr>
        <w:t>5 du Code du travail établit le principe d’égalité des droits des travailleurs et interdit la discrimination dans le cadre de l’activité professionnelle. L’article</w:t>
      </w:r>
      <w:r w:rsidR="00462FB3">
        <w:rPr>
          <w:lang w:val="fr-FR"/>
        </w:rPr>
        <w:t xml:space="preserve"> </w:t>
      </w:r>
      <w:r w:rsidRPr="00462FB3">
        <w:rPr>
          <w:lang w:val="fr-FR"/>
        </w:rPr>
        <w:t>256 interdit toute discrimination salariale. Conformément à l’article</w:t>
      </w:r>
      <w:r w:rsidR="00462FB3">
        <w:rPr>
          <w:lang w:val="fr-FR"/>
        </w:rPr>
        <w:t xml:space="preserve"> </w:t>
      </w:r>
      <w:r w:rsidRPr="00462FB3">
        <w:rPr>
          <w:lang w:val="fr-FR"/>
        </w:rPr>
        <w:t>112, le contrat de travail de chaque employé doit obligatoirement mentionner la fonction occupée, le mode de rémunération, le salaire de base ou le montant horaire de la rémunération, ainsi que le montant des heures supplémentaires et des différentes primes et indemnités.</w:t>
      </w:r>
    </w:p>
    <w:p w14:paraId="45FDEC12" w14:textId="4152D47A"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Chaque mois, les services de l’inspection du travail contrôlent les organismes bénéficiant d’un financement public ainsi que les organisations ayant fait l’objet d’un signalement. Pour la période de janvier à août</w:t>
      </w:r>
      <w:r w:rsidR="00462FB3">
        <w:rPr>
          <w:lang w:val="fr-FR"/>
        </w:rPr>
        <w:t xml:space="preserve"> </w:t>
      </w:r>
      <w:r w:rsidRPr="00462FB3">
        <w:rPr>
          <w:lang w:val="fr-FR"/>
        </w:rPr>
        <w:t>2020, l’inspection du travail a recensé 2</w:t>
      </w:r>
      <w:r w:rsidR="00462FB3">
        <w:rPr>
          <w:lang w:val="fr-FR"/>
        </w:rPr>
        <w:t> </w:t>
      </w:r>
      <w:r w:rsidRPr="00462FB3">
        <w:rPr>
          <w:lang w:val="fr-FR"/>
        </w:rPr>
        <w:t>708 infractions en matière salariale. Dans 336</w:t>
      </w:r>
      <w:r w:rsidR="00462FB3">
        <w:rPr>
          <w:lang w:val="fr-FR"/>
        </w:rPr>
        <w:t xml:space="preserve"> </w:t>
      </w:r>
      <w:r w:rsidRPr="00462FB3">
        <w:rPr>
          <w:lang w:val="fr-FR"/>
        </w:rPr>
        <w:t>cas, l’infraction portait sur une violation des droits des femmes.</w:t>
      </w:r>
    </w:p>
    <w:p w14:paraId="395655DE" w14:textId="190D8547"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L’écart de rémunération entre les hommes et les femmes se réduit grâce aux systèmes de classification des activités, des fonctions et des professions. Ces documents, officiellement approuvés par le gouvernement, fixent des dénominations neutres quant au genre et des exigences de qualifications pour chaque profession et chaque fonction.</w:t>
      </w:r>
    </w:p>
    <w:p w14:paraId="4028EBA2" w14:textId="2DFA6EBF"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L’ordonnance du 7 novembre</w:t>
      </w:r>
      <w:r w:rsidR="00462FB3">
        <w:rPr>
          <w:lang w:val="fr-FR"/>
        </w:rPr>
        <w:t xml:space="preserve"> </w:t>
      </w:r>
      <w:r w:rsidRPr="00462FB3">
        <w:rPr>
          <w:lang w:val="fr-FR"/>
        </w:rPr>
        <w:t>2018 relative aux aides financières pour les métiers de la santé augmente progressivement la rémunération des employés des établissements médicaux et pharmaceutiques publics : les salaires sont multipliés par</w:t>
      </w:r>
      <w:r w:rsidR="00462FB3">
        <w:rPr>
          <w:lang w:val="fr-FR"/>
        </w:rPr>
        <w:t xml:space="preserve"> </w:t>
      </w:r>
      <w:r w:rsidRPr="00462FB3">
        <w:rPr>
          <w:lang w:val="fr-FR"/>
        </w:rPr>
        <w:t>1,2 à partir du 1</w:t>
      </w:r>
      <w:r w:rsidRPr="00462FB3">
        <w:rPr>
          <w:vertAlign w:val="superscript"/>
          <w:lang w:val="fr-FR"/>
        </w:rPr>
        <w:t>er </w:t>
      </w:r>
      <w:r w:rsidRPr="00462FB3">
        <w:rPr>
          <w:lang w:val="fr-FR"/>
        </w:rPr>
        <w:t>décembre</w:t>
      </w:r>
      <w:r w:rsidR="00462FB3">
        <w:rPr>
          <w:lang w:val="fr-FR"/>
        </w:rPr>
        <w:t xml:space="preserve"> </w:t>
      </w:r>
      <w:r w:rsidRPr="00462FB3">
        <w:rPr>
          <w:lang w:val="fr-FR"/>
        </w:rPr>
        <w:t>2018, et par</w:t>
      </w:r>
      <w:r w:rsidR="00462FB3">
        <w:rPr>
          <w:lang w:val="fr-FR"/>
        </w:rPr>
        <w:t xml:space="preserve"> </w:t>
      </w:r>
      <w:r w:rsidRPr="00462FB3">
        <w:rPr>
          <w:lang w:val="fr-FR"/>
        </w:rPr>
        <w:t>1,15 à partir du 1</w:t>
      </w:r>
      <w:r w:rsidRPr="00462FB3">
        <w:rPr>
          <w:vertAlign w:val="superscript"/>
          <w:lang w:val="fr-FR"/>
        </w:rPr>
        <w:t>er </w:t>
      </w:r>
      <w:r w:rsidRPr="00462FB3">
        <w:rPr>
          <w:lang w:val="fr-FR"/>
        </w:rPr>
        <w:t>avril</w:t>
      </w:r>
      <w:r w:rsidR="00462FB3">
        <w:rPr>
          <w:lang w:val="fr-FR"/>
        </w:rPr>
        <w:t xml:space="preserve"> </w:t>
      </w:r>
      <w:r w:rsidRPr="00462FB3">
        <w:rPr>
          <w:lang w:val="fr-FR"/>
        </w:rPr>
        <w:t>2019. Le Ministère de la santé a créé un Fonds de développement et d’incitation matérielle pour les employés des agences de santé.</w:t>
      </w:r>
    </w:p>
    <w:p w14:paraId="7CE4725A" w14:textId="4D3E5A3C" w:rsidR="00FF0818" w:rsidRPr="001D3647" w:rsidRDefault="00FF0818" w:rsidP="00462FB3">
      <w:pPr>
        <w:pStyle w:val="SingleTxt"/>
        <w:numPr>
          <w:ilvl w:val="0"/>
          <w:numId w:val="19"/>
        </w:numPr>
        <w:tabs>
          <w:tab w:val="num" w:pos="2804"/>
        </w:tabs>
        <w:spacing w:line="240" w:lineRule="exact"/>
        <w:ind w:left="1267"/>
        <w:rPr>
          <w:lang w:val="fr-CH"/>
        </w:rPr>
      </w:pPr>
      <w:r w:rsidRPr="00462FB3">
        <w:rPr>
          <w:lang w:val="fr-FR"/>
        </w:rPr>
        <w:t>En 2018, un total de 157 186 accords collectifs était en vigueur dans le pays. La section concernant le travail des femmes et les adaptations dont bénéficient les personnes ayant des obligations familiales a été amendée dans le sens d’une réduction d’une heure de la semaine de travail pour les femmes ayant au moins deux enfants de moins de 12 ans ou des enfants handicapés de moins de 16 ans, ainsi que pour les femmes célibataires ayant des enfants scolarisés en primaire</w:t>
      </w:r>
      <w:r>
        <w:rPr>
          <w:lang w:val="fr-FR"/>
        </w:rPr>
        <w:t>.</w:t>
      </w:r>
    </w:p>
    <w:p w14:paraId="6303D1FE" w14:textId="77777777" w:rsidR="00FF0818" w:rsidRPr="001D3647" w:rsidRDefault="00FF0818" w:rsidP="00FF0818">
      <w:pPr>
        <w:pStyle w:val="SingleTxt"/>
        <w:spacing w:after="0" w:line="120" w:lineRule="exact"/>
        <w:rPr>
          <w:b/>
          <w:sz w:val="10"/>
          <w:lang w:val="fr-CH"/>
        </w:rPr>
      </w:pPr>
    </w:p>
    <w:p w14:paraId="249BDB4F" w14:textId="77777777" w:rsidR="00FF0818" w:rsidRPr="001D3647" w:rsidRDefault="00FF0818" w:rsidP="00FF081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3647">
        <w:rPr>
          <w:lang w:val="fr-CH"/>
        </w:rPr>
        <w:tab/>
      </w:r>
      <w:r w:rsidRPr="001D3647">
        <w:rPr>
          <w:lang w:val="fr-CH"/>
        </w:rPr>
        <w:tab/>
      </w:r>
      <w:r>
        <w:rPr>
          <w:lang w:val="fr-FR"/>
        </w:rPr>
        <w:t>Question</w:t>
      </w:r>
      <w:r w:rsidRPr="001D3647">
        <w:rPr>
          <w:lang w:val="fr-CH"/>
        </w:rPr>
        <w:t xml:space="preserve"> 18</w:t>
      </w:r>
    </w:p>
    <w:p w14:paraId="0A393DF8" w14:textId="77777777" w:rsidR="00FF0818" w:rsidRPr="001D3647" w:rsidRDefault="00FF0818" w:rsidP="00FF0818">
      <w:pPr>
        <w:pStyle w:val="SingleTxt"/>
        <w:spacing w:after="0" w:line="120" w:lineRule="exact"/>
        <w:rPr>
          <w:bCs/>
          <w:sz w:val="10"/>
          <w:lang w:val="fr-CH"/>
        </w:rPr>
      </w:pPr>
    </w:p>
    <w:p w14:paraId="510B0585" w14:textId="1343C1EF"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L’article 225 du Code du travail interdit l’emploi de femmes pour des tâches réalisées dans des conditions difficiles ou souterraines, sauf à de rares exceptions. La levée et le transport manuel de charges lourdes leur sont également interdits au-delà d’une norme de poids spécifique.</w:t>
      </w:r>
    </w:p>
    <w:p w14:paraId="2EDFA286" w14:textId="4DE392D5"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w:t>
      </w:r>
      <w:r w:rsidR="0037061B" w:rsidRPr="00462FB3">
        <w:rPr>
          <w:lang w:val="fr-FR"/>
        </w:rPr>
        <w:t xml:space="preserve"> </w:t>
      </w:r>
      <w:r w:rsidRPr="00462FB3">
        <w:rPr>
          <w:lang w:val="fr-FR"/>
        </w:rPr>
        <w:t>décision du 7 mars</w:t>
      </w:r>
      <w:r w:rsidR="00462FB3">
        <w:rPr>
          <w:lang w:val="fr-FR"/>
        </w:rPr>
        <w:t xml:space="preserve"> </w:t>
      </w:r>
      <w:r w:rsidRPr="00462FB3">
        <w:rPr>
          <w:lang w:val="fr-FR"/>
        </w:rPr>
        <w:t>2019 renforçant la protection des droits des travailleurs et soutenant l’entrepreneuriat des femmes supprime, à partir du 1</w:t>
      </w:r>
      <w:r w:rsidRPr="00462FB3">
        <w:rPr>
          <w:vertAlign w:val="superscript"/>
          <w:lang w:val="fr-FR"/>
        </w:rPr>
        <w:t>er</w:t>
      </w:r>
      <w:r w:rsidR="00462FB3">
        <w:rPr>
          <w:vertAlign w:val="superscript"/>
          <w:lang w:val="fr-FR"/>
        </w:rPr>
        <w:t> </w:t>
      </w:r>
      <w:r w:rsidRPr="00462FB3">
        <w:rPr>
          <w:lang w:val="fr-FR"/>
        </w:rPr>
        <w:t>mai</w:t>
      </w:r>
      <w:r w:rsidR="00462FB3">
        <w:rPr>
          <w:lang w:val="fr-FR"/>
        </w:rPr>
        <w:t xml:space="preserve"> </w:t>
      </w:r>
      <w:r w:rsidRPr="00462FB3">
        <w:rPr>
          <w:lang w:val="fr-FR"/>
        </w:rPr>
        <w:t>2019, l’interdiction d’employer des femmes dans certains secteurs et certaines professions.</w:t>
      </w:r>
    </w:p>
    <w:p w14:paraId="546AB509" w14:textId="591C5DA1"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 liste de tâches réalisées dans des conditions difficiles et interdites entièrement ou partiellement aux femmes, approuvée le 5 janvier</w:t>
      </w:r>
      <w:r w:rsidR="00462FB3">
        <w:rPr>
          <w:lang w:val="fr-FR"/>
        </w:rPr>
        <w:t xml:space="preserve"> </w:t>
      </w:r>
      <w:r w:rsidRPr="00462FB3">
        <w:rPr>
          <w:lang w:val="fr-FR"/>
        </w:rPr>
        <w:t>2000, n’a plus aucune valeur juridique. En</w:t>
      </w:r>
      <w:r w:rsidR="00462FB3">
        <w:rPr>
          <w:lang w:val="fr-FR"/>
        </w:rPr>
        <w:t xml:space="preserve"> </w:t>
      </w:r>
      <w:r w:rsidRPr="00462FB3">
        <w:rPr>
          <w:lang w:val="fr-FR"/>
        </w:rPr>
        <w:t>2019, les ministères de l’emploi et de la santé ont dressé une liste des secteurs et des professions pouvant avoir des effets néfastes sur la santé des femmes. Ils recommandent de ne pas employer de femmes aux fonctions concernées.</w:t>
      </w:r>
    </w:p>
    <w:p w14:paraId="1CB0099E" w14:textId="54B6E67E"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lastRenderedPageBreak/>
        <w:t>En</w:t>
      </w:r>
      <w:r w:rsidR="00462FB3">
        <w:rPr>
          <w:lang w:val="fr-FR"/>
        </w:rPr>
        <w:t xml:space="preserve"> </w:t>
      </w:r>
      <w:r w:rsidRPr="00462FB3">
        <w:rPr>
          <w:lang w:val="fr-FR"/>
        </w:rPr>
        <w:t xml:space="preserve">2020, l’Ouzbékistan a ratifié les conventions de l’Organisation internationale du travail </w:t>
      </w:r>
      <w:bookmarkStart w:id="1" w:name="page-title"/>
      <w:bookmarkEnd w:id="1"/>
      <w:r w:rsidRPr="00462FB3">
        <w:rPr>
          <w:lang w:val="fr-FR"/>
        </w:rPr>
        <w:t>sur le cadre promotionnel pour la sécurité et la santé au travail (</w:t>
      </w:r>
      <w:r w:rsidR="00B80934">
        <w:rPr>
          <w:lang w:val="fr-FR"/>
        </w:rPr>
        <w:t>n</w:t>
      </w:r>
      <w:r w:rsidR="00B80934" w:rsidRPr="00B80934">
        <w:rPr>
          <w:vertAlign w:val="superscript"/>
          <w:lang w:val="fr-FR"/>
        </w:rPr>
        <w:t>o</w:t>
      </w:r>
      <w:r w:rsidRPr="00462FB3">
        <w:rPr>
          <w:lang w:val="fr-FR"/>
        </w:rPr>
        <w:t> 1</w:t>
      </w:r>
      <w:bookmarkStart w:id="2" w:name="page-title1"/>
      <w:bookmarkEnd w:id="2"/>
      <w:r w:rsidRPr="00462FB3">
        <w:rPr>
          <w:lang w:val="fr-FR"/>
        </w:rPr>
        <w:t>87), sur la réparation des accidents du travail (</w:t>
      </w:r>
      <w:r w:rsidR="00B80934">
        <w:rPr>
          <w:lang w:val="fr-FR"/>
        </w:rPr>
        <w:t>n</w:t>
      </w:r>
      <w:r w:rsidR="00B80934" w:rsidRPr="00B80934">
        <w:rPr>
          <w:vertAlign w:val="superscript"/>
          <w:lang w:val="fr-FR"/>
        </w:rPr>
        <w:t>o</w:t>
      </w:r>
      <w:r w:rsidRPr="00462FB3">
        <w:rPr>
          <w:lang w:val="fr-FR"/>
        </w:rPr>
        <w:t> 17), sur la protection de la maternité (</w:t>
      </w:r>
      <w:r w:rsidR="00B80934">
        <w:rPr>
          <w:lang w:val="fr-FR"/>
        </w:rPr>
        <w:t>n</w:t>
      </w:r>
      <w:r w:rsidR="00B80934" w:rsidRPr="00B80934">
        <w:rPr>
          <w:vertAlign w:val="superscript"/>
          <w:lang w:val="fr-FR"/>
        </w:rPr>
        <w:t>o</w:t>
      </w:r>
      <w:r w:rsidRPr="00462FB3">
        <w:rPr>
          <w:lang w:val="fr-FR"/>
        </w:rPr>
        <w:t> 183</w:t>
      </w:r>
      <w:bookmarkStart w:id="3" w:name="page-title2"/>
      <w:bookmarkEnd w:id="3"/>
      <w:r w:rsidRPr="00462FB3">
        <w:rPr>
          <w:lang w:val="fr-FR"/>
        </w:rPr>
        <w:t>) et sur la sécurité et la santé dans la construction (</w:t>
      </w:r>
      <w:r w:rsidR="00B80934">
        <w:rPr>
          <w:lang w:val="fr-FR"/>
        </w:rPr>
        <w:t>n</w:t>
      </w:r>
      <w:r w:rsidR="00B80934" w:rsidRPr="00B80934">
        <w:rPr>
          <w:vertAlign w:val="superscript"/>
          <w:lang w:val="fr-FR"/>
        </w:rPr>
        <w:t>o</w:t>
      </w:r>
      <w:r w:rsidRPr="00462FB3">
        <w:rPr>
          <w:lang w:val="fr-FR"/>
        </w:rPr>
        <w:t> 167).</w:t>
      </w:r>
    </w:p>
    <w:p w14:paraId="286DA2BB" w14:textId="01460951"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Les dispositions incluses dans ces textes sont intégrées au Code du travail, à la loi sur la protection du travail et à d’autres actes normatifs. La loi sur la protection du travail garantit la protection du droit du travail.</w:t>
      </w:r>
    </w:p>
    <w:p w14:paraId="1108997B" w14:textId="76E0123C" w:rsidR="00FF0818" w:rsidRPr="001D3647" w:rsidRDefault="00FF0818" w:rsidP="00462FB3">
      <w:pPr>
        <w:pStyle w:val="SingleTxt"/>
        <w:numPr>
          <w:ilvl w:val="0"/>
          <w:numId w:val="19"/>
        </w:numPr>
        <w:tabs>
          <w:tab w:val="num" w:pos="2804"/>
        </w:tabs>
        <w:spacing w:line="240" w:lineRule="exact"/>
        <w:ind w:left="1267"/>
        <w:rPr>
          <w:lang w:val="fr-CH"/>
        </w:rPr>
      </w:pPr>
      <w:r w:rsidRPr="00462FB3">
        <w:rPr>
          <w:lang w:val="fr-FR"/>
        </w:rPr>
        <w:t>Un projet de Code du travail a été présenté au Parlement. Il prévoit l’instauration d’une liste de tâches particulières réalisées dans des conditions difficiles, pour lesquelles le recours à des femmes est restreint.</w:t>
      </w:r>
      <w:r>
        <w:rPr>
          <w:lang w:val="fr-FR"/>
        </w:rPr>
        <w:t xml:space="preserve"> Le texte a été transmis aux partenaires sociaux.</w:t>
      </w:r>
    </w:p>
    <w:p w14:paraId="11F4CA58" w14:textId="77777777" w:rsidR="00FF0818" w:rsidRPr="001D3647" w:rsidRDefault="00FF0818" w:rsidP="00FF0818">
      <w:pPr>
        <w:pStyle w:val="SingleTxt"/>
        <w:spacing w:after="0" w:line="120" w:lineRule="exact"/>
        <w:rPr>
          <w:bCs/>
          <w:sz w:val="10"/>
          <w:lang w:val="fr-CH"/>
        </w:rPr>
      </w:pPr>
    </w:p>
    <w:p w14:paraId="77035075" w14:textId="77777777" w:rsidR="00FF0818" w:rsidRPr="001D3647" w:rsidRDefault="00FF0818" w:rsidP="00FF0818">
      <w:pPr>
        <w:pStyle w:val="SingleTxt"/>
        <w:spacing w:after="0" w:line="120" w:lineRule="exact"/>
        <w:rPr>
          <w:bCs/>
          <w:sz w:val="10"/>
          <w:lang w:val="fr-CH"/>
        </w:rPr>
      </w:pPr>
    </w:p>
    <w:p w14:paraId="55328513"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Santé</w:t>
      </w:r>
    </w:p>
    <w:p w14:paraId="0E280B63" w14:textId="4AD06DCD" w:rsidR="00FF0818" w:rsidRDefault="00FF0818" w:rsidP="00FF0818">
      <w:pPr>
        <w:pStyle w:val="SingleTxt"/>
        <w:spacing w:after="0" w:line="120" w:lineRule="exact"/>
        <w:rPr>
          <w:sz w:val="10"/>
          <w:lang w:val="fr-CH"/>
        </w:rPr>
      </w:pPr>
    </w:p>
    <w:p w14:paraId="3911228C" w14:textId="77777777" w:rsidR="00462FB3" w:rsidRPr="001D3647" w:rsidRDefault="00462FB3" w:rsidP="00FF0818">
      <w:pPr>
        <w:pStyle w:val="SingleTxt"/>
        <w:spacing w:after="0" w:line="120" w:lineRule="exact"/>
        <w:rPr>
          <w:sz w:val="10"/>
          <w:lang w:val="fr-CH"/>
        </w:rPr>
      </w:pPr>
    </w:p>
    <w:p w14:paraId="31499481"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19</w:t>
      </w:r>
    </w:p>
    <w:p w14:paraId="6ED2F3E6" w14:textId="77777777" w:rsidR="00FF0818" w:rsidRPr="001D3647" w:rsidRDefault="00FF0818" w:rsidP="00FF0818">
      <w:pPr>
        <w:pStyle w:val="SingleTxt"/>
        <w:spacing w:after="0" w:line="120" w:lineRule="exact"/>
        <w:rPr>
          <w:bCs/>
          <w:sz w:val="10"/>
          <w:lang w:val="fr-CH"/>
        </w:rPr>
      </w:pPr>
    </w:p>
    <w:p w14:paraId="2DE3B2FF" w14:textId="67B51772"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Depuis l’indépendance de l’Ouzbékistan, la mortalité maternelle a été divisée par 3, passant de 65,3 pour 100 000 à 21,4 pour 100 000. Les Objectifs du Millénaire pour le développement visaient un taux de</w:t>
      </w:r>
      <w:r w:rsidR="00614F5B">
        <w:rPr>
          <w:lang w:val="fr-FR"/>
        </w:rPr>
        <w:t xml:space="preserve"> </w:t>
      </w:r>
      <w:r w:rsidRPr="00462FB3">
        <w:rPr>
          <w:lang w:val="fr-FR"/>
        </w:rPr>
        <w:t>22,7, atteint en</w:t>
      </w:r>
      <w:r w:rsidR="00614F5B">
        <w:rPr>
          <w:lang w:val="fr-FR"/>
        </w:rPr>
        <w:t xml:space="preserve"> </w:t>
      </w:r>
      <w:r w:rsidRPr="00462FB3">
        <w:rPr>
          <w:lang w:val="fr-FR"/>
        </w:rPr>
        <w:t>2015. La mortalité maternelle a ensuite évolué comme suit</w:t>
      </w:r>
      <w:r w:rsidR="00614F5B">
        <w:rPr>
          <w:lang w:val="fr-FR"/>
        </w:rPr>
        <w:t xml:space="preserve"> </w:t>
      </w:r>
      <w:r w:rsidRPr="00462FB3">
        <w:rPr>
          <w:lang w:val="fr-FR"/>
        </w:rPr>
        <w:t>: 17,4 en</w:t>
      </w:r>
      <w:r w:rsidR="00614F5B">
        <w:rPr>
          <w:lang w:val="fr-FR"/>
        </w:rPr>
        <w:t xml:space="preserve"> </w:t>
      </w:r>
      <w:r w:rsidRPr="00462FB3">
        <w:rPr>
          <w:lang w:val="fr-FR"/>
        </w:rPr>
        <w:t>2016, 21,0 en</w:t>
      </w:r>
      <w:r w:rsidR="00614F5B">
        <w:rPr>
          <w:lang w:val="fr-FR"/>
        </w:rPr>
        <w:t xml:space="preserve"> </w:t>
      </w:r>
      <w:r w:rsidRPr="00462FB3">
        <w:rPr>
          <w:lang w:val="fr-FR"/>
        </w:rPr>
        <w:t>2017, 20,1 en</w:t>
      </w:r>
      <w:r w:rsidR="00614F5B">
        <w:rPr>
          <w:lang w:val="fr-FR"/>
        </w:rPr>
        <w:t xml:space="preserve"> </w:t>
      </w:r>
      <w:r w:rsidRPr="00462FB3">
        <w:rPr>
          <w:lang w:val="fr-FR"/>
        </w:rPr>
        <w:t>2018, 19,1 en</w:t>
      </w:r>
      <w:r w:rsidR="00614F5B">
        <w:rPr>
          <w:lang w:val="fr-FR"/>
        </w:rPr>
        <w:t xml:space="preserve"> </w:t>
      </w:r>
      <w:r w:rsidRPr="00462FB3">
        <w:rPr>
          <w:lang w:val="fr-FR"/>
        </w:rPr>
        <w:t>2019.</w:t>
      </w:r>
    </w:p>
    <w:p w14:paraId="13569E9B" w14:textId="493BDF3E"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La mortalité infantile était de 9,9 </w:t>
      </w:r>
      <w:r w:rsidR="00614F5B" w:rsidRPr="00462FB3">
        <w:rPr>
          <w:lang w:val="fr-FR"/>
        </w:rPr>
        <w:t>%</w:t>
      </w:r>
      <w:r w:rsidRPr="00462FB3">
        <w:rPr>
          <w:lang w:val="fr-FR"/>
        </w:rPr>
        <w:t xml:space="preserve"> en</w:t>
      </w:r>
      <w:r w:rsidR="00614F5B">
        <w:rPr>
          <w:lang w:val="fr-FR"/>
        </w:rPr>
        <w:t xml:space="preserve"> </w:t>
      </w:r>
      <w:r w:rsidRPr="00462FB3">
        <w:rPr>
          <w:lang w:val="fr-FR"/>
        </w:rPr>
        <w:t>2018 et de 9,3</w:t>
      </w:r>
      <w:r w:rsidR="00614F5B">
        <w:rPr>
          <w:lang w:val="fr-FR"/>
        </w:rPr>
        <w:t> </w:t>
      </w:r>
      <w:r w:rsidR="00614F5B" w:rsidRPr="00462FB3">
        <w:rPr>
          <w:lang w:val="fr-FR"/>
        </w:rPr>
        <w:t>%</w:t>
      </w:r>
      <w:r w:rsidRPr="00462FB3">
        <w:rPr>
          <w:lang w:val="fr-FR"/>
        </w:rPr>
        <w:t xml:space="preserve"> en</w:t>
      </w:r>
      <w:r w:rsidR="00614F5B">
        <w:rPr>
          <w:lang w:val="fr-FR"/>
        </w:rPr>
        <w:t xml:space="preserve"> </w:t>
      </w:r>
      <w:r w:rsidRPr="00462FB3">
        <w:rPr>
          <w:lang w:val="fr-FR"/>
        </w:rPr>
        <w:t>2019, soit une baisse de 0,6 point en un an.</w:t>
      </w:r>
    </w:p>
    <w:p w14:paraId="7D0F5C19" w14:textId="12D7C178"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En 2019, la mortalité néonatale précoce (jusqu’au septième jour) était en baisse d’un point en un an, à 3,8 </w:t>
      </w:r>
      <w:r w:rsidR="00614F5B" w:rsidRPr="00462FB3">
        <w:rPr>
          <w:lang w:val="fr-FR"/>
        </w:rPr>
        <w:t>%</w:t>
      </w:r>
      <w:r w:rsidRPr="00462FB3">
        <w:rPr>
          <w:lang w:val="fr-FR"/>
        </w:rPr>
        <w:t xml:space="preserve"> contre 4,8 </w:t>
      </w:r>
      <w:r w:rsidR="00614F5B" w:rsidRPr="00462FB3">
        <w:rPr>
          <w:lang w:val="fr-FR"/>
        </w:rPr>
        <w:t>%</w:t>
      </w:r>
      <w:r w:rsidRPr="00462FB3">
        <w:rPr>
          <w:lang w:val="fr-FR"/>
        </w:rPr>
        <w:t xml:space="preserve"> l’année précédente. En 2020, la mortalité néonatale tardive (du huitième au vingt-huitième jour) était de 5,2 </w:t>
      </w:r>
      <w:r w:rsidR="00614F5B" w:rsidRPr="00462FB3">
        <w:rPr>
          <w:lang w:val="fr-FR"/>
        </w:rPr>
        <w:t>%</w:t>
      </w:r>
      <w:r w:rsidRPr="00462FB3">
        <w:rPr>
          <w:lang w:val="fr-FR"/>
        </w:rPr>
        <w:t>, contre 6,3 </w:t>
      </w:r>
      <w:r w:rsidR="00614F5B" w:rsidRPr="00462FB3">
        <w:rPr>
          <w:lang w:val="fr-FR"/>
        </w:rPr>
        <w:t>%</w:t>
      </w:r>
      <w:r w:rsidR="00614F5B">
        <w:rPr>
          <w:lang w:val="fr-FR"/>
        </w:rPr>
        <w:t xml:space="preserve"> </w:t>
      </w:r>
      <w:r w:rsidRPr="00462FB3">
        <w:rPr>
          <w:lang w:val="fr-FR"/>
        </w:rPr>
        <w:t>en 2018, soit une baisse d’1,1 point en deux ans.</w:t>
      </w:r>
    </w:p>
    <w:p w14:paraId="514D2956" w14:textId="7C3DCC0F"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D’après les statistiques disponibles, en</w:t>
      </w:r>
      <w:r w:rsidR="00614F5B">
        <w:rPr>
          <w:lang w:val="fr-FR"/>
        </w:rPr>
        <w:t xml:space="preserve"> </w:t>
      </w:r>
      <w:r w:rsidRPr="00462FB3">
        <w:rPr>
          <w:lang w:val="fr-FR"/>
        </w:rPr>
        <w:t>2019, les causes de mortalité néonatale étaient : les symptômes respiratoires (39,2 %), les anomalies congénitales</w:t>
      </w:r>
      <w:r w:rsidR="00614F5B">
        <w:rPr>
          <w:lang w:val="fr-FR"/>
        </w:rPr>
        <w:t xml:space="preserve"> </w:t>
      </w:r>
      <w:r w:rsidRPr="00462FB3">
        <w:rPr>
          <w:lang w:val="fr-FR"/>
        </w:rPr>
        <w:t>(18,2 %), l’asphyxie</w:t>
      </w:r>
      <w:r w:rsidR="00614F5B">
        <w:rPr>
          <w:lang w:val="fr-FR"/>
        </w:rPr>
        <w:t> </w:t>
      </w:r>
      <w:r w:rsidRPr="00462FB3">
        <w:rPr>
          <w:lang w:val="fr-FR"/>
        </w:rPr>
        <w:t>(16,5 %), les traumatismes obstétricaux (8,2 %), les pneumonies congénitales</w:t>
      </w:r>
      <w:r w:rsidR="00614F5B">
        <w:rPr>
          <w:lang w:val="fr-FR"/>
        </w:rPr>
        <w:t xml:space="preserve"> </w:t>
      </w:r>
      <w:r w:rsidRPr="00462FB3">
        <w:rPr>
          <w:lang w:val="fr-FR"/>
        </w:rPr>
        <w:t>(6,9 %), les sepsis (5,3 %), d’autres pathologies (5,7 %).</w:t>
      </w:r>
    </w:p>
    <w:p w14:paraId="1837A4A2" w14:textId="69CA6910"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 pays recense 5 146 gynécologues-obstétriciens, soit 57,6 pour 100 000 femmes en âge de procréer (15-49 ans). Ils sont 2 124 en milieu rural, soit un ratio de 48,8 pour 100 000. En 2019, on comptait 1 564 femmes en âge de procréer par gynécologue-obstétricien.</w:t>
      </w:r>
    </w:p>
    <w:p w14:paraId="29B38CE8" w14:textId="31C570FD"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Les femmes enceintes et les filles atteintes de la tuberculose sont hospitalisées dans les établissements nationaux, provinciaux et municipaux spécialisés (pour enfants ou adultes), ou soignées en ambulatoire dans les dispensaires antituberculeux et dans les cliniques généralistes près de chez elles.</w:t>
      </w:r>
    </w:p>
    <w:p w14:paraId="683160A4" w14:textId="7E8C62F6"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Les femmes enceintes et les filles atteintes du VIH/sida sont hospitalisées dans les établissements nationaux, provinciaux et municipaux spécialisés (pour enfants ou adultes), dans les centres anti-sida ou à l’institut de recherche en virologie, ou soignées en ambulatoire</w:t>
      </w:r>
      <w:r w:rsidR="0037061B" w:rsidRPr="00462FB3">
        <w:rPr>
          <w:lang w:val="fr-FR"/>
        </w:rPr>
        <w:t xml:space="preserve"> </w:t>
      </w:r>
      <w:r w:rsidRPr="00462FB3">
        <w:rPr>
          <w:lang w:val="fr-FR"/>
        </w:rPr>
        <w:t>dans les cliniques généralistes près de chez elles.</w:t>
      </w:r>
    </w:p>
    <w:p w14:paraId="495574E7" w14:textId="398C27D6"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On observe une baisse des suicides chez les femmes entre</w:t>
      </w:r>
      <w:r w:rsidR="00614F5B">
        <w:rPr>
          <w:lang w:val="fr-FR"/>
        </w:rPr>
        <w:t xml:space="preserve"> </w:t>
      </w:r>
      <w:r w:rsidRPr="00462FB3">
        <w:rPr>
          <w:lang w:val="fr-FR"/>
        </w:rPr>
        <w:t>2018 et</w:t>
      </w:r>
      <w:r w:rsidR="00614F5B">
        <w:rPr>
          <w:lang w:val="fr-FR"/>
        </w:rPr>
        <w:t xml:space="preserve"> </w:t>
      </w:r>
      <w:r w:rsidRPr="00462FB3">
        <w:rPr>
          <w:lang w:val="fr-FR"/>
        </w:rPr>
        <w:t>2020. En</w:t>
      </w:r>
      <w:r w:rsidR="00614F5B">
        <w:rPr>
          <w:lang w:val="fr-FR"/>
        </w:rPr>
        <w:t xml:space="preserve"> </w:t>
      </w:r>
      <w:r w:rsidRPr="00462FB3">
        <w:rPr>
          <w:lang w:val="fr-FR"/>
        </w:rPr>
        <w:t>2018, 857</w:t>
      </w:r>
      <w:r w:rsidR="00614F5B">
        <w:rPr>
          <w:lang w:val="fr-FR"/>
        </w:rPr>
        <w:t xml:space="preserve"> </w:t>
      </w:r>
      <w:r w:rsidRPr="00462FB3">
        <w:rPr>
          <w:lang w:val="fr-FR"/>
        </w:rPr>
        <w:t>femmes avaient mis fin à leurs jours, contre 793 en</w:t>
      </w:r>
      <w:r w:rsidR="00614F5B">
        <w:rPr>
          <w:lang w:val="fr-FR"/>
        </w:rPr>
        <w:t xml:space="preserve"> </w:t>
      </w:r>
      <w:r w:rsidRPr="00462FB3">
        <w:rPr>
          <w:lang w:val="fr-FR"/>
        </w:rPr>
        <w:t>2019, et 389 au cours des six premiers mois de</w:t>
      </w:r>
      <w:r w:rsidR="00614F5B">
        <w:rPr>
          <w:lang w:val="fr-FR"/>
        </w:rPr>
        <w:t xml:space="preserve"> </w:t>
      </w:r>
      <w:r w:rsidRPr="00462FB3">
        <w:rPr>
          <w:lang w:val="fr-FR"/>
        </w:rPr>
        <w:t>2020. Le suicide des filles était en hausse en</w:t>
      </w:r>
      <w:r w:rsidR="00614F5B">
        <w:rPr>
          <w:lang w:val="fr-FR"/>
        </w:rPr>
        <w:t xml:space="preserve"> </w:t>
      </w:r>
      <w:r w:rsidRPr="00462FB3">
        <w:rPr>
          <w:lang w:val="fr-FR"/>
        </w:rPr>
        <w:t>2019, avec 164</w:t>
      </w:r>
      <w:r w:rsidR="00614F5B">
        <w:rPr>
          <w:lang w:val="fr-FR"/>
        </w:rPr>
        <w:t xml:space="preserve"> </w:t>
      </w:r>
      <w:r w:rsidRPr="00462FB3">
        <w:rPr>
          <w:lang w:val="fr-FR"/>
        </w:rPr>
        <w:t>cas contre 145 l’année précédente. Au cours des six premiers mois de 2020, 68 filles ont mis fin à leurs jours.</w:t>
      </w:r>
    </w:p>
    <w:p w14:paraId="6E72AF63" w14:textId="02338745"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lastRenderedPageBreak/>
        <w:t>Conformément à la loi sur l’aide psychiatrique, une assistance spécialisée est proposée tant en cas d’hospitalisation qu’en ambulatoire, indépendamment du sexe ou de l’âge des patients. Elle intervient à la demande des patients ou avec leur consentement. Toute restriction des droits et des libertés des personnes souffrant de troubles psychiques est interdite.</w:t>
      </w:r>
    </w:p>
    <w:p w14:paraId="40BF5144" w14:textId="0DD910AD"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Les femmes en situation de handicap ont droit à une hospitalisation pour motif psychiatrique au même titre et dans les mêmes conditions que toute autre personne.</w:t>
      </w:r>
    </w:p>
    <w:p w14:paraId="069D718D" w14:textId="65F70CAB"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Les carences en micronutriments, qui augmentent significativement en période de grossesse et d’allaitement, jouent un rôle prépondérant dans l’évolution du taux de mortalité néonatale et infantile. Une disposition du 22</w:t>
      </w:r>
      <w:r w:rsidR="00614F5B">
        <w:rPr>
          <w:lang w:val="fr-FR"/>
        </w:rPr>
        <w:t xml:space="preserve"> </w:t>
      </w:r>
      <w:r w:rsidRPr="00462FB3">
        <w:rPr>
          <w:lang w:val="fr-FR"/>
        </w:rPr>
        <w:t>juillet</w:t>
      </w:r>
      <w:r w:rsidR="00614F5B">
        <w:rPr>
          <w:lang w:val="fr-FR"/>
        </w:rPr>
        <w:t xml:space="preserve"> </w:t>
      </w:r>
      <w:r w:rsidRPr="00462FB3">
        <w:rPr>
          <w:lang w:val="fr-FR"/>
        </w:rPr>
        <w:t>2010 relative à la santé reproductive des mères et des enfants prévoit pour les années</w:t>
      </w:r>
      <w:r w:rsidR="00614F5B">
        <w:rPr>
          <w:lang w:val="fr-FR"/>
        </w:rPr>
        <w:t xml:space="preserve"> </w:t>
      </w:r>
      <w:r w:rsidRPr="00462FB3">
        <w:rPr>
          <w:lang w:val="fr-FR"/>
        </w:rPr>
        <w:t>2018-2020 la mise à la disposition des femmes enceintes vivant en milieu rural, de compléments alimentaires contenant notamment de l’acide folique (vitamine B9).</w:t>
      </w:r>
    </w:p>
    <w:p w14:paraId="6119EB83" w14:textId="44024A1F" w:rsidR="00FF0818" w:rsidRPr="00462FB3" w:rsidRDefault="00FF0818" w:rsidP="00462FB3">
      <w:pPr>
        <w:pStyle w:val="SingleTxt"/>
        <w:numPr>
          <w:ilvl w:val="0"/>
          <w:numId w:val="19"/>
        </w:numPr>
        <w:tabs>
          <w:tab w:val="num" w:pos="2804"/>
        </w:tabs>
        <w:spacing w:line="240" w:lineRule="exact"/>
        <w:ind w:left="1267"/>
        <w:rPr>
          <w:lang w:val="fr-CH"/>
        </w:rPr>
      </w:pPr>
      <w:r w:rsidRPr="00462FB3">
        <w:rPr>
          <w:lang w:val="fr-FR"/>
        </w:rPr>
        <w:t>Dans le cadre du programme national d’enrichissement des farines en fer et en micronutriments, une supplémentation en fer est administrée aux groupes à risques. Par ailleurs, une stratégie pour une alimentation saine a été élaborée et mise en place sur la période 2015-2020. Ces sept dernières années, les établissements médicaux de proximité distribuent gratuitement aux femmes enceintes des compléments alimentaires contenant de l’acide folique et du fer.</w:t>
      </w:r>
    </w:p>
    <w:p w14:paraId="3A6CF0C2" w14:textId="1B86F79B" w:rsidR="00FF0818" w:rsidRPr="001D3647" w:rsidRDefault="00FF0818" w:rsidP="00462FB3">
      <w:pPr>
        <w:pStyle w:val="SingleTxt"/>
        <w:numPr>
          <w:ilvl w:val="0"/>
          <w:numId w:val="19"/>
        </w:numPr>
        <w:tabs>
          <w:tab w:val="num" w:pos="2804"/>
        </w:tabs>
        <w:spacing w:line="240" w:lineRule="exact"/>
        <w:ind w:left="1267"/>
        <w:rPr>
          <w:lang w:val="fr-CH"/>
        </w:rPr>
      </w:pPr>
      <w:r w:rsidRPr="00462FB3">
        <w:rPr>
          <w:lang w:val="fr-FR"/>
        </w:rPr>
        <w:t>Cette stratégie a permis de diviser par trois, de</w:t>
      </w:r>
      <w:r w:rsidR="00614F5B">
        <w:rPr>
          <w:lang w:val="fr-FR"/>
        </w:rPr>
        <w:t xml:space="preserve"> </w:t>
      </w:r>
      <w:r w:rsidRPr="00462FB3">
        <w:rPr>
          <w:lang w:val="fr-FR"/>
        </w:rPr>
        <w:t>60</w:t>
      </w:r>
      <w:r w:rsidR="00614F5B">
        <w:rPr>
          <w:lang w:val="fr-FR"/>
        </w:rPr>
        <w:t xml:space="preserve"> </w:t>
      </w:r>
      <w:r w:rsidRPr="00462FB3">
        <w:rPr>
          <w:lang w:val="fr-FR"/>
        </w:rPr>
        <w:t>% à</w:t>
      </w:r>
      <w:r w:rsidR="00614F5B">
        <w:rPr>
          <w:lang w:val="fr-FR"/>
        </w:rPr>
        <w:t xml:space="preserve"> </w:t>
      </w:r>
      <w:r w:rsidRPr="00462FB3">
        <w:rPr>
          <w:lang w:val="fr-FR"/>
        </w:rPr>
        <w:t>20</w:t>
      </w:r>
      <w:r w:rsidR="00614F5B">
        <w:rPr>
          <w:lang w:val="fr-FR"/>
        </w:rPr>
        <w:t xml:space="preserve"> </w:t>
      </w:r>
      <w:r w:rsidRPr="00462FB3">
        <w:rPr>
          <w:lang w:val="fr-FR"/>
        </w:rPr>
        <w:t>%, la part des femmes enceintes souffrant d’anémie, et par quatre, de</w:t>
      </w:r>
      <w:r w:rsidR="00614F5B">
        <w:rPr>
          <w:lang w:val="fr-FR"/>
        </w:rPr>
        <w:t xml:space="preserve"> </w:t>
      </w:r>
      <w:r w:rsidRPr="00462FB3">
        <w:rPr>
          <w:lang w:val="fr-FR"/>
        </w:rPr>
        <w:t>61</w:t>
      </w:r>
      <w:r w:rsidR="00614F5B">
        <w:rPr>
          <w:lang w:val="fr-FR"/>
        </w:rPr>
        <w:t> </w:t>
      </w:r>
      <w:r w:rsidRPr="00462FB3">
        <w:rPr>
          <w:lang w:val="fr-FR"/>
        </w:rPr>
        <w:t>% à</w:t>
      </w:r>
      <w:r w:rsidR="00614F5B">
        <w:rPr>
          <w:lang w:val="fr-FR"/>
        </w:rPr>
        <w:t xml:space="preserve"> </w:t>
      </w:r>
      <w:r w:rsidRPr="00462FB3">
        <w:rPr>
          <w:lang w:val="fr-FR"/>
        </w:rPr>
        <w:t>16</w:t>
      </w:r>
      <w:r w:rsidR="00614F5B">
        <w:rPr>
          <w:lang w:val="fr-FR"/>
        </w:rPr>
        <w:t> </w:t>
      </w:r>
      <w:r w:rsidRPr="00462FB3">
        <w:rPr>
          <w:lang w:val="fr-FR"/>
        </w:rPr>
        <w:t>%, la part des enfants anémiques de mo</w:t>
      </w:r>
      <w:r>
        <w:rPr>
          <w:lang w:val="fr-FR"/>
        </w:rPr>
        <w:t>ins de 5</w:t>
      </w:r>
      <w:r w:rsidR="00614F5B">
        <w:rPr>
          <w:lang w:val="fr-FR"/>
        </w:rPr>
        <w:t xml:space="preserve"> </w:t>
      </w:r>
      <w:r>
        <w:rPr>
          <w:lang w:val="fr-FR"/>
        </w:rPr>
        <w:t>ans.</w:t>
      </w:r>
    </w:p>
    <w:p w14:paraId="005D1919" w14:textId="77777777" w:rsidR="00FF0818" w:rsidRPr="00614F5B" w:rsidRDefault="00FF0818" w:rsidP="00FF0818">
      <w:pPr>
        <w:pStyle w:val="SingleTxt"/>
        <w:spacing w:after="0" w:line="120" w:lineRule="exact"/>
        <w:rPr>
          <w:bCs/>
          <w:sz w:val="10"/>
          <w:lang w:val="fr-CH"/>
        </w:rPr>
      </w:pPr>
    </w:p>
    <w:p w14:paraId="0E9886A9"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20</w:t>
      </w:r>
    </w:p>
    <w:p w14:paraId="0C72CC2E" w14:textId="77777777" w:rsidR="00FF0818" w:rsidRPr="001D3647" w:rsidRDefault="00FF0818" w:rsidP="00FF0818">
      <w:pPr>
        <w:pStyle w:val="SingleTxt"/>
        <w:spacing w:after="0" w:line="120" w:lineRule="exact"/>
        <w:rPr>
          <w:bCs/>
          <w:sz w:val="10"/>
          <w:lang w:val="fr-CH"/>
        </w:rPr>
      </w:pPr>
    </w:p>
    <w:p w14:paraId="2B0FA6D5" w14:textId="23D5B18E"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En Ouzbékistan, femmes et hommes ont droit à l’information concernant les méthodes de planification familiale sûres, efficaces, bon marché et acceptables et toute autre méthode de contrôle de la fertilité autorisée par la loi. Ils ont accès aux établissements médicaux où les femmes et les jeunes peuvent bénéficier de services de contraception. L’amélioration de la qualité des services et l’unification des méthodes de planification familiale, en particulier en matière de contraception, contribuent à la diminution des grossesses non désirées, des risques pour la santé des femmes, du taux de mortalité maternelle et infantile, du nombre de grossesses chez les adolescentes. Elles contribuent également à prévenir les infections par le VIH.</w:t>
      </w:r>
    </w:p>
    <w:p w14:paraId="1280062A" w14:textId="180C6A55"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L’utilisation de moyens de contraception et les campagnes d’information consacrées à la santé reproductive ont permis de réduire le nombre de grossesses et d’accouchements non désirés, notamment chez les adolescentes de</w:t>
      </w:r>
      <w:r w:rsidR="00614F5B">
        <w:rPr>
          <w:lang w:val="fr-FR"/>
        </w:rPr>
        <w:t xml:space="preserve"> </w:t>
      </w:r>
      <w:r w:rsidRPr="00614F5B">
        <w:rPr>
          <w:lang w:val="fr-FR"/>
        </w:rPr>
        <w:t>15 à</w:t>
      </w:r>
      <w:r w:rsidR="00614F5B">
        <w:rPr>
          <w:lang w:val="fr-FR"/>
        </w:rPr>
        <w:t xml:space="preserve"> </w:t>
      </w:r>
      <w:r w:rsidRPr="00614F5B">
        <w:rPr>
          <w:lang w:val="fr-FR"/>
        </w:rPr>
        <w:t>17</w:t>
      </w:r>
      <w:r w:rsidR="00614F5B">
        <w:rPr>
          <w:lang w:val="fr-FR"/>
        </w:rPr>
        <w:t xml:space="preserve"> </w:t>
      </w:r>
      <w:r w:rsidRPr="00614F5B">
        <w:rPr>
          <w:lang w:val="fr-FR"/>
        </w:rPr>
        <w:t>ans, ainsi que le nombre d’avortements.</w:t>
      </w:r>
    </w:p>
    <w:p w14:paraId="54793B92" w14:textId="5A25F2A9"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En mars</w:t>
      </w:r>
      <w:r w:rsidR="00614F5B">
        <w:rPr>
          <w:lang w:val="fr-FR"/>
        </w:rPr>
        <w:t xml:space="preserve"> </w:t>
      </w:r>
      <w:r w:rsidRPr="00614F5B">
        <w:rPr>
          <w:lang w:val="fr-FR"/>
        </w:rPr>
        <w:t>2011, un groupe de travail a été chargé de mettre en place des «</w:t>
      </w:r>
      <w:r w:rsidR="00614F5B">
        <w:rPr>
          <w:lang w:val="fr-FR"/>
        </w:rPr>
        <w:t xml:space="preserve"> </w:t>
      </w:r>
      <w:r w:rsidRPr="00614F5B">
        <w:rPr>
          <w:lang w:val="fr-FR"/>
        </w:rPr>
        <w:t>parcours de la sécurité</w:t>
      </w:r>
      <w:r w:rsidR="00614F5B">
        <w:rPr>
          <w:lang w:val="fr-FR"/>
        </w:rPr>
        <w:t xml:space="preserve"> </w:t>
      </w:r>
      <w:r w:rsidRPr="00614F5B">
        <w:rPr>
          <w:lang w:val="fr-FR"/>
        </w:rPr>
        <w:t>» en Ouzbékistan. Ces tournées de sensibilisation organisent des ateliers pratiques destinés aux jeunes.</w:t>
      </w:r>
    </w:p>
    <w:p w14:paraId="49EF205D" w14:textId="297CFB20"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Les «</w:t>
      </w:r>
      <w:r w:rsidR="00614F5B">
        <w:rPr>
          <w:lang w:val="fr-FR"/>
        </w:rPr>
        <w:t xml:space="preserve"> </w:t>
      </w:r>
      <w:r w:rsidRPr="00614F5B">
        <w:rPr>
          <w:lang w:val="fr-FR"/>
        </w:rPr>
        <w:t>parcours de la sécurité</w:t>
      </w:r>
      <w:r w:rsidR="00614F5B">
        <w:rPr>
          <w:lang w:val="fr-FR"/>
        </w:rPr>
        <w:t xml:space="preserve"> </w:t>
      </w:r>
      <w:r w:rsidRPr="00614F5B">
        <w:rPr>
          <w:lang w:val="fr-FR"/>
        </w:rPr>
        <w:t>» s’arrêtent régulièrement dans les établissements d’enseignement secondaire. Depuis</w:t>
      </w:r>
      <w:r w:rsidR="00614F5B">
        <w:rPr>
          <w:lang w:val="fr-FR"/>
        </w:rPr>
        <w:t xml:space="preserve"> </w:t>
      </w:r>
      <w:r w:rsidRPr="00614F5B">
        <w:rPr>
          <w:lang w:val="fr-FR"/>
        </w:rPr>
        <w:t>2017, les polycliniques généralistes des régions ouvrent des services de consultation féminine et des centres pour la santé des filles.</w:t>
      </w:r>
    </w:p>
    <w:p w14:paraId="75B95ED5" w14:textId="35CE680B"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Toute intervention chirurgicale à visée contraceptive nécessite le consentement libre, préalable, conscient et informé de la personne ou du couple marié.</w:t>
      </w:r>
    </w:p>
    <w:p w14:paraId="6378036B" w14:textId="7E482632"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Sur 33,3</w:t>
      </w:r>
      <w:r w:rsidR="00614F5B">
        <w:rPr>
          <w:lang w:val="fr-FR"/>
        </w:rPr>
        <w:t xml:space="preserve"> </w:t>
      </w:r>
      <w:r w:rsidRPr="00614F5B">
        <w:rPr>
          <w:lang w:val="fr-FR"/>
        </w:rPr>
        <w:t>millions d’habitants, l’Ouzbékistan compte 8,9</w:t>
      </w:r>
      <w:r w:rsidR="00614F5B">
        <w:rPr>
          <w:lang w:val="fr-FR"/>
        </w:rPr>
        <w:t xml:space="preserve"> </w:t>
      </w:r>
      <w:r w:rsidRPr="00614F5B">
        <w:rPr>
          <w:lang w:val="fr-FR"/>
        </w:rPr>
        <w:t>millions de femmes en âge de procréer (27</w:t>
      </w:r>
      <w:r w:rsidR="00614F5B">
        <w:rPr>
          <w:lang w:val="fr-FR"/>
        </w:rPr>
        <w:t xml:space="preserve"> </w:t>
      </w:r>
      <w:r w:rsidRPr="00614F5B">
        <w:rPr>
          <w:lang w:val="fr-FR"/>
        </w:rPr>
        <w:t>%). Le nombre d’avortements est de 4,6 pour 100</w:t>
      </w:r>
      <w:r w:rsidR="00614F5B">
        <w:rPr>
          <w:lang w:val="fr-FR"/>
        </w:rPr>
        <w:t xml:space="preserve"> </w:t>
      </w:r>
      <w:r w:rsidRPr="00614F5B">
        <w:rPr>
          <w:lang w:val="fr-FR"/>
        </w:rPr>
        <w:t>000</w:t>
      </w:r>
      <w:r w:rsidR="00614F5B">
        <w:rPr>
          <w:lang w:val="fr-FR"/>
        </w:rPr>
        <w:t xml:space="preserve"> </w:t>
      </w:r>
      <w:r w:rsidRPr="00614F5B">
        <w:rPr>
          <w:lang w:val="fr-FR"/>
        </w:rPr>
        <w:t>femmes en âge de procréer, et de 56,5 pour 100</w:t>
      </w:r>
      <w:r w:rsidR="00614F5B">
        <w:rPr>
          <w:lang w:val="fr-FR"/>
        </w:rPr>
        <w:t xml:space="preserve"> </w:t>
      </w:r>
      <w:r w:rsidRPr="00614F5B">
        <w:rPr>
          <w:lang w:val="fr-FR"/>
        </w:rPr>
        <w:t>naissances vivantes.</w:t>
      </w:r>
    </w:p>
    <w:p w14:paraId="0E280B66" w14:textId="3E797EB1"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lastRenderedPageBreak/>
        <w:t>Le 12 juin</w:t>
      </w:r>
      <w:r w:rsidR="00614F5B">
        <w:rPr>
          <w:lang w:val="fr-FR"/>
        </w:rPr>
        <w:t xml:space="preserve"> </w:t>
      </w:r>
      <w:r w:rsidRPr="00614F5B">
        <w:rPr>
          <w:lang w:val="fr-FR"/>
        </w:rPr>
        <w:t xml:space="preserve">2020, le Ministère de la santé a entériné le décret </w:t>
      </w:r>
      <w:r w:rsidR="00614F5B">
        <w:rPr>
          <w:lang w:val="fr-FR"/>
        </w:rPr>
        <w:t>n</w:t>
      </w:r>
      <w:r w:rsidR="00614F5B" w:rsidRPr="00614F5B">
        <w:rPr>
          <w:vertAlign w:val="superscript"/>
          <w:lang w:val="fr-FR"/>
        </w:rPr>
        <w:t>o</w:t>
      </w:r>
      <w:r w:rsidR="00614F5B">
        <w:rPr>
          <w:lang w:val="fr-CH"/>
        </w:rPr>
        <w:t> </w:t>
      </w:r>
      <w:r w:rsidRPr="00614F5B">
        <w:rPr>
          <w:lang w:val="fr-FR"/>
        </w:rPr>
        <w:t>124 relatif aux procédures d’intervention volontaire de grossesse. Ces trois dernières années, grâce aux mesures prises en la matière, on n’a enregistré aucun cas de mort maternelle consécutive à une interruption volontaire de grossesse, ni aucun cas d’avortement dit «</w:t>
      </w:r>
      <w:r w:rsidR="00614F5B">
        <w:rPr>
          <w:lang w:val="fr-FR"/>
        </w:rPr>
        <w:t xml:space="preserve"> </w:t>
      </w:r>
      <w:r w:rsidRPr="00614F5B">
        <w:rPr>
          <w:lang w:val="fr-FR"/>
        </w:rPr>
        <w:t>à risque</w:t>
      </w:r>
      <w:r w:rsidR="00614F5B">
        <w:rPr>
          <w:lang w:val="fr-FR"/>
        </w:rPr>
        <w:t xml:space="preserve"> </w:t>
      </w:r>
      <w:r w:rsidRPr="00614F5B">
        <w:rPr>
          <w:lang w:val="fr-FR"/>
        </w:rPr>
        <w:t>».</w:t>
      </w:r>
    </w:p>
    <w:p w14:paraId="3149EE45" w14:textId="77777777" w:rsidR="00FF0818" w:rsidRPr="00614F5B" w:rsidRDefault="00FF0818" w:rsidP="00FF0818">
      <w:pPr>
        <w:pStyle w:val="SingleTxt"/>
        <w:spacing w:after="0" w:line="120" w:lineRule="exact"/>
        <w:rPr>
          <w:bCs/>
          <w:sz w:val="10"/>
          <w:lang w:val="fr-CH"/>
        </w:rPr>
      </w:pPr>
    </w:p>
    <w:p w14:paraId="7C4698F7" w14:textId="77777777" w:rsidR="00FF0818" w:rsidRPr="00614F5B" w:rsidRDefault="00FF0818" w:rsidP="00FF0818">
      <w:pPr>
        <w:pStyle w:val="SingleTxt"/>
        <w:spacing w:after="0" w:line="120" w:lineRule="exact"/>
        <w:rPr>
          <w:bCs/>
          <w:sz w:val="10"/>
          <w:lang w:val="fr-CH"/>
        </w:rPr>
      </w:pPr>
    </w:p>
    <w:p w14:paraId="3B673C02"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t>Autonomisation économique des femmes et avantages sociaux</w:t>
      </w:r>
    </w:p>
    <w:p w14:paraId="0275F15F" w14:textId="55FE1714" w:rsidR="00FF0818" w:rsidRPr="00614F5B" w:rsidRDefault="00FF0818" w:rsidP="00FF0818">
      <w:pPr>
        <w:pStyle w:val="SingleTxt"/>
        <w:spacing w:after="0" w:line="120" w:lineRule="exact"/>
        <w:rPr>
          <w:bCs/>
          <w:sz w:val="10"/>
          <w:lang w:val="fr-CH"/>
        </w:rPr>
      </w:pPr>
    </w:p>
    <w:p w14:paraId="0FC83EBF" w14:textId="77777777" w:rsidR="00614F5B" w:rsidRPr="00614F5B" w:rsidRDefault="00614F5B" w:rsidP="00FF0818">
      <w:pPr>
        <w:pStyle w:val="SingleTxt"/>
        <w:spacing w:after="0" w:line="120" w:lineRule="exact"/>
        <w:rPr>
          <w:bCs/>
          <w:sz w:val="10"/>
          <w:lang w:val="fr-CH"/>
        </w:rPr>
      </w:pPr>
    </w:p>
    <w:p w14:paraId="01B9786C"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21</w:t>
      </w:r>
    </w:p>
    <w:p w14:paraId="434D6F79" w14:textId="77777777" w:rsidR="00FF0818" w:rsidRPr="001D3647" w:rsidRDefault="00FF0818" w:rsidP="00FF0818">
      <w:pPr>
        <w:pStyle w:val="SingleTxt"/>
        <w:spacing w:after="0" w:line="120" w:lineRule="exact"/>
        <w:rPr>
          <w:bCs/>
          <w:sz w:val="10"/>
          <w:lang w:val="fr-CH"/>
        </w:rPr>
      </w:pPr>
    </w:p>
    <w:p w14:paraId="0CBA5431" w14:textId="101BEF1F"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Ont été adoptés, le 2 février 2018, un décret relatif au soutien des femmes et au renforcement de l’institution familiale, et le 7 mars 2019, une disposition renforçant la protection des droits des travailleurs et soutenant l’entrepreneuriat des femmes.</w:t>
      </w:r>
    </w:p>
    <w:p w14:paraId="633C8276" w14:textId="1AB1218D"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Une stratégie et un programme de réduction de la pauvreté ont été élaborés et soumis à l’approbation du gouvernement. Ils concernent notamment l’aide aux femmes. Le programme prévoit des mesures de préservation de la santé des femmes et des familles, de soutien de l’entrepreneuriat des femmes et d’accompagnement approfondi de leur activité.</w:t>
      </w:r>
    </w:p>
    <w:p w14:paraId="2365DE95" w14:textId="6A8C6A89"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Une disposition du 9</w:t>
      </w:r>
      <w:r w:rsidR="00614F5B">
        <w:rPr>
          <w:lang w:val="fr-FR"/>
        </w:rPr>
        <w:t xml:space="preserve"> </w:t>
      </w:r>
      <w:r w:rsidRPr="00614F5B">
        <w:rPr>
          <w:lang w:val="fr-FR"/>
        </w:rPr>
        <w:t>juillet</w:t>
      </w:r>
      <w:r w:rsidR="00614F5B">
        <w:rPr>
          <w:lang w:val="fr-FR"/>
        </w:rPr>
        <w:t xml:space="preserve"> </w:t>
      </w:r>
      <w:r w:rsidRPr="00614F5B">
        <w:rPr>
          <w:lang w:val="fr-FR"/>
        </w:rPr>
        <w:t>2019 instaure un certificat temporaire d’activité pour les autoentrepreneurs. Depuis le 1</w:t>
      </w:r>
      <w:r w:rsidRPr="00614F5B">
        <w:rPr>
          <w:vertAlign w:val="superscript"/>
          <w:lang w:val="fr-FR"/>
        </w:rPr>
        <w:t>er</w:t>
      </w:r>
      <w:r w:rsidR="00614F5B">
        <w:rPr>
          <w:lang w:val="fr-FR"/>
        </w:rPr>
        <w:t xml:space="preserve"> </w:t>
      </w:r>
      <w:r w:rsidRPr="00614F5B">
        <w:rPr>
          <w:lang w:val="fr-FR"/>
        </w:rPr>
        <w:t>septembre</w:t>
      </w:r>
      <w:r w:rsidR="00614F5B">
        <w:rPr>
          <w:lang w:val="fr-FR"/>
        </w:rPr>
        <w:t xml:space="preserve"> </w:t>
      </w:r>
      <w:r w:rsidRPr="00614F5B">
        <w:rPr>
          <w:lang w:val="fr-FR"/>
        </w:rPr>
        <w:t>2019, les directions générales de l’emploi des provinces et de la ville de Tachkent, ainsi que les centres d’accès à l’emploi des villes et districts délivrent des certificats temporaires d’activité qui octroient divers droits aux autoentrepreneurs</w:t>
      </w:r>
      <w:r w:rsidR="00614F5B">
        <w:rPr>
          <w:lang w:val="fr-FR"/>
        </w:rPr>
        <w:t xml:space="preserve"> </w:t>
      </w:r>
      <w:r w:rsidRPr="00614F5B">
        <w:rPr>
          <w:lang w:val="fr-FR"/>
        </w:rPr>
        <w:t>: abattement fiscal, prise en compte de l’expérience, formation professionnelle et entrepreneuriale gratuite. Entre septembre et décembre</w:t>
      </w:r>
      <w:r w:rsidR="00614F5B">
        <w:rPr>
          <w:lang w:val="fr-FR"/>
        </w:rPr>
        <w:t xml:space="preserve"> </w:t>
      </w:r>
      <w:r w:rsidRPr="00614F5B">
        <w:rPr>
          <w:lang w:val="fr-FR"/>
        </w:rPr>
        <w:t>2019, 39</w:t>
      </w:r>
      <w:r w:rsidR="00614F5B">
        <w:rPr>
          <w:lang w:val="fr-FR"/>
        </w:rPr>
        <w:t xml:space="preserve"> </w:t>
      </w:r>
      <w:r w:rsidRPr="00614F5B">
        <w:rPr>
          <w:lang w:val="fr-FR"/>
        </w:rPr>
        <w:t>119</w:t>
      </w:r>
      <w:r w:rsidR="00614F5B">
        <w:rPr>
          <w:lang w:val="fr-FR"/>
        </w:rPr>
        <w:t xml:space="preserve"> </w:t>
      </w:r>
      <w:r w:rsidRPr="00614F5B">
        <w:rPr>
          <w:lang w:val="fr-FR"/>
        </w:rPr>
        <w:t>certificats ont été délivrés à des personnes exerçant une activité non déclarée, dont 19</w:t>
      </w:r>
      <w:r w:rsidR="00614F5B">
        <w:rPr>
          <w:lang w:val="fr-FR"/>
        </w:rPr>
        <w:t xml:space="preserve"> </w:t>
      </w:r>
      <w:r w:rsidRPr="00614F5B">
        <w:rPr>
          <w:lang w:val="fr-FR"/>
        </w:rPr>
        <w:t>938 à des femmes. Entre janvier et juin</w:t>
      </w:r>
      <w:r w:rsidR="00614F5B">
        <w:rPr>
          <w:lang w:val="fr-FR"/>
        </w:rPr>
        <w:t xml:space="preserve"> </w:t>
      </w:r>
      <w:r w:rsidRPr="00614F5B">
        <w:rPr>
          <w:lang w:val="fr-FR"/>
        </w:rPr>
        <w:t>2020, 35</w:t>
      </w:r>
      <w:r w:rsidR="00614F5B">
        <w:rPr>
          <w:lang w:val="fr-FR"/>
        </w:rPr>
        <w:t xml:space="preserve"> </w:t>
      </w:r>
      <w:r w:rsidRPr="00614F5B">
        <w:rPr>
          <w:lang w:val="fr-FR"/>
        </w:rPr>
        <w:t>529</w:t>
      </w:r>
      <w:r w:rsidR="00614F5B">
        <w:rPr>
          <w:lang w:val="fr-FR"/>
        </w:rPr>
        <w:t xml:space="preserve"> </w:t>
      </w:r>
      <w:r w:rsidRPr="00614F5B">
        <w:rPr>
          <w:lang w:val="fr-FR"/>
        </w:rPr>
        <w:t>certificats ont été délivrés, dont 18</w:t>
      </w:r>
      <w:r w:rsidR="00614F5B">
        <w:rPr>
          <w:lang w:val="fr-FR"/>
        </w:rPr>
        <w:t xml:space="preserve"> </w:t>
      </w:r>
      <w:r w:rsidRPr="00614F5B">
        <w:rPr>
          <w:lang w:val="fr-FR"/>
        </w:rPr>
        <w:t>527 à des femmes.</w:t>
      </w:r>
    </w:p>
    <w:p w14:paraId="1618BB52" w14:textId="212101E9"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Une disposition du 8</w:t>
      </w:r>
      <w:r w:rsidR="00614F5B">
        <w:rPr>
          <w:lang w:val="fr-FR"/>
        </w:rPr>
        <w:t xml:space="preserve"> </w:t>
      </w:r>
      <w:r w:rsidRPr="00614F5B">
        <w:rPr>
          <w:lang w:val="fr-FR"/>
        </w:rPr>
        <w:t>juin</w:t>
      </w:r>
      <w:r w:rsidR="00614F5B">
        <w:rPr>
          <w:lang w:val="fr-FR"/>
        </w:rPr>
        <w:t xml:space="preserve"> </w:t>
      </w:r>
      <w:r w:rsidRPr="00614F5B">
        <w:rPr>
          <w:lang w:val="fr-FR"/>
        </w:rPr>
        <w:t xml:space="preserve">2020 simplifie la réglementation de l’activité entrepreneuriale. Désormais, les autoentrepreneurs doivent se déclarer </w:t>
      </w:r>
      <w:r w:rsidRPr="00614F5B">
        <w:rPr>
          <w:i/>
          <w:iCs/>
          <w:lang w:val="fr-FR"/>
        </w:rPr>
        <w:t>via</w:t>
      </w:r>
      <w:r w:rsidRPr="00614F5B">
        <w:rPr>
          <w:lang w:val="fr-FR"/>
        </w:rPr>
        <w:t xml:space="preserve"> l’application mobile consacrée ou </w:t>
      </w:r>
      <w:r w:rsidRPr="00614F5B">
        <w:rPr>
          <w:i/>
          <w:iCs/>
          <w:lang w:val="fr-FR"/>
        </w:rPr>
        <w:t>via</w:t>
      </w:r>
      <w:r w:rsidRPr="00614F5B">
        <w:rPr>
          <w:lang w:val="fr-FR"/>
        </w:rPr>
        <w:t xml:space="preserve"> leur compte personnel sur le site de l’administration fiscale. La réception d’un code</w:t>
      </w:r>
      <w:r w:rsidR="00614F5B">
        <w:rPr>
          <w:lang w:val="fr-FR"/>
        </w:rPr>
        <w:t xml:space="preserve"> </w:t>
      </w:r>
      <w:r w:rsidRPr="00614F5B">
        <w:rPr>
          <w:lang w:val="fr-FR"/>
        </w:rPr>
        <w:t>QR atteste l’enregistrement de l’autoentrepreneur. Cette disposition met un terme à la délivrance de certificats temporaires.</w:t>
      </w:r>
    </w:p>
    <w:p w14:paraId="4DD6ED50" w14:textId="2EDA8962"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Le Code fiscal n’inclut pas dans le calcul des revenus des personnes physiques le produit de l’activité des autoentrepreneurs. En</w:t>
      </w:r>
      <w:r w:rsidR="00614F5B">
        <w:rPr>
          <w:lang w:val="fr-FR"/>
        </w:rPr>
        <w:t xml:space="preserve"> </w:t>
      </w:r>
      <w:r w:rsidRPr="00614F5B">
        <w:rPr>
          <w:lang w:val="fr-FR"/>
        </w:rPr>
        <w:t>2020, pour ces derniers, les charges sociales s’élevaient à au moins 50</w:t>
      </w:r>
      <w:r w:rsidR="00614F5B">
        <w:rPr>
          <w:lang w:val="fr-FR"/>
        </w:rPr>
        <w:t xml:space="preserve"> </w:t>
      </w:r>
      <w:r w:rsidRPr="00614F5B">
        <w:rPr>
          <w:lang w:val="fr-FR"/>
        </w:rPr>
        <w:t>% du montant comptable de base, indépendamment de leurs revenus réels. Cette somme est intégralement versée au fonds de pension extra-budgétaire et sert de base au calcul du montant de la retraite, conformément au système établi pour les entrepreneurs individuels.</w:t>
      </w:r>
    </w:p>
    <w:p w14:paraId="495AFC90" w14:textId="77777777" w:rsidR="00FF0818" w:rsidRPr="001D3647" w:rsidRDefault="00FF0818" w:rsidP="00FF0818">
      <w:pPr>
        <w:pStyle w:val="SingleTxt"/>
        <w:spacing w:after="0" w:line="120" w:lineRule="exact"/>
        <w:rPr>
          <w:bCs/>
          <w:sz w:val="10"/>
          <w:lang w:val="fr-CH"/>
        </w:rPr>
      </w:pPr>
    </w:p>
    <w:p w14:paraId="42980CBC" w14:textId="77777777" w:rsidR="00FF0818" w:rsidRPr="001D3647" w:rsidRDefault="00FF0818" w:rsidP="00FF0818">
      <w:pPr>
        <w:pStyle w:val="SingleTxt"/>
        <w:spacing w:after="0" w:line="120" w:lineRule="exact"/>
        <w:rPr>
          <w:bCs/>
          <w:sz w:val="10"/>
          <w:lang w:val="fr-CH"/>
        </w:rPr>
      </w:pPr>
    </w:p>
    <w:p w14:paraId="5E2D5BC4"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Femmes rurales</w:t>
      </w:r>
    </w:p>
    <w:p w14:paraId="0D265562" w14:textId="10D539B0" w:rsidR="00FF0818" w:rsidRPr="00614F5B" w:rsidRDefault="00FF0818" w:rsidP="00FF0818">
      <w:pPr>
        <w:pStyle w:val="SingleTxt"/>
        <w:spacing w:after="0" w:line="120" w:lineRule="exact"/>
        <w:rPr>
          <w:bCs/>
          <w:sz w:val="10"/>
          <w:lang w:val="fr-CH"/>
        </w:rPr>
      </w:pPr>
    </w:p>
    <w:p w14:paraId="5F12DA8B" w14:textId="77777777" w:rsidR="00614F5B" w:rsidRPr="00614F5B" w:rsidRDefault="00614F5B" w:rsidP="00FF0818">
      <w:pPr>
        <w:pStyle w:val="SingleTxt"/>
        <w:spacing w:after="0" w:line="120" w:lineRule="exact"/>
        <w:rPr>
          <w:bCs/>
          <w:sz w:val="10"/>
          <w:lang w:val="fr-CH"/>
        </w:rPr>
      </w:pPr>
    </w:p>
    <w:p w14:paraId="12A648A7"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22</w:t>
      </w:r>
    </w:p>
    <w:p w14:paraId="103DDD0D" w14:textId="77777777" w:rsidR="00FF0818" w:rsidRPr="001D3647" w:rsidRDefault="00FF0818" w:rsidP="00FF0818">
      <w:pPr>
        <w:pStyle w:val="SingleTxt"/>
        <w:spacing w:after="0" w:line="120" w:lineRule="exact"/>
        <w:rPr>
          <w:bCs/>
          <w:sz w:val="10"/>
          <w:lang w:val="fr-CH"/>
        </w:rPr>
      </w:pPr>
    </w:p>
    <w:p w14:paraId="3055FFE9" w14:textId="016CC073"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 xml:space="preserve">Les programmes publics d’aménagement des </w:t>
      </w:r>
      <w:r w:rsidRPr="00614F5B">
        <w:rPr>
          <w:i/>
          <w:iCs/>
          <w:lang w:val="fr-FR"/>
        </w:rPr>
        <w:t>kichlaks</w:t>
      </w:r>
      <w:r w:rsidRPr="00614F5B">
        <w:rPr>
          <w:lang w:val="fr-FR"/>
        </w:rPr>
        <w:t xml:space="preserve"> (villages) et des </w:t>
      </w:r>
      <w:r w:rsidRPr="00614F5B">
        <w:rPr>
          <w:i/>
          <w:iCs/>
          <w:lang w:val="fr-FR"/>
        </w:rPr>
        <w:t xml:space="preserve">mahallas </w:t>
      </w:r>
      <w:r w:rsidRPr="00614F5B">
        <w:rPr>
          <w:lang w:val="fr-FR"/>
        </w:rPr>
        <w:t>(quartiers) ont évalué l’état de plus de 112</w:t>
      </w:r>
      <w:r w:rsidR="00614F5B" w:rsidRPr="00614F5B">
        <w:rPr>
          <w:lang w:val="fr-FR"/>
        </w:rPr>
        <w:t xml:space="preserve"> </w:t>
      </w:r>
      <w:r w:rsidRPr="00614F5B">
        <w:rPr>
          <w:lang w:val="fr-FR"/>
        </w:rPr>
        <w:t>900 logements et recensé plus de 13</w:t>
      </w:r>
      <w:r w:rsidR="00614F5B" w:rsidRPr="00614F5B">
        <w:rPr>
          <w:lang w:val="fr-FR"/>
        </w:rPr>
        <w:t xml:space="preserve"> </w:t>
      </w:r>
      <w:r w:rsidRPr="00614F5B">
        <w:rPr>
          <w:lang w:val="fr-FR"/>
        </w:rPr>
        <w:t>994 familles vivant dans des conditions difficiles. Dans un but d’amélioration de la situation économique des femmes concernées, 1</w:t>
      </w:r>
      <w:r w:rsidR="00614F5B" w:rsidRPr="00614F5B">
        <w:rPr>
          <w:lang w:val="fr-FR"/>
        </w:rPr>
        <w:t xml:space="preserve"> </w:t>
      </w:r>
      <w:r w:rsidRPr="00614F5B">
        <w:rPr>
          <w:lang w:val="fr-FR"/>
        </w:rPr>
        <w:t>629 d’entre elles ont été formées au métier de couturière et ont reçu des machines à coudre</w:t>
      </w:r>
      <w:r w:rsidR="00614F5B">
        <w:rPr>
          <w:lang w:val="fr-FR"/>
        </w:rPr>
        <w:t> </w:t>
      </w:r>
      <w:r w:rsidRPr="00614F5B">
        <w:rPr>
          <w:lang w:val="fr-FR"/>
        </w:rPr>
        <w:t>; 780 ont commencé une activité à domicile.</w:t>
      </w:r>
    </w:p>
    <w:p w14:paraId="6E474C5B" w14:textId="5E1264F4" w:rsidR="00FF0818" w:rsidRPr="00614F5B" w:rsidRDefault="00FF0818" w:rsidP="00614F5B">
      <w:pPr>
        <w:pStyle w:val="SingleTxt"/>
        <w:numPr>
          <w:ilvl w:val="0"/>
          <w:numId w:val="19"/>
        </w:numPr>
        <w:tabs>
          <w:tab w:val="num" w:pos="2804"/>
        </w:tabs>
        <w:spacing w:line="240" w:lineRule="exact"/>
        <w:ind w:left="1267"/>
        <w:rPr>
          <w:lang w:val="fr-CH"/>
        </w:rPr>
      </w:pPr>
      <w:bookmarkStart w:id="4" w:name="_Hlk89785225"/>
      <w:r w:rsidRPr="00614F5B">
        <w:rPr>
          <w:lang w:val="fr-FR"/>
        </w:rPr>
        <w:t>Aujourd’hui, le secteur de la confection emploie 12</w:t>
      </w:r>
      <w:r w:rsidR="00614F5B" w:rsidRPr="00614F5B">
        <w:rPr>
          <w:lang w:val="fr-FR"/>
        </w:rPr>
        <w:t xml:space="preserve"> </w:t>
      </w:r>
      <w:r w:rsidRPr="00614F5B">
        <w:rPr>
          <w:lang w:val="fr-FR"/>
        </w:rPr>
        <w:t>185</w:t>
      </w:r>
      <w:r w:rsidR="00614F5B" w:rsidRPr="00614F5B">
        <w:rPr>
          <w:lang w:val="fr-FR"/>
        </w:rPr>
        <w:t xml:space="preserve"> </w:t>
      </w:r>
      <w:r w:rsidRPr="00614F5B">
        <w:rPr>
          <w:lang w:val="fr-FR"/>
        </w:rPr>
        <w:t>femmes. À travers le pays, grâce au programme «</w:t>
      </w:r>
      <w:r w:rsidR="00614F5B" w:rsidRPr="00614F5B">
        <w:rPr>
          <w:lang w:val="fr-FR"/>
        </w:rPr>
        <w:t xml:space="preserve"> </w:t>
      </w:r>
      <w:r w:rsidRPr="00614F5B">
        <w:rPr>
          <w:lang w:val="fr-FR"/>
        </w:rPr>
        <w:t>Maîtres et apprentis</w:t>
      </w:r>
      <w:r w:rsidR="00614F5B" w:rsidRPr="00614F5B">
        <w:rPr>
          <w:lang w:val="fr-FR"/>
        </w:rPr>
        <w:t xml:space="preserve"> </w:t>
      </w:r>
      <w:r w:rsidRPr="00614F5B">
        <w:rPr>
          <w:lang w:val="fr-FR"/>
        </w:rPr>
        <w:t>», 5</w:t>
      </w:r>
      <w:r w:rsidR="00614F5B" w:rsidRPr="00614F5B">
        <w:rPr>
          <w:lang w:val="fr-FR"/>
        </w:rPr>
        <w:t xml:space="preserve"> </w:t>
      </w:r>
      <w:r w:rsidRPr="00614F5B">
        <w:rPr>
          <w:lang w:val="fr-FR"/>
        </w:rPr>
        <w:t xml:space="preserve">604 femmes se sont tournées </w:t>
      </w:r>
      <w:r w:rsidRPr="00614F5B">
        <w:rPr>
          <w:lang w:val="fr-FR"/>
        </w:rPr>
        <w:lastRenderedPageBreak/>
        <w:t>vers l’artisanat, 13</w:t>
      </w:r>
      <w:r w:rsidR="00614F5B" w:rsidRPr="00614F5B">
        <w:rPr>
          <w:lang w:val="fr-CH"/>
        </w:rPr>
        <w:t xml:space="preserve"> </w:t>
      </w:r>
      <w:r w:rsidRPr="00614F5B">
        <w:rPr>
          <w:lang w:val="fr-FR"/>
        </w:rPr>
        <w:t xml:space="preserve">754 travaillent à domicile, et plus de 800 petits ateliers de couture ont vu le jour dans les </w:t>
      </w:r>
      <w:r w:rsidRPr="00614F5B">
        <w:rPr>
          <w:i/>
          <w:iCs/>
          <w:lang w:val="fr-FR"/>
        </w:rPr>
        <w:t>mahallas</w:t>
      </w:r>
      <w:r w:rsidRPr="00614F5B">
        <w:rPr>
          <w:lang w:val="fr-FR"/>
        </w:rPr>
        <w:t>. Au Karakalpakstan, 200</w:t>
      </w:r>
      <w:r w:rsidR="00614F5B" w:rsidRPr="00614F5B">
        <w:rPr>
          <w:lang w:val="fr-FR"/>
        </w:rPr>
        <w:t xml:space="preserve"> </w:t>
      </w:r>
      <w:r w:rsidRPr="00614F5B">
        <w:rPr>
          <w:lang w:val="fr-FR"/>
        </w:rPr>
        <w:t xml:space="preserve">emplois ont ainsi été créés dans le village de Manas, 200 dans la </w:t>
      </w:r>
      <w:r w:rsidRPr="00614F5B">
        <w:rPr>
          <w:i/>
          <w:iCs/>
          <w:lang w:val="fr-FR"/>
        </w:rPr>
        <w:t xml:space="preserve">mahalla </w:t>
      </w:r>
      <w:r w:rsidRPr="00614F5B">
        <w:rPr>
          <w:lang w:val="fr-FR"/>
        </w:rPr>
        <w:t xml:space="preserve">Galaba, et 100 dans le district de </w:t>
      </w:r>
      <w:bookmarkEnd w:id="4"/>
      <w:r w:rsidRPr="00614F5B">
        <w:rPr>
          <w:lang w:val="fr-FR"/>
        </w:rPr>
        <w:t>Beruniy. Les différentes mesures prises assurent un travail à environ 10</w:t>
      </w:r>
      <w:r w:rsidR="00614F5B" w:rsidRPr="00614F5B">
        <w:rPr>
          <w:lang w:val="fr-FR"/>
        </w:rPr>
        <w:t xml:space="preserve"> </w:t>
      </w:r>
      <w:r w:rsidRPr="00614F5B">
        <w:rPr>
          <w:lang w:val="fr-FR"/>
        </w:rPr>
        <w:t>000 jeunes femmes.</w:t>
      </w:r>
    </w:p>
    <w:p w14:paraId="40494089" w14:textId="02B7BCAF"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Entre 2019 et 2022, on prévoit l’ouverture de 295 ateliers de couture et de confection à travers le pays. Cela offrira un emploi à 44</w:t>
      </w:r>
      <w:r w:rsidR="00614F5B" w:rsidRPr="00614F5B">
        <w:rPr>
          <w:lang w:val="fr-FR"/>
        </w:rPr>
        <w:t xml:space="preserve"> </w:t>
      </w:r>
      <w:r w:rsidRPr="00614F5B">
        <w:rPr>
          <w:lang w:val="fr-FR"/>
        </w:rPr>
        <w:t>000 femmes rurales.</w:t>
      </w:r>
    </w:p>
    <w:p w14:paraId="553D9CD0" w14:textId="5DCE4975" w:rsidR="00FF0818" w:rsidRPr="001D3647" w:rsidRDefault="00FF0818" w:rsidP="00614F5B">
      <w:pPr>
        <w:pStyle w:val="SingleTxt"/>
        <w:numPr>
          <w:ilvl w:val="0"/>
          <w:numId w:val="19"/>
        </w:numPr>
        <w:tabs>
          <w:tab w:val="num" w:pos="2804"/>
        </w:tabs>
        <w:spacing w:line="240" w:lineRule="exact"/>
        <w:ind w:left="1267"/>
        <w:rPr>
          <w:lang w:val="fr-CH"/>
        </w:rPr>
      </w:pPr>
      <w:r w:rsidRPr="00614F5B">
        <w:rPr>
          <w:lang w:val="fr-FR"/>
        </w:rPr>
        <w:t>Dans le but de permettre aux femmes de suivre des études supérieures, la disposition du 23</w:t>
      </w:r>
      <w:r w:rsidR="00614F5B" w:rsidRPr="00614F5B">
        <w:rPr>
          <w:lang w:val="fr-FR"/>
        </w:rPr>
        <w:t xml:space="preserve"> </w:t>
      </w:r>
      <w:r w:rsidRPr="00614F5B">
        <w:rPr>
          <w:lang w:val="fr-FR"/>
        </w:rPr>
        <w:t>juin</w:t>
      </w:r>
      <w:r w:rsidR="00614F5B" w:rsidRPr="00614F5B">
        <w:rPr>
          <w:lang w:val="fr-FR"/>
        </w:rPr>
        <w:t xml:space="preserve"> </w:t>
      </w:r>
      <w:r w:rsidRPr="00614F5B">
        <w:rPr>
          <w:lang w:val="fr-FR"/>
        </w:rPr>
        <w:t>2020 encadre la procédure de recommandation et d’admission des femmes aux concours d’entrée dans les établissements d’enseignement supérieur, dans la limite des bourses supplémentaires qui leur sont réservées.</w:t>
      </w:r>
    </w:p>
    <w:p w14:paraId="5152235B" w14:textId="0047B75E"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Conformément à la disposition du 11</w:t>
      </w:r>
      <w:r w:rsidR="00614F5B">
        <w:rPr>
          <w:lang w:val="fr-FR"/>
        </w:rPr>
        <w:t xml:space="preserve"> </w:t>
      </w:r>
      <w:r w:rsidRPr="00614F5B">
        <w:rPr>
          <w:lang w:val="fr-FR"/>
        </w:rPr>
        <w:t>août</w:t>
      </w:r>
      <w:r w:rsidR="00614F5B">
        <w:rPr>
          <w:lang w:val="fr-FR"/>
        </w:rPr>
        <w:t xml:space="preserve"> </w:t>
      </w:r>
      <w:r w:rsidRPr="00614F5B">
        <w:rPr>
          <w:lang w:val="fr-FR"/>
        </w:rPr>
        <w:t>2020 relative à la promotion de l’entrepreneuriat auprès des personnes défavorisées ou sans emploi, à l’activité professionnelle, à la formation professionnelle et à l’emploi, 14</w:t>
      </w:r>
      <w:r w:rsidR="00614F5B">
        <w:rPr>
          <w:lang w:val="fr-FR"/>
        </w:rPr>
        <w:t xml:space="preserve"> </w:t>
      </w:r>
      <w:r w:rsidRPr="00614F5B">
        <w:rPr>
          <w:lang w:val="fr-FR"/>
        </w:rPr>
        <w:t>centres d’aide à la recherche d’emploi ont été créés, ainsi que 30</w:t>
      </w:r>
      <w:r w:rsidR="00614F5B">
        <w:rPr>
          <w:lang w:val="fr-FR"/>
        </w:rPr>
        <w:t xml:space="preserve"> </w:t>
      </w:r>
      <w:r w:rsidRPr="00614F5B">
        <w:rPr>
          <w:lang w:val="fr-FR"/>
        </w:rPr>
        <w:t>centres de formation professionnelle, 136</w:t>
      </w:r>
      <w:r w:rsidR="00614F5B">
        <w:rPr>
          <w:lang w:val="fr-FR"/>
        </w:rPr>
        <w:t xml:space="preserve"> </w:t>
      </w:r>
      <w:r w:rsidRPr="00614F5B">
        <w:rPr>
          <w:lang w:val="fr-FR"/>
        </w:rPr>
        <w:t xml:space="preserve">centres de formation professionnelle près les </w:t>
      </w:r>
      <w:r w:rsidRPr="00614F5B">
        <w:rPr>
          <w:i/>
          <w:iCs/>
          <w:lang w:val="fr-FR"/>
        </w:rPr>
        <w:t>mahallas</w:t>
      </w:r>
      <w:r w:rsidRPr="00614F5B">
        <w:rPr>
          <w:lang w:val="fr-FR"/>
        </w:rPr>
        <w:t>, et 11</w:t>
      </w:r>
      <w:r w:rsidR="00614F5B">
        <w:rPr>
          <w:lang w:val="fr-FR"/>
        </w:rPr>
        <w:t xml:space="preserve"> </w:t>
      </w:r>
      <w:r w:rsidRPr="00614F5B">
        <w:rPr>
          <w:lang w:val="fr-FR"/>
        </w:rPr>
        <w:t>formations accélérées dans les quartiers de Tachkent.</w:t>
      </w:r>
    </w:p>
    <w:p w14:paraId="572336AB" w14:textId="366EA4A1"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La chambre de commerce et d’industrie a formé à l’entrepreneuriat 5</w:t>
      </w:r>
      <w:r w:rsidR="00614F5B">
        <w:rPr>
          <w:lang w:val="fr-FR"/>
        </w:rPr>
        <w:t> </w:t>
      </w:r>
      <w:r w:rsidRPr="00614F5B">
        <w:rPr>
          <w:lang w:val="fr-FR"/>
        </w:rPr>
        <w:t>568</w:t>
      </w:r>
      <w:r w:rsidR="00614F5B">
        <w:rPr>
          <w:lang w:val="fr-FR"/>
        </w:rPr>
        <w:t xml:space="preserve"> </w:t>
      </w:r>
      <w:r w:rsidRPr="00614F5B">
        <w:rPr>
          <w:lang w:val="fr-FR"/>
        </w:rPr>
        <w:t>femmes en</w:t>
      </w:r>
      <w:r w:rsidR="00614F5B">
        <w:rPr>
          <w:lang w:val="fr-FR"/>
        </w:rPr>
        <w:t xml:space="preserve"> </w:t>
      </w:r>
      <w:r w:rsidRPr="00614F5B">
        <w:rPr>
          <w:lang w:val="fr-FR"/>
        </w:rPr>
        <w:t>2019 et 6</w:t>
      </w:r>
      <w:r w:rsidR="00614F5B">
        <w:rPr>
          <w:lang w:val="fr-FR"/>
        </w:rPr>
        <w:t xml:space="preserve"> </w:t>
      </w:r>
      <w:r w:rsidRPr="00614F5B">
        <w:rPr>
          <w:lang w:val="fr-FR"/>
        </w:rPr>
        <w:t>634 femmes pendant la période de</w:t>
      </w:r>
      <w:r w:rsidR="00614F5B">
        <w:rPr>
          <w:lang w:val="fr-FR"/>
        </w:rPr>
        <w:t xml:space="preserve"> </w:t>
      </w:r>
      <w:r w:rsidRPr="00614F5B">
        <w:rPr>
          <w:lang w:val="fr-FR"/>
        </w:rPr>
        <w:t>2020 prise en compte.</w:t>
      </w:r>
    </w:p>
    <w:p w14:paraId="7CF52B70" w14:textId="3E182CDC"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Les femmes représentent</w:t>
      </w:r>
      <w:r w:rsidR="00614F5B">
        <w:rPr>
          <w:lang w:val="fr-FR"/>
        </w:rPr>
        <w:t xml:space="preserve"> </w:t>
      </w:r>
      <w:r w:rsidRPr="00614F5B">
        <w:rPr>
          <w:lang w:val="fr-FR"/>
        </w:rPr>
        <w:t>5,4</w:t>
      </w:r>
      <w:r w:rsidR="00614F5B">
        <w:rPr>
          <w:lang w:val="fr-FR"/>
        </w:rPr>
        <w:t xml:space="preserve"> </w:t>
      </w:r>
      <w:r w:rsidRPr="00614F5B">
        <w:rPr>
          <w:lang w:val="fr-FR"/>
        </w:rPr>
        <w:t>% (8</w:t>
      </w:r>
      <w:r w:rsidR="00614F5B">
        <w:rPr>
          <w:lang w:val="fr-FR"/>
        </w:rPr>
        <w:t xml:space="preserve"> </w:t>
      </w:r>
      <w:r w:rsidRPr="00614F5B">
        <w:rPr>
          <w:lang w:val="fr-FR"/>
        </w:rPr>
        <w:t>105) des directrices d’exploitation agricole en Ouzbékistan. Leurs exploitations sont spécialisées dans l’horticulture et la viticulture</w:t>
      </w:r>
      <w:r w:rsidR="00614F5B">
        <w:rPr>
          <w:lang w:val="fr-FR"/>
        </w:rPr>
        <w:t xml:space="preserve"> </w:t>
      </w:r>
      <w:r w:rsidRPr="00614F5B">
        <w:rPr>
          <w:lang w:val="fr-FR"/>
        </w:rPr>
        <w:t>(36,3</w:t>
      </w:r>
      <w:r w:rsidR="00614F5B">
        <w:rPr>
          <w:lang w:val="fr-FR"/>
        </w:rPr>
        <w:t xml:space="preserve"> </w:t>
      </w:r>
      <w:r w:rsidRPr="00614F5B">
        <w:rPr>
          <w:lang w:val="fr-FR"/>
        </w:rPr>
        <w:t>% d’entre elles), la culture cotonnière et la viticulture</w:t>
      </w:r>
      <w:r w:rsidR="00614F5B">
        <w:rPr>
          <w:lang w:val="fr-FR"/>
        </w:rPr>
        <w:t xml:space="preserve"> </w:t>
      </w:r>
      <w:r w:rsidRPr="00614F5B">
        <w:rPr>
          <w:lang w:val="fr-FR"/>
        </w:rPr>
        <w:t>(35,5</w:t>
      </w:r>
      <w:r w:rsidR="00614F5B">
        <w:rPr>
          <w:lang w:val="fr-FR"/>
        </w:rPr>
        <w:t xml:space="preserve"> </w:t>
      </w:r>
      <w:r w:rsidRPr="00614F5B">
        <w:rPr>
          <w:lang w:val="fr-FR"/>
        </w:rPr>
        <w:t>%), la culture de plantes oléagineuses et de cucurbitacées</w:t>
      </w:r>
      <w:r w:rsidR="00614F5B">
        <w:rPr>
          <w:lang w:val="fr-FR"/>
        </w:rPr>
        <w:t xml:space="preserve"> </w:t>
      </w:r>
      <w:r w:rsidRPr="00614F5B">
        <w:rPr>
          <w:lang w:val="fr-FR"/>
        </w:rPr>
        <w:t>(10</w:t>
      </w:r>
      <w:r w:rsidR="00614F5B">
        <w:rPr>
          <w:lang w:val="fr-FR"/>
        </w:rPr>
        <w:t xml:space="preserve"> </w:t>
      </w:r>
      <w:r w:rsidRPr="00614F5B">
        <w:rPr>
          <w:lang w:val="fr-FR"/>
        </w:rPr>
        <w:t>%), la culture maraîchère</w:t>
      </w:r>
      <w:r w:rsidR="00614F5B">
        <w:rPr>
          <w:lang w:val="fr-FR"/>
        </w:rPr>
        <w:t xml:space="preserve"> </w:t>
      </w:r>
      <w:r w:rsidRPr="00614F5B">
        <w:rPr>
          <w:lang w:val="fr-FR"/>
        </w:rPr>
        <w:t>(7,7</w:t>
      </w:r>
      <w:r w:rsidR="00614F5B">
        <w:rPr>
          <w:lang w:val="fr-FR"/>
        </w:rPr>
        <w:t> </w:t>
      </w:r>
      <w:r w:rsidRPr="00614F5B">
        <w:rPr>
          <w:lang w:val="fr-FR"/>
        </w:rPr>
        <w:t>%), l’élevage</w:t>
      </w:r>
      <w:r w:rsidR="00614F5B">
        <w:rPr>
          <w:lang w:val="fr-FR"/>
        </w:rPr>
        <w:t xml:space="preserve"> </w:t>
      </w:r>
      <w:r w:rsidRPr="00614F5B">
        <w:rPr>
          <w:lang w:val="fr-FR"/>
        </w:rPr>
        <w:t>(6,2</w:t>
      </w:r>
      <w:r w:rsidR="00614F5B">
        <w:rPr>
          <w:lang w:val="fr-FR"/>
        </w:rPr>
        <w:t xml:space="preserve"> </w:t>
      </w:r>
      <w:r w:rsidRPr="00614F5B">
        <w:rPr>
          <w:lang w:val="fr-FR"/>
        </w:rPr>
        <w:t>%), la culture maraîchère et de cucurbitacées</w:t>
      </w:r>
      <w:r w:rsidR="00614F5B">
        <w:rPr>
          <w:lang w:val="fr-FR"/>
        </w:rPr>
        <w:t xml:space="preserve"> </w:t>
      </w:r>
      <w:r w:rsidRPr="00614F5B">
        <w:rPr>
          <w:lang w:val="fr-FR"/>
        </w:rPr>
        <w:t>(4,4</w:t>
      </w:r>
      <w:r w:rsidR="00614F5B">
        <w:rPr>
          <w:lang w:val="fr-FR"/>
        </w:rPr>
        <w:t xml:space="preserve"> </w:t>
      </w:r>
      <w:r w:rsidRPr="00614F5B">
        <w:rPr>
          <w:lang w:val="fr-FR"/>
        </w:rPr>
        <w:t>%).</w:t>
      </w:r>
    </w:p>
    <w:p w14:paraId="6490686A" w14:textId="407DBE2D"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Un centre de formation à l’entrepreneuriat financé par l’État a ouvert, de même que des centres régionaux de formation professionnelle. La disposition relative à la formation des chômeurs et de la population inactive a été entérinée.</w:t>
      </w:r>
    </w:p>
    <w:p w14:paraId="130286BF" w14:textId="2FB7D8B3"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D’après les statistiques, la population de l’Ouzbékistan s’élève à plus de 33,5</w:t>
      </w:r>
      <w:r w:rsidR="00614F5B">
        <w:rPr>
          <w:lang w:val="fr-FR"/>
        </w:rPr>
        <w:t xml:space="preserve"> </w:t>
      </w:r>
      <w:r w:rsidRPr="00614F5B">
        <w:rPr>
          <w:lang w:val="fr-FR"/>
        </w:rPr>
        <w:t>millions d’habitants et vit à 49,5</w:t>
      </w:r>
      <w:r w:rsidR="00614F5B">
        <w:rPr>
          <w:lang w:val="fr-FR"/>
        </w:rPr>
        <w:t xml:space="preserve"> </w:t>
      </w:r>
      <w:r w:rsidRPr="00614F5B">
        <w:rPr>
          <w:lang w:val="fr-FR"/>
        </w:rPr>
        <w:t>% en zone rurale. Le nombre de femmes rurales s’élève à 16</w:t>
      </w:r>
      <w:r w:rsidR="00614F5B">
        <w:rPr>
          <w:lang w:val="fr-FR"/>
        </w:rPr>
        <w:t xml:space="preserve"> </w:t>
      </w:r>
      <w:r w:rsidRPr="00614F5B">
        <w:rPr>
          <w:lang w:val="fr-FR"/>
        </w:rPr>
        <w:t>544</w:t>
      </w:r>
      <w:r w:rsidR="00614F5B">
        <w:rPr>
          <w:lang w:val="fr-FR"/>
        </w:rPr>
        <w:t xml:space="preserve"> </w:t>
      </w:r>
      <w:r w:rsidRPr="00614F5B">
        <w:rPr>
          <w:lang w:val="fr-FR"/>
        </w:rPr>
        <w:t>900.</w:t>
      </w:r>
    </w:p>
    <w:p w14:paraId="62F817DD" w14:textId="7F075AE8"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Les principaux objectifs de développement durable à l’horizon 2030 concernent les femmes rurales : leur engagement dans l’entrepreneuriat, leur soutien matériel, leur santé, leur niveau de formation, leur activité. La réalisation de ces objectifs est primordiale pour le développement du pays et de la société civile.</w:t>
      </w:r>
    </w:p>
    <w:p w14:paraId="62B86841" w14:textId="58376FF7"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Afin d’augmenter le niveau de participation des jeunes, y compris des filles de milieu rural, à la gestion des affaires publiques, un parlement des jeunes a été créé sous l’égide des deux chambres du Parlement national (Oliy Majlis). Les objectifs poursuivis sont la formation d’une réserve de futurs cadres dirigeants, incluant des jeunes filles, la réalisation des idées innovantes des jeunes, leur participation à la création de start-ups, le contrôle du progrès des droits des jeunes femmes et des jeunes hommes en milieu rural, ainsi que le développement de leur culture juridique et politique.</w:t>
      </w:r>
    </w:p>
    <w:p w14:paraId="57845FD3" w14:textId="2EE1C4BF"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Un décret du 29</w:t>
      </w:r>
      <w:r w:rsidR="00614F5B">
        <w:rPr>
          <w:lang w:val="fr-FR"/>
        </w:rPr>
        <w:t xml:space="preserve"> </w:t>
      </w:r>
      <w:r w:rsidRPr="00614F5B">
        <w:rPr>
          <w:lang w:val="fr-FR"/>
        </w:rPr>
        <w:t>octobre</w:t>
      </w:r>
      <w:r w:rsidR="00614F5B">
        <w:rPr>
          <w:lang w:val="fr-FR"/>
        </w:rPr>
        <w:t xml:space="preserve"> </w:t>
      </w:r>
      <w:r w:rsidRPr="00614F5B">
        <w:rPr>
          <w:lang w:val="fr-FR"/>
        </w:rPr>
        <w:t xml:space="preserve">2019 entérine la stratégie de développement de l’agriculture pour la période 2020-2030 et son plan de réalisation. Ce document vise à améliorer la politique nationale en matière de sécurité alimentaire. Cela inclut des mesures de sécurité nutritionnelle, une production alimentaire suffisante pour toute la population, la réduction de la présence de l’État dans le secteur agricole, la modernisation de l’administration publique dans un but de hausse de la productivité </w:t>
      </w:r>
      <w:r w:rsidRPr="00614F5B">
        <w:rPr>
          <w:lang w:val="fr-FR"/>
        </w:rPr>
        <w:lastRenderedPageBreak/>
        <w:t>du travail sur les exploitations agricoles, ainsi que l’amélioration de l’accès des populations rurales aux connaissances scientifiques, à l’éducation et à l’information</w:t>
      </w:r>
      <w:r>
        <w:rPr>
          <w:lang w:val="fr-FR"/>
        </w:rPr>
        <w:t>.</w:t>
      </w:r>
    </w:p>
    <w:p w14:paraId="26459507" w14:textId="5672E583" w:rsidR="00614F5B" w:rsidRPr="00614F5B" w:rsidRDefault="00614F5B" w:rsidP="00614F5B">
      <w:pPr>
        <w:pStyle w:val="SingleTxt"/>
        <w:spacing w:after="0" w:line="120" w:lineRule="exact"/>
        <w:rPr>
          <w:sz w:val="10"/>
          <w:lang w:val="fr-FR"/>
        </w:rPr>
      </w:pPr>
    </w:p>
    <w:p w14:paraId="10DBC6BB" w14:textId="5A63BC3D" w:rsidR="00614F5B" w:rsidRPr="00614F5B" w:rsidRDefault="00614F5B" w:rsidP="00614F5B">
      <w:pPr>
        <w:pStyle w:val="SingleTxt"/>
        <w:spacing w:after="0" w:line="120" w:lineRule="exact"/>
        <w:rPr>
          <w:sz w:val="10"/>
          <w:lang w:val="fr-CH"/>
        </w:rPr>
      </w:pPr>
    </w:p>
    <w:p w14:paraId="7F721D3E" w14:textId="77777777"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Groupes de femmes défavorisées</w:t>
      </w:r>
    </w:p>
    <w:p w14:paraId="57D8D1ED" w14:textId="157980EC" w:rsidR="00FF0818" w:rsidRPr="00614F5B" w:rsidRDefault="00FF0818" w:rsidP="00614F5B">
      <w:pPr>
        <w:pStyle w:val="SingleTxt"/>
        <w:spacing w:after="0" w:line="120" w:lineRule="exact"/>
        <w:rPr>
          <w:bCs/>
          <w:sz w:val="10"/>
          <w:lang w:val="fr-CH"/>
        </w:rPr>
      </w:pPr>
    </w:p>
    <w:p w14:paraId="7153A104" w14:textId="77777777" w:rsidR="00614F5B" w:rsidRPr="00614F5B" w:rsidRDefault="00614F5B" w:rsidP="00FF0818">
      <w:pPr>
        <w:pStyle w:val="SingleTxt"/>
        <w:spacing w:after="0" w:line="120" w:lineRule="exact"/>
        <w:rPr>
          <w:bCs/>
          <w:sz w:val="10"/>
          <w:lang w:val="fr-CH"/>
        </w:rPr>
      </w:pPr>
    </w:p>
    <w:p w14:paraId="33FA5B6C"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23</w:t>
      </w:r>
    </w:p>
    <w:p w14:paraId="26920E69" w14:textId="77777777" w:rsidR="00FF0818" w:rsidRPr="001D3647" w:rsidRDefault="00FF0818" w:rsidP="00FF0818">
      <w:pPr>
        <w:pStyle w:val="SingleTxt"/>
        <w:spacing w:after="0" w:line="120" w:lineRule="exact"/>
        <w:rPr>
          <w:bCs/>
          <w:sz w:val="10"/>
          <w:lang w:val="fr-CH"/>
        </w:rPr>
      </w:pPr>
    </w:p>
    <w:p w14:paraId="4C3F9342" w14:textId="68D1F3A1" w:rsidR="00FF0818" w:rsidRPr="00C91DE1" w:rsidRDefault="00FF0818" w:rsidP="00614F5B">
      <w:pPr>
        <w:pStyle w:val="SingleTxt"/>
        <w:numPr>
          <w:ilvl w:val="0"/>
          <w:numId w:val="19"/>
        </w:numPr>
        <w:spacing w:line="240" w:lineRule="exact"/>
        <w:ind w:left="1267"/>
        <w:rPr>
          <w:bCs/>
          <w:lang w:val="fr-CH"/>
        </w:rPr>
      </w:pPr>
      <w:r>
        <w:rPr>
          <w:bCs/>
          <w:lang w:val="fr-FR"/>
        </w:rPr>
        <w:t xml:space="preserve">Les points à élucider le sont dans le Troisième rapport périodique soumis par l’Ouzbékistan en application du Pacte international relatif aux droits économiques, sociaux et </w:t>
      </w:r>
      <w:r w:rsidRPr="00C91DE1">
        <w:rPr>
          <w:bCs/>
          <w:lang w:val="fr-FR"/>
        </w:rPr>
        <w:t>culturels</w:t>
      </w:r>
      <w:r w:rsidR="00614F5B" w:rsidRPr="00C91DE1">
        <w:rPr>
          <w:rStyle w:val="FootnoteReference"/>
          <w:bCs/>
          <w:lang w:val="fr-FR"/>
        </w:rPr>
        <w:footnoteReference w:id="1"/>
      </w:r>
      <w:r w:rsidRPr="00C91DE1">
        <w:rPr>
          <w:bCs/>
          <w:lang w:val="fr-CH"/>
        </w:rPr>
        <w:t xml:space="preserve">, </w:t>
      </w:r>
      <w:r w:rsidRPr="00C91DE1">
        <w:rPr>
          <w:bCs/>
          <w:lang w:val="fr-FR"/>
        </w:rPr>
        <w:t>le Rapport valant dixième et douzième rapports périodiques relatifs à l’application de la Convention sur l’élimination de toutes les formes de discrimination raciale</w:t>
      </w:r>
      <w:r w:rsidR="00614F5B" w:rsidRPr="00C91DE1">
        <w:rPr>
          <w:rStyle w:val="FootnoteReference"/>
          <w:bCs/>
          <w:lang w:val="fr-FR"/>
        </w:rPr>
        <w:footnoteReference w:id="2"/>
      </w:r>
      <w:r w:rsidRPr="00C91DE1">
        <w:rPr>
          <w:bCs/>
          <w:lang w:val="fr-CH"/>
        </w:rPr>
        <w:t xml:space="preserve">, </w:t>
      </w:r>
      <w:r w:rsidRPr="00C91DE1">
        <w:rPr>
          <w:bCs/>
          <w:lang w:val="fr-FR"/>
        </w:rPr>
        <w:t>et le Cinquième rapport soumis par l’Ouzbékistan relatif à l’application de la Convention sur la torture</w:t>
      </w:r>
      <w:r w:rsidR="00614F5B" w:rsidRPr="00C91DE1">
        <w:rPr>
          <w:rStyle w:val="FootnoteReference"/>
          <w:bCs/>
          <w:lang w:val="fr-FR"/>
        </w:rPr>
        <w:footnoteReference w:id="3"/>
      </w:r>
      <w:r w:rsidRPr="00C91DE1">
        <w:rPr>
          <w:bCs/>
          <w:lang w:val="fr-CH"/>
        </w:rPr>
        <w:t>.</w:t>
      </w:r>
    </w:p>
    <w:p w14:paraId="3E011EE6" w14:textId="77777777" w:rsidR="00FF0818" w:rsidRPr="00614F5B" w:rsidRDefault="00FF0818" w:rsidP="00FF0818">
      <w:pPr>
        <w:pStyle w:val="SingleTxt"/>
        <w:spacing w:after="0" w:line="120" w:lineRule="exact"/>
        <w:rPr>
          <w:bCs/>
          <w:sz w:val="10"/>
          <w:lang w:val="fr-CH"/>
        </w:rPr>
      </w:pPr>
    </w:p>
    <w:p w14:paraId="4C0B21D0" w14:textId="77777777" w:rsidR="00FF0818" w:rsidRPr="00614F5B" w:rsidRDefault="00FF0818" w:rsidP="00FF0818">
      <w:pPr>
        <w:pStyle w:val="SingleTxt"/>
        <w:spacing w:after="0" w:line="120" w:lineRule="exact"/>
        <w:rPr>
          <w:bCs/>
          <w:sz w:val="10"/>
          <w:lang w:val="fr-CH"/>
        </w:rPr>
      </w:pPr>
    </w:p>
    <w:p w14:paraId="621D149B" w14:textId="56F24A42" w:rsidR="00FF0818" w:rsidRPr="001D3647" w:rsidRDefault="00FF0818" w:rsidP="00FF08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1D3647">
        <w:rPr>
          <w:lang w:val="fr-CH"/>
        </w:rPr>
        <w:tab/>
      </w:r>
      <w:r w:rsidRPr="001D3647">
        <w:rPr>
          <w:lang w:val="fr-CH"/>
        </w:rPr>
        <w:tab/>
      </w:r>
      <w:r>
        <w:rPr>
          <w:lang w:val="fr-FR"/>
        </w:rPr>
        <w:t>Mariage et rapports familiaux</w:t>
      </w:r>
    </w:p>
    <w:p w14:paraId="10AC7BAB" w14:textId="3EA68176" w:rsidR="00FF0818" w:rsidRPr="00614F5B" w:rsidRDefault="00FF0818" w:rsidP="00FF0818">
      <w:pPr>
        <w:pStyle w:val="SingleTxt"/>
        <w:spacing w:after="0" w:line="120" w:lineRule="exact"/>
        <w:rPr>
          <w:bCs/>
          <w:sz w:val="10"/>
          <w:lang w:val="fr-CH"/>
        </w:rPr>
      </w:pPr>
    </w:p>
    <w:p w14:paraId="14C14EA2" w14:textId="77777777" w:rsidR="00614F5B" w:rsidRPr="00614F5B" w:rsidRDefault="00614F5B" w:rsidP="00FF0818">
      <w:pPr>
        <w:pStyle w:val="SingleTxt"/>
        <w:spacing w:after="0" w:line="120" w:lineRule="exact"/>
        <w:rPr>
          <w:bCs/>
          <w:sz w:val="10"/>
          <w:lang w:val="fr-CH"/>
        </w:rPr>
      </w:pPr>
    </w:p>
    <w:p w14:paraId="4410FE2D" w14:textId="77777777" w:rsidR="00FF0818" w:rsidRPr="001D3647" w:rsidRDefault="00FF0818" w:rsidP="00FF08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3647">
        <w:rPr>
          <w:lang w:val="fr-CH"/>
        </w:rPr>
        <w:tab/>
      </w:r>
      <w:r w:rsidRPr="001D3647">
        <w:rPr>
          <w:lang w:val="fr-CH"/>
        </w:rPr>
        <w:tab/>
      </w:r>
      <w:r>
        <w:rPr>
          <w:lang w:val="fr-FR"/>
        </w:rPr>
        <w:t>Question</w:t>
      </w:r>
      <w:r w:rsidRPr="001D3647">
        <w:rPr>
          <w:lang w:val="fr-CH"/>
        </w:rPr>
        <w:t xml:space="preserve"> 24</w:t>
      </w:r>
    </w:p>
    <w:p w14:paraId="5AF3E0E2" w14:textId="77777777" w:rsidR="00FF0818" w:rsidRPr="001D3647" w:rsidRDefault="00FF0818" w:rsidP="00FF0818">
      <w:pPr>
        <w:pStyle w:val="SingleTxt"/>
        <w:spacing w:after="0" w:line="120" w:lineRule="exact"/>
        <w:rPr>
          <w:bCs/>
          <w:sz w:val="10"/>
          <w:lang w:val="fr-CH"/>
        </w:rPr>
      </w:pPr>
    </w:p>
    <w:p w14:paraId="59072474" w14:textId="4567CAAB"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Une décision du sénat en date du 13</w:t>
      </w:r>
      <w:r w:rsidR="00614F5B" w:rsidRPr="00614F5B">
        <w:rPr>
          <w:lang w:val="fr-FR"/>
        </w:rPr>
        <w:t xml:space="preserve"> </w:t>
      </w:r>
      <w:r w:rsidRPr="00614F5B">
        <w:rPr>
          <w:lang w:val="fr-FR"/>
        </w:rPr>
        <w:t>juillet</w:t>
      </w:r>
      <w:r w:rsidR="00614F5B" w:rsidRPr="00614F5B">
        <w:rPr>
          <w:lang w:val="fr-FR"/>
        </w:rPr>
        <w:t xml:space="preserve"> </w:t>
      </w:r>
      <w:r w:rsidRPr="00614F5B">
        <w:rPr>
          <w:lang w:val="fr-FR"/>
        </w:rPr>
        <w:t>2020 adopte un programme de mesures pour 2020-2021 concernant les problèmes liés aux mariages et grossesses précoces ainsi qu’aux divorces.</w:t>
      </w:r>
    </w:p>
    <w:p w14:paraId="020E54A1" w14:textId="23CA6991" w:rsidR="00FF0818" w:rsidRPr="00614F5B" w:rsidRDefault="00FF0818" w:rsidP="00614F5B">
      <w:pPr>
        <w:pStyle w:val="SingleTxt"/>
        <w:numPr>
          <w:ilvl w:val="0"/>
          <w:numId w:val="19"/>
        </w:numPr>
        <w:tabs>
          <w:tab w:val="num" w:pos="2804"/>
        </w:tabs>
        <w:spacing w:line="240" w:lineRule="exact"/>
        <w:ind w:left="1267"/>
        <w:rPr>
          <w:lang w:val="fr-CH"/>
        </w:rPr>
      </w:pPr>
      <w:r w:rsidRPr="00614F5B">
        <w:rPr>
          <w:lang w:val="fr-FR"/>
        </w:rPr>
        <w:t>Afin de prévenir les mariages et les grossesses précoces impliquant des filles mineures, le Ministère de l’intérieur a organisé plus de 23</w:t>
      </w:r>
      <w:r w:rsidR="00614F5B" w:rsidRPr="00614F5B">
        <w:rPr>
          <w:lang w:val="fr-FR"/>
        </w:rPr>
        <w:t xml:space="preserve"> </w:t>
      </w:r>
      <w:r w:rsidRPr="00614F5B">
        <w:rPr>
          <w:lang w:val="fr-FR"/>
        </w:rPr>
        <w:t>000 interventions dans des établissements d’enseignement secondaire, plus de 7</w:t>
      </w:r>
      <w:r w:rsidR="00614F5B" w:rsidRPr="00614F5B">
        <w:rPr>
          <w:lang w:val="fr-FR"/>
        </w:rPr>
        <w:t> </w:t>
      </w:r>
      <w:r w:rsidRPr="00614F5B">
        <w:rPr>
          <w:lang w:val="fr-FR"/>
        </w:rPr>
        <w:t>000 dans des lycées académiques et des collèges professionnels, 321 dans des établissements d’enseignement supérieur, pour un total de 48</w:t>
      </w:r>
      <w:r w:rsidR="00614F5B" w:rsidRPr="00614F5B">
        <w:rPr>
          <w:lang w:val="fr-FR"/>
        </w:rPr>
        <w:t xml:space="preserve"> </w:t>
      </w:r>
      <w:r w:rsidRPr="00614F5B">
        <w:rPr>
          <w:lang w:val="fr-FR"/>
        </w:rPr>
        <w:t>000 interventions. Au cours des huit premiers mois de</w:t>
      </w:r>
      <w:r w:rsidR="00614F5B" w:rsidRPr="00614F5B">
        <w:rPr>
          <w:lang w:val="fr-FR"/>
        </w:rPr>
        <w:t xml:space="preserve"> </w:t>
      </w:r>
      <w:r w:rsidRPr="00614F5B">
        <w:rPr>
          <w:lang w:val="fr-FR"/>
        </w:rPr>
        <w:t>2019 et de</w:t>
      </w:r>
      <w:r w:rsidR="00614F5B" w:rsidRPr="00614F5B">
        <w:rPr>
          <w:lang w:val="fr-FR"/>
        </w:rPr>
        <w:t xml:space="preserve"> </w:t>
      </w:r>
      <w:r w:rsidRPr="00614F5B">
        <w:rPr>
          <w:lang w:val="fr-FR"/>
        </w:rPr>
        <w:t>2020, les services du procureur général ont mené respectivement 3</w:t>
      </w:r>
      <w:r w:rsidR="00614F5B" w:rsidRPr="00614F5B">
        <w:rPr>
          <w:lang w:val="fr-FR"/>
        </w:rPr>
        <w:t xml:space="preserve"> </w:t>
      </w:r>
      <w:r w:rsidRPr="00614F5B">
        <w:rPr>
          <w:lang w:val="fr-FR"/>
        </w:rPr>
        <w:t>605 et 6</w:t>
      </w:r>
      <w:r w:rsidR="00614F5B" w:rsidRPr="00614F5B">
        <w:rPr>
          <w:lang w:val="fr-FR"/>
        </w:rPr>
        <w:t xml:space="preserve"> </w:t>
      </w:r>
      <w:r w:rsidRPr="00614F5B">
        <w:rPr>
          <w:lang w:val="fr-FR"/>
        </w:rPr>
        <w:t>680</w:t>
      </w:r>
      <w:r w:rsidR="00614F5B" w:rsidRPr="00614F5B">
        <w:rPr>
          <w:lang w:val="fr-FR"/>
        </w:rPr>
        <w:t xml:space="preserve"> </w:t>
      </w:r>
      <w:r w:rsidRPr="00614F5B">
        <w:rPr>
          <w:lang w:val="fr-FR"/>
        </w:rPr>
        <w:t>activités de sensibilisation aux conséquences négatives des mariages précoces, tout en insistant sur les sanctions prévues en cas d’infraction (art.</w:t>
      </w:r>
      <w:r w:rsidR="00614F5B" w:rsidRPr="00614F5B">
        <w:rPr>
          <w:lang w:val="fr-FR"/>
        </w:rPr>
        <w:t xml:space="preserve"> </w:t>
      </w:r>
      <w:r w:rsidRPr="00614F5B">
        <w:rPr>
          <w:lang w:val="fr-FR"/>
        </w:rPr>
        <w:t>473 du Code de responsabilité administrative, art.</w:t>
      </w:r>
      <w:r w:rsidR="00614F5B" w:rsidRPr="00614F5B">
        <w:rPr>
          <w:lang w:val="fr-FR"/>
        </w:rPr>
        <w:t xml:space="preserve"> </w:t>
      </w:r>
      <w:r w:rsidRPr="00614F5B">
        <w:rPr>
          <w:lang w:val="fr-FR"/>
        </w:rPr>
        <w:t>1251 du Code pénal)</w:t>
      </w:r>
      <w:r w:rsidR="008E1087">
        <w:rPr>
          <w:lang w:val="fr-FR"/>
        </w:rPr>
        <w:t>.</w:t>
      </w:r>
    </w:p>
    <w:p w14:paraId="10632C92" w14:textId="0505E3EB" w:rsidR="00FF0818" w:rsidRDefault="00FF0818" w:rsidP="00614F5B">
      <w:pPr>
        <w:pStyle w:val="SingleTxt"/>
        <w:numPr>
          <w:ilvl w:val="0"/>
          <w:numId w:val="19"/>
        </w:numPr>
        <w:tabs>
          <w:tab w:val="num" w:pos="2804"/>
        </w:tabs>
        <w:spacing w:line="240" w:lineRule="exact"/>
        <w:ind w:left="1267"/>
        <w:rPr>
          <w:lang w:val="fr-FR"/>
        </w:rPr>
      </w:pPr>
      <w:r w:rsidRPr="00614F5B">
        <w:rPr>
          <w:lang w:val="fr-FR"/>
        </w:rPr>
        <w:t>Dans un but de prévention des mariages précoces et d’information sur leurs conséquences néfastes, une vidéo d’information a été tournée sous l’égide du Parquet général et diffusée par les médias les plus populaires. Grâce à ces diverses campagnes d’information, 145</w:t>
      </w:r>
      <w:r w:rsidR="00614F5B" w:rsidRPr="00614F5B">
        <w:rPr>
          <w:lang w:val="fr-FR"/>
        </w:rPr>
        <w:t xml:space="preserve"> </w:t>
      </w:r>
      <w:r w:rsidRPr="00614F5B">
        <w:rPr>
          <w:lang w:val="fr-FR"/>
        </w:rPr>
        <w:t>mariages précoces ont été évités. Au cours des deux périodes considérées, on ne recense aucun mariage précoce ni aucune infraction pénale ou administrative de la législation familiale</w:t>
      </w:r>
      <w:r>
        <w:rPr>
          <w:lang w:val="fr-FR"/>
        </w:rPr>
        <w:t>.</w:t>
      </w:r>
    </w:p>
    <w:p w14:paraId="7FC1B236" w14:textId="32BF7FEA" w:rsidR="00FF0818" w:rsidRPr="00FF0818" w:rsidRDefault="00FF0818" w:rsidP="00FF0818">
      <w:pPr>
        <w:pStyle w:val="SingleTxt"/>
        <w:spacing w:after="0" w:line="240" w:lineRule="auto"/>
        <w:rPr>
          <w:bCs/>
          <w:lang w:val="fr-FR"/>
        </w:rPr>
      </w:pPr>
      <w:r>
        <w:rPr>
          <w:bCs/>
          <w:noProof/>
          <w:w w:val="100"/>
          <w:lang w:val="fr-FR"/>
        </w:rPr>
        <mc:AlternateContent>
          <mc:Choice Requires="wps">
            <w:drawing>
              <wp:anchor distT="0" distB="0" distL="114300" distR="114300" simplePos="0" relativeHeight="251659264" behindDoc="0" locked="0" layoutInCell="1" allowOverlap="1" wp14:anchorId="779B0A2C" wp14:editId="62FB55F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5D77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F0818" w:rsidRPr="00FF0818" w:rsidSect="004D4A1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07T11:28:00Z" w:initials="Start">
    <w:p w14:paraId="7C64F32E" w14:textId="77777777" w:rsidR="00462FB3" w:rsidRPr="009D4781" w:rsidRDefault="00462FB3">
      <w:pPr>
        <w:pStyle w:val="CommentText"/>
        <w:rPr>
          <w:lang w:val="en-US"/>
        </w:rPr>
      </w:pPr>
      <w:r>
        <w:rPr>
          <w:rStyle w:val="CommentReference"/>
        </w:rPr>
        <w:annotationRef/>
      </w:r>
      <w:r w:rsidRPr="009D4781">
        <w:rPr>
          <w:lang w:val="en-US"/>
        </w:rPr>
        <w:t>&lt;&lt;ODS JOB NO&gt;&gt;N2127314F&lt;&lt;ODS JOB NO&gt;&gt;</w:t>
      </w:r>
    </w:p>
    <w:p w14:paraId="47D2294A" w14:textId="77777777" w:rsidR="00462FB3" w:rsidRDefault="00462FB3">
      <w:pPr>
        <w:pStyle w:val="CommentText"/>
      </w:pPr>
      <w:r>
        <w:t>&lt;&lt;ODS DOC SYMBOL1&gt;&gt;CEDAW/C/UZB/RQ/6&lt;&lt;ODS DOC SYMBOL1&gt;&gt;</w:t>
      </w:r>
    </w:p>
    <w:p w14:paraId="6486E634" w14:textId="77777777" w:rsidR="00462FB3" w:rsidRDefault="00462FB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86E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C40E" w16cex:dateUtc="2021-12-07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6E634" w16cid:durableId="2559C4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86663" w14:textId="77777777" w:rsidR="00C20971" w:rsidRDefault="00C20971" w:rsidP="00101B18">
      <w:pPr>
        <w:spacing w:line="240" w:lineRule="auto"/>
      </w:pPr>
      <w:r>
        <w:separator/>
      </w:r>
    </w:p>
  </w:endnote>
  <w:endnote w:type="continuationSeparator" w:id="0">
    <w:p w14:paraId="3811B9E6" w14:textId="77777777" w:rsidR="00C20971" w:rsidRDefault="00C2097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62FB3" w14:paraId="443D36A9" w14:textId="77777777" w:rsidTr="004405BB">
      <w:tc>
        <w:tcPr>
          <w:tcW w:w="4920" w:type="dxa"/>
          <w:shd w:val="clear" w:color="auto" w:fill="auto"/>
        </w:tcPr>
        <w:p w14:paraId="2F75C8B2" w14:textId="76A93646" w:rsidR="00462FB3" w:rsidRPr="004405BB" w:rsidRDefault="00462FB3" w:rsidP="004405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2F94">
            <w:rPr>
              <w:b w:val="0"/>
              <w:w w:val="103"/>
              <w:sz w:val="14"/>
            </w:rPr>
            <w:t>21-14052</w:t>
          </w:r>
          <w:r>
            <w:rPr>
              <w:b w:val="0"/>
              <w:w w:val="103"/>
              <w:sz w:val="14"/>
            </w:rPr>
            <w:fldChar w:fldCharType="end"/>
          </w:r>
        </w:p>
      </w:tc>
      <w:tc>
        <w:tcPr>
          <w:tcW w:w="4920" w:type="dxa"/>
          <w:shd w:val="clear" w:color="auto" w:fill="auto"/>
        </w:tcPr>
        <w:p w14:paraId="54A11F5E" w14:textId="77777777" w:rsidR="00462FB3" w:rsidRPr="004405BB" w:rsidRDefault="00462FB3" w:rsidP="004405B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B66BF3E" w14:textId="77777777" w:rsidR="00462FB3" w:rsidRPr="004405BB" w:rsidRDefault="00462FB3" w:rsidP="00440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62FB3" w14:paraId="188B9794" w14:textId="77777777" w:rsidTr="004405BB">
      <w:tc>
        <w:tcPr>
          <w:tcW w:w="4920" w:type="dxa"/>
          <w:shd w:val="clear" w:color="auto" w:fill="auto"/>
        </w:tcPr>
        <w:p w14:paraId="7F573CA0" w14:textId="77777777" w:rsidR="00462FB3" w:rsidRPr="004405BB" w:rsidRDefault="00462FB3" w:rsidP="004405B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0BDB312" w14:textId="521A1A68" w:rsidR="00462FB3" w:rsidRPr="004405BB" w:rsidRDefault="00462FB3" w:rsidP="004405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2F94">
            <w:rPr>
              <w:b w:val="0"/>
              <w:w w:val="103"/>
              <w:sz w:val="14"/>
            </w:rPr>
            <w:t>21-14052</w:t>
          </w:r>
          <w:r>
            <w:rPr>
              <w:b w:val="0"/>
              <w:w w:val="103"/>
              <w:sz w:val="14"/>
            </w:rPr>
            <w:fldChar w:fldCharType="end"/>
          </w:r>
        </w:p>
      </w:tc>
    </w:tr>
  </w:tbl>
  <w:p w14:paraId="3E42BAAB" w14:textId="77777777" w:rsidR="00462FB3" w:rsidRPr="004405BB" w:rsidRDefault="00462FB3" w:rsidP="00440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6F2E" w14:textId="77777777" w:rsidR="00462FB3" w:rsidRDefault="00462FB3">
    <w:pPr>
      <w:pStyle w:val="Footer"/>
    </w:pPr>
    <w:r>
      <w:rPr>
        <w:noProof/>
      </w:rPr>
      <w:drawing>
        <wp:anchor distT="0" distB="0" distL="114300" distR="114300" simplePos="0" relativeHeight="251658240" behindDoc="0" locked="0" layoutInCell="1" allowOverlap="1" wp14:anchorId="2ACEEA5A" wp14:editId="5F01382A">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62FB3" w14:paraId="4C435653" w14:textId="77777777" w:rsidTr="004405BB">
      <w:tc>
        <w:tcPr>
          <w:tcW w:w="3758" w:type="dxa"/>
        </w:tcPr>
        <w:p w14:paraId="08D52D34" w14:textId="37A3BC99" w:rsidR="00462FB3" w:rsidRDefault="00462FB3" w:rsidP="004405BB">
          <w:pPr>
            <w:pStyle w:val="Footer"/>
            <w:rPr>
              <w:b w:val="0"/>
              <w:sz w:val="20"/>
            </w:rPr>
          </w:pPr>
          <w:r>
            <w:rPr>
              <w:b w:val="0"/>
              <w:sz w:val="20"/>
            </w:rPr>
            <w:t>21-14052X (F)</w:t>
          </w:r>
        </w:p>
        <w:p w14:paraId="7533D02C" w14:textId="4FDCB456" w:rsidR="00462FB3" w:rsidRPr="004405BB" w:rsidRDefault="00462FB3" w:rsidP="004405B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C2F94">
            <w:rPr>
              <w:rFonts w:ascii="Barcode 3 of 9 by request" w:hAnsi="Barcode 3 of 9 by request"/>
              <w:spacing w:val="0"/>
              <w:w w:val="100"/>
              <w:sz w:val="24"/>
            </w:rPr>
            <w:t>*2114052*</w:t>
          </w:r>
          <w:r>
            <w:rPr>
              <w:rFonts w:ascii="Barcode 3 of 9 by request" w:hAnsi="Barcode 3 of 9 by request"/>
              <w:spacing w:val="0"/>
              <w:w w:val="100"/>
              <w:sz w:val="24"/>
            </w:rPr>
            <w:fldChar w:fldCharType="end"/>
          </w:r>
        </w:p>
      </w:tc>
      <w:tc>
        <w:tcPr>
          <w:tcW w:w="4920" w:type="dxa"/>
        </w:tcPr>
        <w:p w14:paraId="5FC60F3C" w14:textId="77777777" w:rsidR="00462FB3" w:rsidRDefault="00462FB3" w:rsidP="004405BB">
          <w:pPr>
            <w:pStyle w:val="Footer"/>
            <w:spacing w:line="240" w:lineRule="atLeast"/>
            <w:jc w:val="right"/>
            <w:rPr>
              <w:b w:val="0"/>
              <w:sz w:val="20"/>
            </w:rPr>
          </w:pPr>
          <w:r>
            <w:rPr>
              <w:b w:val="0"/>
              <w:noProof/>
              <w:sz w:val="20"/>
            </w:rPr>
            <w:drawing>
              <wp:inline distT="0" distB="0" distL="0" distR="0" wp14:anchorId="4CD4894F" wp14:editId="10A484A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E538CB6" w14:textId="77777777" w:rsidR="00462FB3" w:rsidRPr="004405BB" w:rsidRDefault="00462FB3" w:rsidP="004405B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3668C" w14:textId="77777777" w:rsidR="00C20971" w:rsidRPr="00614F5B" w:rsidRDefault="00C20971" w:rsidP="00614F5B">
      <w:pPr>
        <w:pStyle w:val="Footer"/>
        <w:spacing w:after="80"/>
        <w:ind w:left="792"/>
        <w:rPr>
          <w:sz w:val="16"/>
        </w:rPr>
      </w:pPr>
      <w:r w:rsidRPr="00614F5B">
        <w:rPr>
          <w:sz w:val="16"/>
        </w:rPr>
        <w:t>__________________</w:t>
      </w:r>
    </w:p>
  </w:footnote>
  <w:footnote w:type="continuationSeparator" w:id="0">
    <w:p w14:paraId="3A70911F" w14:textId="77777777" w:rsidR="00C20971" w:rsidRPr="00614F5B" w:rsidRDefault="00C20971" w:rsidP="00614F5B">
      <w:pPr>
        <w:pStyle w:val="Footer"/>
        <w:spacing w:after="80"/>
        <w:ind w:left="792"/>
        <w:rPr>
          <w:sz w:val="16"/>
        </w:rPr>
      </w:pPr>
      <w:r w:rsidRPr="00614F5B">
        <w:rPr>
          <w:sz w:val="16"/>
        </w:rPr>
        <w:t>__________________</w:t>
      </w:r>
    </w:p>
  </w:footnote>
  <w:footnote w:id="1">
    <w:p w14:paraId="04474AB0" w14:textId="0A922DBB" w:rsidR="00FD6A75" w:rsidRPr="009D4781" w:rsidRDefault="00614F5B" w:rsidP="006B17CA">
      <w:pPr>
        <w:pStyle w:val="FootnoteText"/>
        <w:tabs>
          <w:tab w:val="right" w:pos="1195"/>
          <w:tab w:val="left" w:pos="1267"/>
          <w:tab w:val="left" w:pos="1742"/>
          <w:tab w:val="left" w:pos="2218"/>
          <w:tab w:val="left" w:pos="2693"/>
          <w:tab w:val="left" w:pos="7920"/>
        </w:tabs>
        <w:ind w:left="1267" w:right="400" w:hanging="576"/>
      </w:pPr>
      <w:r>
        <w:tab/>
      </w:r>
      <w:r w:rsidRPr="00614F5B">
        <w:rPr>
          <w:rStyle w:val="FootnoteReference"/>
          <w:spacing w:val="4"/>
        </w:rPr>
        <w:footnoteRef/>
      </w:r>
      <w:r w:rsidRPr="009D4781">
        <w:tab/>
      </w:r>
      <w:hyperlink r:id="rId1" w:history="1">
        <w:r w:rsidR="006B17CA" w:rsidRPr="009D4781">
          <w:rPr>
            <w:rStyle w:val="Hyperlink"/>
            <w:u w:val="none"/>
          </w:rPr>
          <w:t>https://tbinternet.ohchr.org/_layouts/15/treatybodyexternal/Download.aspx?symbolno=E%</w:t>
        </w:r>
        <w:r w:rsidR="006B17CA" w:rsidRPr="009D4781">
          <w:rPr>
            <w:rStyle w:val="Hyperlink"/>
            <w:u w:val="none"/>
          </w:rPr>
          <w:br/>
          <w:t>2C.12%2fUZB%2f3&amp;Lang=fr</w:t>
        </w:r>
      </w:hyperlink>
      <w:r w:rsidR="006B17CA" w:rsidRPr="009D4781">
        <w:t>.</w:t>
      </w:r>
    </w:p>
  </w:footnote>
  <w:footnote w:id="2">
    <w:p w14:paraId="718174AC" w14:textId="24F11602" w:rsidR="00614F5B" w:rsidRPr="009D4781" w:rsidRDefault="00614F5B" w:rsidP="00B80934">
      <w:pPr>
        <w:pStyle w:val="FootnoteText"/>
        <w:tabs>
          <w:tab w:val="right" w:pos="1195"/>
          <w:tab w:val="left" w:pos="1267"/>
          <w:tab w:val="left" w:pos="1742"/>
          <w:tab w:val="left" w:pos="2218"/>
          <w:tab w:val="left" w:pos="2693"/>
        </w:tabs>
        <w:ind w:left="1267" w:right="1260" w:hanging="576"/>
      </w:pPr>
      <w:r w:rsidRPr="006B17CA">
        <w:tab/>
      </w:r>
      <w:r w:rsidRPr="006B17CA">
        <w:rPr>
          <w:rStyle w:val="FootnoteReference"/>
          <w:spacing w:val="4"/>
        </w:rPr>
        <w:footnoteRef/>
      </w:r>
      <w:r w:rsidRPr="006B17CA">
        <w:tab/>
      </w:r>
      <w:hyperlink r:id="rId2" w:history="1">
        <w:r w:rsidR="006B17CA" w:rsidRPr="006B17CA">
          <w:rPr>
            <w:rStyle w:val="Hyperlink"/>
            <w:u w:val="none"/>
          </w:rPr>
          <w:t>https://tbinternet.ohchr.org/_layouts/15/treatybodyexternal/Download.aspx?symbolno=CER</w:t>
        </w:r>
        <w:r w:rsidR="006B17CA" w:rsidRPr="006B17CA">
          <w:rPr>
            <w:rStyle w:val="Hyperlink"/>
            <w:u w:val="none"/>
          </w:rPr>
          <w:br/>
          <w:t>D%2fC%2fUZB%2f10-12&amp;Lang=fr</w:t>
        </w:r>
      </w:hyperlink>
      <w:r w:rsidR="006B17CA" w:rsidRPr="006B17CA">
        <w:t>.</w:t>
      </w:r>
    </w:p>
  </w:footnote>
  <w:footnote w:id="3">
    <w:p w14:paraId="597C5CE6" w14:textId="4FE6119C" w:rsidR="00614F5B" w:rsidRPr="009D4781" w:rsidRDefault="00614F5B" w:rsidP="00B80934">
      <w:pPr>
        <w:pStyle w:val="FootnoteText"/>
        <w:tabs>
          <w:tab w:val="right" w:pos="1195"/>
          <w:tab w:val="left" w:pos="1267"/>
          <w:tab w:val="left" w:pos="1742"/>
          <w:tab w:val="left" w:pos="2218"/>
          <w:tab w:val="left" w:pos="2693"/>
        </w:tabs>
        <w:ind w:left="1267" w:right="1260" w:hanging="576"/>
      </w:pPr>
      <w:r w:rsidRPr="006B17CA">
        <w:tab/>
      </w:r>
      <w:r w:rsidRPr="006B17CA">
        <w:rPr>
          <w:rStyle w:val="FootnoteReference"/>
          <w:spacing w:val="4"/>
        </w:rPr>
        <w:footnoteRef/>
      </w:r>
      <w:r w:rsidRPr="006B17CA">
        <w:tab/>
      </w:r>
      <w:hyperlink r:id="rId3" w:history="1">
        <w:r w:rsidR="006B17CA" w:rsidRPr="006B17CA">
          <w:rPr>
            <w:rStyle w:val="Hyperlink"/>
            <w:u w:val="none"/>
          </w:rPr>
          <w:t>https://tbinternet.ohchr.org/_layouts/15/treatybodyexternal/Download.aspx?symbolno=CAT</w:t>
        </w:r>
        <w:r w:rsidR="006B17CA" w:rsidRPr="006B17CA">
          <w:rPr>
            <w:rStyle w:val="Hyperlink"/>
            <w:u w:val="none"/>
          </w:rPr>
          <w:br/>
          <w:t>%2fC%2fUZB%2f5&amp;Lang=ru</w:t>
        </w:r>
      </w:hyperlink>
      <w:r w:rsidR="006B17CA" w:rsidRPr="006B17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62FB3" w14:paraId="6BFEC1E4" w14:textId="77777777" w:rsidTr="004405BB">
      <w:trPr>
        <w:trHeight w:hRule="exact" w:val="864"/>
      </w:trPr>
      <w:tc>
        <w:tcPr>
          <w:tcW w:w="4920" w:type="dxa"/>
          <w:shd w:val="clear" w:color="auto" w:fill="auto"/>
          <w:vAlign w:val="bottom"/>
        </w:tcPr>
        <w:p w14:paraId="69C80C10" w14:textId="52538357" w:rsidR="00462FB3" w:rsidRPr="004405BB" w:rsidRDefault="00462FB3" w:rsidP="004405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2F94">
            <w:rPr>
              <w:b/>
              <w:color w:val="000000"/>
            </w:rPr>
            <w:t>CEDAW/C/UZB/RQ/6</w:t>
          </w:r>
          <w:r>
            <w:rPr>
              <w:b/>
              <w:color w:val="000000"/>
            </w:rPr>
            <w:fldChar w:fldCharType="end"/>
          </w:r>
        </w:p>
      </w:tc>
      <w:tc>
        <w:tcPr>
          <w:tcW w:w="4920" w:type="dxa"/>
          <w:shd w:val="clear" w:color="auto" w:fill="auto"/>
          <w:vAlign w:val="bottom"/>
        </w:tcPr>
        <w:p w14:paraId="3A83C3E3" w14:textId="77777777" w:rsidR="00462FB3" w:rsidRDefault="00462FB3" w:rsidP="004405BB">
          <w:pPr>
            <w:pStyle w:val="Header"/>
          </w:pPr>
        </w:p>
      </w:tc>
    </w:tr>
  </w:tbl>
  <w:p w14:paraId="27612D48" w14:textId="77777777" w:rsidR="00462FB3" w:rsidRPr="004405BB" w:rsidRDefault="00462FB3" w:rsidP="004405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62FB3" w14:paraId="78079EE6" w14:textId="77777777" w:rsidTr="004405BB">
      <w:trPr>
        <w:trHeight w:hRule="exact" w:val="864"/>
      </w:trPr>
      <w:tc>
        <w:tcPr>
          <w:tcW w:w="4920" w:type="dxa"/>
          <w:shd w:val="clear" w:color="auto" w:fill="auto"/>
          <w:vAlign w:val="bottom"/>
        </w:tcPr>
        <w:p w14:paraId="313017EE" w14:textId="77777777" w:rsidR="00462FB3" w:rsidRDefault="00462FB3" w:rsidP="004405BB">
          <w:pPr>
            <w:pStyle w:val="Header"/>
          </w:pPr>
        </w:p>
      </w:tc>
      <w:tc>
        <w:tcPr>
          <w:tcW w:w="4920" w:type="dxa"/>
          <w:shd w:val="clear" w:color="auto" w:fill="auto"/>
          <w:vAlign w:val="bottom"/>
        </w:tcPr>
        <w:p w14:paraId="1D12DF27" w14:textId="52160961" w:rsidR="00462FB3" w:rsidRPr="004405BB" w:rsidRDefault="00462FB3" w:rsidP="004405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2F94">
            <w:rPr>
              <w:b/>
              <w:color w:val="000000"/>
            </w:rPr>
            <w:t>CEDAW/C/UZB/RQ/6</w:t>
          </w:r>
          <w:r>
            <w:rPr>
              <w:b/>
              <w:color w:val="000000"/>
            </w:rPr>
            <w:fldChar w:fldCharType="end"/>
          </w:r>
        </w:p>
      </w:tc>
    </w:tr>
  </w:tbl>
  <w:p w14:paraId="5767E58C" w14:textId="77777777" w:rsidR="00462FB3" w:rsidRPr="004405BB" w:rsidRDefault="00462FB3" w:rsidP="004405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62FB3" w14:paraId="14D1C6CD" w14:textId="77777777" w:rsidTr="004405BB">
      <w:trPr>
        <w:trHeight w:hRule="exact" w:val="864"/>
      </w:trPr>
      <w:tc>
        <w:tcPr>
          <w:tcW w:w="1267" w:type="dxa"/>
          <w:tcBorders>
            <w:bottom w:val="single" w:sz="4" w:space="0" w:color="auto"/>
          </w:tcBorders>
          <w:shd w:val="clear" w:color="auto" w:fill="auto"/>
          <w:vAlign w:val="bottom"/>
        </w:tcPr>
        <w:p w14:paraId="19AF6FDA" w14:textId="77777777" w:rsidR="00462FB3" w:rsidRDefault="00462FB3" w:rsidP="004405BB">
          <w:pPr>
            <w:pStyle w:val="Header"/>
            <w:spacing w:after="120"/>
          </w:pPr>
        </w:p>
      </w:tc>
      <w:tc>
        <w:tcPr>
          <w:tcW w:w="2059" w:type="dxa"/>
          <w:tcBorders>
            <w:bottom w:val="single" w:sz="4" w:space="0" w:color="auto"/>
          </w:tcBorders>
          <w:shd w:val="clear" w:color="auto" w:fill="auto"/>
          <w:vAlign w:val="bottom"/>
        </w:tcPr>
        <w:p w14:paraId="7A62C48D" w14:textId="77777777" w:rsidR="00462FB3" w:rsidRPr="004405BB" w:rsidRDefault="00462FB3" w:rsidP="004405B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A1B4491" w14:textId="77777777" w:rsidR="00462FB3" w:rsidRDefault="00462FB3" w:rsidP="004405BB">
          <w:pPr>
            <w:pStyle w:val="Header"/>
            <w:spacing w:after="120"/>
          </w:pPr>
        </w:p>
      </w:tc>
      <w:tc>
        <w:tcPr>
          <w:tcW w:w="6466" w:type="dxa"/>
          <w:gridSpan w:val="3"/>
          <w:tcBorders>
            <w:bottom w:val="single" w:sz="4" w:space="0" w:color="auto"/>
          </w:tcBorders>
          <w:shd w:val="clear" w:color="auto" w:fill="auto"/>
          <w:vAlign w:val="bottom"/>
        </w:tcPr>
        <w:p w14:paraId="43224585" w14:textId="77777777" w:rsidR="00462FB3" w:rsidRPr="004405BB" w:rsidRDefault="00462FB3" w:rsidP="004405BB">
          <w:pPr>
            <w:spacing w:after="80" w:line="240" w:lineRule="auto"/>
            <w:jc w:val="right"/>
            <w:rPr>
              <w:position w:val="-4"/>
            </w:rPr>
          </w:pPr>
          <w:r>
            <w:rPr>
              <w:position w:val="-4"/>
              <w:sz w:val="40"/>
            </w:rPr>
            <w:t>CEDAW</w:t>
          </w:r>
          <w:r>
            <w:rPr>
              <w:position w:val="-4"/>
            </w:rPr>
            <w:t>/C/UZB/RQ/6</w:t>
          </w:r>
        </w:p>
      </w:tc>
    </w:tr>
    <w:tr w:rsidR="00462FB3" w:rsidRPr="004405BB" w14:paraId="1B3E2A1D" w14:textId="77777777" w:rsidTr="004405BB">
      <w:trPr>
        <w:trHeight w:hRule="exact" w:val="2880"/>
      </w:trPr>
      <w:tc>
        <w:tcPr>
          <w:tcW w:w="1267" w:type="dxa"/>
          <w:tcBorders>
            <w:top w:val="single" w:sz="4" w:space="0" w:color="auto"/>
            <w:bottom w:val="single" w:sz="12" w:space="0" w:color="auto"/>
          </w:tcBorders>
          <w:shd w:val="clear" w:color="auto" w:fill="auto"/>
        </w:tcPr>
        <w:p w14:paraId="4EC464E3" w14:textId="77777777" w:rsidR="00462FB3" w:rsidRPr="004405BB" w:rsidRDefault="00462FB3" w:rsidP="004405BB">
          <w:pPr>
            <w:pStyle w:val="Header"/>
            <w:spacing w:before="120" w:line="240" w:lineRule="auto"/>
            <w:ind w:left="-72"/>
            <w:jc w:val="center"/>
          </w:pPr>
          <w:r>
            <w:t xml:space="preserve">  </w:t>
          </w:r>
          <w:r>
            <w:rPr>
              <w:noProof/>
            </w:rPr>
            <w:drawing>
              <wp:inline distT="0" distB="0" distL="0" distR="0" wp14:anchorId="692E95BA" wp14:editId="3B32E6D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5F3E11" w14:textId="77777777" w:rsidR="00462FB3" w:rsidRPr="004405BB" w:rsidRDefault="00462FB3" w:rsidP="004405B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3DCF7B4" w14:textId="77777777" w:rsidR="00462FB3" w:rsidRPr="009D4781" w:rsidRDefault="00462FB3" w:rsidP="004405BB">
          <w:pPr>
            <w:pStyle w:val="Header"/>
            <w:spacing w:before="109"/>
            <w:rPr>
              <w:lang w:val="fr-CA"/>
            </w:rPr>
          </w:pPr>
        </w:p>
      </w:tc>
      <w:tc>
        <w:tcPr>
          <w:tcW w:w="3110" w:type="dxa"/>
          <w:tcBorders>
            <w:top w:val="single" w:sz="4" w:space="0" w:color="auto"/>
            <w:bottom w:val="single" w:sz="12" w:space="0" w:color="auto"/>
          </w:tcBorders>
          <w:shd w:val="clear" w:color="auto" w:fill="auto"/>
        </w:tcPr>
        <w:p w14:paraId="2F1792F4" w14:textId="77777777" w:rsidR="00462FB3" w:rsidRPr="009D4781" w:rsidRDefault="00462FB3" w:rsidP="004405BB">
          <w:pPr>
            <w:pStyle w:val="Distribution"/>
            <w:rPr>
              <w:color w:val="000000"/>
              <w:lang w:val="fr-CA"/>
            </w:rPr>
          </w:pPr>
          <w:r w:rsidRPr="009D4781">
            <w:rPr>
              <w:color w:val="000000"/>
              <w:lang w:val="fr-CA"/>
            </w:rPr>
            <w:t>Distr. générale</w:t>
          </w:r>
        </w:p>
        <w:p w14:paraId="366D56F5" w14:textId="77777777" w:rsidR="00462FB3" w:rsidRPr="009D4781" w:rsidRDefault="00462FB3" w:rsidP="004405BB">
          <w:pPr>
            <w:pStyle w:val="Publication"/>
            <w:rPr>
              <w:color w:val="000000"/>
              <w:lang w:val="fr-CA"/>
            </w:rPr>
          </w:pPr>
          <w:r w:rsidRPr="009D4781">
            <w:rPr>
              <w:color w:val="000000"/>
              <w:lang w:val="fr-CA"/>
            </w:rPr>
            <w:t>4 octobre 2021</w:t>
          </w:r>
        </w:p>
        <w:p w14:paraId="1BADD750" w14:textId="77777777" w:rsidR="00462FB3" w:rsidRPr="009D4781" w:rsidRDefault="00462FB3" w:rsidP="004405BB">
          <w:r w:rsidRPr="009D4781">
            <w:t>Français</w:t>
          </w:r>
        </w:p>
        <w:p w14:paraId="6DBAEB90" w14:textId="77777777" w:rsidR="00462FB3" w:rsidRPr="009D4781" w:rsidRDefault="00462FB3" w:rsidP="004405BB">
          <w:pPr>
            <w:pStyle w:val="Original"/>
            <w:rPr>
              <w:color w:val="000000"/>
              <w:lang w:val="fr-CA"/>
            </w:rPr>
          </w:pPr>
          <w:r w:rsidRPr="009D4781">
            <w:rPr>
              <w:color w:val="000000"/>
              <w:lang w:val="fr-CA"/>
            </w:rPr>
            <w:t>Original : russe</w:t>
          </w:r>
        </w:p>
        <w:p w14:paraId="7729D786" w14:textId="36EBDC70" w:rsidR="00462FB3" w:rsidRPr="009D4781" w:rsidRDefault="00462FB3" w:rsidP="003714A2">
          <w:r>
            <w:rPr>
              <w:color w:val="000000"/>
              <w:lang w:val="fr-FR"/>
            </w:rPr>
            <w:t>Anglais, espagnol, français et russe seulement</w:t>
          </w:r>
        </w:p>
      </w:tc>
    </w:tr>
  </w:tbl>
  <w:p w14:paraId="3AE26CE2" w14:textId="77777777" w:rsidR="00462FB3" w:rsidRPr="009D4781" w:rsidRDefault="00462FB3" w:rsidP="004405BB">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53D66FB"/>
    <w:multiLevelType w:val="hybridMultilevel"/>
    <w:tmpl w:val="A0F2E846"/>
    <w:lvl w:ilvl="0" w:tplc="A726EC7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27396"/>
    <w:multiLevelType w:val="singleLevel"/>
    <w:tmpl w:val="BBA4FA22"/>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3"/>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2"/>
  </w:num>
  <w:num w:numId="19">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52*"/>
    <w:docVar w:name="CreationDt" w:val="07/12/2021 11:28 AM"/>
    <w:docVar w:name="DocCategory" w:val="Doc"/>
    <w:docVar w:name="DocType" w:val="Final"/>
    <w:docVar w:name="DutyStation" w:val="New York"/>
    <w:docVar w:name="FooterJN" w:val="21-14052"/>
    <w:docVar w:name="jobn" w:val="21-14052 (F)"/>
    <w:docVar w:name="jobnDT" w:val="21-14052 (F)   071221"/>
    <w:docVar w:name="jobnDTDT" w:val="21-14052 (F)   071221   071221"/>
    <w:docVar w:name="JobNo" w:val="2114052F"/>
    <w:docVar w:name="JobNo2" w:val="2127314F"/>
    <w:docVar w:name="LocalDrive" w:val="0"/>
    <w:docVar w:name="OandT" w:val="Moïse"/>
    <w:docVar w:name="sss1" w:val="CEDAW/C/UZB/RQ/6"/>
    <w:docVar w:name="sss2" w:val="-"/>
    <w:docVar w:name="Symbol1" w:val="CEDAW/C/UZB/RQ/6"/>
    <w:docVar w:name="Symbol2" w:val="-"/>
  </w:docVars>
  <w:rsids>
    <w:rsidRoot w:val="00752AA9"/>
    <w:rsid w:val="00002584"/>
    <w:rsid w:val="00003D32"/>
    <w:rsid w:val="0006491F"/>
    <w:rsid w:val="00071D43"/>
    <w:rsid w:val="00074EC2"/>
    <w:rsid w:val="00082144"/>
    <w:rsid w:val="000E37BE"/>
    <w:rsid w:val="000F289D"/>
    <w:rsid w:val="00101B18"/>
    <w:rsid w:val="00105980"/>
    <w:rsid w:val="00122A56"/>
    <w:rsid w:val="00122CF6"/>
    <w:rsid w:val="00134FEE"/>
    <w:rsid w:val="0014432D"/>
    <w:rsid w:val="00146C6A"/>
    <w:rsid w:val="00166A0D"/>
    <w:rsid w:val="00180BFE"/>
    <w:rsid w:val="001B4598"/>
    <w:rsid w:val="001C159C"/>
    <w:rsid w:val="001E2379"/>
    <w:rsid w:val="001E4B50"/>
    <w:rsid w:val="00245107"/>
    <w:rsid w:val="00245FDC"/>
    <w:rsid w:val="002478A0"/>
    <w:rsid w:val="0028049D"/>
    <w:rsid w:val="002A5E20"/>
    <w:rsid w:val="002C53C4"/>
    <w:rsid w:val="0030765E"/>
    <w:rsid w:val="00336449"/>
    <w:rsid w:val="003366B2"/>
    <w:rsid w:val="00366D21"/>
    <w:rsid w:val="0037061B"/>
    <w:rsid w:val="003714A2"/>
    <w:rsid w:val="00384B8D"/>
    <w:rsid w:val="003905FA"/>
    <w:rsid w:val="003A675A"/>
    <w:rsid w:val="003C2F94"/>
    <w:rsid w:val="003E016C"/>
    <w:rsid w:val="003E0F63"/>
    <w:rsid w:val="003E1C57"/>
    <w:rsid w:val="003F61E1"/>
    <w:rsid w:val="00400FB7"/>
    <w:rsid w:val="00410BE8"/>
    <w:rsid w:val="0043150A"/>
    <w:rsid w:val="004405BB"/>
    <w:rsid w:val="004409F4"/>
    <w:rsid w:val="00440C93"/>
    <w:rsid w:val="00462FB3"/>
    <w:rsid w:val="00472B7F"/>
    <w:rsid w:val="00480B84"/>
    <w:rsid w:val="004838AC"/>
    <w:rsid w:val="004A3BA9"/>
    <w:rsid w:val="004A4371"/>
    <w:rsid w:val="004B64F9"/>
    <w:rsid w:val="004C1A25"/>
    <w:rsid w:val="004D4A1D"/>
    <w:rsid w:val="00510ED3"/>
    <w:rsid w:val="00515991"/>
    <w:rsid w:val="005225EC"/>
    <w:rsid w:val="005228DB"/>
    <w:rsid w:val="00525097"/>
    <w:rsid w:val="005509B6"/>
    <w:rsid w:val="00571235"/>
    <w:rsid w:val="00577A36"/>
    <w:rsid w:val="00580CF2"/>
    <w:rsid w:val="005B398E"/>
    <w:rsid w:val="005C03A7"/>
    <w:rsid w:val="005C5330"/>
    <w:rsid w:val="005F1F5F"/>
    <w:rsid w:val="005F296E"/>
    <w:rsid w:val="00614F5B"/>
    <w:rsid w:val="00632C10"/>
    <w:rsid w:val="006344E3"/>
    <w:rsid w:val="00690698"/>
    <w:rsid w:val="006A72AB"/>
    <w:rsid w:val="006B17CA"/>
    <w:rsid w:val="006E4A4B"/>
    <w:rsid w:val="006E5107"/>
    <w:rsid w:val="006F1B9D"/>
    <w:rsid w:val="00703106"/>
    <w:rsid w:val="007401E1"/>
    <w:rsid w:val="007459AE"/>
    <w:rsid w:val="00752AA9"/>
    <w:rsid w:val="007531A5"/>
    <w:rsid w:val="00764B75"/>
    <w:rsid w:val="00771C9E"/>
    <w:rsid w:val="00774B9C"/>
    <w:rsid w:val="007C2F1E"/>
    <w:rsid w:val="007E1619"/>
    <w:rsid w:val="0080324B"/>
    <w:rsid w:val="00813021"/>
    <w:rsid w:val="0082045E"/>
    <w:rsid w:val="008222A3"/>
    <w:rsid w:val="008667BC"/>
    <w:rsid w:val="00874BA7"/>
    <w:rsid w:val="00883D3C"/>
    <w:rsid w:val="00886CF2"/>
    <w:rsid w:val="008D607D"/>
    <w:rsid w:val="008E1087"/>
    <w:rsid w:val="008F3462"/>
    <w:rsid w:val="0090104D"/>
    <w:rsid w:val="009237A6"/>
    <w:rsid w:val="00935932"/>
    <w:rsid w:val="009547DC"/>
    <w:rsid w:val="00993CB7"/>
    <w:rsid w:val="00994877"/>
    <w:rsid w:val="009B7C7D"/>
    <w:rsid w:val="009C3BFE"/>
    <w:rsid w:val="009D0EE3"/>
    <w:rsid w:val="009D4781"/>
    <w:rsid w:val="009E3220"/>
    <w:rsid w:val="009F40B9"/>
    <w:rsid w:val="00A07075"/>
    <w:rsid w:val="00A2494D"/>
    <w:rsid w:val="00A345AB"/>
    <w:rsid w:val="00A46A0A"/>
    <w:rsid w:val="00A536A1"/>
    <w:rsid w:val="00AB0B7D"/>
    <w:rsid w:val="00AD5F2F"/>
    <w:rsid w:val="00AF3BD9"/>
    <w:rsid w:val="00AF5C0B"/>
    <w:rsid w:val="00B80934"/>
    <w:rsid w:val="00B82A42"/>
    <w:rsid w:val="00B858D5"/>
    <w:rsid w:val="00BD2A83"/>
    <w:rsid w:val="00C138C6"/>
    <w:rsid w:val="00C20971"/>
    <w:rsid w:val="00C91DE1"/>
    <w:rsid w:val="00CB06FB"/>
    <w:rsid w:val="00CB63C5"/>
    <w:rsid w:val="00CD251D"/>
    <w:rsid w:val="00D30EED"/>
    <w:rsid w:val="00D34272"/>
    <w:rsid w:val="00DC7881"/>
    <w:rsid w:val="00E126C3"/>
    <w:rsid w:val="00E343A6"/>
    <w:rsid w:val="00E443AC"/>
    <w:rsid w:val="00E47A1E"/>
    <w:rsid w:val="00E7105F"/>
    <w:rsid w:val="00E7792F"/>
    <w:rsid w:val="00ED660F"/>
    <w:rsid w:val="00EE37EC"/>
    <w:rsid w:val="00EF2DFA"/>
    <w:rsid w:val="00F15789"/>
    <w:rsid w:val="00F313F6"/>
    <w:rsid w:val="00F5012D"/>
    <w:rsid w:val="00F73093"/>
    <w:rsid w:val="00F93EDB"/>
    <w:rsid w:val="00FA3D05"/>
    <w:rsid w:val="00FA5CC9"/>
    <w:rsid w:val="00FB0A2C"/>
    <w:rsid w:val="00FC1BE5"/>
    <w:rsid w:val="00FC59F1"/>
    <w:rsid w:val="00FD6A75"/>
    <w:rsid w:val="00FD7808"/>
    <w:rsid w:val="00FF08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82A6AF"/>
  <w15:chartTrackingRefBased/>
  <w15:docId w15:val="{A4595046-7F84-4813-AFFB-22A59D27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Normal"/>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Normal"/>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5"/>
      </w:numPr>
      <w:spacing w:after="120"/>
      <w:ind w:right="1267"/>
      <w:jc w:val="both"/>
    </w:pPr>
  </w:style>
  <w:style w:type="paragraph" w:customStyle="1" w:styleId="Bullet2">
    <w:name w:val="Bullet 2"/>
    <w:basedOn w:val="Normal"/>
    <w:qFormat/>
    <w:rsid w:val="007E1619"/>
    <w:pPr>
      <w:numPr>
        <w:numId w:val="6"/>
      </w:numPr>
      <w:spacing w:after="120"/>
      <w:ind w:right="1264"/>
      <w:jc w:val="both"/>
    </w:pPr>
  </w:style>
  <w:style w:type="paragraph" w:customStyle="1" w:styleId="Bullet3">
    <w:name w:val="Bullet 3"/>
    <w:basedOn w:val="SingleTxt"/>
    <w:qFormat/>
    <w:rsid w:val="007E161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qFormat/>
    <w:rsid w:val="007E1619"/>
    <w:pPr>
      <w:spacing w:line="210" w:lineRule="exact"/>
    </w:pPr>
    <w:rPr>
      <w:sz w:val="17"/>
      <w:szCs w:val="20"/>
    </w:rPr>
  </w:style>
  <w:style w:type="character" w:customStyle="1" w:styleId="FootnoteTextChar">
    <w:name w:val="Footnote Text Char"/>
    <w:link w:val="FootnoteText"/>
    <w:uiPriority w:val="99"/>
    <w:qFormat/>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qFormat/>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405BB"/>
    <w:rPr>
      <w:sz w:val="16"/>
      <w:szCs w:val="16"/>
    </w:rPr>
  </w:style>
  <w:style w:type="paragraph" w:styleId="CommentText">
    <w:name w:val="annotation text"/>
    <w:basedOn w:val="Normal"/>
    <w:link w:val="CommentTextChar"/>
    <w:uiPriority w:val="99"/>
    <w:semiHidden/>
    <w:unhideWhenUsed/>
    <w:rsid w:val="004405BB"/>
    <w:pPr>
      <w:spacing w:line="240" w:lineRule="auto"/>
    </w:pPr>
    <w:rPr>
      <w:szCs w:val="20"/>
    </w:rPr>
  </w:style>
  <w:style w:type="character" w:customStyle="1" w:styleId="CommentTextChar">
    <w:name w:val="Comment Text Char"/>
    <w:basedOn w:val="DefaultParagraphFont"/>
    <w:link w:val="CommentText"/>
    <w:uiPriority w:val="99"/>
    <w:semiHidden/>
    <w:rsid w:val="004405B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405BB"/>
    <w:rPr>
      <w:b/>
      <w:bCs/>
    </w:rPr>
  </w:style>
  <w:style w:type="character" w:customStyle="1" w:styleId="CommentSubjectChar">
    <w:name w:val="Comment Subject Char"/>
    <w:basedOn w:val="CommentTextChar"/>
    <w:link w:val="CommentSubject"/>
    <w:uiPriority w:val="99"/>
    <w:semiHidden/>
    <w:rsid w:val="004405BB"/>
    <w:rPr>
      <w:rFonts w:ascii="Times New Roman" w:eastAsiaTheme="minorHAnsi" w:hAnsi="Times New Roman" w:cs="Times New Roman"/>
      <w:b/>
      <w:bCs/>
      <w:spacing w:val="4"/>
      <w:w w:val="103"/>
      <w:kern w:val="14"/>
      <w:sz w:val="20"/>
      <w:szCs w:val="20"/>
      <w:lang w:val="fr-CA" w:eastAsia="en-US"/>
    </w:rPr>
  </w:style>
  <w:style w:type="character" w:customStyle="1" w:styleId="Ancredenotedebasdepage">
    <w:name w:val="Ancre de note de bas de page"/>
    <w:rsid w:val="00FF0818"/>
    <w:rPr>
      <w:color w:val="auto"/>
      <w:spacing w:val="5"/>
      <w:w w:val="103"/>
      <w:kern w:val="2"/>
      <w:vertAlign w:val="superscript"/>
      <w14:ligatures w14:val="none"/>
      <w14:numForm w14:val="default"/>
      <w14:numSpacing w14:val="default"/>
      <w14:stylisticSets/>
      <w14:cntxtAlts w14:val="0"/>
    </w:rPr>
  </w:style>
  <w:style w:type="character" w:customStyle="1" w:styleId="FootnoteCharacters">
    <w:name w:val="Footnote Characters"/>
    <w:basedOn w:val="DefaultParagraphFont"/>
    <w:uiPriority w:val="1"/>
    <w:semiHidden/>
    <w:qFormat/>
    <w:rsid w:val="00FF0818"/>
    <w:rPr>
      <w:color w:val="auto"/>
      <w:spacing w:val="5"/>
      <w:w w:val="103"/>
      <w:kern w:val="2"/>
      <w:vertAlign w:val="superscript"/>
      <w14:ligatures w14:val="none"/>
      <w14:numForm w14:val="default"/>
      <w14:numSpacing w14:val="default"/>
      <w14:stylisticSets/>
      <w14:cntxtAlts w14:val="0"/>
    </w:rPr>
  </w:style>
  <w:style w:type="character" w:customStyle="1" w:styleId="LienInternet">
    <w:name w:val="Lien Internet"/>
    <w:basedOn w:val="DefaultParagraphFont"/>
    <w:uiPriority w:val="99"/>
    <w:rsid w:val="00FF0818"/>
    <w:rPr>
      <w:color w:val="0000FF"/>
      <w:u w:val="none"/>
    </w:rPr>
  </w:style>
  <w:style w:type="character" w:customStyle="1" w:styleId="Caractresdenotedebasdepage">
    <w:name w:val="Caractères de note de bas de page"/>
    <w:qFormat/>
    <w:rsid w:val="00FF0818"/>
  </w:style>
  <w:style w:type="paragraph" w:customStyle="1" w:styleId="HCh0">
    <w:name w:val="_ H _Ch"/>
    <w:basedOn w:val="H1"/>
    <w:next w:val="SingleTxt"/>
    <w:qFormat/>
    <w:rsid w:val="00FF0818"/>
    <w:pPr>
      <w:spacing w:line="300" w:lineRule="exact"/>
    </w:pPr>
    <w:rPr>
      <w:spacing w:val="-2"/>
      <w:kern w:val="2"/>
      <w:sz w:val="28"/>
      <w:lang w:val="ru-RU"/>
    </w:rPr>
  </w:style>
  <w:style w:type="character" w:styleId="Hyperlink">
    <w:name w:val="Hyperlink"/>
    <w:basedOn w:val="DefaultParagraphFont"/>
    <w:uiPriority w:val="99"/>
    <w:unhideWhenUsed/>
    <w:rsid w:val="00A07075"/>
    <w:rPr>
      <w:color w:val="0000FF" w:themeColor="hyperlink"/>
      <w:u w:val="single"/>
    </w:rPr>
  </w:style>
  <w:style w:type="character" w:styleId="UnresolvedMention">
    <w:name w:val="Unresolved Mention"/>
    <w:basedOn w:val="DefaultParagraphFont"/>
    <w:uiPriority w:val="99"/>
    <w:semiHidden/>
    <w:unhideWhenUsed/>
    <w:rsid w:val="00A07075"/>
    <w:rPr>
      <w:color w:val="605E5C"/>
      <w:shd w:val="clear" w:color="auto" w:fill="E1DFDD"/>
    </w:rPr>
  </w:style>
  <w:style w:type="character" w:styleId="FollowedHyperlink">
    <w:name w:val="FollowedHyperlink"/>
    <w:basedOn w:val="DefaultParagraphFont"/>
    <w:uiPriority w:val="99"/>
    <w:semiHidden/>
    <w:unhideWhenUsed/>
    <w:rsid w:val="00B80934"/>
    <w:rPr>
      <w:color w:val="800080" w:themeColor="followedHyperlink"/>
      <w:u w:val="single"/>
    </w:rPr>
  </w:style>
  <w:style w:type="paragraph" w:styleId="Revision">
    <w:name w:val="Revision"/>
    <w:hidden/>
    <w:uiPriority w:val="99"/>
    <w:semiHidden/>
    <w:rsid w:val="00874BA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t.gov.u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dmi.mehnat.u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AT%2fC%2fUZB%2f5&amp;Lang=ru" TargetMode="External"/><Relationship Id="rId2" Type="http://schemas.openxmlformats.org/officeDocument/2006/relationships/hyperlink" Target="https://tbinternet.ohchr.org/_layouts/15/treatybodyexternal/Download.aspx?symbolno=CERD%2fC%2fUZB%2f10-12&amp;Lang=fr" TargetMode="External"/><Relationship Id="rId1" Type="http://schemas.openxmlformats.org/officeDocument/2006/relationships/hyperlink" Target="https://tbinternet.ohchr.org/_layouts/15/treatybodyexternal/Download.aspx?symbolno=E%2C.12%2fUZB%2f3&amp;Lang=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06E8-114D-4643-A89F-22FD6F83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12685</Words>
  <Characters>72307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Nadia Lakrim</cp:lastModifiedBy>
  <cp:revision>3</cp:revision>
  <cp:lastPrinted>2021-12-10T14:13:00Z</cp:lastPrinted>
  <dcterms:created xsi:type="dcterms:W3CDTF">2021-12-10T14:13:00Z</dcterms:created>
  <dcterms:modified xsi:type="dcterms:W3CDTF">2021-12-10T14:13:00Z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2114052F</vt:lpwstr>
  </property>
  <property fmtid="{D5CDD505-2E9C-101B-9397-08002B2CF9AE}" pid="3" name="ODSRefJobNo">
    <vt:lpwstr>2127314F</vt:lpwstr>
  </property>
  <property fmtid="{D5CDD505-2E9C-101B-9397-08002B2CF9AE}" pid="4" name="Symbol1">
    <vt:lpwstr>CEDAW/C/UZB/RQ/6</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Quatre-vingt-unième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l’Ouzbékistan à la liste de points et de questions concernant son sixième rapport périodique*, **_x000d_</vt:lpwstr>
  </property>
</Properties>
</file>