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E9" w:rsidRDefault="002864E9" w:rsidP="002864E9">
      <w:pPr>
        <w:spacing w:line="60" w:lineRule="exact"/>
        <w:rPr>
          <w:sz w:val="6"/>
          <w:lang w:val="en-US"/>
        </w:rPr>
        <w:sectPr w:rsidR="002864E9" w:rsidSect="002864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065499" w:rsidRDefault="00065499" w:rsidP="00065499">
      <w:pPr>
        <w:pStyle w:val="H1"/>
        <w:tabs>
          <w:tab w:val="left" w:pos="0"/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65499" w:rsidRDefault="00065499" w:rsidP="000654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Предсессионная рабочая группа</w:t>
      </w:r>
    </w:p>
    <w:p w:rsidR="00065499" w:rsidRDefault="00065499" w:rsidP="000654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Сорок пятая сессия </w:t>
      </w:r>
    </w:p>
    <w:p w:rsidR="00065499" w:rsidRDefault="00065499" w:rsidP="0006549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Январь</w:t>
      </w:r>
      <w:r w:rsidR="001B298E">
        <w:t>-</w:t>
      </w:r>
      <w:r>
        <w:t>февраль 2010 года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0654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Перечень тем и </w:t>
      </w:r>
      <w:r w:rsidR="00AC23BF" w:rsidRPr="00AC23BF">
        <w:t>в</w:t>
      </w:r>
      <w:r>
        <w:t>опросов в связи с рассмотрением периодических докладов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06549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Узбекистан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4445E4">
      <w:pPr>
        <w:pStyle w:val="SingleTxt"/>
      </w:pPr>
      <w:r>
        <w:tab/>
        <w:t>Предсессионная рабочая группа рассмотрела четвертый п</w:t>
      </w:r>
      <w:r w:rsidR="00AC23BF">
        <w:t>ериодический доклад Узбекистана </w:t>
      </w:r>
      <w:r>
        <w:t>(CEDAW/C/UZB/4).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0654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Общие сведения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4445E4">
      <w:pPr>
        <w:pStyle w:val="SingleTxt"/>
      </w:pPr>
      <w:r>
        <w:t>1.</w:t>
      </w:r>
      <w:r>
        <w:tab/>
        <w:t>Просьба представить дополнительную информацию о процессе подгото</w:t>
      </w:r>
      <w:r>
        <w:t>в</w:t>
      </w:r>
      <w:r>
        <w:t>ки четвертого периодического доклада Узбекистана, указав, в какой мере к этому процессу было привлечено гражданское общество и был ли доклад у</w:t>
      </w:r>
      <w:r>
        <w:t>т</w:t>
      </w:r>
      <w:r>
        <w:t>вержден правительством и представлен на рассмотрение парламента.</w:t>
      </w:r>
    </w:p>
    <w:p w:rsidR="00065499" w:rsidRDefault="00065499" w:rsidP="004445E4">
      <w:pPr>
        <w:pStyle w:val="SingleTxt"/>
      </w:pPr>
      <w:r>
        <w:t>2.</w:t>
      </w:r>
      <w:r>
        <w:tab/>
        <w:t>Просьба представить информацию о конкретных результатах, которые были достигнуты после принятия Национального плана действий по выполн</w:t>
      </w:r>
      <w:r>
        <w:t>е</w:t>
      </w:r>
      <w:r>
        <w:t>нию рекомендаций Комитета по ликвидации дискриминации в отношении женщин, утвержденного в 2007 году.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0654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Конституционные, законодательные и организационные механизмы и</w:t>
      </w:r>
      <w:r w:rsidR="001B298E">
        <w:t> </w:t>
      </w:r>
      <w:r>
        <w:t>статус К</w:t>
      </w:r>
      <w:r w:rsidR="00AC23BF">
        <w:t>онвенции, определение термина «р</w:t>
      </w:r>
      <w:r>
        <w:t>авенство»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4445E4">
      <w:pPr>
        <w:pStyle w:val="SingleTxt"/>
      </w:pPr>
      <w:r>
        <w:t>3.</w:t>
      </w:r>
      <w:r>
        <w:tab/>
        <w:t>В своих предыдущих заключительных замечаниях Комитет выразил обе</w:t>
      </w:r>
      <w:r>
        <w:t>с</w:t>
      </w:r>
      <w:r>
        <w:t>покоенность по поводу отсутствия прогресса в осуществлении реформы зак</w:t>
      </w:r>
      <w:r>
        <w:t>о</w:t>
      </w:r>
      <w:r>
        <w:t>нодательства (см. CEDAW/C/UZB/</w:t>
      </w:r>
      <w:r>
        <w:rPr>
          <w:lang w:val="en-US"/>
        </w:rPr>
        <w:t>CO</w:t>
      </w:r>
      <w:r w:rsidRPr="00DC7EF3">
        <w:t>/3, пункт</w:t>
      </w:r>
      <w:r>
        <w:rPr>
          <w:lang w:val="en-US"/>
        </w:rPr>
        <w:t> </w:t>
      </w:r>
      <w:r w:rsidRPr="00DC7EF3">
        <w:t>9)</w:t>
      </w:r>
      <w:r>
        <w:t>. Просьба указать, какие дал</w:t>
      </w:r>
      <w:r>
        <w:t>ь</w:t>
      </w:r>
      <w:r>
        <w:t>нейшие шаги были сделаны государством-участником с момента ра</w:t>
      </w:r>
      <w:r>
        <w:t>с</w:t>
      </w:r>
      <w:r>
        <w:t>смотрения его предыдущего доклада в 2006 году для принятия четырех конкретных зак</w:t>
      </w:r>
      <w:r>
        <w:t>о</w:t>
      </w:r>
      <w:r>
        <w:t>нов, о которых говорится в заключительных замечаниях.</w:t>
      </w:r>
    </w:p>
    <w:p w:rsidR="00065499" w:rsidRDefault="001B298E" w:rsidP="004445E4">
      <w:pPr>
        <w:pStyle w:val="SingleTxt"/>
      </w:pPr>
      <w:r>
        <w:br w:type="page"/>
      </w:r>
      <w:r w:rsidR="00065499">
        <w:t>4.</w:t>
      </w:r>
      <w:r w:rsidR="00065499">
        <w:tab/>
        <w:t>В докладе государства-участника (пункты 5, 299 и 302) отмечается, что в период 2006–2008 годов принимались меры, направленные на разработку и принятие закона о гарантиях равных прав и равных возможностей женщин и мужчин. Просьба уточнить,</w:t>
      </w:r>
      <w:r w:rsidR="00AC23BF">
        <w:t xml:space="preserve"> новый ли это законопроект или </w:t>
      </w:r>
      <w:r w:rsidR="00065499">
        <w:t>тот, который был представлен на рассмотрение парламента в 2004 году. Если это новый закон</w:t>
      </w:r>
      <w:r w:rsidR="00065499">
        <w:t>о</w:t>
      </w:r>
      <w:r w:rsidR="00065499">
        <w:t>проект, то просьба указать, в чем его отличие от старого и когда его планируе</w:t>
      </w:r>
      <w:r w:rsidR="00065499">
        <w:t>т</w:t>
      </w:r>
      <w:r w:rsidR="00065499">
        <w:t xml:space="preserve">ся принять. Если это тот же законопроект, о котором сообщалось в 2004 году, то просьба подробно описать препятствия на пути к </w:t>
      </w:r>
      <w:r w:rsidR="00AC23BF">
        <w:t xml:space="preserve">его </w:t>
      </w:r>
      <w:r w:rsidR="00065499">
        <w:t>принятию. Что касае</w:t>
      </w:r>
      <w:r w:rsidR="00065499">
        <w:t>т</w:t>
      </w:r>
      <w:r w:rsidR="00065499">
        <w:t>ся законопроекта о равных правах и равных возможностях, то просьба уто</w:t>
      </w:r>
      <w:r w:rsidR="00065499">
        <w:t>ч</w:t>
      </w:r>
      <w:r w:rsidR="00065499">
        <w:t>нить, содержится ли в нем определение термина «дискриминация» в соотве</w:t>
      </w:r>
      <w:r w:rsidR="00065499">
        <w:t>т</w:t>
      </w:r>
      <w:r w:rsidR="00065499">
        <w:t xml:space="preserve">ствии со статьей 1 Конвенции, </w:t>
      </w:r>
      <w:r>
        <w:t xml:space="preserve">т.е. </w:t>
      </w:r>
      <w:r w:rsidR="00065499">
        <w:t>охватывающее как прямую, так и косвенную дискриминацию.</w:t>
      </w:r>
    </w:p>
    <w:p w:rsidR="00065499" w:rsidRDefault="00065499" w:rsidP="004445E4">
      <w:pPr>
        <w:pStyle w:val="SingleTxt"/>
      </w:pPr>
      <w:r>
        <w:t>5.</w:t>
      </w:r>
      <w:r>
        <w:tab/>
        <w:t>Просьба подробно указать, какие меры были приняты с целью обесп</w:t>
      </w:r>
      <w:r>
        <w:t>е</w:t>
      </w:r>
      <w:r>
        <w:t>чить, чтобы Конвенция и общие рекомендации Комитета были неотъемлемой частью просветительской работы по правовым вопрос</w:t>
      </w:r>
      <w:r w:rsidR="000820F5">
        <w:t>ам и профессиональной подготовки</w:t>
      </w:r>
      <w:r>
        <w:t xml:space="preserve"> судей, прокуроров и сотрудников правоохранительных органов; просьба указать также, какие меры были приняты для того, чтобы перевести общие рекомендации Комитета на узбекский язык и обеспечить их широкое распространение, как это было рекомендовано Комитетом в его предыдущих заключительных замечаниях (пункт 14). 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0654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4445E4">
      <w:pPr>
        <w:pStyle w:val="SingleTxt"/>
      </w:pPr>
      <w:r>
        <w:t>6.</w:t>
      </w:r>
      <w:r>
        <w:tab/>
        <w:t xml:space="preserve">В своих предыдущих заключительных замечаниях Комитет рекомендовал государству-участнику привлечь к обсуждению доклада </w:t>
      </w:r>
      <w:r w:rsidR="000820F5">
        <w:t xml:space="preserve">членов парламента </w:t>
      </w:r>
      <w:r>
        <w:t xml:space="preserve">до его представления Комитету (пункт 34). Просьба сообщить, какие шаги были сделаны в этом направлении, и, если никаких, </w:t>
      </w:r>
      <w:r w:rsidR="000820F5">
        <w:t xml:space="preserve">то </w:t>
      </w:r>
      <w:r>
        <w:t>просьба ук</w:t>
      </w:r>
      <w:r>
        <w:t>а</w:t>
      </w:r>
      <w:r>
        <w:t>зать</w:t>
      </w:r>
      <w:r w:rsidR="000820F5">
        <w:t xml:space="preserve"> причины</w:t>
      </w:r>
      <w:r>
        <w:t>.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0654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Национальный механизм </w:t>
      </w:r>
      <w:r w:rsidR="000820F5">
        <w:t xml:space="preserve">для </w:t>
      </w:r>
      <w:r>
        <w:t>улучшения положения женщин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4445E4">
      <w:pPr>
        <w:pStyle w:val="SingleTxt"/>
      </w:pPr>
      <w:r>
        <w:t>7.</w:t>
      </w:r>
      <w:r>
        <w:tab/>
        <w:t xml:space="preserve">Просьба уточнить, является ли Комитет </w:t>
      </w:r>
      <w:r w:rsidR="000820F5">
        <w:t xml:space="preserve">по делам </w:t>
      </w:r>
      <w:r>
        <w:t>женщин правительс</w:t>
      </w:r>
      <w:r>
        <w:t>т</w:t>
      </w:r>
      <w:r>
        <w:t>венной структурой или неправительственной организацией. Просьба сообщить также о том, что</w:t>
      </w:r>
      <w:r w:rsidR="001B298E">
        <w:t xml:space="preserve"> </w:t>
      </w:r>
      <w:r>
        <w:t>было сделано для обеспечения Комитета по делам женщин людскими и финансовыми ресурсами, необходимыми для координации дейс</w:t>
      </w:r>
      <w:r>
        <w:t>т</w:t>
      </w:r>
      <w:r>
        <w:t>вий по осуществлению Конвенции и реализации стратегии обеспечения ге</w:t>
      </w:r>
      <w:r>
        <w:t>н</w:t>
      </w:r>
      <w:r>
        <w:t xml:space="preserve">дерного равенства </w:t>
      </w:r>
      <w:r w:rsidR="000820F5">
        <w:t xml:space="preserve">по всем направлениям </w:t>
      </w:r>
      <w:r>
        <w:t>проводимой правительством полит</w:t>
      </w:r>
      <w:r>
        <w:t>и</w:t>
      </w:r>
      <w:r>
        <w:t>ки, как это было рекомендовано Комитетом в его предыдущих заключительных з</w:t>
      </w:r>
      <w:r>
        <w:t>а</w:t>
      </w:r>
      <w:r>
        <w:t xml:space="preserve">мечаниях (пункт 16). 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0654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</w:t>
      </w:r>
      <w:r w:rsidR="000820F5">
        <w:t>отипы и дискриминационные культурные традиции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4445E4">
      <w:pPr>
        <w:pStyle w:val="SingleTxt"/>
      </w:pPr>
      <w:r>
        <w:t>8.</w:t>
      </w:r>
      <w:r>
        <w:tab/>
        <w:t>В своих предыдущих заключительных замечаниях Комитет выразил сер</w:t>
      </w:r>
      <w:r>
        <w:t>ь</w:t>
      </w:r>
      <w:r>
        <w:t>езную обеспокоенность по поводу сохранения патриархальных отношений и глубоко укоренившихся культурных стереотипов в отношении роли и обяза</w:t>
      </w:r>
      <w:r>
        <w:t>н</w:t>
      </w:r>
      <w:r>
        <w:t>ностей женщи</w:t>
      </w:r>
      <w:r w:rsidR="000820F5">
        <w:t>н и мужчин в семье и обществе Узбекистана</w:t>
      </w:r>
      <w:r>
        <w:t>. Комитет выразил также обеспокоенность т</w:t>
      </w:r>
      <w:r w:rsidR="000820F5">
        <w:t>ем, что разработанные в рамках Н</w:t>
      </w:r>
      <w:r>
        <w:t>ационального плана действий образовательные программы, направленные на искоренение патриа</w:t>
      </w:r>
      <w:r>
        <w:t>р</w:t>
      </w:r>
      <w:r>
        <w:t>хальных отношений в семье, рассчитаны лишь на женщин и девочек, а не на мужчин и мальчиков (</w:t>
      </w:r>
      <w:r w:rsidRPr="00C85D46">
        <w:t>пункт</w:t>
      </w:r>
      <w:r>
        <w:rPr>
          <w:lang w:val="en-US"/>
        </w:rPr>
        <w:t> </w:t>
      </w:r>
      <w:r>
        <w:t xml:space="preserve">19). Просьба указать, какие меры были приняты для искоренения стереотипов, касающихся традиционной роли полов в семье и обществе, включая информационно-пропагандистские и просветительские кампании, </w:t>
      </w:r>
      <w:r w:rsidR="000820F5">
        <w:t>которые были бы ориентированы</w:t>
      </w:r>
      <w:r>
        <w:t xml:space="preserve"> не только на женщин и девочек, но и на мужчин и мальчиков, а также на общинных, духовных и религиозных л</w:t>
      </w:r>
      <w:r>
        <w:t>и</w:t>
      </w:r>
      <w:r>
        <w:t>деров (пункт 20).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0654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757C05">
        <w:tab/>
      </w:r>
      <w:r w:rsidRPr="00757C05">
        <w:tab/>
      </w:r>
      <w:r>
        <w:rPr>
          <w:lang w:val="en-US"/>
        </w:rPr>
        <w:t>Насилие в отношении женщин</w:t>
      </w:r>
    </w:p>
    <w:p w:rsidR="00065499" w:rsidRPr="00065499" w:rsidRDefault="00065499" w:rsidP="00065499">
      <w:pPr>
        <w:pStyle w:val="SingleTxt"/>
        <w:spacing w:after="0" w:line="120" w:lineRule="exact"/>
        <w:rPr>
          <w:sz w:val="10"/>
        </w:rPr>
      </w:pPr>
    </w:p>
    <w:p w:rsidR="00065499" w:rsidRDefault="00065499" w:rsidP="004445E4">
      <w:pPr>
        <w:pStyle w:val="SingleTxt"/>
      </w:pPr>
      <w:r>
        <w:t>9.</w:t>
      </w:r>
      <w:r>
        <w:tab/>
        <w:t>В своих предыдущих заключительных замечаниях Комитет выразил обе</w:t>
      </w:r>
      <w:r>
        <w:t>с</w:t>
      </w:r>
      <w:r>
        <w:t>покоенность по поводу масштабов насилия в отношении женщин, отсутствия конкретного закон</w:t>
      </w:r>
      <w:r w:rsidR="000820F5">
        <w:t>а</w:t>
      </w:r>
      <w:r>
        <w:t xml:space="preserve"> о защите женщин от насилия</w:t>
      </w:r>
      <w:r w:rsidR="000820F5">
        <w:t xml:space="preserve"> в семье</w:t>
      </w:r>
      <w:r>
        <w:t>, а также обеспокое</w:t>
      </w:r>
      <w:r>
        <w:t>н</w:t>
      </w:r>
      <w:r>
        <w:t>ность тем, что виновные в совершении актов насилия в семье не подвергаются судебному преследованию и наказанию. Комитет выразил также обеспокое</w:t>
      </w:r>
      <w:r>
        <w:t>н</w:t>
      </w:r>
      <w:r>
        <w:t>ность тем, что государство-участник не представило информацию и стати</w:t>
      </w:r>
      <w:r w:rsidR="000820F5">
        <w:t>ст</w:t>
      </w:r>
      <w:r w:rsidR="000820F5">
        <w:t>и</w:t>
      </w:r>
      <w:r w:rsidR="000820F5">
        <w:t>ческие данные</w:t>
      </w:r>
      <w:r>
        <w:t xml:space="preserve"> о частотности и масштабах распространения различных форм насилия в отношении женщин (пункт 21). Просьба представить информацию о том, существуют ли какие-либо законопроекты, касающиеся проблемы насилия в отношении женщин, сколько дел о насилии в семье рассматривается су</w:t>
      </w:r>
      <w:r w:rsidR="000820F5">
        <w:t>де</w:t>
      </w:r>
      <w:r w:rsidR="000820F5">
        <w:t>б</w:t>
      </w:r>
      <w:r w:rsidR="000820F5">
        <w:t>ными органами</w:t>
      </w:r>
      <w:r w:rsidR="001B298E">
        <w:t>,</w:t>
      </w:r>
      <w:r>
        <w:t xml:space="preserve"> и о том, что конкретно было сделано для предотвращения н</w:t>
      </w:r>
      <w:r>
        <w:t>а</w:t>
      </w:r>
      <w:r>
        <w:t>силия в отношении женщин и их защиты от него и для уголовного преследов</w:t>
      </w:r>
      <w:r>
        <w:t>а</w:t>
      </w:r>
      <w:r>
        <w:t>ния лиц, совершающих такие акты.</w:t>
      </w:r>
    </w:p>
    <w:p w:rsidR="00520845" w:rsidRPr="00FC103D" w:rsidRDefault="00520845" w:rsidP="004445E4">
      <w:pPr>
        <w:pStyle w:val="SingleTxt"/>
      </w:pPr>
      <w:r w:rsidRPr="00FC103D">
        <w:t>10.</w:t>
      </w:r>
      <w:r w:rsidRPr="00FC103D">
        <w:tab/>
        <w:t xml:space="preserve">Просьба </w:t>
      </w:r>
      <w:r w:rsidR="002C54D4">
        <w:t xml:space="preserve">сообщить </w:t>
      </w:r>
      <w:r w:rsidRPr="00FC103D">
        <w:t>также, какие меры были приняты для выполнения пр</w:t>
      </w:r>
      <w:r w:rsidRPr="00FC103D">
        <w:t>е</w:t>
      </w:r>
      <w:r w:rsidRPr="00FC103D">
        <w:t xml:space="preserve">дыдущих рекомендаций Комитета, </w:t>
      </w:r>
      <w:r w:rsidR="002C54D4">
        <w:t xml:space="preserve">содержащихся </w:t>
      </w:r>
      <w:r w:rsidRPr="00FC103D">
        <w:t>в пункте</w:t>
      </w:r>
      <w:r>
        <w:rPr>
          <w:lang w:val="en-US"/>
        </w:rPr>
        <w:t> </w:t>
      </w:r>
      <w:r w:rsidRPr="00FC103D">
        <w:t>22.</w:t>
      </w:r>
    </w:p>
    <w:p w:rsidR="00520845" w:rsidRDefault="00520845" w:rsidP="004445E4">
      <w:pPr>
        <w:pStyle w:val="SingleTxt"/>
      </w:pPr>
      <w:r>
        <w:t>11.</w:t>
      </w:r>
      <w:r>
        <w:tab/>
        <w:t>Просьба указать, что было сделано для того, чтобы обеспечить защиту всех девочек от физического насилия в любых условиях, включая телесные н</w:t>
      </w:r>
      <w:r>
        <w:t>а</w:t>
      </w:r>
      <w:r>
        <w:t xml:space="preserve">казания в альтернативных учреждениях </w:t>
      </w:r>
      <w:r w:rsidR="002C54D4">
        <w:t xml:space="preserve">по уходу за детьми, в семье и </w:t>
      </w:r>
      <w:r>
        <w:t>шк</w:t>
      </w:r>
      <w:r>
        <w:t>о</w:t>
      </w:r>
      <w:r>
        <w:t>лах.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5208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4445E4">
      <w:pPr>
        <w:pStyle w:val="SingleTxt"/>
      </w:pPr>
      <w:r>
        <w:t>12.</w:t>
      </w:r>
      <w:r>
        <w:tab/>
      </w:r>
      <w:r w:rsidR="006D700C">
        <w:t>В развитие предыдущих заключительных замечаний Комитета, в которых он выразил обеспокоенность по поводу продолжающейся торговли женщинами и девочками и их эксплуатации (пункт 25), а также в связи с содержащейся в нынешнем докладе государства-участника информации о принятии нового з</w:t>
      </w:r>
      <w:r w:rsidR="006D700C">
        <w:t>а</w:t>
      </w:r>
      <w:r w:rsidR="006D700C">
        <w:t>кона о противодействии торговли людьми (пункты 7 и 395), просьба соо</w:t>
      </w:r>
      <w:r w:rsidR="006D700C">
        <w:t>б</w:t>
      </w:r>
      <w:r w:rsidR="006D700C">
        <w:t>щить о ходе работы, которая ведется в рамках упомянутой в пункте 400 ин</w:t>
      </w:r>
      <w:r w:rsidR="006D700C">
        <w:t>и</w:t>
      </w:r>
      <w:r w:rsidR="006D700C">
        <w:t xml:space="preserve">циативы, </w:t>
      </w:r>
      <w:r>
        <w:t>направленной на приведение законодательства Республики Узбекистан в соо</w:t>
      </w:r>
      <w:r>
        <w:t>т</w:t>
      </w:r>
      <w:r>
        <w:t>ветствие с положениями закона о противодействии торговле люд</w:t>
      </w:r>
      <w:r>
        <w:t>ь</w:t>
      </w:r>
      <w:r>
        <w:t>ми. Просьба подробно сообщить также о конкретных шагах, предпринятых во исполнение рекомендаций, содержащихся в пункте 26 предыдущих заключительных зам</w:t>
      </w:r>
      <w:r>
        <w:t>е</w:t>
      </w:r>
      <w:r>
        <w:t>чаний.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5208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4445E4">
      <w:pPr>
        <w:pStyle w:val="SingleTxt"/>
      </w:pPr>
      <w:r>
        <w:t>13.</w:t>
      </w:r>
      <w:r>
        <w:tab/>
        <w:t>Просьба уточнить, что имеется в</w:t>
      </w:r>
      <w:r w:rsidR="002C54D4">
        <w:t xml:space="preserve"> </w:t>
      </w:r>
      <w:r>
        <w:t>виду в пункте 422 доклада государства-участника, где говорится о «мерах по повышению интеллектуального поте</w:t>
      </w:r>
      <w:r>
        <w:t>н</w:t>
      </w:r>
      <w:r>
        <w:t>циала женщин».</w:t>
      </w:r>
    </w:p>
    <w:p w:rsidR="00520845" w:rsidRDefault="00520845" w:rsidP="004445E4">
      <w:pPr>
        <w:pStyle w:val="SingleTxt"/>
      </w:pPr>
      <w:r>
        <w:t>14.</w:t>
      </w:r>
      <w:r>
        <w:tab/>
        <w:t>В развитие предыдущих заключительных замечаний Комитета, в которых он выразил обеспокоенность тем, что женщины по</w:t>
      </w:r>
      <w:r>
        <w:noBreakHyphen/>
        <w:t xml:space="preserve">прежнему недостаточно представлены в политической и государственной сферах и на </w:t>
      </w:r>
      <w:r w:rsidR="006336B2">
        <w:t xml:space="preserve">руководящих </w:t>
      </w:r>
      <w:r>
        <w:t>должностях всех уровней, а также призвал настойчиво принимать меры в этой связи (пункты 23 и 24), просьба подробно</w:t>
      </w:r>
      <w:r w:rsidR="006336B2">
        <w:t xml:space="preserve"> сообщить</w:t>
      </w:r>
      <w:r>
        <w:t>, какие меры, включая вр</w:t>
      </w:r>
      <w:r>
        <w:t>е</w:t>
      </w:r>
      <w:r>
        <w:t xml:space="preserve">менные специальные меры, были приняты для скорейшего </w:t>
      </w:r>
      <w:r w:rsidR="006336B2">
        <w:t xml:space="preserve">повышения уровня </w:t>
      </w:r>
      <w:r>
        <w:t>представленности женщин на руководящих должностях в государственном и част</w:t>
      </w:r>
      <w:r w:rsidR="006336B2">
        <w:t>ном секторах Узбекистана</w:t>
      </w:r>
      <w:r>
        <w:t xml:space="preserve">. </w:t>
      </w:r>
    </w:p>
    <w:p w:rsidR="00520845" w:rsidRDefault="00520845" w:rsidP="004445E4">
      <w:pPr>
        <w:pStyle w:val="SingleTxt"/>
      </w:pPr>
      <w:r>
        <w:t>15.</w:t>
      </w:r>
      <w:r>
        <w:tab/>
        <w:t>В докладе государства-участника говорится об органах местного сам</w:t>
      </w:r>
      <w:r>
        <w:t>о</w:t>
      </w:r>
      <w:r>
        <w:t xml:space="preserve">управления — махаллях, — которые выполняют роль комиссий, оказывающих </w:t>
      </w:r>
      <w:r w:rsidR="0009563D">
        <w:t>поддержку женщинам и молодежи в</w:t>
      </w:r>
      <w:r>
        <w:t xml:space="preserve"> различных общин</w:t>
      </w:r>
      <w:r w:rsidR="0009563D">
        <w:t>ах</w:t>
      </w:r>
      <w:r>
        <w:t xml:space="preserve"> Узбекистана и обе</w:t>
      </w:r>
      <w:r>
        <w:t>с</w:t>
      </w:r>
      <w:r>
        <w:t>печи</w:t>
      </w:r>
      <w:r w:rsidR="0009563D">
        <w:t>вающих</w:t>
      </w:r>
      <w:r>
        <w:t xml:space="preserve"> их защиту. Просьба указать, могут ли и женщины, и мужчины н</w:t>
      </w:r>
      <w:r w:rsidR="0009563D">
        <w:t xml:space="preserve">а </w:t>
      </w:r>
      <w:r>
        <w:t>рав</w:t>
      </w:r>
      <w:r w:rsidR="0009563D">
        <w:t>ной основе</w:t>
      </w:r>
      <w:r>
        <w:t xml:space="preserve"> избираться н</w:t>
      </w:r>
      <w:r w:rsidR="0009563D">
        <w:t>а должность председателя махалля</w:t>
      </w:r>
      <w:r>
        <w:t>, а также колич</w:t>
      </w:r>
      <w:r>
        <w:t>е</w:t>
      </w:r>
      <w:r>
        <w:t>ство входя</w:t>
      </w:r>
      <w:r w:rsidR="0009563D">
        <w:t>щих в их состав</w:t>
      </w:r>
      <w:r>
        <w:t xml:space="preserve"> женщин.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5208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4445E4">
      <w:pPr>
        <w:pStyle w:val="SingleTxt"/>
      </w:pPr>
      <w:r>
        <w:t>16.</w:t>
      </w:r>
      <w:r>
        <w:tab/>
        <w:t xml:space="preserve">Просьба указать, </w:t>
      </w:r>
      <w:r w:rsidR="0009563D">
        <w:t xml:space="preserve">охватывают </w:t>
      </w:r>
      <w:r>
        <w:t>ли программы добрачного воспитания и просвещения по вопросам семьи, осуществляемые под руководством маха</w:t>
      </w:r>
      <w:r>
        <w:t>л</w:t>
      </w:r>
      <w:r>
        <w:t>линских комитетов, вопросы прав женщин, особенно применительно к пробл</w:t>
      </w:r>
      <w:r>
        <w:t>е</w:t>
      </w:r>
      <w:r>
        <w:t>ме насилия в с</w:t>
      </w:r>
      <w:r>
        <w:t>е</w:t>
      </w:r>
      <w:r>
        <w:t xml:space="preserve">мье. 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5208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4445E4">
      <w:pPr>
        <w:pStyle w:val="SingleTxt"/>
      </w:pPr>
      <w:r>
        <w:t>17.</w:t>
      </w:r>
      <w:r>
        <w:tab/>
        <w:t>В предыдущих заключительных замечаниях Комитет выразил обеспок</w:t>
      </w:r>
      <w:r>
        <w:t>о</w:t>
      </w:r>
      <w:r>
        <w:t>енность по поводу сохраняю</w:t>
      </w:r>
      <w:r w:rsidR="0009563D">
        <w:t>щейся на рынке труда сегрегации</w:t>
      </w:r>
      <w:r>
        <w:t xml:space="preserve"> по признаку п</w:t>
      </w:r>
      <w:r>
        <w:t>о</w:t>
      </w:r>
      <w:r>
        <w:t>ла, по причине которой женщины получают более низкую заработную плату (пункт 27). Просьба представить информацию о женщинах на неформальном рынке труда и усилия</w:t>
      </w:r>
      <w:r w:rsidR="007139D7">
        <w:t>х</w:t>
      </w:r>
      <w:r>
        <w:t xml:space="preserve"> государства-участника, направленных на искоренение сегрегации по признаку пола на формальном рынке труда, включая усилия по искоренению различий в оплате труда, в соответствии с просьбой, содерж</w:t>
      </w:r>
      <w:r>
        <w:t>а</w:t>
      </w:r>
      <w:r>
        <w:t>щейся в пункте 28 предыдущих заключительных замечаний.</w:t>
      </w:r>
      <w:r w:rsidR="0009563D">
        <w:t xml:space="preserve"> </w:t>
      </w:r>
      <w:r>
        <w:t>Просьба указать также, был ли включен в национальное законодательство запрет на сексуал</w:t>
      </w:r>
      <w:r>
        <w:t>ь</w:t>
      </w:r>
      <w:r>
        <w:t>ные домогательства на рабочем месте, и  описать механизмы обеспечения его соблюдения</w:t>
      </w:r>
      <w:r w:rsidR="0009563D">
        <w:t>.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5208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4445E4">
      <w:pPr>
        <w:pStyle w:val="SingleTxt"/>
      </w:pPr>
      <w:r>
        <w:t>18.</w:t>
      </w:r>
      <w:r>
        <w:tab/>
        <w:t>В докладе государст</w:t>
      </w:r>
      <w:r w:rsidR="0009563D">
        <w:t>ва-участника говорится</w:t>
      </w:r>
      <w:r>
        <w:t xml:space="preserve">, что </w:t>
      </w:r>
      <w:r w:rsidR="0009563D">
        <w:t xml:space="preserve">показатель </w:t>
      </w:r>
      <w:r>
        <w:t xml:space="preserve">абортов </w:t>
      </w:r>
      <w:r w:rsidR="0009563D">
        <w:t xml:space="preserve">в расчете </w:t>
      </w:r>
      <w:r>
        <w:t xml:space="preserve">на 1000 женщин детородного возраста </w:t>
      </w:r>
      <w:r w:rsidR="0009563D">
        <w:t xml:space="preserve">сократился </w:t>
      </w:r>
      <w:r>
        <w:t>с 8,4 процента в 2002 году до 6,8 процента в 2007 году (пункт 519). Просьба представить и</w:t>
      </w:r>
      <w:r>
        <w:t>н</w:t>
      </w:r>
      <w:r>
        <w:t>формацию о показателях абортов среди женщин и девочек подросткового во</w:t>
      </w:r>
      <w:r>
        <w:t>з</w:t>
      </w:r>
      <w:r>
        <w:t>раста и о м</w:t>
      </w:r>
      <w:r>
        <w:t>е</w:t>
      </w:r>
      <w:r>
        <w:t>рах, принятых для поощрения полового воспитания в школах, включая просвещение по вопросам репродуктивного здоровья, планирования семьи и методах контраце</w:t>
      </w:r>
      <w:r>
        <w:t>п</w:t>
      </w:r>
      <w:r>
        <w:t>ции.</w:t>
      </w:r>
    </w:p>
    <w:p w:rsidR="00520845" w:rsidRDefault="00520845" w:rsidP="004445E4">
      <w:pPr>
        <w:pStyle w:val="SingleTxt"/>
      </w:pPr>
      <w:r>
        <w:t>19.</w:t>
      </w:r>
      <w:r>
        <w:tab/>
        <w:t xml:space="preserve">В докладе государства-участника не содержится достаточной информации и данных о частотности и </w:t>
      </w:r>
      <w:r w:rsidR="0009563D">
        <w:t>масштабах распространения</w:t>
      </w:r>
      <w:r>
        <w:t xml:space="preserve"> опасных для жизни з</w:t>
      </w:r>
      <w:r>
        <w:t>а</w:t>
      </w:r>
      <w:r>
        <w:t xml:space="preserve">болеваний среди женщин, включая пожилых женщин и женщин-инвалидов. Просьба представить информацию о </w:t>
      </w:r>
      <w:r w:rsidR="0009563D">
        <w:t xml:space="preserve">показателях </w:t>
      </w:r>
      <w:r>
        <w:t>заболеваемости женщин ВИЧ/СПИДом, раком г</w:t>
      </w:r>
      <w:r w:rsidR="0009563D">
        <w:t>руди и шейки матки и психическими</w:t>
      </w:r>
      <w:r>
        <w:t xml:space="preserve"> расстройств</w:t>
      </w:r>
      <w:r w:rsidR="0009563D">
        <w:t>ами</w:t>
      </w:r>
      <w:r>
        <w:t xml:space="preserve">. Кроме того, в докладе </w:t>
      </w:r>
      <w:r w:rsidR="0009563D">
        <w:t>государства-участника говорится</w:t>
      </w:r>
      <w:r>
        <w:t>, что кабинет минис</w:t>
      </w:r>
      <w:r>
        <w:t>т</w:t>
      </w:r>
      <w:r>
        <w:t xml:space="preserve">ров утвердил Стратегическую программу противодействия распространению эпидемии ВИЧ/СПИДа в Республике Узбекистан на 2007–2011 годы. Просьба представить подробную информацию о конкретных мерах, принятых в рамках этой Программы для профилактики </w:t>
      </w:r>
      <w:r w:rsidR="0009563D">
        <w:t xml:space="preserve">инфицирования </w:t>
      </w:r>
      <w:r>
        <w:t>женщин и девочек ВИЧ/СПИДом.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5208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09563D" w:rsidP="004445E4">
      <w:pPr>
        <w:pStyle w:val="SingleTxt"/>
      </w:pPr>
      <w:r>
        <w:t>20.</w:t>
      </w:r>
      <w:r>
        <w:tab/>
        <w:t>Комитет выразил</w:t>
      </w:r>
      <w:r w:rsidR="00520845">
        <w:t xml:space="preserve"> обеспокоенность по поводу того, что в предыдущем докладе государства-участника не было предоставлено достаточно</w:t>
      </w:r>
      <w:r>
        <w:t>й</w:t>
      </w:r>
      <w:r w:rsidR="00520845">
        <w:t xml:space="preserve"> информ</w:t>
      </w:r>
      <w:r w:rsidR="00520845">
        <w:t>а</w:t>
      </w:r>
      <w:r w:rsidR="00520845">
        <w:t>ции о положении сельских женщин в областях, которые охватывает Конвенция, и с особым беспокойством отметил незначительное количество женщин, вл</w:t>
      </w:r>
      <w:r w:rsidR="00520845">
        <w:t>а</w:t>
      </w:r>
      <w:r w:rsidR="00520845">
        <w:t>деющих земельной собственностью. Просьба представить всеобъемлющие данные о положении сельских женщин в областях, на которые распространяе</w:t>
      </w:r>
      <w:r w:rsidR="00520845">
        <w:t>т</w:t>
      </w:r>
      <w:r w:rsidR="00520845">
        <w:t>ся действие Конвенции, включая причины незначительного, по сравнению с мужчинами, процента женщин, которые имеют в собственности землю, а также о предпринимаемых государством-участником мерах для увеличения их числа (пункт 30).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5208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7139D7">
        <w:t>Г</w:t>
      </w:r>
      <w:r>
        <w:t>руппы женщин</w:t>
      </w:r>
      <w:r w:rsidR="0009563D">
        <w:t>, находящихся в уязвимом положении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4445E4">
      <w:pPr>
        <w:pStyle w:val="SingleTxt"/>
      </w:pPr>
      <w:r>
        <w:t>21.</w:t>
      </w:r>
      <w:r>
        <w:tab/>
        <w:t>Просьба подробно сообщить, какими видами трудовой деятельности м</w:t>
      </w:r>
      <w:r>
        <w:t>о</w:t>
      </w:r>
      <w:r>
        <w:t>гут зани</w:t>
      </w:r>
      <w:r w:rsidR="0009563D">
        <w:t>маться женщины-заключенные</w:t>
      </w:r>
      <w:r>
        <w:t>, на какую заработную плату они м</w:t>
      </w:r>
      <w:r>
        <w:t>о</w:t>
      </w:r>
      <w:r>
        <w:t xml:space="preserve">гут рассчитывать, а также представить статистические данные о </w:t>
      </w:r>
      <w:r w:rsidR="0009563D">
        <w:t xml:space="preserve">возможностях трудоустройства для </w:t>
      </w:r>
      <w:r>
        <w:t>жен</w:t>
      </w:r>
      <w:r w:rsidR="0009563D">
        <w:t xml:space="preserve">щин после отбытия срока наказания. </w:t>
      </w:r>
      <w:r>
        <w:t>Просьба пре</w:t>
      </w:r>
      <w:r>
        <w:t>д</w:t>
      </w:r>
      <w:r>
        <w:t xml:space="preserve">ставить также информацию о том, каким образом </w:t>
      </w:r>
      <w:r w:rsidR="0009563D">
        <w:t xml:space="preserve">осуществляется контроль </w:t>
      </w:r>
      <w:r>
        <w:t>за санитарно-гигиеническими условиями содержания женщин в тюрьмах и соо</w:t>
      </w:r>
      <w:r>
        <w:t>т</w:t>
      </w:r>
      <w:r>
        <w:t>ветствуют ли они общим международным стандартам. Просьба указать, учас</w:t>
      </w:r>
      <w:r>
        <w:t>т</w:t>
      </w:r>
      <w:r>
        <w:t xml:space="preserve">вуют ли в </w:t>
      </w:r>
      <w:r w:rsidR="00961541">
        <w:t xml:space="preserve">осуществлении </w:t>
      </w:r>
      <w:r>
        <w:t>контроля за состоянием тюрем международные орг</w:t>
      </w:r>
      <w:r>
        <w:t>а</w:t>
      </w:r>
      <w:r>
        <w:t>низации, такие</w:t>
      </w:r>
      <w:r w:rsidR="00961541">
        <w:t>,</w:t>
      </w:r>
      <w:r>
        <w:t xml:space="preserve"> как Международный комитет Кра</w:t>
      </w:r>
      <w:r>
        <w:t>с</w:t>
      </w:r>
      <w:r>
        <w:t>ного Креста.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5208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Семейные отношения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4445E4">
      <w:pPr>
        <w:pStyle w:val="SingleTxt"/>
      </w:pPr>
      <w:r>
        <w:t>22.</w:t>
      </w:r>
      <w:r>
        <w:tab/>
        <w:t xml:space="preserve">Просьба </w:t>
      </w:r>
      <w:r w:rsidR="00961541">
        <w:t xml:space="preserve">сообщить о мерах, </w:t>
      </w:r>
      <w:r>
        <w:t>приняты</w:t>
      </w:r>
      <w:r w:rsidR="00961541">
        <w:t>х</w:t>
      </w:r>
      <w:r>
        <w:t xml:space="preserve"> для пересмотра соответствующих законов о возрасте </w:t>
      </w:r>
      <w:r w:rsidR="00961541">
        <w:t xml:space="preserve">вступления в брак </w:t>
      </w:r>
      <w:r>
        <w:t>и внесения в них поправо</w:t>
      </w:r>
      <w:r w:rsidR="00961541">
        <w:t>к,</w:t>
      </w:r>
      <w:r>
        <w:t xml:space="preserve"> и о ходе р</w:t>
      </w:r>
      <w:r>
        <w:t>а</w:t>
      </w:r>
      <w:r>
        <w:t>боты над поправкой к Семейному кодексу, касающейся вступления в брак д</w:t>
      </w:r>
      <w:r>
        <w:t>е</w:t>
      </w:r>
      <w:r>
        <w:t>тей.</w:t>
      </w:r>
    </w:p>
    <w:p w:rsidR="00520845" w:rsidRDefault="00520845" w:rsidP="004445E4">
      <w:pPr>
        <w:pStyle w:val="SingleTxt"/>
      </w:pPr>
      <w:r>
        <w:t>23.</w:t>
      </w:r>
      <w:r>
        <w:tab/>
        <w:t>В своих предыдущих заключительных замечаниях Комитет выразил обе</w:t>
      </w:r>
      <w:r>
        <w:t>с</w:t>
      </w:r>
      <w:r>
        <w:t>покоенность по поводу того, что формулировка положений Уголовного кодекса, запрещающих полигамию в форме сожительства в том же доме, может быть истолкована как допускающая полигамию, если она практикуется не в том же доме (пункт 31). Просьба сообщить, какие меры были приняты для пересмотра соответствующих законов о полигамии и внесения в них поправок.</w:t>
      </w:r>
    </w:p>
    <w:p w:rsidR="00520845" w:rsidRDefault="00520845" w:rsidP="004445E4">
      <w:pPr>
        <w:pStyle w:val="SingleTxt"/>
      </w:pPr>
      <w:r w:rsidRPr="00897401">
        <w:t>24.</w:t>
      </w:r>
      <w:r w:rsidRPr="00897401">
        <w:tab/>
        <w:t>Просьба указать, были ли внесены какие</w:t>
      </w:r>
      <w:r w:rsidRPr="00897401">
        <w:noBreakHyphen/>
        <w:t>либо изменения в политику вс</w:t>
      </w:r>
      <w:r w:rsidRPr="00897401">
        <w:t>е</w:t>
      </w:r>
      <w:r w:rsidRPr="00897401">
        <w:t xml:space="preserve">общей социальной </w:t>
      </w:r>
      <w:r w:rsidR="00961541">
        <w:t>помощи детям</w:t>
      </w:r>
      <w:r w:rsidRPr="00897401">
        <w:t xml:space="preserve"> в возрасте до двух лет. </w:t>
      </w:r>
      <w:r>
        <w:t>В докладе государс</w:t>
      </w:r>
      <w:r>
        <w:t>т</w:t>
      </w:r>
      <w:r>
        <w:t>ва-участника говорится о социальных пособиях на детей (пункт 331). Прос</w:t>
      </w:r>
      <w:r>
        <w:t>ь</w:t>
      </w:r>
      <w:r>
        <w:t>ба уточнить, имеют ли местные органы самоуправления право решать, каким семьям положено такое пособие.</w:t>
      </w:r>
    </w:p>
    <w:p w:rsidR="00520845" w:rsidRDefault="00520845" w:rsidP="004445E4">
      <w:pPr>
        <w:pStyle w:val="SingleTxt"/>
      </w:pPr>
      <w:r>
        <w:t>25.</w:t>
      </w:r>
      <w:r>
        <w:tab/>
        <w:t>Просьба представить информацию о том, какие виды имущества подл</w:t>
      </w:r>
      <w:r>
        <w:t>е</w:t>
      </w:r>
      <w:r>
        <w:t>жат разделу после разрыва отношений, и указать, в частности, признает</w:t>
      </w:r>
      <w:r w:rsidR="00961541">
        <w:t>ся</w:t>
      </w:r>
      <w:r>
        <w:t xml:space="preserve"> ли закон</w:t>
      </w:r>
      <w:r w:rsidR="00961541">
        <w:t>ом</w:t>
      </w:r>
      <w:r>
        <w:t xml:space="preserve"> нематериальное имущество, такое</w:t>
      </w:r>
      <w:r w:rsidR="00961541">
        <w:t>,</w:t>
      </w:r>
      <w:r>
        <w:t xml:space="preserve"> как пенсионные накопления, в</w:t>
      </w:r>
      <w:r>
        <w:t>ы</w:t>
      </w:r>
      <w:r>
        <w:t>ходные пособия, страховые выплаты. Просьба сообщить также, могут ли м</w:t>
      </w:r>
      <w:r>
        <w:t>а</w:t>
      </w:r>
      <w:r>
        <w:t xml:space="preserve">халлинские комитеты </w:t>
      </w:r>
      <w:r w:rsidR="00961541">
        <w:t xml:space="preserve">предоставлять женщинам «время на размышление» </w:t>
      </w:r>
      <w:r>
        <w:t xml:space="preserve">до того, как она может подать на развод, и бывают ли случаи, когда суд в качестве обязательного условия </w:t>
      </w:r>
      <w:r w:rsidR="00961541">
        <w:t xml:space="preserve">для </w:t>
      </w:r>
      <w:r>
        <w:t>подачи заявления на развод требует представить разреше</w:t>
      </w:r>
      <w:r w:rsidR="00961541">
        <w:t>ние м</w:t>
      </w:r>
      <w:r>
        <w:t>ахаллинского комитета, в том числе в случаях нас</w:t>
      </w:r>
      <w:r>
        <w:t>и</w:t>
      </w:r>
      <w:r>
        <w:t>лия в семье.</w:t>
      </w:r>
    </w:p>
    <w:p w:rsidR="00520845" w:rsidRDefault="00520845" w:rsidP="005208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Национальное учреждение по вопросам прав человека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4445E4">
      <w:pPr>
        <w:pStyle w:val="SingleTxt"/>
      </w:pPr>
      <w:r>
        <w:t>26.</w:t>
      </w:r>
      <w:r>
        <w:tab/>
        <w:t xml:space="preserve">Просьба представить информацию о деятельности </w:t>
      </w:r>
      <w:r w:rsidR="005D07FC">
        <w:t xml:space="preserve">Уполномоченного Олий Мажлиса </w:t>
      </w:r>
      <w:r>
        <w:t>по правам человека и Национального центра по правам челов</w:t>
      </w:r>
      <w:r>
        <w:t>е</w:t>
      </w:r>
      <w:r>
        <w:t>ка Республики Узбекистан в области прав женщин. Просьба представить д</w:t>
      </w:r>
      <w:r>
        <w:t>о</w:t>
      </w:r>
      <w:r>
        <w:t>полнительную подробную информацию о случаях насилия в отношении же</w:t>
      </w:r>
      <w:r>
        <w:t>н</w:t>
      </w:r>
      <w:r>
        <w:t xml:space="preserve">щин, насилия в семье и дискриминации в отношении женщин, о которых </w:t>
      </w:r>
      <w:r w:rsidR="005D07FC">
        <w:t xml:space="preserve">было сообщено обоим этим органам </w:t>
      </w:r>
      <w:r>
        <w:t>в 2006, 2007 и 2008 годах и которые были ра</w:t>
      </w:r>
      <w:r>
        <w:t>с</w:t>
      </w:r>
      <w:r>
        <w:t xml:space="preserve">смотрены ими, а также информацию о том, были ли в </w:t>
      </w:r>
      <w:r w:rsidR="005D07FC">
        <w:t>связи с этими</w:t>
      </w:r>
      <w:r>
        <w:t xml:space="preserve"> жалоб</w:t>
      </w:r>
      <w:r w:rsidR="005D07FC">
        <w:t>ами</w:t>
      </w:r>
      <w:r>
        <w:t xml:space="preserve"> возбуждены уголовные дела. Просьба сообщить также, каким образом эти два учреждения взаимодействуют с Ком</w:t>
      </w:r>
      <w:r>
        <w:t>и</w:t>
      </w:r>
      <w:r>
        <w:t>тетом по делам женщин Узбекистана.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5208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Неправительственн</w:t>
      </w:r>
      <w:r w:rsidR="005D07FC">
        <w:t>ые организации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4445E4">
      <w:pPr>
        <w:pStyle w:val="SingleTxt"/>
      </w:pPr>
      <w:r>
        <w:t>27.</w:t>
      </w:r>
      <w:r>
        <w:tab/>
        <w:t>В свя</w:t>
      </w:r>
      <w:r w:rsidR="005D07FC">
        <w:t>зи с представленными государством-члено</w:t>
      </w:r>
      <w:r>
        <w:t>м разъяснениями относ</w:t>
      </w:r>
      <w:r>
        <w:t>и</w:t>
      </w:r>
      <w:r>
        <w:t>тельно правового статуса и правового регулирования деятельности неправ</w:t>
      </w:r>
      <w:r>
        <w:t>и</w:t>
      </w:r>
      <w:r>
        <w:t>тельственных организаций (пункты 77–85) и созданием Комитета по демокр</w:t>
      </w:r>
      <w:r>
        <w:t>а</w:t>
      </w:r>
      <w:r>
        <w:t>тическим институтам, негосударственным организациям и органам самоупра</w:t>
      </w:r>
      <w:r>
        <w:t>в</w:t>
      </w:r>
      <w:r w:rsidR="005D07FC">
        <w:t>ления граждан (пункт 42)</w:t>
      </w:r>
      <w:r>
        <w:t xml:space="preserve"> просьба сообщить о том, каков порядок регистрации женских неправительственных организаций и какие меры были приняты для пересмотра критериев их финансирования и практики отношений с ними, как это было рекомендовано Комитетом в его предыдущих заключительных зам</w:t>
      </w:r>
      <w:r>
        <w:t>е</w:t>
      </w:r>
      <w:r>
        <w:t>чаниях.</w:t>
      </w:r>
    </w:p>
    <w:p w:rsidR="00520845" w:rsidRDefault="00520845" w:rsidP="004445E4">
      <w:pPr>
        <w:pStyle w:val="SingleTxt"/>
      </w:pPr>
      <w:r>
        <w:t>28.</w:t>
      </w:r>
      <w:r>
        <w:tab/>
        <w:t>Просьба представить разъяснения относительно использования госуда</w:t>
      </w:r>
      <w:r>
        <w:t>р</w:t>
      </w:r>
      <w:r>
        <w:t>ством-участни</w:t>
      </w:r>
      <w:r w:rsidR="005D07FC">
        <w:t>ком термина «неправительственные некоммерческие</w:t>
      </w:r>
      <w:r>
        <w:t xml:space="preserve"> организ</w:t>
      </w:r>
      <w:r>
        <w:t>а</w:t>
      </w:r>
      <w:r>
        <w:t>ци</w:t>
      </w:r>
      <w:r w:rsidR="005D07FC">
        <w:t>и</w:t>
      </w:r>
      <w:r>
        <w:t>» и о том, в чем состоит их отличие от неправительственных организаций.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52084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 и поправка к пункту 1 статьи 20</w:t>
      </w:r>
    </w:p>
    <w:p w:rsidR="00520845" w:rsidRPr="00520845" w:rsidRDefault="00520845" w:rsidP="00520845">
      <w:pPr>
        <w:pStyle w:val="SingleTxt"/>
        <w:spacing w:after="0" w:line="120" w:lineRule="exact"/>
        <w:rPr>
          <w:sz w:val="10"/>
        </w:rPr>
      </w:pPr>
    </w:p>
    <w:p w:rsidR="00520845" w:rsidRDefault="00520845" w:rsidP="004445E4">
      <w:pPr>
        <w:pStyle w:val="SingleTxt"/>
      </w:pPr>
      <w:r>
        <w:t>29.</w:t>
      </w:r>
      <w:r>
        <w:tab/>
        <w:t>Просьба сообщить о ходе работы, направленной на присоединение к Ф</w:t>
      </w:r>
      <w:r>
        <w:t>а</w:t>
      </w:r>
      <w:r>
        <w:t>культативному протоколу к Конвенции, как это было рекомендовано Комит</w:t>
      </w:r>
      <w:r>
        <w:t>е</w:t>
      </w:r>
      <w:r>
        <w:t xml:space="preserve">том в его предыдущих заключительных замечаниях. Просьба указать также, был ли </w:t>
      </w:r>
      <w:r w:rsidR="00306D1A">
        <w:t>достигнут прогресс в</w:t>
      </w:r>
      <w:r>
        <w:t xml:space="preserve"> </w:t>
      </w:r>
      <w:r w:rsidR="00306D1A">
        <w:t>работе в целях принятия</w:t>
      </w:r>
      <w:r>
        <w:t xml:space="preserve"> поправки к пункту 1 ст</w:t>
      </w:r>
      <w:r>
        <w:t>а</w:t>
      </w:r>
      <w:r>
        <w:t>тьи 20 Конвенции, касающейся продолжительности сессий Комитета.</w:t>
      </w:r>
    </w:p>
    <w:p w:rsidR="004C1A3F" w:rsidRPr="00306D1A" w:rsidRDefault="00306D1A" w:rsidP="007139D7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4C1A3F" w:rsidRPr="00306D1A" w:rsidSect="00065499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04-03T15:35:00Z" w:initials="Start">
    <w:p w:rsidR="00DC21A3" w:rsidRPr="00520845" w:rsidRDefault="00DC21A3">
      <w:pPr>
        <w:pStyle w:val="CommentText"/>
        <w:rPr>
          <w:lang w:val="en-US"/>
        </w:rPr>
      </w:pPr>
      <w:r>
        <w:fldChar w:fldCharType="begin"/>
      </w:r>
      <w:r w:rsidRPr="00520845">
        <w:rPr>
          <w:rStyle w:val="CommentReference"/>
          <w:lang w:val="en-US"/>
        </w:rPr>
        <w:instrText xml:space="preserve"> </w:instrText>
      </w:r>
      <w:r w:rsidRPr="00520845">
        <w:rPr>
          <w:lang w:val="en-US"/>
        </w:rPr>
        <w:instrText>PAGE \# "'Page: '#'</w:instrText>
      </w:r>
      <w:r w:rsidRPr="00520845">
        <w:rPr>
          <w:lang w:val="en-US"/>
        </w:rPr>
        <w:br/>
        <w:instrText>'"</w:instrText>
      </w:r>
      <w:r w:rsidRPr="0052084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20845">
        <w:rPr>
          <w:lang w:val="en-US"/>
        </w:rPr>
        <w:t>&lt;&lt;ODS JOB NO&gt;&gt;N0926626R&lt;&lt;ODS JOB NO&gt;&gt;</w:t>
      </w:r>
    </w:p>
    <w:p w:rsidR="00DC21A3" w:rsidRPr="00520845" w:rsidRDefault="00DC21A3">
      <w:pPr>
        <w:pStyle w:val="CommentText"/>
        <w:rPr>
          <w:lang w:val="en-US"/>
        </w:rPr>
      </w:pPr>
      <w:r w:rsidRPr="00520845">
        <w:rPr>
          <w:lang w:val="en-US"/>
        </w:rPr>
        <w:t>&lt;&lt;ODS DOC SYMBOL1&gt;&gt;CEDAW/C/UZB/Q/4&lt;&lt;ODS DOC SYMBOL1&gt;&gt;</w:t>
      </w:r>
    </w:p>
    <w:p w:rsidR="00DC21A3" w:rsidRPr="00520845" w:rsidRDefault="00DC21A3">
      <w:pPr>
        <w:pStyle w:val="CommentText"/>
        <w:rPr>
          <w:lang w:val="en-US"/>
        </w:rPr>
      </w:pPr>
      <w:r w:rsidRPr="00520845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AE" w:rsidRDefault="00B64EAE">
      <w:r>
        <w:separator/>
      </w:r>
    </w:p>
  </w:endnote>
  <w:endnote w:type="continuationSeparator" w:id="0">
    <w:p w:rsidR="00B64EAE" w:rsidRDefault="00B6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C21A3" w:rsidTr="002864E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C21A3" w:rsidRPr="002864E9" w:rsidRDefault="00DC21A3" w:rsidP="002864E9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D5BFF">
            <w:t>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C21A3" w:rsidRPr="002864E9" w:rsidRDefault="00DC21A3" w:rsidP="002864E9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09-26626</w:t>
          </w:r>
          <w:r>
            <w:rPr>
              <w:b w:val="0"/>
              <w:sz w:val="14"/>
            </w:rPr>
            <w:fldChar w:fldCharType="end"/>
          </w:r>
        </w:p>
      </w:tc>
    </w:tr>
  </w:tbl>
  <w:p w:rsidR="00DC21A3" w:rsidRPr="002864E9" w:rsidRDefault="00DC21A3" w:rsidP="00286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C21A3" w:rsidTr="002864E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C21A3" w:rsidRPr="002864E9" w:rsidRDefault="00DC21A3" w:rsidP="002864E9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09-26626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C21A3" w:rsidRPr="002864E9" w:rsidRDefault="00DC21A3" w:rsidP="002864E9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D5BFF">
            <w:t>5</w:t>
          </w:r>
          <w:r>
            <w:fldChar w:fldCharType="end"/>
          </w:r>
        </w:p>
      </w:tc>
    </w:tr>
  </w:tbl>
  <w:p w:rsidR="00DC21A3" w:rsidRPr="002864E9" w:rsidRDefault="00DC21A3" w:rsidP="002864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A3" w:rsidRDefault="00DC21A3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C21A3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DC21A3" w:rsidRDefault="00DC21A3" w:rsidP="002864E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09-26626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030409    060409</w:t>
          </w:r>
        </w:p>
        <w:p w:rsidR="00DC21A3" w:rsidRPr="002864E9" w:rsidRDefault="00DC21A3" w:rsidP="002864E9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*0926626*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DC21A3" w:rsidRDefault="00DC21A3" w:rsidP="002864E9">
          <w:pPr>
            <w:pStyle w:val="Footer"/>
            <w:jc w:val="right"/>
            <w:rPr>
              <w:b w:val="0"/>
              <w:sz w:val="20"/>
            </w:rPr>
          </w:pPr>
          <w:r w:rsidRPr="002864E9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DC21A3" w:rsidRPr="002864E9" w:rsidRDefault="00DC21A3" w:rsidP="002864E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AE" w:rsidRDefault="00B64EAE">
      <w:r>
        <w:separator/>
      </w:r>
    </w:p>
  </w:footnote>
  <w:footnote w:type="continuationSeparator" w:id="0">
    <w:p w:rsidR="00B64EAE" w:rsidRDefault="00B64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C21A3" w:rsidTr="002864E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C21A3" w:rsidRPr="002864E9" w:rsidRDefault="00DC21A3" w:rsidP="002864E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CEDAW/C/UZB/Q/4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C21A3" w:rsidRDefault="00DC21A3" w:rsidP="002864E9">
          <w:pPr>
            <w:pStyle w:val="Header"/>
          </w:pPr>
        </w:p>
      </w:tc>
    </w:tr>
  </w:tbl>
  <w:p w:rsidR="00DC21A3" w:rsidRPr="002864E9" w:rsidRDefault="00DC21A3" w:rsidP="002864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C21A3" w:rsidTr="002864E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C21A3" w:rsidRDefault="00DC21A3" w:rsidP="002864E9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DC21A3" w:rsidRPr="002864E9" w:rsidRDefault="00DC21A3" w:rsidP="002864E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CEDAW/C/UZB/Q/4</w:t>
          </w:r>
          <w:r>
            <w:rPr>
              <w:b/>
            </w:rPr>
            <w:fldChar w:fldCharType="end"/>
          </w:r>
        </w:p>
      </w:tc>
    </w:tr>
  </w:tbl>
  <w:p w:rsidR="00DC21A3" w:rsidRPr="002864E9" w:rsidRDefault="00DC21A3" w:rsidP="002864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DC21A3" w:rsidTr="002864E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C21A3" w:rsidRPr="00954A44" w:rsidRDefault="00DC21A3" w:rsidP="002864E9">
          <w:pPr>
            <w:pStyle w:val="HCh"/>
            <w:spacing w:after="80"/>
            <w:rPr>
              <w:spacing w:val="0"/>
              <w:w w:val="100"/>
              <w:kern w:val="0"/>
              <w:effect w:val="blinkBackground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  <w:r>
            <w:rPr>
              <w:spacing w:val="0"/>
              <w:w w:val="100"/>
              <w:kern w:val="0"/>
              <w:effect w:val="blinkBackground"/>
            </w:rPr>
            <w:t xml:space="preserve"> 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C21A3" w:rsidRDefault="00DC21A3" w:rsidP="002864E9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C21A3" w:rsidRPr="002864E9" w:rsidRDefault="00DC21A3" w:rsidP="002864E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/C/UZB/Q/4</w:t>
          </w:r>
        </w:p>
      </w:tc>
    </w:tr>
    <w:tr w:rsidR="00DC21A3" w:rsidRPr="00520845" w:rsidTr="002864E9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21A3" w:rsidRDefault="00DC21A3" w:rsidP="002864E9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DC21A3" w:rsidRPr="002864E9" w:rsidRDefault="00DC21A3" w:rsidP="002864E9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21A3" w:rsidRPr="002864E9" w:rsidRDefault="00DC21A3" w:rsidP="002864E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21A3" w:rsidRPr="00520845" w:rsidRDefault="00DC21A3" w:rsidP="002864E9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21A3" w:rsidRPr="00520845" w:rsidRDefault="00DC21A3" w:rsidP="002864E9">
          <w:pPr>
            <w:spacing w:before="240"/>
            <w:rPr>
              <w:lang w:val="en-US"/>
            </w:rPr>
          </w:pPr>
          <w:r w:rsidRPr="00520845">
            <w:rPr>
              <w:lang w:val="en-US"/>
            </w:rPr>
            <w:t>Distr.: General</w:t>
          </w:r>
        </w:p>
        <w:p w:rsidR="00DC21A3" w:rsidRPr="00520845" w:rsidRDefault="00DC21A3" w:rsidP="002864E9">
          <w:pPr>
            <w:rPr>
              <w:lang w:val="en-US"/>
            </w:rPr>
          </w:pPr>
          <w:r w:rsidRPr="00520845">
            <w:rPr>
              <w:lang w:val="en-US"/>
            </w:rPr>
            <w:t>13 March 2009</w:t>
          </w:r>
        </w:p>
        <w:p w:rsidR="00DC21A3" w:rsidRPr="00520845" w:rsidRDefault="00DC21A3" w:rsidP="002864E9">
          <w:pPr>
            <w:rPr>
              <w:lang w:val="en-US"/>
            </w:rPr>
          </w:pPr>
          <w:r w:rsidRPr="00520845">
            <w:rPr>
              <w:lang w:val="en-US"/>
            </w:rPr>
            <w:t>Russian</w:t>
          </w:r>
        </w:p>
        <w:p w:rsidR="00DC21A3" w:rsidRPr="00520845" w:rsidRDefault="00DC21A3" w:rsidP="002864E9">
          <w:pPr>
            <w:rPr>
              <w:lang w:val="en-US"/>
            </w:rPr>
          </w:pPr>
          <w:r w:rsidRPr="00520845">
            <w:rPr>
              <w:lang w:val="en-US"/>
            </w:rPr>
            <w:t>Original: English</w:t>
          </w:r>
        </w:p>
      </w:tc>
    </w:tr>
  </w:tbl>
  <w:p w:rsidR="00DC21A3" w:rsidRPr="002864E9" w:rsidRDefault="00DC21A3" w:rsidP="002864E9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26626*"/>
    <w:docVar w:name="CreationDt" w:val="03/04/2009 15:35:25"/>
    <w:docVar w:name="DocCategory" w:val="Doc"/>
    <w:docVar w:name="DocType" w:val="Final"/>
    <w:docVar w:name="FooterJN" w:val="09-26626"/>
    <w:docVar w:name="jobn" w:val="09-26626 (R)"/>
    <w:docVar w:name="jobnDT" w:val="09-26626 (R)   030409"/>
    <w:docVar w:name="jobnDTDT" w:val="09-26626 (R)   030409   030409"/>
    <w:docVar w:name="JobNo" w:val="0926626R"/>
    <w:docVar w:name="OandT" w:val="Zemlinskaya"/>
    <w:docVar w:name="sss1" w:val="CEDAW/C/UZB/Q/4"/>
    <w:docVar w:name="sss2" w:val="-"/>
    <w:docVar w:name="Symbol1" w:val="CEDAW/C/UZB/Q/4"/>
    <w:docVar w:name="Symbol2" w:val="-"/>
  </w:docVars>
  <w:rsids>
    <w:rsidRoot w:val="000F1F20"/>
    <w:rsid w:val="000121EB"/>
    <w:rsid w:val="000453DA"/>
    <w:rsid w:val="000456EE"/>
    <w:rsid w:val="00051525"/>
    <w:rsid w:val="00065499"/>
    <w:rsid w:val="00067768"/>
    <w:rsid w:val="000820F5"/>
    <w:rsid w:val="00086C68"/>
    <w:rsid w:val="00094451"/>
    <w:rsid w:val="0009563D"/>
    <w:rsid w:val="000D4332"/>
    <w:rsid w:val="000E22D8"/>
    <w:rsid w:val="000E5AE4"/>
    <w:rsid w:val="000F1F20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298E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2778"/>
    <w:rsid w:val="00273D16"/>
    <w:rsid w:val="002864E9"/>
    <w:rsid w:val="00295953"/>
    <w:rsid w:val="002A529E"/>
    <w:rsid w:val="002B7B47"/>
    <w:rsid w:val="002C54D4"/>
    <w:rsid w:val="00301FA0"/>
    <w:rsid w:val="00306D1A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445E4"/>
    <w:rsid w:val="00450ABB"/>
    <w:rsid w:val="0045465A"/>
    <w:rsid w:val="00465704"/>
    <w:rsid w:val="00480A82"/>
    <w:rsid w:val="0049561B"/>
    <w:rsid w:val="004B3EAA"/>
    <w:rsid w:val="004C1A3F"/>
    <w:rsid w:val="004C1CDE"/>
    <w:rsid w:val="004D67BC"/>
    <w:rsid w:val="004E1B63"/>
    <w:rsid w:val="004E2D79"/>
    <w:rsid w:val="004E2F73"/>
    <w:rsid w:val="004E7281"/>
    <w:rsid w:val="00511165"/>
    <w:rsid w:val="0052084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752FA"/>
    <w:rsid w:val="005A3562"/>
    <w:rsid w:val="005A3C68"/>
    <w:rsid w:val="005C0A7D"/>
    <w:rsid w:val="005C1AB0"/>
    <w:rsid w:val="005C45D1"/>
    <w:rsid w:val="005D07FC"/>
    <w:rsid w:val="005E0023"/>
    <w:rsid w:val="005F415D"/>
    <w:rsid w:val="00602143"/>
    <w:rsid w:val="00615153"/>
    <w:rsid w:val="006176BE"/>
    <w:rsid w:val="00632D0B"/>
    <w:rsid w:val="006336B2"/>
    <w:rsid w:val="00636167"/>
    <w:rsid w:val="006373F3"/>
    <w:rsid w:val="006410DC"/>
    <w:rsid w:val="00656FF1"/>
    <w:rsid w:val="00663E67"/>
    <w:rsid w:val="006A70C8"/>
    <w:rsid w:val="006D700C"/>
    <w:rsid w:val="006E4110"/>
    <w:rsid w:val="006E57BD"/>
    <w:rsid w:val="006F23E6"/>
    <w:rsid w:val="006F365F"/>
    <w:rsid w:val="007139D7"/>
    <w:rsid w:val="007211BA"/>
    <w:rsid w:val="007529E4"/>
    <w:rsid w:val="0077752C"/>
    <w:rsid w:val="00777664"/>
    <w:rsid w:val="007807F7"/>
    <w:rsid w:val="00785467"/>
    <w:rsid w:val="007A5298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54946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4A44"/>
    <w:rsid w:val="00956090"/>
    <w:rsid w:val="00960D80"/>
    <w:rsid w:val="00961541"/>
    <w:rsid w:val="00981D86"/>
    <w:rsid w:val="009A4712"/>
    <w:rsid w:val="009B1853"/>
    <w:rsid w:val="009B3F4B"/>
    <w:rsid w:val="009C1519"/>
    <w:rsid w:val="009C3F62"/>
    <w:rsid w:val="009C5D0D"/>
    <w:rsid w:val="009D5AA3"/>
    <w:rsid w:val="009D5BFF"/>
    <w:rsid w:val="009D76A8"/>
    <w:rsid w:val="009E7068"/>
    <w:rsid w:val="009F64BE"/>
    <w:rsid w:val="00A25540"/>
    <w:rsid w:val="00A66744"/>
    <w:rsid w:val="00A66F3C"/>
    <w:rsid w:val="00AB20FA"/>
    <w:rsid w:val="00AB749A"/>
    <w:rsid w:val="00AC23BF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64EAE"/>
    <w:rsid w:val="00B742FC"/>
    <w:rsid w:val="00B85668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1A3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6707A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3797F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2864E9"/>
  </w:style>
  <w:style w:type="paragraph" w:styleId="CommentSubject">
    <w:name w:val="annotation subject"/>
    <w:basedOn w:val="CommentText"/>
    <w:next w:val="CommentText"/>
    <w:semiHidden/>
    <w:rsid w:val="00286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1900</Words>
  <Characters>12793</Characters>
  <Application>Microsoft Office Word</Application>
  <DocSecurity>4</DocSecurity>
  <Lines>284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cp:lastModifiedBy>RTPU User</cp:lastModifiedBy>
  <cp:revision>5</cp:revision>
  <cp:lastPrinted>2009-04-06T08:31:00Z</cp:lastPrinted>
  <dcterms:created xsi:type="dcterms:W3CDTF">2009-04-06T08:29:00Z</dcterms:created>
  <dcterms:modified xsi:type="dcterms:W3CDTF">2009-04-06T08:42:00Z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0926626</vt:lpwstr>
  </property>
  <property fmtid="{D5CDD505-2E9C-101B-9397-08002B2CF9AE}" pid="3" name="Symbol1">
    <vt:lpwstr>CEDAW/C/UZB/Q/4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Galitchskaia</vt:lpwstr>
  </property>
</Properties>
</file>