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87" w:rsidRPr="003E520A" w:rsidRDefault="00CA5787" w:rsidP="00CA5787">
      <w:pPr>
        <w:spacing w:line="60" w:lineRule="exact"/>
        <w:rPr>
          <w:color w:val="010000"/>
          <w:sz w:val="6"/>
        </w:rPr>
        <w:sectPr w:rsidR="00CA5787" w:rsidRPr="003E520A" w:rsidSect="00CA57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3E520A">
        <w:rPr>
          <w:rStyle w:val="CommentReference"/>
        </w:rPr>
        <w:commentReference w:id="0"/>
      </w:r>
      <w:bookmarkStart w:id="1" w:name="_GoBack"/>
      <w:bookmarkEnd w:id="1"/>
    </w:p>
    <w:p w:rsidR="00CA5787" w:rsidRPr="003E520A" w:rsidRDefault="003E520A" w:rsidP="003E520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B7AF1">
        <w:lastRenderedPageBreak/>
        <w:t xml:space="preserve">Комитет по ликвидации дискриминации </w:t>
      </w:r>
      <w:r w:rsidRPr="003E520A">
        <w:br/>
      </w:r>
      <w:r w:rsidRPr="009B7AF1">
        <w:t>в отношении женщин</w:t>
      </w:r>
    </w:p>
    <w:p w:rsidR="003E520A" w:rsidRPr="003E520A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3E520A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3E520A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1E1AAC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>Заключительные замечания по объединенным восьмому и девятому периодическим докладам Уругвая</w:t>
      </w:r>
      <w:r w:rsidRPr="00A23337">
        <w:rPr>
          <w:rStyle w:val="FootnoteReference"/>
          <w:b w:val="0"/>
          <w:sz w:val="20"/>
        </w:rPr>
        <w:footnoteReference w:customMarkFollows="1" w:id="1"/>
        <w:t>*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1.</w:t>
      </w:r>
      <w:r w:rsidRPr="009B7AF1">
        <w:tab/>
        <w:t>Комитет рассмотрел объединенные восьмой и девятый периодические д</w:t>
      </w:r>
      <w:r w:rsidRPr="009B7AF1">
        <w:t>о</w:t>
      </w:r>
      <w:r w:rsidRPr="009B7AF1">
        <w:t>клады Уругвая (</w:t>
      </w:r>
      <w:hyperlink r:id="rId16" w:history="1">
        <w:r w:rsidRPr="00270017">
          <w:rPr>
            <w:rStyle w:val="Hyperlink"/>
          </w:rPr>
          <w:t>CEDAW/C/URY/8-9</w:t>
        </w:r>
      </w:hyperlink>
      <w:r w:rsidRPr="009B7AF1">
        <w:t>) на своих 1417-м и 1418-м заседаниях 14</w:t>
      </w:r>
      <w:r>
        <w:t> </w:t>
      </w:r>
      <w:r w:rsidRPr="009B7AF1">
        <w:t xml:space="preserve">июля 2016 года (см. </w:t>
      </w:r>
      <w:hyperlink r:id="rId17" w:history="1">
        <w:r w:rsidRPr="00270017">
          <w:rPr>
            <w:rStyle w:val="Hyperlink"/>
          </w:rPr>
          <w:t>CEDAW/C/SR.1417</w:t>
        </w:r>
      </w:hyperlink>
      <w:r w:rsidRPr="009B7AF1">
        <w:t xml:space="preserve"> и 1418). Перечень тем и вопросов Комитета содержится в документе </w:t>
      </w:r>
      <w:hyperlink r:id="rId18" w:history="1">
        <w:r w:rsidRPr="00270017">
          <w:rPr>
            <w:rStyle w:val="Hyperlink"/>
          </w:rPr>
          <w:t>CEDAW/C/URY/Q/8-9</w:t>
        </w:r>
      </w:hyperlink>
      <w:r w:rsidRPr="009B7AF1">
        <w:t>, а ответы Уругвая</w:t>
      </w:r>
      <w:r>
        <w:t xml:space="preserve"> — </w:t>
      </w:r>
      <w:r w:rsidRPr="009B7AF1">
        <w:t xml:space="preserve">в документе </w:t>
      </w:r>
      <w:hyperlink r:id="rId19" w:history="1">
        <w:r w:rsidRPr="00270017">
          <w:rPr>
            <w:rStyle w:val="Hyperlink"/>
          </w:rPr>
          <w:t>CEDAW/C/URY/Q/8-9/Add.1</w:t>
        </w:r>
      </w:hyperlink>
      <w:r w:rsidRPr="009B7AF1">
        <w:t xml:space="preserve">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  <w:t>А.</w:t>
      </w:r>
      <w:r w:rsidRPr="009B7AF1">
        <w:tab/>
        <w:t xml:space="preserve">Введение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2.</w:t>
      </w:r>
      <w:r w:rsidRPr="009B7AF1">
        <w:tab/>
        <w:t>Комитет с признательностью отмечает представление государством-участником его объединенных восьмого и девятого периодических докладов. Он также принимает во внимание представленные государством-участником письменные ответы на перечень тем и вопросов, сформулированных предсе</w:t>
      </w:r>
      <w:r w:rsidRPr="009B7AF1">
        <w:t>с</w:t>
      </w:r>
      <w:r w:rsidRPr="009B7AF1">
        <w:t>сионной рабочей группой, и приветствует устный доклад делегации и допо</w:t>
      </w:r>
      <w:r w:rsidRPr="009B7AF1">
        <w:t>л</w:t>
      </w:r>
      <w:r w:rsidRPr="009B7AF1">
        <w:t xml:space="preserve">нительные уточнения, представленные в ответ на вопросы, сформулированные в устной форме Комитетом в процессе диалога. </w:t>
      </w:r>
    </w:p>
    <w:p w:rsidR="003E520A" w:rsidRPr="009B7AF1" w:rsidRDefault="003E520A" w:rsidP="003E520A">
      <w:pPr>
        <w:pStyle w:val="SingleTxt"/>
      </w:pPr>
      <w:r w:rsidRPr="009B7AF1">
        <w:t>3.</w:t>
      </w:r>
      <w:r w:rsidRPr="009B7AF1">
        <w:tab/>
        <w:t>Комитет высоко оценивает работу</w:t>
      </w:r>
      <w:r>
        <w:t xml:space="preserve"> </w:t>
      </w:r>
      <w:r w:rsidRPr="009B7AF1">
        <w:t>делегации государства-участника, к</w:t>
      </w:r>
      <w:r w:rsidRPr="009B7AF1">
        <w:t>о</w:t>
      </w:r>
      <w:r w:rsidRPr="009B7AF1">
        <w:t>торую возглавлял Посол и Постоянный представитель Уругвая при Отделении Организации Объединенных Наций и других международных организациях в Женеве Рикардо Гонсалес Аренас и в состав которой входил</w:t>
      </w:r>
      <w:r>
        <w:t>и также</w:t>
      </w:r>
      <w:r w:rsidRPr="009B7AF1">
        <w:t xml:space="preserve"> директор Национального института по делам женщин, члены парламента и представит</w:t>
      </w:r>
      <w:r w:rsidRPr="009B7AF1">
        <w:t>е</w:t>
      </w:r>
      <w:r w:rsidRPr="009B7AF1">
        <w:t xml:space="preserve">ли судебных органов, Генеральной прокуратуры, министерства иностранных дел, министерства социального развития и министерства внутренних дел.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9B7AF1">
        <w:lastRenderedPageBreak/>
        <w:tab/>
        <w:t>B.</w:t>
      </w:r>
      <w:r w:rsidRPr="009B7AF1">
        <w:tab/>
        <w:t xml:space="preserve">Позитивные аспекты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4.</w:t>
      </w:r>
      <w:r w:rsidRPr="009B7AF1">
        <w:tab/>
        <w:t>Комитет приветствует прогресс, достигнутый за время после рассмотр</w:t>
      </w:r>
      <w:r w:rsidRPr="009B7AF1">
        <w:t>е</w:t>
      </w:r>
      <w:r w:rsidRPr="009B7AF1">
        <w:t>ния им в 2008 году объединенных четвертого</w:t>
      </w:r>
      <w:r>
        <w:t>-</w:t>
      </w:r>
      <w:r w:rsidRPr="009B7AF1">
        <w:t>седьмого периодических докл</w:t>
      </w:r>
      <w:r w:rsidRPr="009B7AF1">
        <w:t>а</w:t>
      </w:r>
      <w:r w:rsidRPr="009B7AF1">
        <w:t>дов государства-участника (</w:t>
      </w:r>
      <w:hyperlink r:id="rId20" w:history="1">
        <w:r w:rsidRPr="00270017">
          <w:rPr>
            <w:rStyle w:val="Hyperlink"/>
          </w:rPr>
          <w:t>CEDAW/C/UR</w:t>
        </w:r>
        <w:r>
          <w:rPr>
            <w:rStyle w:val="Hyperlink"/>
            <w:lang w:val="en-US"/>
          </w:rPr>
          <w:t>Y</w:t>
        </w:r>
        <w:r w:rsidRPr="00270017">
          <w:rPr>
            <w:rStyle w:val="Hyperlink"/>
          </w:rPr>
          <w:t>/7</w:t>
        </w:r>
      </w:hyperlink>
      <w:r w:rsidRPr="009B7AF1">
        <w:t>), в частности принятие таких з</w:t>
      </w:r>
      <w:r w:rsidRPr="009B7AF1">
        <w:t>а</w:t>
      </w:r>
      <w:r w:rsidRPr="009B7AF1">
        <w:t xml:space="preserve">конодательных актов, как: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a)</w:t>
      </w:r>
      <w:r w:rsidRPr="009B7AF1">
        <w:tab/>
        <w:t xml:space="preserve">Закон № 19.353 от 27 ноября 2015 года, который предусматривает создание национальной </w:t>
      </w:r>
      <w:r>
        <w:t xml:space="preserve">комплексной </w:t>
      </w:r>
      <w:r w:rsidRPr="009B7AF1">
        <w:t>системы опеки;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b)</w:t>
      </w:r>
      <w:r w:rsidRPr="009B7AF1">
        <w:tab/>
        <w:t>Закон № 18.868 от 23 декабря 201</w:t>
      </w:r>
      <w:r w:rsidRPr="008B57C9">
        <w:t>1</w:t>
      </w:r>
      <w:r w:rsidRPr="009B7AF1">
        <w:t xml:space="preserve"> года, который запрещает треб</w:t>
      </w:r>
      <w:r w:rsidRPr="009B7AF1">
        <w:t>о</w:t>
      </w:r>
      <w:r w:rsidRPr="009B7AF1">
        <w:t xml:space="preserve">вать отрицательный тест на беременность при приеме на работу или на любом другом этапе трудовой деятельности;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с)</w:t>
      </w:r>
      <w:r>
        <w:tab/>
      </w:r>
      <w:r w:rsidRPr="009B7AF1">
        <w:t xml:space="preserve">Закон № 19.161 от </w:t>
      </w:r>
      <w:r w:rsidRPr="008B57C9">
        <w:t xml:space="preserve">1 </w:t>
      </w:r>
      <w:r>
        <w:t>ноября</w:t>
      </w:r>
      <w:r w:rsidRPr="009B7AF1">
        <w:t xml:space="preserve"> 2013 года, который предусматривает предоставление отпуска матери и отцу по уходу за ребенком и отпуска матери для грудного вскармливания;</w:t>
      </w:r>
      <w:r w:rsidRPr="009B7AF1">
        <w:tab/>
      </w:r>
    </w:p>
    <w:p w:rsidR="003E520A" w:rsidRPr="009B7AF1" w:rsidRDefault="003E520A" w:rsidP="003E520A">
      <w:pPr>
        <w:pStyle w:val="SingleTxt"/>
      </w:pPr>
      <w:r>
        <w:tab/>
      </w:r>
      <w:r w:rsidRPr="009B7AF1">
        <w:t>d)</w:t>
      </w:r>
      <w:r w:rsidRPr="009B7AF1">
        <w:tab/>
        <w:t xml:space="preserve">Закон № 18.250 от </w:t>
      </w:r>
      <w:r>
        <w:t>6 января 2008 года</w:t>
      </w:r>
      <w:r w:rsidRPr="009B7AF1">
        <w:t>, в котором признается раве</w:t>
      </w:r>
      <w:r w:rsidRPr="009B7AF1">
        <w:t>н</w:t>
      </w:r>
      <w:r w:rsidRPr="009B7AF1">
        <w:t xml:space="preserve">ство прав уругвайских граждан и иностранцев;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e)</w:t>
      </w:r>
      <w:r w:rsidRPr="009B7AF1">
        <w:tab/>
        <w:t>Закон № 19.122 от 21 августа 2013 года и Указ № 144/004 от 22 мая 2014</w:t>
      </w:r>
      <w:r>
        <w:t> </w:t>
      </w:r>
      <w:r w:rsidRPr="009B7AF1">
        <w:t>года, в которых признается дискриминация в отношении лиц африканск</w:t>
      </w:r>
      <w:r w:rsidRPr="009B7AF1">
        <w:t>о</w:t>
      </w:r>
      <w:r w:rsidRPr="009B7AF1">
        <w:t xml:space="preserve">го происхождения и предусматриваются позитивные меры по </w:t>
      </w:r>
      <w:r>
        <w:t>исправлению п</w:t>
      </w:r>
      <w:r>
        <w:t>о</w:t>
      </w:r>
      <w:r>
        <w:t>ложения</w:t>
      </w:r>
      <w:r w:rsidRPr="009B7AF1">
        <w:t xml:space="preserve">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f)</w:t>
      </w:r>
      <w:r w:rsidRPr="009B7AF1">
        <w:tab/>
        <w:t>Закон № 18</w:t>
      </w:r>
      <w:r>
        <w:t>.</w:t>
      </w:r>
      <w:r w:rsidRPr="009B7AF1">
        <w:t xml:space="preserve">987 от </w:t>
      </w:r>
      <w:r>
        <w:t xml:space="preserve">22 </w:t>
      </w:r>
      <w:r w:rsidRPr="009B7AF1">
        <w:t>октября 2012 года, который обеспечивает д</w:t>
      </w:r>
      <w:r w:rsidRPr="009B7AF1">
        <w:t>о</w:t>
      </w:r>
      <w:r w:rsidRPr="009B7AF1">
        <w:t xml:space="preserve">ступ к прерыванию беременности в течение первых 12 недель беременности;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g)</w:t>
      </w:r>
      <w:r w:rsidRPr="009B7AF1">
        <w:tab/>
        <w:t>Закон № 18.651 от 19 февраля 2010 года, который предусматривает создание комплексной системы защиты для лиц с ограниченными возможн</w:t>
      </w:r>
      <w:r w:rsidRPr="009B7AF1">
        <w:t>о</w:t>
      </w:r>
      <w:r w:rsidRPr="009B7AF1">
        <w:t xml:space="preserve">стями; </w:t>
      </w:r>
    </w:p>
    <w:p w:rsidR="003E520A" w:rsidRPr="009B7AF1" w:rsidRDefault="003E520A" w:rsidP="003E520A">
      <w:pPr>
        <w:pStyle w:val="SingleTxt"/>
      </w:pPr>
      <w:r w:rsidRPr="009B7AF1">
        <w:tab/>
        <w:t>h)</w:t>
      </w:r>
      <w:r w:rsidRPr="009B7AF1">
        <w:tab/>
        <w:t xml:space="preserve">Закон № 18.620 от </w:t>
      </w:r>
      <w:r>
        <w:t>25</w:t>
      </w:r>
      <w:r w:rsidRPr="009B7AF1">
        <w:t xml:space="preserve"> октября 2009 года о праве на гендерную иде</w:t>
      </w:r>
      <w:r w:rsidRPr="009B7AF1">
        <w:t>н</w:t>
      </w:r>
      <w:r w:rsidRPr="009B7AF1">
        <w:t xml:space="preserve">тичность и изменение своего имени и пола в документах, удостоверяющих личность;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i)</w:t>
      </w:r>
      <w:r w:rsidRPr="009B7AF1">
        <w:tab/>
        <w:t>Закон № 18</w:t>
      </w:r>
      <w:r>
        <w:t>.</w:t>
      </w:r>
      <w:r w:rsidRPr="009B7AF1">
        <w:t>561 от 11 сентября 2009 года о сексуальных домогател</w:t>
      </w:r>
      <w:r w:rsidRPr="009B7AF1">
        <w:t>ь</w:t>
      </w:r>
      <w:r w:rsidRPr="009B7AF1">
        <w:t xml:space="preserve">ствах;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j)</w:t>
      </w:r>
      <w:r w:rsidRPr="009B7AF1">
        <w:tab/>
        <w:t xml:space="preserve">Закон № 18.590 от </w:t>
      </w:r>
      <w:r>
        <w:t>18</w:t>
      </w:r>
      <w:r w:rsidRPr="009B7AF1">
        <w:t xml:space="preserve"> сентября 2009 года, который предусматривает право однополых супругов на усыновление;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k)</w:t>
      </w:r>
      <w:r w:rsidRPr="009B7AF1">
        <w:tab/>
        <w:t xml:space="preserve">Закон № 18.426 от 1 декабря 2008 года и его положения, принятые в 2010 году, о праве на сексуальное и репродуктивное здоровье;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l)</w:t>
      </w:r>
      <w:r w:rsidRPr="009B7AF1">
        <w:tab/>
        <w:t>Указ № 398/13 от 13 декабря 2013 года по вопросу о предотвращении коммерческой сексуальной эксплуатации девочек, мальчиков и подростков в туристической деятельности.</w:t>
      </w:r>
    </w:p>
    <w:p w:rsidR="003E520A" w:rsidRPr="009B7AF1" w:rsidRDefault="003E520A" w:rsidP="003E520A">
      <w:pPr>
        <w:pStyle w:val="SingleTxt"/>
      </w:pPr>
      <w:r>
        <w:t>5.</w:t>
      </w:r>
      <w:r>
        <w:tab/>
      </w:r>
      <w:r w:rsidRPr="009B7AF1">
        <w:t>Комитет принимает к сведению принятие Закона № 19</w:t>
      </w:r>
      <w:r>
        <w:t>.</w:t>
      </w:r>
      <w:r w:rsidRPr="009B7AF1">
        <w:t xml:space="preserve">075 от </w:t>
      </w:r>
      <w:r>
        <w:t>3 мая</w:t>
      </w:r>
      <w:r w:rsidRPr="009B7AF1">
        <w:t xml:space="preserve"> 2013</w:t>
      </w:r>
      <w:r>
        <w:rPr>
          <w:lang w:val="en-US"/>
        </w:rPr>
        <w:t> </w:t>
      </w:r>
      <w:r w:rsidRPr="009B7AF1">
        <w:t>года, который разрешает однополые браки.</w:t>
      </w:r>
    </w:p>
    <w:p w:rsidR="003E520A" w:rsidRPr="009B7AF1" w:rsidRDefault="003E520A" w:rsidP="003E520A">
      <w:pPr>
        <w:pStyle w:val="SingleTxt"/>
      </w:pPr>
      <w:r>
        <w:t>6</w:t>
      </w:r>
      <w:r w:rsidRPr="009B7AF1">
        <w:t>.</w:t>
      </w:r>
      <w:r w:rsidRPr="009B7AF1">
        <w:tab/>
        <w:t>Комитет высоко оценивает усилия государства-участника по соверше</w:t>
      </w:r>
      <w:r w:rsidRPr="009B7AF1">
        <w:t>н</w:t>
      </w:r>
      <w:r w:rsidRPr="009B7AF1">
        <w:t>ствованию его институциональной и нормативной базы в целях поощрения гендерного равенства и защиты прав человека женщин, включая принятие сл</w:t>
      </w:r>
      <w:r w:rsidRPr="009B7AF1">
        <w:t>е</w:t>
      </w:r>
      <w:r w:rsidRPr="009B7AF1">
        <w:t xml:space="preserve">дующих документов: </w:t>
      </w:r>
    </w:p>
    <w:p w:rsidR="003E520A" w:rsidRPr="009B7AF1" w:rsidRDefault="003E520A" w:rsidP="003E520A">
      <w:pPr>
        <w:pStyle w:val="SingleTxt"/>
      </w:pPr>
      <w:r>
        <w:lastRenderedPageBreak/>
        <w:tab/>
      </w:r>
      <w:r w:rsidRPr="009B7AF1">
        <w:t>a)</w:t>
      </w:r>
      <w:r w:rsidRPr="009B7AF1">
        <w:tab/>
        <w:t>План действий по созданию условий для жизни, свободной от ге</w:t>
      </w:r>
      <w:r w:rsidRPr="009B7AF1">
        <w:t>н</w:t>
      </w:r>
      <w:r w:rsidRPr="009B7AF1">
        <w:t>дерного насилия</w:t>
      </w:r>
      <w:r>
        <w:t xml:space="preserve">, охватывающий период </w:t>
      </w:r>
      <w:r w:rsidRPr="009B7AF1">
        <w:t>2016</w:t>
      </w:r>
      <w:r>
        <w:t>–</w:t>
      </w:r>
      <w:r w:rsidRPr="009B7AF1">
        <w:t>2019 год</w:t>
      </w:r>
      <w:r>
        <w:t>ов</w:t>
      </w:r>
      <w:r w:rsidRPr="009B7AF1">
        <w:t>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b)</w:t>
      </w:r>
      <w:r w:rsidRPr="009B7AF1">
        <w:tab/>
        <w:t>Указ № 3</w:t>
      </w:r>
      <w:r>
        <w:t>21</w:t>
      </w:r>
      <w:r w:rsidRPr="009B7AF1">
        <w:t>/</w:t>
      </w:r>
      <w:r>
        <w:t>015 об учреждении</w:t>
      </w:r>
      <w:r w:rsidRPr="009B7AF1">
        <w:t xml:space="preserve"> Национальн</w:t>
      </w:r>
      <w:r>
        <w:t>ого</w:t>
      </w:r>
      <w:r w:rsidRPr="009B7AF1">
        <w:t xml:space="preserve"> совет</w:t>
      </w:r>
      <w:r>
        <w:t>а</w:t>
      </w:r>
      <w:r w:rsidRPr="009B7AF1">
        <w:t xml:space="preserve"> по координации государственной политики в отношении сексуального разнообразия, 2015</w:t>
      </w:r>
      <w:r>
        <w:rPr>
          <w:lang w:val="en-US"/>
        </w:rPr>
        <w:t> </w:t>
      </w:r>
      <w:r w:rsidRPr="009B7AF1">
        <w:t>год;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с)</w:t>
      </w:r>
      <w:r>
        <w:tab/>
      </w:r>
      <w:r w:rsidRPr="009B7AF1">
        <w:t>Исполнительный указ № 588 2014 года</w:t>
      </w:r>
      <w:r>
        <w:t xml:space="preserve"> о создании с</w:t>
      </w:r>
      <w:r w:rsidRPr="009B7AF1">
        <w:t>истем</w:t>
      </w:r>
      <w:r>
        <w:t>ы</w:t>
      </w:r>
      <w:r w:rsidRPr="009B7AF1">
        <w:t xml:space="preserve"> защиты и помощи для жертв торговли людьми;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d)</w:t>
      </w:r>
      <w:r w:rsidRPr="009B7AF1">
        <w:tab/>
        <w:t>Национальный план по предупреждению рака шейки матки, 2012</w:t>
      </w:r>
      <w:r>
        <w:t> </w:t>
      </w:r>
      <w:r w:rsidRPr="009B7AF1">
        <w:t xml:space="preserve">год; </w:t>
      </w:r>
    </w:p>
    <w:p w:rsidR="003E520A" w:rsidRPr="009B7AF1" w:rsidRDefault="003E520A" w:rsidP="003E520A">
      <w:pPr>
        <w:pStyle w:val="SingleTxt"/>
      </w:pPr>
      <w:r w:rsidRPr="009B7AF1">
        <w:tab/>
        <w:t>e)</w:t>
      </w:r>
      <w:r w:rsidRPr="009B7AF1">
        <w:tab/>
        <w:t>Указ № 382 2012 года</w:t>
      </w:r>
      <w:r>
        <w:t xml:space="preserve"> об учреждении </w:t>
      </w:r>
      <w:r w:rsidRPr="009B7AF1">
        <w:t>Национально</w:t>
      </w:r>
      <w:r>
        <w:t>го</w:t>
      </w:r>
      <w:r w:rsidRPr="009B7AF1">
        <w:t xml:space="preserve"> управлени</w:t>
      </w:r>
      <w:r>
        <w:t>я</w:t>
      </w:r>
      <w:r w:rsidRPr="009B7AF1">
        <w:t xml:space="preserve"> бытового и гендерного насилия, которое сообщает о случаях насилия в национальную полицию;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f)</w:t>
      </w:r>
      <w:r w:rsidRPr="009B7AF1">
        <w:tab/>
        <w:t>Комплексная программа по борьбе с гендерным насилием, 2011 год.</w:t>
      </w:r>
    </w:p>
    <w:p w:rsidR="003E520A" w:rsidRPr="009B7AF1" w:rsidRDefault="003E520A" w:rsidP="003E520A">
      <w:pPr>
        <w:pStyle w:val="SingleTxt"/>
      </w:pPr>
      <w:r>
        <w:t>7</w:t>
      </w:r>
      <w:r w:rsidRPr="009B7AF1">
        <w:t>.</w:t>
      </w:r>
      <w:r w:rsidRPr="009B7AF1">
        <w:tab/>
        <w:t xml:space="preserve">Комитет приветствует тот факт, что в период после рассмотрения предыдущего доклада государство-участник ратифицировало следующие документы или присоединилось к ним: </w:t>
      </w:r>
    </w:p>
    <w:p w:rsidR="003E520A" w:rsidRPr="009B7AF1" w:rsidRDefault="003E520A" w:rsidP="003E520A">
      <w:pPr>
        <w:pStyle w:val="SingleTxt"/>
      </w:pPr>
      <w:r w:rsidRPr="009B7AF1">
        <w:tab/>
        <w:t>a)</w:t>
      </w:r>
      <w:r w:rsidRPr="009B7AF1">
        <w:tab/>
        <w:t>Конвенция 2011</w:t>
      </w:r>
      <w:r>
        <w:t xml:space="preserve"> года</w:t>
      </w:r>
      <w:r w:rsidRPr="009B7AF1">
        <w:t xml:space="preserve"> о достойном труде домашних работников</w:t>
      </w:r>
      <w:r>
        <w:t xml:space="preserve"> (</w:t>
      </w:r>
      <w:r w:rsidR="006653CD">
        <w:t>№</w:t>
      </w:r>
      <w:r>
        <w:rPr>
          <w:lang w:val="en-US"/>
        </w:rPr>
        <w:t> </w:t>
      </w:r>
      <w:r w:rsidR="006653CD">
        <w:t>1</w:t>
      </w:r>
      <w:r w:rsidRPr="009B7AF1">
        <w:t>89</w:t>
      </w:r>
      <w:r>
        <w:t>) Международной организации труда</w:t>
      </w:r>
      <w:r w:rsidRPr="009B7AF1">
        <w:t xml:space="preserve">, </w:t>
      </w:r>
      <w:r>
        <w:t xml:space="preserve">в </w:t>
      </w:r>
      <w:r w:rsidRPr="009B7AF1">
        <w:t>2012 год</w:t>
      </w:r>
      <w:r>
        <w:t>у</w:t>
      </w:r>
      <w:r w:rsidRPr="009B7AF1">
        <w:t>;</w:t>
      </w:r>
    </w:p>
    <w:p w:rsidR="003E520A" w:rsidRPr="009B7AF1" w:rsidRDefault="003E520A" w:rsidP="003E520A">
      <w:pPr>
        <w:pStyle w:val="SingleTxt"/>
      </w:pPr>
      <w:r w:rsidRPr="009B7AF1">
        <w:tab/>
        <w:t>b)</w:t>
      </w:r>
      <w:r w:rsidRPr="009B7AF1">
        <w:tab/>
        <w:t xml:space="preserve">Международная конвенция для защиты всех лиц от насильственных исчезновений, </w:t>
      </w:r>
      <w:r>
        <w:t xml:space="preserve">в </w:t>
      </w:r>
      <w:r w:rsidRPr="009B7AF1">
        <w:t>2009 год</w:t>
      </w:r>
      <w:r>
        <w:t>у</w:t>
      </w:r>
      <w:r w:rsidRPr="009B7AF1">
        <w:t>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c)</w:t>
      </w:r>
      <w:r w:rsidRPr="009B7AF1">
        <w:tab/>
        <w:t xml:space="preserve">Конвенция о правах инвалидов, </w:t>
      </w:r>
      <w:r>
        <w:t xml:space="preserve">в </w:t>
      </w:r>
      <w:r w:rsidRPr="009B7AF1">
        <w:t>2009 год</w:t>
      </w:r>
      <w:r>
        <w:t>у</w:t>
      </w:r>
      <w:r w:rsidRPr="009B7AF1">
        <w:t xml:space="preserve">, и Факультативный протокол к ней, </w:t>
      </w:r>
      <w:r>
        <w:t xml:space="preserve">в </w:t>
      </w:r>
      <w:r w:rsidRPr="009B7AF1">
        <w:t>2011 год</w:t>
      </w:r>
      <w:r>
        <w:t>у</w:t>
      </w:r>
      <w:r w:rsidRPr="009B7AF1">
        <w:t xml:space="preserve">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  <w:t>C.</w:t>
      </w:r>
      <w:r w:rsidRPr="009B7AF1">
        <w:tab/>
        <w:t xml:space="preserve">Основные проблемные области и рекомендации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>Парламент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  <w:rPr>
          <w:b/>
        </w:rPr>
      </w:pPr>
      <w:r>
        <w:t>8</w:t>
      </w:r>
      <w:r w:rsidRPr="009B7AF1">
        <w:t>.</w:t>
      </w:r>
      <w:r w:rsidRPr="009B7AF1">
        <w:rPr>
          <w:b/>
        </w:rPr>
        <w:tab/>
        <w:t xml:space="preserve">Комитет подчеркивает чрезвычайно важную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 году). Комитет предлагает парламенту в соответствии с его мандатом принять необходимые меры для выполнения данных заключительных замечаний до начала следующего периода представления доклада согласно Конвенции.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>Женщины африканского происхождения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  <w:rPr>
          <w:b/>
        </w:rPr>
      </w:pPr>
      <w:r>
        <w:t>9</w:t>
      </w:r>
      <w:r w:rsidRPr="009B7AF1">
        <w:t>.</w:t>
      </w:r>
      <w:r w:rsidRPr="009B7AF1">
        <w:tab/>
        <w:t>Комитет выражает признательность государству-участнику за принятие важных мер по поощрению расового равенства в том, что касается исторических моделей дискриминации в отношении уругвайского населения</w:t>
      </w:r>
      <w:r>
        <w:t xml:space="preserve"> африканского происхождения</w:t>
      </w:r>
      <w:r w:rsidRPr="009B7AF1">
        <w:t>, и приветствует признание государством-участником этого сегмента населения в самой последней переписи. Вместе с тем эти меры не устранили проблему, и де-факто сохраняется межсегментарная дискриминация в отношении уругвайских женщин</w:t>
      </w:r>
      <w:r>
        <w:t xml:space="preserve"> африканского происхождения</w:t>
      </w:r>
      <w:r w:rsidRPr="009B7AF1">
        <w:t>, одним из проявлений которой является несоразмерно высокий уровень маргинализации в сфере образования, случаи беременности в раннем возрасте, более низкие оклады</w:t>
      </w:r>
      <w:r>
        <w:t>,</w:t>
      </w:r>
      <w:r w:rsidRPr="009B7AF1">
        <w:t xml:space="preserve"> более неблагоприятные условия для трудоустройства</w:t>
      </w:r>
      <w:r>
        <w:t xml:space="preserve"> и</w:t>
      </w:r>
      <w:r w:rsidRPr="009B7AF1">
        <w:t xml:space="preserve"> более низкий уровень участия в общественной и политической жизни. </w:t>
      </w:r>
    </w:p>
    <w:p w:rsidR="003E520A" w:rsidRPr="009B7AF1" w:rsidRDefault="003E520A" w:rsidP="003E520A">
      <w:pPr>
        <w:pStyle w:val="SingleTxt"/>
        <w:rPr>
          <w:b/>
        </w:rPr>
      </w:pPr>
      <w:r>
        <w:t>10</w:t>
      </w:r>
      <w:r w:rsidRPr="009B7AF1">
        <w:t>.</w:t>
      </w:r>
      <w:r w:rsidRPr="009B7AF1">
        <w:rPr>
          <w:b/>
        </w:rPr>
        <w:tab/>
        <w:t>Комитет рекомендует государству-участнику принять антидискриминационные меры в интересах уругвайских женщин</w:t>
      </w:r>
      <w:r>
        <w:rPr>
          <w:b/>
        </w:rPr>
        <w:t xml:space="preserve"> африканского происхождения</w:t>
      </w:r>
      <w:r w:rsidRPr="009B7AF1">
        <w:rPr>
          <w:b/>
        </w:rPr>
        <w:t>, предусмотренные Законом № 19.122 и Указом № 144/014</w:t>
      </w:r>
      <w:r>
        <w:rPr>
          <w:b/>
        </w:rPr>
        <w:t>, в том числе</w:t>
      </w:r>
      <w:r w:rsidRPr="009B7AF1">
        <w:rPr>
          <w:b/>
        </w:rPr>
        <w:t>: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a)</w:t>
      </w:r>
      <w:r w:rsidRPr="009B7AF1">
        <w:rPr>
          <w:b/>
        </w:rPr>
        <w:tab/>
        <w:t>укреплять постоянные кампании по повышению осведомленности о расизме в отношении уругвайских женщин</w:t>
      </w:r>
      <w:r>
        <w:rPr>
          <w:b/>
        </w:rPr>
        <w:t xml:space="preserve"> африканского происхождения</w:t>
      </w:r>
      <w:r w:rsidRPr="009B7AF1">
        <w:rPr>
          <w:b/>
        </w:rPr>
        <w:t>;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5C71E1" wp14:editId="0A898CAC">
                <wp:simplePos x="0" y="0"/>
                <wp:positionH relativeFrom="column">
                  <wp:posOffset>2307910</wp:posOffset>
                </wp:positionH>
                <wp:positionV relativeFrom="paragraph">
                  <wp:posOffset>242085</wp:posOffset>
                </wp:positionV>
                <wp:extent cx="19080" cy="17280"/>
                <wp:effectExtent l="38100" t="38100" r="57150" b="40005"/>
                <wp:wrapNone/>
                <wp:docPr id="6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90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" o:spid="_x0000_s1026" type="#_x0000_t75" style="position:absolute;margin-left:181.25pt;margin-top:18.75pt;width:2.25pt;height: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">
                <v:imagedata r:id="rId22" o:title=""/>
              </v:shape>
            </w:pict>
          </mc:Fallback>
        </mc:AlternateContent>
      </w:r>
      <w:r>
        <w:rPr>
          <w:b/>
        </w:rPr>
        <w:tab/>
      </w:r>
      <w:r w:rsidRPr="009B7AF1">
        <w:rPr>
          <w:b/>
        </w:rPr>
        <w:t>b)</w:t>
      </w:r>
      <w:r w:rsidRPr="009B7AF1">
        <w:rPr>
          <w:b/>
        </w:rPr>
        <w:tab/>
        <w:t>ввести временные специальные меры в целях расширения доступа к экономическим, социальным и культурным правам и участию в политической жизни;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с)</w:t>
      </w:r>
      <w:r>
        <w:rPr>
          <w:b/>
        </w:rPr>
        <w:tab/>
      </w:r>
      <w:r w:rsidRPr="009B7AF1">
        <w:rPr>
          <w:b/>
        </w:rPr>
        <w:t>активно отслеживать, контролировать и координировать ответные меры государства, направленные на ликвидацию системной дискриминации.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Законодательная основа и распространение информации о Конвенции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10.</w:t>
      </w:r>
      <w:r w:rsidRPr="009B7AF1">
        <w:tab/>
        <w:t xml:space="preserve">Комитет отмечает, что Конвенция имеет преимущественную силу по сравнению с </w:t>
      </w:r>
      <w:r>
        <w:t>национальным</w:t>
      </w:r>
      <w:r w:rsidRPr="009B7AF1">
        <w:t xml:space="preserve"> законодательством Уругвая и является частью национальной законодательной базы, которая может использоваться и применяться непосредственно в судах. Комитет высоко оценивает усилия государства-участника по подготовке служащих государственных органов по вопросам международных стандартов, закрепленных в Конвенции. Вместе с тем Комитет с обеспокоенностью отмечает: </w:t>
      </w:r>
    </w:p>
    <w:p w:rsidR="003E520A" w:rsidRPr="009B7AF1" w:rsidRDefault="003E520A" w:rsidP="003E520A">
      <w:pPr>
        <w:pStyle w:val="SingleTxt"/>
      </w:pPr>
      <w:r w:rsidRPr="009B7AF1">
        <w:tab/>
        <w:t>a)</w:t>
      </w:r>
      <w:r w:rsidRPr="009B7AF1">
        <w:tab/>
        <w:t xml:space="preserve">ограниченность знаний и низкую осведомленность о Конвенции среди государственных служащих и судей более низкого уровня, о чем свидетельствуют скудные ссылки на Конвенцию в судебных решениях;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b)</w:t>
      </w:r>
      <w:r w:rsidRPr="009B7AF1">
        <w:tab/>
        <w:t xml:space="preserve">низкий уровень оповещения общественности о Конвенции и Факультативном протоколе к ней, что ограничивает информированность женщин об их праве на жизнь, свободную от дискриминации, и об имеющихся механизмах предъявления требований о защите своих прав в соответствии с Конвенцией;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c)</w:t>
      </w:r>
      <w:r w:rsidRPr="009B7AF1">
        <w:tab/>
        <w:t>сохранение правовой базы</w:t>
      </w:r>
      <w:r>
        <w:t>, содержащей</w:t>
      </w:r>
      <w:r w:rsidRPr="009B7AF1">
        <w:t xml:space="preserve"> положения дискриминационного характера в отношении женщин, в частности, Уголовного кодекса и Уголовно-процессуального кодекса;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d)</w:t>
      </w:r>
      <w:r w:rsidRPr="009B7AF1">
        <w:tab/>
        <w:t>непоследовательное осуществление законодательства по борьбе с дискриминацией по признаку пола в масштабах всей страны.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1</w:t>
      </w:r>
      <w:r>
        <w:t>2</w:t>
      </w:r>
      <w:r w:rsidRPr="009B7AF1">
        <w:t>.</w:t>
      </w:r>
      <w:r w:rsidRPr="009B7AF1">
        <w:rPr>
          <w:b/>
        </w:rPr>
        <w:tab/>
        <w:t xml:space="preserve">Комитет рекомендует государству-участнику: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a)</w:t>
      </w:r>
      <w:r w:rsidRPr="009B7AF1">
        <w:rPr>
          <w:b/>
        </w:rPr>
        <w:tab/>
        <w:t xml:space="preserve">усилить меры по распространению информации о Конвенции, Факультативном протоколе к ней и общих рекомендациях Комитета среди должностных лиц правительства и парламентариев, и активнее проводить существующие мероприятия по наращиванию потенциала среди работников судебной системы и юристов в отношении того, как ссылаться на Конвенцию или непосредственно применять ее положения в ходе судебного разбирательства;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ab/>
      </w:r>
      <w:r w:rsidRPr="009B7AF1">
        <w:rPr>
          <w:b/>
        </w:rPr>
        <w:t>b)</w:t>
      </w:r>
      <w:r w:rsidRPr="009B7AF1">
        <w:rPr>
          <w:b/>
        </w:rPr>
        <w:tab/>
        <w:t xml:space="preserve">принять стратегию повышения осведомленности женщин о своих правах и средствах обеспечения их соблюдения в соответствии с Конвенцией, с участием всех соответствующих заинтересованных сторон, включая организации гражданского общества, организации женщин, профсоюзы и </w:t>
      </w:r>
      <w:r>
        <w:rPr>
          <w:b/>
        </w:rPr>
        <w:t>научные учреждения</w:t>
      </w:r>
      <w:r w:rsidRPr="009B7AF1">
        <w:rPr>
          <w:b/>
        </w:rPr>
        <w:t xml:space="preserve">;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с)</w:t>
      </w:r>
      <w:r>
        <w:rPr>
          <w:b/>
        </w:rPr>
        <w:tab/>
      </w:r>
      <w:r w:rsidRPr="009B7AF1">
        <w:rPr>
          <w:b/>
        </w:rPr>
        <w:t xml:space="preserve">внести поправки в законодательство в целях ликвидации дискриминации по признаку пола, в </w:t>
      </w:r>
      <w:r>
        <w:rPr>
          <w:b/>
        </w:rPr>
        <w:t>первую очередь</w:t>
      </w:r>
      <w:r w:rsidRPr="009B7AF1">
        <w:rPr>
          <w:b/>
        </w:rPr>
        <w:t xml:space="preserve"> в Уголовный кодекс и Уголовно-процессуальный кодекс, а также создать механизмы для периодического пересмотра и изменения законов и положений, которые являются дискриминационными в отношении женщин;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d)</w:t>
      </w:r>
      <w:r w:rsidRPr="009B7AF1">
        <w:rPr>
          <w:b/>
        </w:rPr>
        <w:tab/>
        <w:t>ввести показатели для контроля за осуществлением законодательства и государственной политики, направленных на ликвидацию гендерной дискриминации на всей территории страны.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Доступ к правосудию и средствам правовой защиты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1</w:t>
      </w:r>
      <w:r>
        <w:t>3</w:t>
      </w:r>
      <w:r w:rsidRPr="009B7AF1">
        <w:t>.</w:t>
      </w:r>
      <w:r w:rsidRPr="009B7AF1">
        <w:tab/>
        <w:t xml:space="preserve">Комитет отмечает, что государство-участник создало особые семейные суды, обладающие компетенцией для рассмотрения дел о насилии в семье, а также междисциплинарные консультативные группы и канцелярии омбудсменов, которые предоставляют консультации и рекомендации по вопросам, связанным с насилием в семье. Вместе с тем у Комитета по-прежнему вызывают обеспокоенность сохраняющиеся структурные барьеры в системе правосудия, которые мешают доступу женщин к правосудию и получению возмещения, а именно: </w:t>
      </w:r>
    </w:p>
    <w:p w:rsidR="003E520A" w:rsidRPr="009B7AF1" w:rsidRDefault="003E520A" w:rsidP="003E520A">
      <w:pPr>
        <w:pStyle w:val="SingleTxt"/>
      </w:pPr>
      <w:r w:rsidRPr="009B7AF1">
        <w:tab/>
        <w:t>a)</w:t>
      </w:r>
      <w:r w:rsidRPr="009B7AF1">
        <w:tab/>
        <w:t xml:space="preserve">длительность и сложность судебных разбирательств в семейных судах и дублирование работы юрисдикций;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b)</w:t>
      </w:r>
      <w:r w:rsidRPr="009B7AF1">
        <w:tab/>
        <w:t>ограниченное число и доступность специализированных семейных судов в сельских и приграничных районах;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c)</w:t>
      </w:r>
      <w:r w:rsidRPr="009B7AF1">
        <w:tab/>
        <w:t xml:space="preserve">отсутствие конкретного механизма рассмотрения жалоб в случаях, касающихся всех форм дискриминации по признаку пола;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d)</w:t>
      </w:r>
      <w:r w:rsidRPr="009B7AF1">
        <w:tab/>
        <w:t xml:space="preserve">ограниченный доступ женщин к правовой помощи и информации о средствах правовой защиты, имеющихся в их распоряжении;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e)</w:t>
      </w:r>
      <w:r w:rsidRPr="009B7AF1">
        <w:tab/>
        <w:t>сохраняющиеся предрассудки в судебных приговорах, что приводит к отсутствию защиты женщин, обращающихся в суд с делами, а также ограниченность знаний у прокуроров и сотрудников полиции в отношении прав женщин;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f)</w:t>
      </w:r>
      <w:r w:rsidRPr="009B7AF1">
        <w:tab/>
        <w:t xml:space="preserve">нехватка людских и финансовых ресурсов у </w:t>
      </w:r>
      <w:r>
        <w:t>н</w:t>
      </w:r>
      <w:r w:rsidRPr="009B7AF1">
        <w:t>ационального учреждения по правам человека и Канцелярии омбудсмена.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1</w:t>
      </w:r>
      <w:r>
        <w:t>4</w:t>
      </w:r>
      <w:r w:rsidRPr="009B7AF1">
        <w:t>.</w:t>
      </w:r>
      <w:r w:rsidRPr="009B7AF1">
        <w:tab/>
      </w:r>
      <w:r w:rsidRPr="009B7AF1">
        <w:rPr>
          <w:b/>
        </w:rPr>
        <w:t xml:space="preserve">В соответствии со своей общей рекомендацией № 33 (2015), касающейся доступа женщин к правосудию, Комитет рекомендует государству-участнику: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a)</w:t>
      </w:r>
      <w:r w:rsidRPr="009B7AF1">
        <w:rPr>
          <w:b/>
        </w:rPr>
        <w:tab/>
        <w:t xml:space="preserve">пересмотреть и упростить процедуры специализированных семейных судов для женщин, ищущих судебной защиты, главным образом в делах о гендерном насилии, обеспечить возможность непосредственного обращения женщин, ставших жертвами насилия, в уголовные суды, а также ускорить информационное взаимодействие между женщинами-заявителями и судебными органами;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b)</w:t>
      </w:r>
      <w:r w:rsidRPr="009B7AF1">
        <w:rPr>
          <w:b/>
        </w:rPr>
        <w:tab/>
        <w:t>распространить охват специализированных семейных судов на всю территорию государства-участника, в том числе на сельские и приграничные районы, и обеспечить постоянные программы по наращиванию потенциала для сотрудников правоохранительных органов, включая судей и прокуроров, по вопросам прав человека женщин и гендерного равенства;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с)</w:t>
      </w:r>
      <w:r>
        <w:rPr>
          <w:b/>
        </w:rPr>
        <w:tab/>
      </w:r>
      <w:r w:rsidRPr="009B7AF1">
        <w:rPr>
          <w:b/>
        </w:rPr>
        <w:t xml:space="preserve">разработать эффективные средства правовой защиты для женщин, которые сталкиваются с дискриминацией по признаку пола и гендерной принадлежности, включая </w:t>
      </w:r>
      <w:r>
        <w:rPr>
          <w:b/>
        </w:rPr>
        <w:t xml:space="preserve">возможность подавать </w:t>
      </w:r>
      <w:r w:rsidRPr="009B7AF1">
        <w:rPr>
          <w:b/>
        </w:rPr>
        <w:t xml:space="preserve">жалобы в административные органы и квазисудебные средства правовой защиты;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d)</w:t>
      </w:r>
      <w:r w:rsidRPr="009B7AF1">
        <w:rPr>
          <w:b/>
        </w:rPr>
        <w:tab/>
        <w:t>обеспечить предоставление юридической помощи с учетом гендерных аспектов всем женщинам, обращающимся в суд в случае нарушения их прав человека;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e)</w:t>
      </w:r>
      <w:r w:rsidRPr="009B7AF1">
        <w:rPr>
          <w:b/>
        </w:rPr>
        <w:tab/>
        <w:t>создать механизм для сбора информации о прецедентном праве на всех уровнях судебной системы в целях мониторинга эффективно</w:t>
      </w:r>
      <w:r>
        <w:rPr>
          <w:b/>
        </w:rPr>
        <w:t>сти</w:t>
      </w:r>
      <w:r w:rsidRPr="009B7AF1">
        <w:rPr>
          <w:b/>
        </w:rPr>
        <w:t xml:space="preserve"> правоприменения в отношении жалоб, поданных женщинами, особенно в том, что касается насилия и других форм дискриминации;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f)</w:t>
      </w:r>
      <w:r w:rsidRPr="009B7AF1">
        <w:rPr>
          <w:b/>
        </w:rPr>
        <w:tab/>
        <w:t xml:space="preserve">обеспечить </w:t>
      </w:r>
      <w:r>
        <w:rPr>
          <w:b/>
        </w:rPr>
        <w:t>н</w:t>
      </w:r>
      <w:r w:rsidRPr="009B7AF1">
        <w:rPr>
          <w:b/>
        </w:rPr>
        <w:t>ациональное учреждение по правам человека и Канцелярию омбудсмена достаточными людскими и финансовыми ресурсами, с тем чтобы они могли эффективно выполнять свои мандаты.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9B7AF1">
        <w:tab/>
        <w:t xml:space="preserve">Национальные механизмы по улучшению положения женщин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1</w:t>
      </w:r>
      <w:r>
        <w:t>5</w:t>
      </w:r>
      <w:r w:rsidRPr="009B7AF1">
        <w:t>.</w:t>
      </w:r>
      <w:r w:rsidRPr="009B7AF1">
        <w:tab/>
        <w:t xml:space="preserve">Комитет приветствует роль Национального института по делам женщин и осуществляемые им многочисленные инициативы, в том числе выделение бюджетных ресурсов на обеспечение гендерного равенства. Он также отмечает наличие органов, призванных способствовать осуществлению повестки дня в области гендерного равенства, таких как Национальный совет по гендерным вопросам и гендерные комиссии в рамках правительства, комитеты качества и гендерные сети. Вместе с тем Комитет обеспокоен: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a)</w:t>
      </w:r>
      <w:r w:rsidRPr="009B7AF1">
        <w:tab/>
        <w:t xml:space="preserve">отсутствием институциональной автономии Национального института по делам женщин, как это отмечалось </w:t>
      </w:r>
      <w:r>
        <w:t xml:space="preserve">Комитетом </w:t>
      </w:r>
      <w:r w:rsidRPr="009B7AF1">
        <w:t xml:space="preserve">в </w:t>
      </w:r>
      <w:r>
        <w:t xml:space="preserve">его </w:t>
      </w:r>
      <w:r w:rsidRPr="009B7AF1">
        <w:t>предыдущих заключительных замечаниях (</w:t>
      </w:r>
      <w:hyperlink r:id="rId23" w:history="1">
        <w:r w:rsidRPr="00270017">
          <w:rPr>
            <w:rStyle w:val="Hyperlink"/>
          </w:rPr>
          <w:t>CEDAW/C/URY/CO/7</w:t>
        </w:r>
      </w:hyperlink>
      <w:r w:rsidRPr="009B7AF1">
        <w:t xml:space="preserve">, пункт 15), </w:t>
      </w:r>
      <w:r>
        <w:t xml:space="preserve">учитывая, что Институт </w:t>
      </w:r>
      <w:r w:rsidRPr="009B7AF1">
        <w:t>по-прежнему является управлением при министерстве социального развития;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b)</w:t>
      </w:r>
      <w:r w:rsidRPr="009B7AF1">
        <w:tab/>
        <w:t xml:space="preserve">дублированием действий советов и комиссий по гендерным вопросам в министерствах и децентрализованных государственных структурах, что препятствует последовательному учету гендерной проблематики в рамках политики и бюджета на национальном, субнациональном и местном уровнях; </w:t>
      </w:r>
    </w:p>
    <w:p w:rsidR="003E520A" w:rsidRPr="00A23337" w:rsidRDefault="003E520A" w:rsidP="003E520A">
      <w:pPr>
        <w:pStyle w:val="SingleTxt"/>
      </w:pPr>
      <w:r>
        <w:tab/>
      </w:r>
      <w:r w:rsidRPr="009B7AF1">
        <w:t>c)</w:t>
      </w:r>
      <w:r w:rsidRPr="009B7AF1">
        <w:tab/>
        <w:t xml:space="preserve">неодинаковой степенью участия женских организаций в инициативах государственных органов по улучшению положения женщин, </w:t>
      </w:r>
      <w:r>
        <w:t>особенно</w:t>
      </w:r>
      <w:r w:rsidRPr="009B7AF1">
        <w:t xml:space="preserve"> на местном уровне.</w:t>
      </w:r>
    </w:p>
    <w:p w:rsidR="003E520A" w:rsidRPr="009B7AF1" w:rsidRDefault="003E520A" w:rsidP="003E520A">
      <w:pPr>
        <w:pStyle w:val="SingleTxt"/>
        <w:rPr>
          <w:b/>
        </w:rPr>
      </w:pPr>
      <w:r w:rsidRPr="00A23337">
        <w:br w:type="page"/>
      </w:r>
      <w:r w:rsidRPr="009B7AF1">
        <w:t>1</w:t>
      </w:r>
      <w:r>
        <w:t>6</w:t>
      </w:r>
      <w:r w:rsidRPr="009B7AF1">
        <w:t>.</w:t>
      </w:r>
      <w:r w:rsidRPr="009B7AF1">
        <w:rPr>
          <w:b/>
        </w:rPr>
        <w:tab/>
        <w:t xml:space="preserve">Комитет рекомендует государству-участнику: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a)</w:t>
      </w:r>
      <w:r w:rsidRPr="009B7AF1">
        <w:rPr>
          <w:b/>
        </w:rPr>
        <w:tab/>
        <w:t xml:space="preserve">рассмотреть вопрос о повышении статуса Национального института по делам женщин до уровня министерства с правом непосредственно координировать всю государственную политику и стратегии по обеспечению гендерного равенства и обеспечить надлежащие финансовые ресурсы и мандат для осуществления программ по улучшению положения женщин, включая составление бюджета с учетом гендерных факторов, обеспечивающего возможность функционирования соответствующих гендерных подразделений на субнациональном уровне;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b)</w:t>
      </w:r>
      <w:r w:rsidRPr="009B7AF1">
        <w:rPr>
          <w:b/>
        </w:rPr>
        <w:tab/>
        <w:t xml:space="preserve">улучшить координацию между Национальным институтом по делам женщин в качестве ведущего учреждения и гендерными комиссиями и укрепить механизмы контроля за осуществлением законодательства и государственной политики по улучшению положения женщин, </w:t>
      </w:r>
      <w:r>
        <w:rPr>
          <w:b/>
        </w:rPr>
        <w:t>особенно</w:t>
      </w:r>
      <w:r w:rsidRPr="009B7AF1">
        <w:rPr>
          <w:b/>
        </w:rPr>
        <w:t xml:space="preserve"> на национальном, субнациональном и местном уровнях;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c)</w:t>
      </w:r>
      <w:r w:rsidRPr="009B7AF1">
        <w:rPr>
          <w:b/>
        </w:rPr>
        <w:tab/>
        <w:t xml:space="preserve">обеспечить активное участие женских организаций и других организаций гражданского общества, включая научные </w:t>
      </w:r>
      <w:r>
        <w:rPr>
          <w:b/>
        </w:rPr>
        <w:t>учреждения</w:t>
      </w:r>
      <w:r w:rsidRPr="009B7AF1">
        <w:rPr>
          <w:b/>
        </w:rPr>
        <w:t>, исследовательские учреждения, профсоюзы, организации уругвайских женщин</w:t>
      </w:r>
      <w:r>
        <w:rPr>
          <w:b/>
        </w:rPr>
        <w:t xml:space="preserve"> африканского происхождения</w:t>
      </w:r>
      <w:r w:rsidRPr="009B7AF1">
        <w:rPr>
          <w:b/>
        </w:rPr>
        <w:t>, организации женщин-инвалидов, в осуществлении государственной политики по улучшению положения женщин.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Стереотипы и дискриминационная практика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1</w:t>
      </w:r>
      <w:r>
        <w:t>7</w:t>
      </w:r>
      <w:r w:rsidRPr="009B7AF1">
        <w:t>.</w:t>
      </w:r>
      <w:r w:rsidRPr="009B7AF1">
        <w:tab/>
        <w:t>Комитет приветствует меры, принятые государством-участником в целях ликвидации дискриминационных гендерных стереотипов, в том числе законы о борьбе с дискриминацией в отношении лесбиянок, трансгендеров, транссексуалов и интерсексуалов и гомофобии</w:t>
      </w:r>
      <w:r>
        <w:t>, однако</w:t>
      </w:r>
      <w:r w:rsidRPr="009B7AF1">
        <w:t xml:space="preserve"> Комитет по-прежнему обеспокоен: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a)</w:t>
      </w:r>
      <w:r w:rsidRPr="009B7AF1">
        <w:tab/>
        <w:t xml:space="preserve">сохранением патриархальных взглядов и дискриминационных стереотипов в отношении роли и обязанностей женщин и мужчин в семье и в обществе, которые закрепляют насилие и дискриминацию в отношении женщин в таких областях, как образование, занятость и охрана здоровья;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b)</w:t>
      </w:r>
      <w:r w:rsidRPr="009B7AF1">
        <w:tab/>
        <w:t xml:space="preserve">широким использованием гендерных стереотипов в средствах массовой информации, несмотря на принятие </w:t>
      </w:r>
      <w:r>
        <w:t>н</w:t>
      </w:r>
      <w:r w:rsidRPr="009B7AF1">
        <w:t xml:space="preserve">ациональным телевизионным каналом </w:t>
      </w:r>
      <w:r>
        <w:t>к</w:t>
      </w:r>
      <w:r w:rsidRPr="009B7AF1">
        <w:t xml:space="preserve">одекса профессиональной этики для контроля за дискриминационной практикой;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c)</w:t>
      </w:r>
      <w:r w:rsidRPr="009B7AF1">
        <w:tab/>
        <w:t>раси</w:t>
      </w:r>
      <w:r>
        <w:t>змом,</w:t>
      </w:r>
      <w:r w:rsidRPr="009B7AF1">
        <w:t xml:space="preserve"> предрассудками и социальной маргинализацией, жертвами которой становятся уругвайские женщины</w:t>
      </w:r>
      <w:r>
        <w:t xml:space="preserve"> африканского происхождения</w:t>
      </w:r>
      <w:r w:rsidRPr="009B7AF1">
        <w:t xml:space="preserve">, несмотря на существование общих законов, направленных на борьбу с расовой дискриминацией.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1</w:t>
      </w:r>
      <w:r>
        <w:t>8</w:t>
      </w:r>
      <w:r w:rsidRPr="009B7AF1">
        <w:t>.</w:t>
      </w:r>
      <w:r w:rsidRPr="009B7AF1">
        <w:tab/>
      </w:r>
      <w:r w:rsidRPr="009B7AF1">
        <w:rPr>
          <w:b/>
        </w:rPr>
        <w:t xml:space="preserve">Комитет рекомендует государству-участнику: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a)</w:t>
      </w:r>
      <w:r w:rsidRPr="009B7AF1">
        <w:rPr>
          <w:b/>
        </w:rPr>
        <w:tab/>
        <w:t xml:space="preserve">разработать всеобъемлющую стратегию, ориентированную на женщин, мужчин, девочек и мальчиков, в целях преодоления патриархальных и гендерных стереотипных представлений о роли и обязанностях женщин и мужчин в семье, в системе образования, на рабочем месте и в обществе в целом;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b)</w:t>
      </w:r>
      <w:r w:rsidRPr="009B7AF1">
        <w:rPr>
          <w:b/>
        </w:rPr>
        <w:tab/>
        <w:t xml:space="preserve">обеспечить </w:t>
      </w:r>
      <w:r>
        <w:rPr>
          <w:b/>
        </w:rPr>
        <w:t>подготовку сотрудников</w:t>
      </w:r>
      <w:r w:rsidRPr="009B7AF1">
        <w:rPr>
          <w:b/>
        </w:rPr>
        <w:t xml:space="preserve"> государственных и частных средств массовой информации по вопросам гендерного равенства в целях предотвращения дискриминационных гендерных стереотипов в средствах массовой информации;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с)</w:t>
      </w:r>
      <w:r>
        <w:rPr>
          <w:b/>
        </w:rPr>
        <w:tab/>
      </w:r>
      <w:r w:rsidRPr="009B7AF1">
        <w:rPr>
          <w:b/>
        </w:rPr>
        <w:t xml:space="preserve">разработать национальные стратегии, направленные на повышение осведомленности о дискриминации в отношении уругвайских женщин </w:t>
      </w:r>
      <w:r>
        <w:rPr>
          <w:b/>
        </w:rPr>
        <w:t xml:space="preserve">африканского происхождения </w:t>
      </w:r>
      <w:r w:rsidRPr="009B7AF1">
        <w:rPr>
          <w:b/>
        </w:rPr>
        <w:t>и создать конкретные направления деятельности в рамках повестки дня в области гендерного равенства, направленные на выявление остракизма в отношении женщин на основе перекрестных форм дискриминации.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>Гендерное насилие в отношении женщин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1</w:t>
      </w:r>
      <w:r>
        <w:t>9</w:t>
      </w:r>
      <w:r w:rsidRPr="009B7AF1">
        <w:t>.</w:t>
      </w:r>
      <w:r w:rsidRPr="009B7AF1">
        <w:tab/>
        <w:t xml:space="preserve">Комитет принимает к сведению меры, принятые государством-участником в соответствии с </w:t>
      </w:r>
      <w:r>
        <w:t>п</w:t>
      </w:r>
      <w:r w:rsidRPr="009B7AF1">
        <w:t xml:space="preserve">ланом действий по созданию условий для жизни, свободной от гендерного насилия, </w:t>
      </w:r>
      <w:r>
        <w:t xml:space="preserve">охватывающим период </w:t>
      </w:r>
      <w:r w:rsidRPr="009B7AF1">
        <w:t>2016</w:t>
      </w:r>
      <w:r>
        <w:t>–2019 годов,</w:t>
      </w:r>
      <w:r w:rsidRPr="009B7AF1">
        <w:t xml:space="preserve"> а также </w:t>
      </w:r>
      <w:r>
        <w:t>к</w:t>
      </w:r>
      <w:r w:rsidRPr="009B7AF1">
        <w:t>омплексную программу по борьбе с гендерным насилием. Он также приветствует создание национального управления по вопросам бытового и гендерного насилия в министерстве внутренних дел и создание 47 подразделений</w:t>
      </w:r>
      <w:r>
        <w:t xml:space="preserve"> по борьбе с такими формами</w:t>
      </w:r>
      <w:r w:rsidRPr="009B7AF1">
        <w:t xml:space="preserve"> насилия. Он высоко оценивает </w:t>
      </w:r>
      <w:r>
        <w:t xml:space="preserve">усилия государства-участника в сфере </w:t>
      </w:r>
      <w:r w:rsidRPr="009B7AF1">
        <w:t>внедрени</w:t>
      </w:r>
      <w:r>
        <w:t>я</w:t>
      </w:r>
      <w:r w:rsidRPr="009B7AF1">
        <w:t xml:space="preserve"> электронных браслетов в качестве меры по защите женщин. Однако Комитет по-прежнему обеспокоен: </w:t>
      </w:r>
    </w:p>
    <w:p w:rsidR="003E520A" w:rsidRPr="009B7AF1" w:rsidRDefault="003E520A" w:rsidP="003E520A">
      <w:pPr>
        <w:pStyle w:val="SingleTxt"/>
      </w:pPr>
      <w:r w:rsidRPr="009B7AF1">
        <w:tab/>
        <w:t>a)</w:t>
      </w:r>
      <w:r w:rsidRPr="009B7AF1">
        <w:tab/>
        <w:t>высокой распространенностью бытового насилия в отношении женщин, в том числе психологического, физического и сексуального насилия, ростом фемицида и отсутствием юридического признания некоторых форм насилия в отношении женщин, включая фемицид и изнасилование в браке;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b)</w:t>
      </w:r>
      <w:r w:rsidRPr="009B7AF1">
        <w:tab/>
        <w:t xml:space="preserve">дискриминационными положениями в Уголовном кодексе, включая такие патриархальные понятия, как </w:t>
      </w:r>
      <w:r>
        <w:t>«</w:t>
      </w:r>
      <w:r w:rsidRPr="009B7AF1">
        <w:t>честное поведение</w:t>
      </w:r>
      <w:r>
        <w:t>»</w:t>
      </w:r>
      <w:r w:rsidRPr="009B7AF1">
        <w:t xml:space="preserve">, </w:t>
      </w:r>
      <w:r>
        <w:t>«</w:t>
      </w:r>
      <w:r w:rsidRPr="009B7AF1">
        <w:t>целомудрие</w:t>
      </w:r>
      <w:r>
        <w:t>»</w:t>
      </w:r>
      <w:r w:rsidRPr="009B7AF1">
        <w:t xml:space="preserve"> и </w:t>
      </w:r>
      <w:r>
        <w:t>«</w:t>
      </w:r>
      <w:r w:rsidRPr="009B7AF1">
        <w:t>публичный скандал</w:t>
      </w:r>
      <w:r>
        <w:t>»</w:t>
      </w:r>
      <w:r w:rsidRPr="009B7AF1">
        <w:t xml:space="preserve">, которые препятствуют судебному преследованию за некоторые формы сексуального насилия в отношении женщин;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с)</w:t>
      </w:r>
      <w:r>
        <w:tab/>
      </w:r>
      <w:r w:rsidRPr="009B7AF1">
        <w:t>низким числом судебных преследований и обвинительных приговоров по делам о насилии в отношении женщин, в том числе по делам о фемициде и убийстве женщин-транссексуалов, а также затягиванием уголовного преследования за насилие по признаку пола;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d)</w:t>
      </w:r>
      <w:r w:rsidRPr="009B7AF1">
        <w:tab/>
        <w:t xml:space="preserve">отсутствием дезагрегированных данных о количестве зарегистрированных случаев насилия в отношении женщин, отличных от бытового насилия; </w:t>
      </w:r>
    </w:p>
    <w:p w:rsidR="003E520A" w:rsidRPr="009B7AF1" w:rsidRDefault="003E520A" w:rsidP="003E520A">
      <w:pPr>
        <w:pStyle w:val="SingleTxt"/>
      </w:pPr>
      <w:r w:rsidRPr="009B7AF1">
        <w:tab/>
        <w:t>e)</w:t>
      </w:r>
      <w:r w:rsidRPr="009B7AF1">
        <w:tab/>
        <w:t>передачей дел, связанных с насилием в отношении женщин, для процедуры посредничества в нарушение общего запрета на посредничество в отношении дел о насилии в семье, одобренного Верховным судом;</w:t>
      </w:r>
    </w:p>
    <w:p w:rsidR="003E520A" w:rsidRPr="00A23337" w:rsidRDefault="003E520A" w:rsidP="003E520A">
      <w:pPr>
        <w:pStyle w:val="SingleTxt"/>
      </w:pPr>
      <w:r w:rsidRPr="009B7AF1">
        <w:tab/>
        <w:t>f)</w:t>
      </w:r>
      <w:r w:rsidRPr="009B7AF1">
        <w:tab/>
        <w:t xml:space="preserve">ограниченностью информации о доступе к услугам служб поддержки женщин, ставших жертвами насилия, таким как медицинская помощь, психологическое консультирование, правовая помощь, финансовая поддержка и приюты на всей территории государства-участника, а также постановка на учет женщин, находящихся в неблагоприятном положении, в </w:t>
      </w:r>
      <w:r>
        <w:t>особенности</w:t>
      </w:r>
      <w:r w:rsidRPr="009B7AF1">
        <w:t xml:space="preserve"> уругвайских женщин </w:t>
      </w:r>
      <w:r>
        <w:t xml:space="preserve">африканского происхождения </w:t>
      </w:r>
      <w:r w:rsidRPr="009B7AF1">
        <w:t>и женщин-инвалидов.</w:t>
      </w:r>
    </w:p>
    <w:p w:rsidR="003E520A" w:rsidRPr="00A23337" w:rsidRDefault="003E520A" w:rsidP="003E520A">
      <w:pPr>
        <w:pStyle w:val="SingleTxt"/>
      </w:pPr>
    </w:p>
    <w:p w:rsidR="003E520A" w:rsidRPr="009B7AF1" w:rsidRDefault="003E520A" w:rsidP="003E520A">
      <w:pPr>
        <w:pStyle w:val="SingleTxt"/>
        <w:rPr>
          <w:b/>
        </w:rPr>
      </w:pPr>
      <w:r>
        <w:t>20</w:t>
      </w:r>
      <w:r w:rsidRPr="009B7AF1">
        <w:t>.</w:t>
      </w:r>
      <w:r w:rsidRPr="009B7AF1">
        <w:rPr>
          <w:b/>
        </w:rPr>
        <w:tab/>
        <w:t xml:space="preserve">Комитет призывает государство-участник: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ab/>
      </w:r>
      <w:r w:rsidRPr="009B7AF1">
        <w:rPr>
          <w:b/>
        </w:rPr>
        <w:t>a)</w:t>
      </w:r>
      <w:r w:rsidRPr="009B7AF1">
        <w:rPr>
          <w:b/>
        </w:rPr>
        <w:tab/>
        <w:t xml:space="preserve">осуществлять и надлежащим образом финансировать общенациональные стратегии и программы по предупреждению и искоренению бытового насилия в отношении женщин, в том числе </w:t>
      </w:r>
      <w:r>
        <w:rPr>
          <w:b/>
        </w:rPr>
        <w:t>в рамках мероприятий по</w:t>
      </w:r>
      <w:r w:rsidRPr="009B7AF1">
        <w:rPr>
          <w:b/>
        </w:rPr>
        <w:t xml:space="preserve"> повышени</w:t>
      </w:r>
      <w:r>
        <w:rPr>
          <w:b/>
        </w:rPr>
        <w:t>ю</w:t>
      </w:r>
      <w:r w:rsidRPr="009B7AF1">
        <w:rPr>
          <w:b/>
        </w:rPr>
        <w:t xml:space="preserve"> осведомленности о преступном характере насилия в отношении женщин, и ускорить реформирование Уголовного кодекса и принятие всеобъемлющего закона, предусматривающего уголовную ответственность за все формы насилия в отношении женщин, обеспечивая, чтобы в ходе </w:t>
      </w:r>
      <w:r>
        <w:rPr>
          <w:b/>
        </w:rPr>
        <w:t>этой</w:t>
      </w:r>
      <w:r w:rsidRPr="009B7AF1">
        <w:rPr>
          <w:b/>
        </w:rPr>
        <w:t xml:space="preserve"> реформы фемицид и изнасилование в браке были признаны в качестве уголовн</w:t>
      </w:r>
      <w:r>
        <w:rPr>
          <w:b/>
        </w:rPr>
        <w:t>ых</w:t>
      </w:r>
      <w:r w:rsidRPr="009B7AF1">
        <w:rPr>
          <w:b/>
        </w:rPr>
        <w:t xml:space="preserve"> преступлени</w:t>
      </w:r>
      <w:r>
        <w:rPr>
          <w:b/>
        </w:rPr>
        <w:t>й</w:t>
      </w:r>
      <w:r w:rsidRPr="009B7AF1">
        <w:rPr>
          <w:b/>
        </w:rPr>
        <w:t>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b)</w:t>
      </w:r>
      <w:r w:rsidRPr="009B7AF1">
        <w:rPr>
          <w:b/>
        </w:rPr>
        <w:tab/>
        <w:t xml:space="preserve">упразднить положения Уголовного кодекса, включающие патриархальные понятия </w:t>
      </w:r>
      <w:r>
        <w:rPr>
          <w:b/>
        </w:rPr>
        <w:t>«</w:t>
      </w:r>
      <w:r w:rsidRPr="009B7AF1">
        <w:rPr>
          <w:b/>
        </w:rPr>
        <w:t>честное поведение</w:t>
      </w:r>
      <w:r>
        <w:rPr>
          <w:b/>
        </w:rPr>
        <w:t>»</w:t>
      </w:r>
      <w:r w:rsidRPr="009B7AF1">
        <w:rPr>
          <w:b/>
        </w:rPr>
        <w:t xml:space="preserve">, </w:t>
      </w:r>
      <w:r>
        <w:rPr>
          <w:b/>
        </w:rPr>
        <w:t>«</w:t>
      </w:r>
      <w:r w:rsidRPr="009B7AF1">
        <w:rPr>
          <w:b/>
        </w:rPr>
        <w:t>целомудрие</w:t>
      </w:r>
      <w:r>
        <w:rPr>
          <w:b/>
        </w:rPr>
        <w:t>»</w:t>
      </w:r>
      <w:r w:rsidRPr="009B7AF1">
        <w:rPr>
          <w:b/>
        </w:rPr>
        <w:t xml:space="preserve"> и </w:t>
      </w:r>
      <w:r>
        <w:rPr>
          <w:b/>
        </w:rPr>
        <w:t>«</w:t>
      </w:r>
      <w:r w:rsidRPr="009B7AF1">
        <w:rPr>
          <w:b/>
        </w:rPr>
        <w:t>публичный скандал</w:t>
      </w:r>
      <w:r>
        <w:rPr>
          <w:b/>
        </w:rPr>
        <w:t>»</w:t>
      </w:r>
      <w:r w:rsidRPr="009B7AF1">
        <w:rPr>
          <w:b/>
        </w:rPr>
        <w:t xml:space="preserve"> в качестве элементов уголовного преступления, которые затрагивают женщин;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с)</w:t>
      </w:r>
      <w:r w:rsidRPr="009B7AF1">
        <w:rPr>
          <w:b/>
        </w:rPr>
        <w:tab/>
        <w:t>разработать стратегию в целях упрощения уголовного производства, с тем чтобы судебное преследование за насилие по признаку пола носило приоритетный характер, установить разумные сроки для доказательства случаев насилия по признаку пола в целях привлечения виновных к ответственности</w:t>
      </w:r>
      <w:r>
        <w:rPr>
          <w:b/>
        </w:rPr>
        <w:t xml:space="preserve"> и</w:t>
      </w:r>
      <w:r w:rsidRPr="009B7AF1">
        <w:rPr>
          <w:b/>
        </w:rPr>
        <w:t xml:space="preserve"> подготовить руководящие принципы для прокуроров и сотрудников полиции по методам следствия с учетом гендерной специфики и надлежащему использованию свидетельских показаний женщин в делах, связанных с насилием в отношении женщин и девочек;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d)</w:t>
      </w:r>
      <w:r w:rsidRPr="009B7AF1">
        <w:rPr>
          <w:b/>
        </w:rPr>
        <w:tab/>
        <w:t xml:space="preserve">внедрить общенациональную систему для сбора </w:t>
      </w:r>
      <w:r>
        <w:rPr>
          <w:b/>
        </w:rPr>
        <w:t xml:space="preserve">всеобъемлющей </w:t>
      </w:r>
      <w:r w:rsidRPr="009B7AF1">
        <w:rPr>
          <w:b/>
        </w:rPr>
        <w:t>информации о всех формах насилия в отношении женщин;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e)</w:t>
      </w:r>
      <w:r w:rsidRPr="009B7AF1">
        <w:rPr>
          <w:b/>
        </w:rPr>
        <w:tab/>
        <w:t>обеспечить, чтобы в делах о насилии в отношении женщин, включая насилие в семье, четким приоритетом по сравнению с процедурами посредничества и другими альтернативными процедурами разрешения споров пользовалось гражданское и уголовное судопроизводство;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f)</w:t>
      </w:r>
      <w:r w:rsidRPr="009B7AF1">
        <w:rPr>
          <w:b/>
        </w:rPr>
        <w:tab/>
        <w:t>создать механизмы контроля для оценки доступности услуг по защите и оказанию помощи для жертв гендерного насилия, в частности для находящихся в неблагоприятном положении групп женщин, например, женщин африканского происхождения, женщин-инвалидов, женщин-беженцев, женщин, ищущих убежища, и женщин-мигрантов.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Насилие по признаку пола в отношении женщин во время режима </w:t>
      </w:r>
      <w:r w:rsidRPr="003E520A">
        <w:t>де-факто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2</w:t>
      </w:r>
      <w:r>
        <w:t>1</w:t>
      </w:r>
      <w:r w:rsidRPr="009B7AF1">
        <w:t>.</w:t>
      </w:r>
      <w:r w:rsidRPr="009B7AF1">
        <w:tab/>
        <w:t xml:space="preserve">Комитет с обеспокоенностью отмечает отсутствие конкретных механизмов в рамках системы отправления правосудия, направленных на обеспечение возмещения ущерба и компенсации для женщин, ставших жертвами сексуального насилия и других нарушений их прав человека в период режима </w:t>
      </w:r>
      <w:r w:rsidRPr="009B7AF1">
        <w:rPr>
          <w:i/>
        </w:rPr>
        <w:t>де-факто</w:t>
      </w:r>
      <w:r w:rsidRPr="009B7AF1">
        <w:t xml:space="preserve"> в государстве-участнике в период 1973</w:t>
      </w:r>
      <w:r>
        <w:t>–</w:t>
      </w:r>
      <w:r w:rsidRPr="009B7AF1">
        <w:t>1985 годов. Он также отмечает отсутствие процессов, направленных на установление истины в отношении нарушений прав человека женщин в течение этого периода.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2</w:t>
      </w:r>
      <w:r>
        <w:t>2</w:t>
      </w:r>
      <w:r w:rsidRPr="009B7AF1">
        <w:t>.</w:t>
      </w:r>
      <w:r w:rsidRPr="009B7AF1">
        <w:rPr>
          <w:b/>
        </w:rPr>
        <w:tab/>
        <w:t>Комитет</w:t>
      </w:r>
      <w:r>
        <w:rPr>
          <w:b/>
        </w:rPr>
        <w:t>,</w:t>
      </w:r>
      <w:r w:rsidRPr="009B7AF1">
        <w:rPr>
          <w:b/>
        </w:rPr>
        <w:t xml:space="preserve"> напомина</w:t>
      </w:r>
      <w:r>
        <w:rPr>
          <w:b/>
        </w:rPr>
        <w:t>я</w:t>
      </w:r>
      <w:r w:rsidRPr="009B7AF1">
        <w:rPr>
          <w:b/>
        </w:rPr>
        <w:t xml:space="preserve"> о своей общей рекомендации № 30 (2013), касающейся положения женщин в условиях предотвращения конфликтов, в конфликтных и постконфликтных ситуациях, рекомендует государству-участнику принять стратегию для судебного преследования и надлежащего наказания лиц, виновных в нарушении прав человека в отношении женщин во время режима </w:t>
      </w:r>
      <w:r w:rsidRPr="009B7AF1">
        <w:rPr>
          <w:b/>
          <w:i/>
        </w:rPr>
        <w:t>де-факто</w:t>
      </w:r>
      <w:r w:rsidRPr="009B7AF1">
        <w:rPr>
          <w:b/>
        </w:rPr>
        <w:t xml:space="preserve">. Он также рекомендует государству-участнику принять меры для обеспечения оперативного возмещения вреда, включая компенсацию и символическое возмещение женщинам, пострадавшим от таких нарушений.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Торговля людьми и эксплуатация проституции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2</w:t>
      </w:r>
      <w:r>
        <w:t>3</w:t>
      </w:r>
      <w:r w:rsidRPr="009B7AF1">
        <w:t>.</w:t>
      </w:r>
      <w:r w:rsidRPr="009B7AF1">
        <w:tab/>
        <w:t xml:space="preserve">Комитет отмечает создание в министерстве внутренних дел и Национальном институте по делам женщин институциональных комитетов по вопросам борьбы с торговлей людьми и разработку </w:t>
      </w:r>
      <w:r>
        <w:t xml:space="preserve">соответствующего </w:t>
      </w:r>
      <w:r w:rsidRPr="009B7AF1">
        <w:t xml:space="preserve">национального плана действий, а также руководящих принципов для обеспечения защиты и помощи жертвам торговли людьми. В то же время Комитет обеспокоен тем, что: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a)</w:t>
      </w:r>
      <w:r w:rsidRPr="009B7AF1">
        <w:tab/>
        <w:t>государство-участник является как страной транзита, так и страной назначения для торговли людьми, особенно женщинами и девочками;</w:t>
      </w:r>
    </w:p>
    <w:p w:rsidR="003E520A" w:rsidRPr="009B7AF1" w:rsidRDefault="003E520A" w:rsidP="003E520A">
      <w:pPr>
        <w:pStyle w:val="SingleTxt"/>
      </w:pPr>
      <w:r w:rsidRPr="009B7AF1">
        <w:tab/>
        <w:t>b)</w:t>
      </w:r>
      <w:r w:rsidRPr="009B7AF1">
        <w:tab/>
        <w:t>отсутствует информация о мерах, принятых для выявления, предотвращения и преследования случаев торговли людьми для целей трудовой эксплуатации, а также о количестве возбужденных дел и обвинительных приговоров по делам о торговле людьми.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2</w:t>
      </w:r>
      <w:r>
        <w:t>4</w:t>
      </w:r>
      <w:r w:rsidRPr="009B7AF1">
        <w:t>.</w:t>
      </w:r>
      <w:r w:rsidRPr="009B7AF1">
        <w:rPr>
          <w:b/>
        </w:rPr>
        <w:tab/>
        <w:t xml:space="preserve">Комитет рекомендует государству-участнику: </w:t>
      </w:r>
    </w:p>
    <w:p w:rsidR="003E520A" w:rsidRPr="009B7AF1" w:rsidRDefault="003E520A" w:rsidP="003E520A">
      <w:pPr>
        <w:pStyle w:val="SingleTxt"/>
        <w:rPr>
          <w:b/>
          <w:bCs/>
        </w:rPr>
      </w:pPr>
      <w:r w:rsidRPr="009B7AF1">
        <w:rPr>
          <w:b/>
        </w:rPr>
        <w:tab/>
        <w:t>a)</w:t>
      </w:r>
      <w:r w:rsidRPr="009B7AF1">
        <w:rPr>
          <w:b/>
        </w:rPr>
        <w:tab/>
        <w:t>принять более всеобъемлющие национальные рамки для борьбы с торговлей женщинами и девочками;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9E66458" wp14:editId="76A47735">
                <wp:simplePos x="0" y="0"/>
                <wp:positionH relativeFrom="column">
                  <wp:posOffset>1742075</wp:posOffset>
                </wp:positionH>
                <wp:positionV relativeFrom="paragraph">
                  <wp:posOffset>527247</wp:posOffset>
                </wp:positionV>
                <wp:extent cx="6480" cy="8280"/>
                <wp:effectExtent l="38100" t="38100" r="50800" b="48895"/>
                <wp:wrapNone/>
                <wp:docPr id="7" name="Encr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4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3" o:spid="_x0000_s1026" type="#_x0000_t75" style="position:absolute;margin-left:136.7pt;margin-top:41.1pt;width:1.2pt;height: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">
                <v:imagedata r:id="rId25" o:title=""/>
              </v:shape>
            </w:pict>
          </mc:Fallback>
        </mc:AlternateContent>
      </w:r>
      <w:r w:rsidRPr="009B7AF1">
        <w:rPr>
          <w:b/>
        </w:rPr>
        <w:tab/>
        <w:t>b)</w:t>
      </w:r>
      <w:r w:rsidRPr="009B7AF1">
        <w:rPr>
          <w:b/>
        </w:rPr>
        <w:tab/>
        <w:t xml:space="preserve">создать систему </w:t>
      </w:r>
      <w:r>
        <w:rPr>
          <w:b/>
        </w:rPr>
        <w:t xml:space="preserve">для </w:t>
      </w:r>
      <w:r w:rsidRPr="009B7AF1">
        <w:rPr>
          <w:b/>
        </w:rPr>
        <w:t>сбора данных о торговле женщинами и девочками в разбивке по возрасту, этнической принадлежности и социально-экономическому положению, которая позвол</w:t>
      </w:r>
      <w:r>
        <w:rPr>
          <w:b/>
        </w:rPr>
        <w:t>ит</w:t>
      </w:r>
      <w:r w:rsidRPr="009B7AF1">
        <w:rPr>
          <w:b/>
        </w:rPr>
        <w:t xml:space="preserve"> выявлять недостатки в национальных рамках для борьбы с торговлей людьми; </w:t>
      </w:r>
      <w:r>
        <w:rPr>
          <w:b/>
        </w:rPr>
        <w:t>а также</w:t>
      </w:r>
      <w:r w:rsidRPr="009B7AF1">
        <w:rPr>
          <w:b/>
        </w:rPr>
        <w:t xml:space="preserve"> продолжить усилия по предотвращению и судебному преследованию случаев торговли людьми и укреплению двустороннего, регионального и международного сотрудничества в целях предотвращения торговли людьми, в том числе посредством обмена информацией с другими странами в регионе и согласования правовых процедур уголовного преследования торговцев людьми. </w:t>
      </w:r>
    </w:p>
    <w:p w:rsidR="003E520A" w:rsidRPr="009B7AF1" w:rsidRDefault="003E520A" w:rsidP="003E520A">
      <w:pPr>
        <w:pStyle w:val="SingleTxt"/>
      </w:pPr>
      <w:r w:rsidRPr="009B7AF1">
        <w:t>2</w:t>
      </w:r>
      <w:r>
        <w:t>5</w:t>
      </w:r>
      <w:r w:rsidRPr="009B7AF1">
        <w:t>.</w:t>
      </w:r>
      <w:r w:rsidRPr="009B7AF1">
        <w:tab/>
        <w:t>Комитет отмечает, что государств</w:t>
      </w:r>
      <w:r>
        <w:t>ом</w:t>
      </w:r>
      <w:r w:rsidRPr="009B7AF1">
        <w:t>-участник</w:t>
      </w:r>
      <w:r>
        <w:t>ом</w:t>
      </w:r>
      <w:r w:rsidRPr="009B7AF1">
        <w:t xml:space="preserve"> признается работа в секс-индустрии (Закон № 17.515 </w:t>
      </w:r>
      <w:r>
        <w:t xml:space="preserve">от 4 июля </w:t>
      </w:r>
      <w:r w:rsidRPr="009B7AF1">
        <w:t xml:space="preserve">2002 года) и создан национальный реестр работников секс-индустрии, находящийся в ведении министерства внутренних дел. Комитет, тем не менее, выражает обеспокоенность в связи с отсутствием программ по поддержке женщин, которые хотят отказаться от работы в секс-индустрии.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2</w:t>
      </w:r>
      <w:r>
        <w:t>6</w:t>
      </w:r>
      <w:r w:rsidRPr="006653CD">
        <w:t>.</w:t>
      </w:r>
      <w:r w:rsidRPr="009B7AF1">
        <w:rPr>
          <w:b/>
        </w:rPr>
        <w:tab/>
        <w:t xml:space="preserve">Комитет рекомендует государству-участнику разработать программы выхода для женщин, которые хотят отказаться от работы в секс-индустрии, включая альтернативные возможности получения дохода.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Участие в политической и общественной жизни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2</w:t>
      </w:r>
      <w:r>
        <w:t>7</w:t>
      </w:r>
      <w:r w:rsidRPr="009B7AF1">
        <w:t>.</w:t>
      </w:r>
      <w:r w:rsidRPr="009B7AF1">
        <w:tab/>
        <w:t>Комитет по-прежнему обеспокоен недостаточной представленностью женщин в политической и общественной жизни, в том числе в парламенте и на высоких руководящих должностях в правительстве,</w:t>
      </w:r>
      <w:r>
        <w:t xml:space="preserve"> и</w:t>
      </w:r>
      <w:r w:rsidRPr="009B7AF1">
        <w:t xml:space="preserve"> отсутствием мер, направленных на поощрение и поддержку выдвижения женщин-кандидатов в выборные органы. </w:t>
      </w:r>
      <w:r>
        <w:t>Показатели</w:t>
      </w:r>
      <w:r w:rsidRPr="009B7AF1">
        <w:t xml:space="preserve"> Уругва</w:t>
      </w:r>
      <w:r>
        <w:t>я в отношении</w:t>
      </w:r>
      <w:r w:rsidRPr="009B7AF1">
        <w:t xml:space="preserve"> участи</w:t>
      </w:r>
      <w:r>
        <w:t>я</w:t>
      </w:r>
      <w:r w:rsidRPr="009B7AF1">
        <w:t xml:space="preserve"> женщин в парламенте ниже средн</w:t>
      </w:r>
      <w:r>
        <w:t xml:space="preserve">их данных </w:t>
      </w:r>
      <w:r w:rsidRPr="009B7AF1">
        <w:t>по региону. Комитет выражает сожаление по поводу того, что Закон № 18.476</w:t>
      </w:r>
      <w:r>
        <w:t xml:space="preserve"> от 3 апреля 2009 года</w:t>
      </w:r>
      <w:r w:rsidRPr="009B7AF1">
        <w:t>, который предусматривает равное политическое участие женщин и мужчин в выборных органах, в ходе выборов 2014 года</w:t>
      </w:r>
      <w:r>
        <w:t xml:space="preserve"> </w:t>
      </w:r>
      <w:r w:rsidRPr="009B7AF1">
        <w:t>применялся лишь однажды</w:t>
      </w:r>
      <w:r>
        <w:t>.</w:t>
      </w:r>
      <w:r w:rsidRPr="009B7AF1">
        <w:t xml:space="preserve"> Кроме того, Комитет выражает обеспокоенность по поводу низкого уровня представленности женщин в Верховном суде и на дипломатической службе.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27.</w:t>
      </w:r>
      <w:r w:rsidRPr="009B7AF1">
        <w:rPr>
          <w:b/>
        </w:rPr>
        <w:tab/>
        <w:t xml:space="preserve">Комитет рекомендует государству-участнику: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a)</w:t>
      </w:r>
      <w:r w:rsidRPr="009B7AF1">
        <w:rPr>
          <w:b/>
        </w:rPr>
        <w:tab/>
        <w:t>принять меры, включая временные специальные меры, в соответствии со статьей 4 (1) Конвенции и общей рекомендацией № 25 (2004) Комитета</w:t>
      </w:r>
      <w:r>
        <w:rPr>
          <w:b/>
        </w:rPr>
        <w:t xml:space="preserve"> по данному вопросу</w:t>
      </w:r>
      <w:r w:rsidRPr="009B7AF1">
        <w:rPr>
          <w:b/>
        </w:rPr>
        <w:t xml:space="preserve">, такие, например, как уставные квоты для назначения или выдвижения женщин в качестве кандидатов, и контролировать достигнутый прогресс;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ab/>
      </w:r>
      <w:r w:rsidRPr="009B7AF1">
        <w:rPr>
          <w:b/>
        </w:rPr>
        <w:t>b)</w:t>
      </w:r>
      <w:r w:rsidRPr="009B7AF1">
        <w:rPr>
          <w:b/>
        </w:rPr>
        <w:tab/>
        <w:t xml:space="preserve"> рассмотреть вопрос о введении системы гендерного паритета для обеспечения представленности женщин в политической и общественной жизни, </w:t>
      </w:r>
      <w:r>
        <w:rPr>
          <w:b/>
        </w:rPr>
        <w:t xml:space="preserve">в том числе посредством внесения </w:t>
      </w:r>
      <w:r w:rsidRPr="009B7AF1">
        <w:rPr>
          <w:b/>
        </w:rPr>
        <w:t>поправк</w:t>
      </w:r>
      <w:r>
        <w:rPr>
          <w:b/>
        </w:rPr>
        <w:t>и</w:t>
      </w:r>
      <w:r w:rsidRPr="009B7AF1">
        <w:rPr>
          <w:b/>
        </w:rPr>
        <w:t xml:space="preserve"> </w:t>
      </w:r>
      <w:r>
        <w:rPr>
          <w:b/>
        </w:rPr>
        <w:t>в</w:t>
      </w:r>
      <w:r w:rsidRPr="009B7AF1">
        <w:rPr>
          <w:b/>
        </w:rPr>
        <w:t xml:space="preserve"> Закон о выборах;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с)</w:t>
      </w:r>
      <w:r>
        <w:rPr>
          <w:b/>
        </w:rPr>
        <w:tab/>
      </w:r>
      <w:r w:rsidRPr="009B7AF1">
        <w:rPr>
          <w:b/>
        </w:rPr>
        <w:t>разработать целевые учебные и наставнические программы по развитию навыков руководства и ведения переговоров для женщин-кандидатов.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>Гражданство и женщины без гражданства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2</w:t>
      </w:r>
      <w:r>
        <w:t>9</w:t>
      </w:r>
      <w:r w:rsidRPr="009B7AF1">
        <w:t>.</w:t>
      </w:r>
      <w:r w:rsidRPr="009B7AF1">
        <w:tab/>
        <w:t>Комитет выражает признательность государству-участнику за его законодательство, которое защищает женщин от дискриминации по признаку гражданства</w:t>
      </w:r>
      <w:r>
        <w:t>, однако</w:t>
      </w:r>
      <w:r w:rsidRPr="009B7AF1">
        <w:t xml:space="preserve"> Комитет выражает обеспокоенность по поводу отсутствия законодательства, касающегося определения статуса и защиты лиц без гражданства, которое обеспечивало бы равный доступ к выдаче документов и базовым услугам для женщин без гражданства, которые не являются беженцами.</w:t>
      </w:r>
    </w:p>
    <w:p w:rsidR="003E520A" w:rsidRPr="009B7AF1" w:rsidRDefault="003E520A" w:rsidP="003E520A">
      <w:pPr>
        <w:pStyle w:val="SingleTxt"/>
        <w:rPr>
          <w:b/>
        </w:rPr>
      </w:pPr>
      <w:r>
        <w:t>30</w:t>
      </w:r>
      <w:r w:rsidRPr="009B7AF1">
        <w:t>.</w:t>
      </w:r>
      <w:r w:rsidRPr="009B7AF1">
        <w:rPr>
          <w:b/>
        </w:rPr>
        <w:tab/>
        <w:t>Комитет рекомендует государству-участнику принять закон об определении статуса и обеспечить защиту прав человека женщин без гражданства, которые не являются беженцами, и снизить для них опасность дискриминации в соответствии со его обязательствами согласно Конвенции о статусе апатридов 1954 год</w:t>
      </w:r>
      <w:r>
        <w:rPr>
          <w:b/>
        </w:rPr>
        <w:t>а</w:t>
      </w:r>
      <w:r w:rsidRPr="009B7AF1">
        <w:rPr>
          <w:b/>
        </w:rPr>
        <w:t>, а также Конвенции о сокращении безгражданства 1961 год</w:t>
      </w:r>
      <w:r>
        <w:rPr>
          <w:b/>
        </w:rPr>
        <w:t>а</w:t>
      </w:r>
      <w:r w:rsidRPr="009B7AF1">
        <w:rPr>
          <w:b/>
        </w:rPr>
        <w:t xml:space="preserve">. Он также рекомендует государству-участнику принять меры для обеспечения этим женщинам доступа к выдаче документов и предоставить им доступ к основным услугам и возможностям для расселения, а также внедрить систему сбора данных о женщинах без гражданства.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Образование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3</w:t>
      </w:r>
      <w:r>
        <w:t>1</w:t>
      </w:r>
      <w:r w:rsidRPr="009B7AF1">
        <w:t>.</w:t>
      </w:r>
      <w:r w:rsidRPr="009B7AF1">
        <w:tab/>
        <w:t xml:space="preserve">Комитет приветствует успехи, достигнутые в обеспечении женщинам доступа ко всем уровням образования, отмечая, что женщины получают полное среднее образование на 30,7 процента чаще, чем мужчины. Отмечается также, что женщины составляют 60 процентов от общего числа </w:t>
      </w:r>
      <w:r>
        <w:t>студентов</w:t>
      </w:r>
      <w:r w:rsidRPr="009B7AF1">
        <w:t xml:space="preserve"> университет</w:t>
      </w:r>
      <w:r>
        <w:t>ов</w:t>
      </w:r>
      <w:r w:rsidRPr="009B7AF1">
        <w:t>. Вместе с тем Комитет выражает обеспокоенность в связи с: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a)</w:t>
      </w:r>
      <w:r w:rsidRPr="009B7AF1">
        <w:tab/>
        <w:t xml:space="preserve">высоким показателем отсева из системы формального образования среди девочек, главным образом по причине беременности в раннем возрасте, особенно в сельских </w:t>
      </w:r>
      <w:r>
        <w:t xml:space="preserve">районах </w:t>
      </w:r>
      <w:r w:rsidRPr="009B7AF1">
        <w:t>и бедных городских районах. Несоразмерно сильно от этого страдают уругвайские подростки</w:t>
      </w:r>
      <w:r>
        <w:t xml:space="preserve"> африканского происхождения</w:t>
      </w:r>
      <w:r w:rsidRPr="009B7AF1">
        <w:t>, и отсутствует информация о мерах, принимаемых для исправления этой ситуации;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b)</w:t>
      </w:r>
      <w:r w:rsidRPr="009B7AF1">
        <w:tab/>
        <w:t>сохранением концентрации женщин в традиционно женских областях знаний, таких как обучение;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с)</w:t>
      </w:r>
      <w:r>
        <w:tab/>
      </w:r>
      <w:r w:rsidRPr="009B7AF1">
        <w:t>недопредставленностью женщин на академических должностях высокого уровня;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d)</w:t>
      </w:r>
      <w:r w:rsidRPr="009B7AF1">
        <w:tab/>
        <w:t>пробелами, касающимися соответствующего возрасту просвещения по вопросам сексуального и репродуктивного здоровья и соответствующих прав;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e)</w:t>
      </w:r>
      <w:r w:rsidRPr="009B7AF1">
        <w:tab/>
        <w:t>отсутствием мер по расширению доступа к образованию для женщин африканского происхождения.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3</w:t>
      </w:r>
      <w:r>
        <w:t>2</w:t>
      </w:r>
      <w:r w:rsidRPr="009B7AF1">
        <w:t>.</w:t>
      </w:r>
      <w:r w:rsidRPr="009B7AF1">
        <w:rPr>
          <w:b/>
        </w:rPr>
        <w:tab/>
        <w:t xml:space="preserve">Комитет рекомендует государству-участнику: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a)</w:t>
      </w:r>
      <w:r w:rsidRPr="009B7AF1">
        <w:rPr>
          <w:b/>
        </w:rPr>
        <w:tab/>
        <w:t>осуществлять эффективные стратегии по снижению высок</w:t>
      </w:r>
      <w:r>
        <w:rPr>
          <w:b/>
        </w:rPr>
        <w:t>их</w:t>
      </w:r>
      <w:r w:rsidRPr="009B7AF1">
        <w:rPr>
          <w:b/>
        </w:rPr>
        <w:t xml:space="preserve"> показател</w:t>
      </w:r>
      <w:r>
        <w:rPr>
          <w:b/>
        </w:rPr>
        <w:t>ей</w:t>
      </w:r>
      <w:r w:rsidRPr="009B7AF1">
        <w:rPr>
          <w:b/>
        </w:rPr>
        <w:t xml:space="preserve"> беременности в раннем возрасте и школьного отсева с мерами по обеспечению сохранения в школе и содействию возвращению в школу молодых матерей, включая стипендии, особенно для женщин </w:t>
      </w:r>
      <w:r>
        <w:rPr>
          <w:b/>
        </w:rPr>
        <w:t xml:space="preserve">и девочек </w:t>
      </w:r>
      <w:r w:rsidRPr="009B7AF1">
        <w:rPr>
          <w:b/>
        </w:rPr>
        <w:t>африканского происхождения</w:t>
      </w:r>
      <w:r>
        <w:rPr>
          <w:b/>
        </w:rPr>
        <w:t xml:space="preserve">, </w:t>
      </w:r>
      <w:r w:rsidRPr="009B7AF1">
        <w:rPr>
          <w:b/>
        </w:rPr>
        <w:t>женщин и девочек</w:t>
      </w:r>
      <w:r>
        <w:rPr>
          <w:b/>
        </w:rPr>
        <w:t>,</w:t>
      </w:r>
      <w:r w:rsidRPr="009B7AF1">
        <w:rPr>
          <w:b/>
        </w:rPr>
        <w:t xml:space="preserve"> проживающих в сельской местности, </w:t>
      </w:r>
      <w:r>
        <w:rPr>
          <w:b/>
        </w:rPr>
        <w:t xml:space="preserve">и </w:t>
      </w:r>
      <w:r w:rsidRPr="009B7AF1">
        <w:rPr>
          <w:b/>
        </w:rPr>
        <w:t xml:space="preserve">женщин, живущих в бедных городских районах, при обеспечении активного контроля до среднего и высшего специального образования включительно;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b)</w:t>
      </w:r>
      <w:r w:rsidRPr="009B7AF1">
        <w:rPr>
          <w:b/>
        </w:rPr>
        <w:tab/>
        <w:t>активизировать деятельность по профессиональной ориентации, с тем чтобы побудить женщин к выбору нетрадиционных путей развития карьеры и повысить уровень осведомленности по вопросам гендерного равенства со стороны преподавателей на всех уровнях системы образования;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с)</w:t>
      </w:r>
      <w:r>
        <w:rPr>
          <w:b/>
        </w:rPr>
        <w:tab/>
      </w:r>
      <w:r w:rsidRPr="009B7AF1">
        <w:rPr>
          <w:b/>
        </w:rPr>
        <w:t xml:space="preserve">содействовать принятию конкретных мер, включая временные специальные меры, для улучшения представленности женщин на руководящих должностях в </w:t>
      </w:r>
      <w:r>
        <w:rPr>
          <w:b/>
        </w:rPr>
        <w:t>научных учреждениях</w:t>
      </w:r>
      <w:r w:rsidRPr="009B7AF1">
        <w:rPr>
          <w:b/>
        </w:rPr>
        <w:t xml:space="preserve"> и увеличения числа женщин-профессоров в университетах;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d)</w:t>
      </w:r>
      <w:r w:rsidRPr="009B7AF1">
        <w:rPr>
          <w:b/>
        </w:rPr>
        <w:tab/>
        <w:t>проводить периодические оценки состояния полового воспитания в рамках национальной системы образования, направленные на обеспечение соответствующего возрасту просвещения по вопросам сексуального и репродуктивного здоровья и прав;</w:t>
      </w:r>
    </w:p>
    <w:p w:rsidR="003E520A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e)</w:t>
      </w:r>
      <w:r w:rsidRPr="009B7AF1">
        <w:rPr>
          <w:b/>
        </w:rPr>
        <w:tab/>
        <w:t>уделять первоочередное внимание мерам по облегчению доступа к образованию для женщин</w:t>
      </w:r>
      <w:r>
        <w:rPr>
          <w:b/>
        </w:rPr>
        <w:t xml:space="preserve"> африканского происхождения</w:t>
      </w:r>
      <w:r w:rsidRPr="009B7AF1">
        <w:rPr>
          <w:b/>
        </w:rPr>
        <w:t>, включая выделение квот на университетском уровне, с периодическим контролем достигнутого прогресса.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9B7AF1">
        <w:tab/>
      </w:r>
      <w:r w:rsidRPr="009B7AF1">
        <w:tab/>
        <w:t>Занятость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3</w:t>
      </w:r>
      <w:r>
        <w:t>3</w:t>
      </w:r>
      <w:r w:rsidRPr="009B7AF1">
        <w:t>.</w:t>
      </w:r>
      <w:r w:rsidRPr="009B7AF1">
        <w:tab/>
        <w:t xml:space="preserve">Комитет приветствует расширение присутствия женщин на формальном рынке труда. Он также отмечает, что </w:t>
      </w:r>
      <w:r>
        <w:t xml:space="preserve">в сфере естественных наук количество </w:t>
      </w:r>
      <w:r w:rsidRPr="009B7AF1">
        <w:t xml:space="preserve">женщин в два раза </w:t>
      </w:r>
      <w:r>
        <w:t>превосходит количество</w:t>
      </w:r>
      <w:r w:rsidRPr="009B7AF1">
        <w:t xml:space="preserve"> мужчин. Комитет выражает признательность государству-участнику за принятие </w:t>
      </w:r>
      <w:r>
        <w:t>н</w:t>
      </w:r>
      <w:r w:rsidRPr="009B7AF1">
        <w:t xml:space="preserve">ациональной системы опеки, которая может способствовать решению проблемы традиционно несоразмерного бремени неоплачиваемого труда для женщин. Вместе с тем Комитет выражает обеспокоенность по поводу: </w:t>
      </w:r>
    </w:p>
    <w:p w:rsidR="003E520A" w:rsidRPr="009B7AF1" w:rsidRDefault="003E520A" w:rsidP="003E520A">
      <w:pPr>
        <w:pStyle w:val="SingleTxt"/>
      </w:pPr>
      <w:r w:rsidRPr="009B7AF1">
        <w:tab/>
        <w:t>a)</w:t>
      </w:r>
      <w:r w:rsidRPr="009B7AF1">
        <w:tab/>
        <w:t>более высокого уровня безработицы и самостоятельной занятости среди женщин</w:t>
      </w:r>
      <w:r>
        <w:t>, принимая во внимание, что</w:t>
      </w:r>
      <w:r w:rsidRPr="009B7AF1">
        <w:t xml:space="preserve"> показатели занятости среди женщин ниже, чем показатели среди мужчин примерно на 20 процентов</w:t>
      </w:r>
      <w:r>
        <w:t>,</w:t>
      </w:r>
      <w:r w:rsidRPr="009B7AF1">
        <w:t xml:space="preserve"> и того, что безработица особенно затрагивает женщин африканского происхождения;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b)</w:t>
      </w:r>
      <w:r w:rsidRPr="009B7AF1">
        <w:tab/>
        <w:t xml:space="preserve">гендерного разрыва в оплате труда, что затрагивает женщин с более высоким уровнем образования, особенно в частном секторе; </w:t>
      </w:r>
    </w:p>
    <w:p w:rsidR="003E520A" w:rsidRPr="009B7AF1" w:rsidRDefault="003E520A" w:rsidP="003E520A">
      <w:pPr>
        <w:pStyle w:val="SingleTxt"/>
      </w:pPr>
      <w:r w:rsidRPr="009B7AF1">
        <w:tab/>
        <w:t>c)</w:t>
      </w:r>
      <w:r w:rsidRPr="009B7AF1">
        <w:tab/>
        <w:t>чрезмерной представленности уругвайских женщин</w:t>
      </w:r>
      <w:r>
        <w:t xml:space="preserve"> африканского происхождения</w:t>
      </w:r>
      <w:r w:rsidRPr="009B7AF1">
        <w:t xml:space="preserve"> в качестве домашней прислуги (1 из 4 домашних работников) и отсутствия эффективной защиты для женщин-мигрантов, работающих в качестве домашней прислуги;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d)</w:t>
      </w:r>
      <w:r w:rsidRPr="009B7AF1">
        <w:tab/>
        <w:t>меньшего накопления взносов в фонды социального обеспечения женщинами, занятыми в качестве домашней прислуги и в секторе услуг по уходу;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e)</w:t>
      </w:r>
      <w:r w:rsidRPr="009B7AF1">
        <w:tab/>
        <w:t>низкого процента мужчин, использующих отпуск по уходу за ребенком, несмотря на наличие законодательства, предусматривающего право на отпуск для отца во всех сферах занятости.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3</w:t>
      </w:r>
      <w:r>
        <w:t>4</w:t>
      </w:r>
      <w:r w:rsidRPr="009B7AF1">
        <w:t>.</w:t>
      </w:r>
      <w:r w:rsidRPr="009B7AF1">
        <w:rPr>
          <w:b/>
        </w:rPr>
        <w:tab/>
        <w:t xml:space="preserve">Комитет рекомендует государству-участнику: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a)</w:t>
      </w:r>
      <w:r w:rsidRPr="009B7AF1">
        <w:rPr>
          <w:b/>
        </w:rPr>
        <w:tab/>
        <w:t>разработать и эффективно осуществлять стратегии и конкретные по срокам целевые задания для содействия расширению доступа женщин</w:t>
      </w:r>
      <w:r>
        <w:rPr>
          <w:b/>
        </w:rPr>
        <w:t>,</w:t>
      </w:r>
      <w:r w:rsidRPr="009B7AF1">
        <w:rPr>
          <w:b/>
        </w:rPr>
        <w:t xml:space="preserve"> особенно уругвайских женщин</w:t>
      </w:r>
      <w:r>
        <w:rPr>
          <w:b/>
        </w:rPr>
        <w:t xml:space="preserve"> африканского происхождения, </w:t>
      </w:r>
      <w:r w:rsidRPr="009B7AF1">
        <w:rPr>
          <w:b/>
        </w:rPr>
        <w:t xml:space="preserve">к различным видам формальной занятости;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b)</w:t>
      </w:r>
      <w:r w:rsidRPr="009B7AF1">
        <w:rPr>
          <w:b/>
        </w:rPr>
        <w:tab/>
        <w:t>применять принцип равной оплаты за труд равной ценности и создать систему отчетности о надлежащей практике, направленной на устранение гендерного разрыва в оплате труда и содействие расширению доступа женщин к руководящим должностям, в том числе посредством преференциального продвижения женщин и обучения женщин навыкам руководства во всех секторах экономики;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с)</w:t>
      </w:r>
      <w:r w:rsidR="006653CD">
        <w:rPr>
          <w:b/>
        </w:rPr>
        <w:tab/>
      </w:r>
      <w:r w:rsidRPr="009B7AF1">
        <w:rPr>
          <w:b/>
        </w:rPr>
        <w:t xml:space="preserve">повышать уровень информированности общественности о правах женщин, работающих в качестве домашней прислуги, обеспечивая национальный охват и доступность информации о механизмах рассмотрения жалоб;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d)</w:t>
      </w:r>
      <w:r w:rsidRPr="009B7AF1">
        <w:rPr>
          <w:b/>
        </w:rPr>
        <w:tab/>
        <w:t>разработать национальную кампанию для поощрения участия в системе социального обеспечения и периодических взносов в нее со стороны работодателей домашних работниц и работниц по уходу и повышения осведомленности женщин о социальном обеспечении;</w:t>
      </w:r>
    </w:p>
    <w:p w:rsidR="003E520A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e)</w:t>
      </w:r>
      <w:r w:rsidRPr="009B7AF1">
        <w:rPr>
          <w:b/>
        </w:rPr>
        <w:tab/>
        <w:t>проводить общественные кампании среди государственных и частных работодателей в целях информирования мужчин о том, как важно брать отпуск для отца и совместно выполнять обязанности по уходу.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>Здравоохранение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3</w:t>
      </w:r>
      <w:r>
        <w:t>5</w:t>
      </w:r>
      <w:r w:rsidRPr="009B7AF1">
        <w:t>.</w:t>
      </w:r>
      <w:r w:rsidRPr="009B7AF1">
        <w:tab/>
        <w:t>Комитет выражает признательность государству-участнику за существенное сокращение материнской смертности</w:t>
      </w:r>
      <w:r>
        <w:t xml:space="preserve"> и</w:t>
      </w:r>
      <w:r w:rsidRPr="009B7AF1">
        <w:t xml:space="preserve"> за расширение доступа женщин к услугам в области сексуального и репродуктивного здоровья</w:t>
      </w:r>
      <w:r>
        <w:t>,</w:t>
      </w:r>
      <w:r w:rsidRPr="009B7AF1">
        <w:t xml:space="preserve"> однако</w:t>
      </w:r>
      <w:r>
        <w:t xml:space="preserve"> он</w:t>
      </w:r>
      <w:r w:rsidRPr="009B7AF1">
        <w:t xml:space="preserve"> обеспокоен тем, что доступ к </w:t>
      </w:r>
      <w:r>
        <w:t xml:space="preserve">таким </w:t>
      </w:r>
      <w:r w:rsidRPr="009B7AF1">
        <w:t>услугам в сельских районах</w:t>
      </w:r>
      <w:r>
        <w:t xml:space="preserve"> </w:t>
      </w:r>
      <w:r w:rsidRPr="009B7AF1">
        <w:t>по-прежнему является ограниченным</w:t>
      </w:r>
      <w:r>
        <w:t>.</w:t>
      </w:r>
      <w:r w:rsidRPr="009B7AF1">
        <w:t xml:space="preserve">  Он также с беспокойством отмечает широкое использование отказа по моральным соображениям среди медицинских работников, что ограничивает доступ к безопасным абортам, которые гарантированы законом. Кроме того, Комитет выра</w:t>
      </w:r>
      <w:r>
        <w:t>жает</w:t>
      </w:r>
      <w:r w:rsidRPr="009B7AF1">
        <w:t xml:space="preserve"> свою обеспокоенность в связи с высоким уровнем случаев беременности в раннем возрасте, особенно среди уругвайских женщин </w:t>
      </w:r>
      <w:r>
        <w:t xml:space="preserve">африканского происхождения </w:t>
      </w:r>
      <w:r w:rsidRPr="009B7AF1">
        <w:t xml:space="preserve">и женщин, проживающих в сельских </w:t>
      </w:r>
      <w:r>
        <w:t xml:space="preserve">районах </w:t>
      </w:r>
      <w:r w:rsidRPr="009B7AF1">
        <w:t xml:space="preserve">и бедных городских районах.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3</w:t>
      </w:r>
      <w:r>
        <w:t>6</w:t>
      </w:r>
      <w:r w:rsidRPr="009B7AF1">
        <w:t>.</w:t>
      </w:r>
      <w:r w:rsidRPr="009B7AF1">
        <w:rPr>
          <w:b/>
        </w:rPr>
        <w:tab/>
        <w:t xml:space="preserve">Комитет рекомендует государству-участнику: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a)</w:t>
      </w:r>
      <w:r w:rsidRPr="009B7AF1">
        <w:rPr>
          <w:b/>
        </w:rPr>
        <w:tab/>
        <w:t>провести в масштабах всей страны оценку услуг в области полового и репродуктивного здоровья в целях выявления провинций и муниципалитетов, не получающих их в должном объеме, и в целях обеспечения надлежащего финансирования;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b)</w:t>
      </w:r>
      <w:r w:rsidRPr="009B7AF1">
        <w:rPr>
          <w:b/>
        </w:rPr>
        <w:tab/>
        <w:t>принять меры для обеспечения доступа женщин к легальным абортам и услугам после абортов и ввести более жесткие требования для обоснования отказа в целях предотвращения огульного использования медицинскими работниками своего права на отказ от проведения аборта;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с)</w:t>
      </w:r>
      <w:r>
        <w:rPr>
          <w:b/>
        </w:rPr>
        <w:tab/>
      </w:r>
      <w:r w:rsidRPr="009B7AF1">
        <w:rPr>
          <w:b/>
        </w:rPr>
        <w:t xml:space="preserve">ввести соответствующее возрасту просвещение по вопросам сексуального и репродуктивного здоровья и обеспечить недорогостоящий доступ к консультациям и информации в области сексуальных и репродуктивных прав для девочек и мальчиков подросткового возраста, проводить информационно-просветительские кампании, посвященные современным методам контрацепции, и расширить доступ к безопасным и недорогостоящим противозачаточным средствам.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>Сельские женщины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3</w:t>
      </w:r>
      <w:r>
        <w:t>7</w:t>
      </w:r>
      <w:r w:rsidRPr="009B7AF1">
        <w:t>.</w:t>
      </w:r>
      <w:r w:rsidRPr="009B7AF1">
        <w:tab/>
        <w:t xml:space="preserve">Комитет выражает признательность государству-участнику за проведение в 2011 году его первой сельскохозяйственной переписи с учетом гендерных аспектов. Он приветствует его программы по </w:t>
      </w:r>
      <w:r>
        <w:t>созданию для</w:t>
      </w:r>
      <w:r w:rsidRPr="009B7AF1">
        <w:t xml:space="preserve"> сельских женщин </w:t>
      </w:r>
      <w:r>
        <w:t xml:space="preserve">возможности </w:t>
      </w:r>
      <w:r w:rsidRPr="009B7AF1">
        <w:t xml:space="preserve">участвовать в предпринимательской деятельности, программы по обеспечению доступа к </w:t>
      </w:r>
      <w:r>
        <w:t>высоко</w:t>
      </w:r>
      <w:r w:rsidRPr="009B7AF1">
        <w:t xml:space="preserve">качественным услугам в области энергоснабжения и обучения сельских женщин в области использования простых технологий. Вместе с тем Комитет с обеспокоенностью отмечает: 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a)</w:t>
      </w:r>
      <w:r w:rsidRPr="009B7AF1">
        <w:tab/>
        <w:t>низкий уровень занятости среди женщин, проживающих в сельских районах</w:t>
      </w:r>
      <w:r w:rsidR="006653CD">
        <w:t xml:space="preserve"> </w:t>
      </w:r>
      <w:r>
        <w:t>(</w:t>
      </w:r>
      <w:r w:rsidRPr="009B7AF1">
        <w:t>лишь 37 процентов от всех работающих в сельской местности</w:t>
      </w:r>
      <w:r>
        <w:t>)</w:t>
      </w:r>
      <w:r w:rsidRPr="009B7AF1">
        <w:t>;</w:t>
      </w:r>
    </w:p>
    <w:p w:rsidR="003E520A" w:rsidRPr="009B7AF1" w:rsidRDefault="003E520A" w:rsidP="003E520A">
      <w:pPr>
        <w:pStyle w:val="SingleTxt"/>
      </w:pPr>
      <w:r>
        <w:tab/>
      </w:r>
      <w:r w:rsidRPr="009B7AF1">
        <w:t>b)</w:t>
      </w:r>
      <w:r w:rsidRPr="009B7AF1">
        <w:tab/>
        <w:t xml:space="preserve">ограниченный доступ сельских женщин к праву собственности на землю и землевладению (лишь 11,6 процента </w:t>
      </w:r>
      <w:r>
        <w:t xml:space="preserve">всех </w:t>
      </w:r>
      <w:r w:rsidRPr="009B7AF1">
        <w:t>женщин являются собственниками земли) и их недостаточное участие в процессах принятия решений, касающихся использования земли и средств производства;</w:t>
      </w:r>
    </w:p>
    <w:p w:rsidR="003E520A" w:rsidRPr="009B7AF1" w:rsidRDefault="003E520A" w:rsidP="003E520A">
      <w:pPr>
        <w:pStyle w:val="SingleTxt"/>
      </w:pPr>
      <w:r w:rsidRPr="009B7AF1">
        <w:tab/>
        <w:t>c)</w:t>
      </w:r>
      <w:r w:rsidRPr="009B7AF1">
        <w:tab/>
        <w:t xml:space="preserve">пробелы в области социальной защиты сельских женщин, </w:t>
      </w:r>
      <w:r>
        <w:t>особенно</w:t>
      </w:r>
      <w:r w:rsidRPr="009B7AF1">
        <w:t xml:space="preserve"> в таких областях, как образование, здравоохранение, жилищные условия и социальное обеспечение.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3</w:t>
      </w:r>
      <w:r>
        <w:t>8</w:t>
      </w:r>
      <w:r w:rsidRPr="009B7AF1">
        <w:t>.</w:t>
      </w:r>
      <w:r w:rsidRPr="009B7AF1">
        <w:rPr>
          <w:b/>
        </w:rPr>
        <w:tab/>
        <w:t>Комитет рекомендует государству-участнику: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a)</w:t>
      </w:r>
      <w:r w:rsidRPr="009B7AF1">
        <w:rPr>
          <w:b/>
        </w:rPr>
        <w:tab/>
        <w:t xml:space="preserve">продолжить </w:t>
      </w:r>
      <w:r>
        <w:rPr>
          <w:b/>
        </w:rPr>
        <w:t xml:space="preserve">его </w:t>
      </w:r>
      <w:r w:rsidRPr="009B7AF1">
        <w:rPr>
          <w:b/>
        </w:rPr>
        <w:t xml:space="preserve">усилия по содействию расширению возможностей получения дохода и поощрения предпринимательской деятельности сельских женщин; 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b)</w:t>
      </w:r>
      <w:r w:rsidRPr="009B7AF1">
        <w:rPr>
          <w:b/>
        </w:rPr>
        <w:tab/>
        <w:t>обеспечить доступ сельских женщин к земельным ресурсам на равной основе с мужчинами путем повышения осведомленности о важности доступа к земле как фактора развития;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c)</w:t>
      </w:r>
      <w:r w:rsidRPr="009B7AF1">
        <w:rPr>
          <w:b/>
        </w:rPr>
        <w:tab/>
        <w:t>обеспечить сельским женщинам возможность пользоваться равным доступом к базовым услугам и социальной защите.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9B7AF1">
        <w:tab/>
        <w:t>Находящиеся в неблагоприятном положении группы женщин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6677AC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i/>
        </w:rPr>
      </w:pPr>
      <w:r w:rsidRPr="009B7AF1">
        <w:tab/>
      </w:r>
      <w:r w:rsidRPr="009B7AF1">
        <w:tab/>
      </w:r>
      <w:r w:rsidRPr="006677AC">
        <w:rPr>
          <w:b w:val="0"/>
          <w:i/>
        </w:rPr>
        <w:t xml:space="preserve">Женщины из числа беженцев и лиц без гражданства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3</w:t>
      </w:r>
      <w:r>
        <w:t>9</w:t>
      </w:r>
      <w:r w:rsidRPr="009B7AF1">
        <w:t>.</w:t>
      </w:r>
      <w:r w:rsidRPr="009B7AF1">
        <w:tab/>
        <w:t>Комитет отмечает, что государство-участник приняло программы социальной интеграции и/или расселения беженцев и лиц без гражданства колумбийского и сирийского происхождения</w:t>
      </w:r>
      <w:r>
        <w:t>, однако</w:t>
      </w:r>
      <w:r w:rsidRPr="009B7AF1">
        <w:t xml:space="preserve"> он обеспокоен положением женщин из числа мигрантов и беженцев, которые подвергаются риску насилия и торговли людьми. </w:t>
      </w:r>
    </w:p>
    <w:p w:rsidR="003E520A" w:rsidRPr="009B7AF1" w:rsidRDefault="003E520A" w:rsidP="003E520A">
      <w:pPr>
        <w:pStyle w:val="SingleTxt"/>
        <w:rPr>
          <w:b/>
        </w:rPr>
      </w:pPr>
      <w:r>
        <w:t>40</w:t>
      </w:r>
      <w:r w:rsidRPr="009B7AF1">
        <w:t>.</w:t>
      </w:r>
      <w:r w:rsidRPr="009B7AF1">
        <w:rPr>
          <w:b/>
        </w:rPr>
        <w:tab/>
        <w:t xml:space="preserve">В соответствии со своей общей рекомендацией № 32 (2014) о гендерных аспектах статуса беженца, убежища, гражданства и безгражданства женщин Комитет рекомендует государству-участнику обеспечить защиту женщин из числа беженцев и лиц без гражданства от сексуального насилия и торговли людьми и надлежащее наказание виновных. Он рекомендует также государству-участнику принять протоколы, разработанные Управлением Верховного комиссара Организации Объединенных Наций по делам беженцев для осуществления процесса определения статуса беженца с учетом гендерных факторов, при полном уважении процессуальных прав женщин, нуждающихся в международной защите, включая проведение индивидуальных бесед подготовленным персоналом и переводчиками женского пола.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6677AC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i/>
        </w:rPr>
      </w:pPr>
      <w:r w:rsidRPr="009B7AF1">
        <w:tab/>
      </w:r>
      <w:r w:rsidRPr="009B7AF1">
        <w:tab/>
      </w:r>
      <w:r w:rsidRPr="006677AC">
        <w:rPr>
          <w:b w:val="0"/>
          <w:i/>
        </w:rPr>
        <w:t>Женщины-инвалиды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4</w:t>
      </w:r>
      <w:r>
        <w:t>1</w:t>
      </w:r>
      <w:r w:rsidRPr="009B7AF1">
        <w:t>.</w:t>
      </w:r>
      <w:r w:rsidRPr="009B7AF1">
        <w:tab/>
        <w:t xml:space="preserve">Комитет обеспокоен отсутствием дезагрегированной информации о положении женщин-инвалидов и девочек-инвалидов во всех областях, охватываемых Конвенцией, в частности в таких, как доступ к правосудию, насилие в отношении женщин, участие в политической и общественной жизни, образование, занятость, здравоохранение и расширение экономических прав и возможностей. </w:t>
      </w:r>
    </w:p>
    <w:p w:rsidR="003E520A" w:rsidRDefault="003E520A" w:rsidP="003E520A">
      <w:pPr>
        <w:pStyle w:val="SingleTxt"/>
        <w:rPr>
          <w:b/>
        </w:rPr>
      </w:pPr>
      <w:r w:rsidRPr="009B7AF1">
        <w:t>4</w:t>
      </w:r>
      <w:r>
        <w:t>2</w:t>
      </w:r>
      <w:r w:rsidRPr="009B7AF1">
        <w:t>.</w:t>
      </w:r>
      <w:r w:rsidRPr="009B7AF1">
        <w:rPr>
          <w:b/>
        </w:rPr>
        <w:tab/>
        <w:t>Комитет рекомендует государству-участнику разработать систему сбора данных и проводить оценку положения женщин-инвалидов во всех областях, охватываемых Конвенцией, в частности касающихся насилия в отношении женщин, образования, занятости и здравоохранения. Он также рекомендует государству-участнику привлекать организации женщин-инвалидов к работе Националь</w:t>
      </w:r>
      <w:r w:rsidR="006653CD">
        <w:rPr>
          <w:b/>
        </w:rPr>
        <w:t>ного института по делам женщин.</w:t>
      </w:r>
    </w:p>
    <w:p w:rsidR="006653CD" w:rsidRPr="006653CD" w:rsidRDefault="006653CD" w:rsidP="006653CD">
      <w:pPr>
        <w:pStyle w:val="SingleTxt"/>
        <w:spacing w:after="0" w:line="120" w:lineRule="atLeast"/>
        <w:rPr>
          <w:b/>
          <w:sz w:val="10"/>
        </w:rPr>
      </w:pPr>
    </w:p>
    <w:p w:rsidR="003E520A" w:rsidRPr="006677AC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i/>
        </w:rPr>
      </w:pPr>
      <w:r w:rsidRPr="009B7AF1">
        <w:tab/>
      </w:r>
      <w:r w:rsidRPr="009B7AF1">
        <w:tab/>
      </w:r>
      <w:r w:rsidRPr="006677AC">
        <w:rPr>
          <w:b w:val="0"/>
          <w:i/>
        </w:rPr>
        <w:t>Женщины-заключенные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4</w:t>
      </w:r>
      <w:r w:rsidR="006653CD">
        <w:t>3</w:t>
      </w:r>
      <w:r w:rsidRPr="009B7AF1">
        <w:t>.</w:t>
      </w:r>
      <w:r w:rsidRPr="009B7AF1">
        <w:tab/>
        <w:t xml:space="preserve">Комитет выражает обеспокоенность по поводу плохих условий содержания под стражей женщин вместе с их детьми и процесса переселения содержащихся под стражей матерей в </w:t>
      </w:r>
      <w:r>
        <w:t>«</w:t>
      </w:r>
      <w:r w:rsidRPr="009B7AF1">
        <w:t>Блок 5</w:t>
      </w:r>
      <w:r>
        <w:t>»</w:t>
      </w:r>
      <w:r w:rsidRPr="009B7AF1">
        <w:t xml:space="preserve"> </w:t>
      </w:r>
      <w:r>
        <w:t xml:space="preserve">Национального института реабилитации </w:t>
      </w:r>
      <w:r w:rsidRPr="009B7AF1">
        <w:t xml:space="preserve">в городе Монтевидео, в результате чего эта группа </w:t>
      </w:r>
      <w:r>
        <w:t xml:space="preserve">женщин </w:t>
      </w:r>
      <w:r w:rsidRPr="009B7AF1">
        <w:t xml:space="preserve">оказалась в неблагоприятных условиях. Кроме того, он обеспокоен сообщениями о содержании женщин под стражей в учреждениях, предназначенных для мужчин, где большинство пенитенциарных должностных лиц также являются мужчинами.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4</w:t>
      </w:r>
      <w:r w:rsidR="006653CD">
        <w:t>4</w:t>
      </w:r>
      <w:r w:rsidRPr="009B7AF1">
        <w:t>.</w:t>
      </w:r>
      <w:r w:rsidRPr="009B7AF1">
        <w:rPr>
          <w:b/>
        </w:rPr>
        <w:tab/>
        <w:t>Комитет</w:t>
      </w:r>
      <w:r>
        <w:rPr>
          <w:b/>
        </w:rPr>
        <w:t>,</w:t>
      </w:r>
      <w:r w:rsidRPr="009B7AF1">
        <w:rPr>
          <w:b/>
        </w:rPr>
        <w:t xml:space="preserve"> напомина</w:t>
      </w:r>
      <w:r>
        <w:rPr>
          <w:b/>
        </w:rPr>
        <w:t>я</w:t>
      </w:r>
      <w:r w:rsidRPr="009B7AF1">
        <w:rPr>
          <w:b/>
        </w:rPr>
        <w:t xml:space="preserve"> о Правилах Организации Объединенных Наций, касающихся обращения с женщинами-заключенными и мер наказания для женщин-правонарушителей, не связанных с лишением свободы (Бангкокские правила), рекомендует государству-участнику принять надлежащие меры в отношении детей женщин-заключенных, включая применение мер, альтернативных содержанию под стражей, с учетом наилучших интересов детей. Он также рекомендует государству-участнику усилить контроль за положением женщин-заключенных в целях предупреждения нарушений прав человека и обеспечить</w:t>
      </w:r>
      <w:r>
        <w:rPr>
          <w:b/>
        </w:rPr>
        <w:t xml:space="preserve"> им</w:t>
      </w:r>
      <w:r w:rsidRPr="009B7AF1">
        <w:rPr>
          <w:b/>
        </w:rPr>
        <w:t xml:space="preserve"> возможность пользоваться юридической консультацией и эффективными средствами правовой защиты.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Брак и семейные отношения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</w:pPr>
      <w:r w:rsidRPr="009B7AF1">
        <w:t>4</w:t>
      </w:r>
      <w:r>
        <w:t>5</w:t>
      </w:r>
      <w:r w:rsidRPr="009B7AF1">
        <w:t>.</w:t>
      </w:r>
      <w:r w:rsidRPr="009B7AF1">
        <w:tab/>
        <w:t xml:space="preserve">Комитет обеспокоен тем, что в государстве-участнике вступление в брак в возрасте 16 лет является законным. Он также отмечает недостаточную осведомленность о правах в случаях расторжения брака, особенно в том, что касается признания невознаграждаемого домашнего труда при распределении совместно нажитого в браке имущества, и об иных экономических последствиях брака в сравнении с фактическим союзом (сожительством).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t>4</w:t>
      </w:r>
      <w:r>
        <w:t>6</w:t>
      </w:r>
      <w:r w:rsidRPr="009B7AF1">
        <w:t>.</w:t>
      </w:r>
      <w:r w:rsidRPr="009B7AF1">
        <w:rPr>
          <w:b/>
        </w:rPr>
        <w:tab/>
        <w:t xml:space="preserve">Комитет рекомендует государству-участнику: </w:t>
      </w:r>
    </w:p>
    <w:p w:rsidR="003E520A" w:rsidRPr="009B7AF1" w:rsidRDefault="003E520A" w:rsidP="003E520A">
      <w:pPr>
        <w:pStyle w:val="SingleTxt"/>
        <w:rPr>
          <w:b/>
        </w:rPr>
      </w:pPr>
      <w:r w:rsidRPr="009B7AF1">
        <w:rPr>
          <w:b/>
        </w:rPr>
        <w:tab/>
        <w:t>a)</w:t>
      </w:r>
      <w:r w:rsidRPr="009B7AF1">
        <w:rPr>
          <w:b/>
        </w:rPr>
        <w:tab/>
        <w:t xml:space="preserve">изменить свое законодательство с целью строго запретить ранние браки и обеспечить, чтобы девочки и мальчики в возрасте до 18 лет не вступали в брак, </w:t>
      </w:r>
      <w:r>
        <w:rPr>
          <w:b/>
        </w:rPr>
        <w:t>за исключением</w:t>
      </w:r>
      <w:r w:rsidRPr="009B7AF1">
        <w:rPr>
          <w:b/>
        </w:rPr>
        <w:t xml:space="preserve"> четко определенных </w:t>
      </w:r>
      <w:r>
        <w:rPr>
          <w:b/>
        </w:rPr>
        <w:t>обстоятельств</w:t>
      </w:r>
      <w:r w:rsidRPr="009B7AF1">
        <w:rPr>
          <w:b/>
        </w:rPr>
        <w:t>, причем с разрешения суда и с согласия обоих супругов;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b)</w:t>
      </w:r>
      <w:r w:rsidRPr="009B7AF1">
        <w:rPr>
          <w:b/>
        </w:rPr>
        <w:tab/>
        <w:t>обеспечить, чтобы любая оценка родительских обязанностей девочек и мальчиков основывалась на принципе наилучшего обеспечения интересов ребенка и их права на то, чтобы их мнения принимались во внимание в полном объеме;</w:t>
      </w:r>
    </w:p>
    <w:p w:rsidR="003E520A" w:rsidRPr="009B7AF1" w:rsidRDefault="003E520A" w:rsidP="003E520A">
      <w:pPr>
        <w:pStyle w:val="SingleTxt"/>
        <w:rPr>
          <w:b/>
        </w:rPr>
      </w:pPr>
      <w:r>
        <w:rPr>
          <w:b/>
        </w:rPr>
        <w:tab/>
      </w:r>
      <w:r w:rsidRPr="009B7AF1">
        <w:rPr>
          <w:b/>
        </w:rPr>
        <w:t>с)</w:t>
      </w:r>
      <w:r w:rsidRPr="009B7AF1">
        <w:rPr>
          <w:b/>
        </w:rPr>
        <w:tab/>
        <w:t>обеспечить равное распределение совместно нажитого имущества между обоими партнерами в случае расторжения брака или фактического союза (сожительства) и принять все меры</w:t>
      </w:r>
      <w:r>
        <w:rPr>
          <w:b/>
        </w:rPr>
        <w:t>,</w:t>
      </w:r>
      <w:r w:rsidRPr="009B7AF1">
        <w:rPr>
          <w:b/>
        </w:rPr>
        <w:t xml:space="preserve"> необходимые для обеспечения информированности женщин, вступающих в брак или фактический союз (сожительство), о вытекающих из этого экономических последствиях в соответствии с общей рекомендацией № 29 (2013) Комитета, касающейся статьи 16 Конвенции (экономические последствия вступления в брак, семейных отношений и их расторжения), а также гарантировать надлежащий учет невознаграждаемого домашнего труда при распределении совместно нажитого имущества. </w:t>
      </w: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Пекинская декларация и Платформа действий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  <w:rPr>
          <w:b/>
        </w:rPr>
      </w:pPr>
      <w:r w:rsidRPr="009B7AF1">
        <w:t>4</w:t>
      </w:r>
      <w:r>
        <w:t>7</w:t>
      </w:r>
      <w:r w:rsidRPr="006653CD">
        <w:t>.</w:t>
      </w:r>
      <w:r w:rsidRPr="009B7AF1">
        <w:rPr>
          <w:b/>
        </w:rPr>
        <w:tab/>
        <w:t xml:space="preserve">Комитет призывает государство-участник использовать Пекинскую декларацию и Платформу действий в своих усилиях по осуществлению положений Конвенции.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>Повестка дня в области устойчивого развития на период до 2030 года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  <w:rPr>
          <w:b/>
        </w:rPr>
      </w:pPr>
      <w:r w:rsidRPr="009B7AF1">
        <w:t>4</w:t>
      </w:r>
      <w:r>
        <w:t>8</w:t>
      </w:r>
      <w:r w:rsidRPr="006653CD">
        <w:t>.</w:t>
      </w:r>
      <w:r w:rsidRPr="009B7AF1">
        <w:rPr>
          <w:b/>
        </w:rPr>
        <w:tab/>
        <w:t xml:space="preserve">Комитет призывает к реализации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>Распространение информации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  <w:rPr>
          <w:b/>
        </w:rPr>
      </w:pPr>
      <w:r w:rsidRPr="009B7AF1">
        <w:t>4</w:t>
      </w:r>
      <w:r>
        <w:t>9</w:t>
      </w:r>
      <w:r w:rsidRPr="006653CD">
        <w:t>.</w:t>
      </w:r>
      <w:r w:rsidRPr="009B7AF1">
        <w:rPr>
          <w:b/>
        </w:rPr>
        <w:tab/>
        <w:t xml:space="preserve"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в соответствующих государственных учреждениях всех уровней (национального, регионального, местного), в частности в правительстве, министерствах, парламенте и судебных органах, с тем чтобы обеспечить их осуществление в полном объеме.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Последующие меры по выполнению заключительных замечаний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  <w:rPr>
          <w:b/>
        </w:rPr>
      </w:pPr>
      <w:r>
        <w:t>50</w:t>
      </w:r>
      <w:r w:rsidRPr="009B7AF1">
        <w:t>.</w:t>
      </w:r>
      <w:r w:rsidRPr="009B7AF1">
        <w:tab/>
      </w:r>
      <w:r w:rsidRPr="009B7AF1">
        <w:rPr>
          <w:b/>
        </w:rPr>
        <w:t xml:space="preserve">Комитет просит государство-участник представить в течение двух лет письменную информацию о мерах, принятых для выполнения рекомендаций, содержащихся в пунктах </w:t>
      </w:r>
      <w:r>
        <w:rPr>
          <w:b/>
        </w:rPr>
        <w:t>20</w:t>
      </w:r>
      <w:r w:rsidRPr="009B7AF1">
        <w:rPr>
          <w:b/>
        </w:rPr>
        <w:t>(а) и (f) и 3</w:t>
      </w:r>
      <w:r>
        <w:rPr>
          <w:b/>
        </w:rPr>
        <w:t>2</w:t>
      </w:r>
      <w:r w:rsidRPr="009B7AF1">
        <w:rPr>
          <w:b/>
        </w:rPr>
        <w:t xml:space="preserve">(a) и (с) выше. </w:t>
      </w:r>
    </w:p>
    <w:p w:rsidR="003E520A" w:rsidRPr="009B7AF1" w:rsidRDefault="003E520A" w:rsidP="003E520A">
      <w:pPr>
        <w:pStyle w:val="SingleTxt"/>
        <w:spacing w:after="0" w:line="120" w:lineRule="exact"/>
        <w:rPr>
          <w:b/>
          <w:sz w:val="10"/>
        </w:rPr>
      </w:pPr>
    </w:p>
    <w:p w:rsidR="003E520A" w:rsidRPr="009B7AF1" w:rsidRDefault="003E520A" w:rsidP="003E52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7AF1">
        <w:tab/>
      </w:r>
      <w:r w:rsidRPr="009B7AF1">
        <w:tab/>
        <w:t xml:space="preserve">Подготовка следующего доклада </w:t>
      </w:r>
    </w:p>
    <w:p w:rsidR="003E520A" w:rsidRPr="009B7AF1" w:rsidRDefault="003E520A" w:rsidP="003E520A">
      <w:pPr>
        <w:pStyle w:val="SingleTxt"/>
        <w:spacing w:after="0" w:line="120" w:lineRule="exact"/>
        <w:rPr>
          <w:sz w:val="10"/>
        </w:rPr>
      </w:pPr>
    </w:p>
    <w:p w:rsidR="003E520A" w:rsidRPr="009B7AF1" w:rsidRDefault="003E520A" w:rsidP="003E520A">
      <w:pPr>
        <w:pStyle w:val="SingleTxt"/>
        <w:rPr>
          <w:b/>
        </w:rPr>
      </w:pPr>
      <w:r w:rsidRPr="009B7AF1">
        <w:t>5</w:t>
      </w:r>
      <w:r>
        <w:t>1</w:t>
      </w:r>
      <w:r w:rsidRPr="006653CD">
        <w:t>.</w:t>
      </w:r>
      <w:r w:rsidRPr="009B7AF1">
        <w:rPr>
          <w:b/>
        </w:rPr>
        <w:tab/>
        <w:t xml:space="preserve">Комитет предлагает государству-участнику представить его десятый периодический доклад в июле 2020 года. </w:t>
      </w:r>
    </w:p>
    <w:p w:rsidR="003E520A" w:rsidRDefault="003E520A" w:rsidP="003E520A">
      <w:pPr>
        <w:pStyle w:val="SingleTxt"/>
        <w:rPr>
          <w:b/>
        </w:rPr>
      </w:pPr>
      <w:r w:rsidRPr="009B7AF1">
        <w:t>5</w:t>
      </w:r>
      <w:r>
        <w:t>2</w:t>
      </w:r>
      <w:r w:rsidRPr="006653CD">
        <w:t>.</w:t>
      </w:r>
      <w:r w:rsidRPr="009B7AF1">
        <w:rPr>
          <w:b/>
        </w:rPr>
        <w:tab/>
        <w:t>Комитет просит государство-участник придерживаться согласованных руководящих принципов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конкретным договорам (HRI/GEN/2/Rev.6, глава I).</w:t>
      </w:r>
    </w:p>
    <w:p w:rsidR="003E520A" w:rsidRPr="003E520A" w:rsidRDefault="003E520A" w:rsidP="006653C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A6BD2" wp14:editId="1D17279D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3E520A" w:rsidRPr="003E520A" w:rsidSect="00CA5787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8-29T19:09:00Z" w:initials="Start">
    <w:p w:rsidR="00CA5787" w:rsidRPr="003E520A" w:rsidRDefault="00CA5787">
      <w:pPr>
        <w:pStyle w:val="CommentText"/>
        <w:rPr>
          <w:lang w:val="en-US"/>
        </w:rPr>
      </w:pPr>
      <w:r>
        <w:fldChar w:fldCharType="begin"/>
      </w:r>
      <w:r w:rsidRPr="003E520A">
        <w:rPr>
          <w:rStyle w:val="CommentReference"/>
          <w:lang w:val="en-US"/>
        </w:rPr>
        <w:instrText xml:space="preserve"> </w:instrText>
      </w:r>
      <w:r w:rsidRPr="003E520A">
        <w:rPr>
          <w:lang w:val="en-US"/>
        </w:rPr>
        <w:instrText>PAGE \# "'Page: '#'</w:instrText>
      </w:r>
      <w:r w:rsidRPr="003E520A">
        <w:rPr>
          <w:lang w:val="en-US"/>
        </w:rPr>
        <w:br/>
        <w:instrText>'"</w:instrText>
      </w:r>
      <w:r w:rsidRPr="003E520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E520A">
        <w:rPr>
          <w:lang w:val="en-US"/>
        </w:rPr>
        <w:t>&lt;&lt;ODS JOB NO&gt;&gt;N1623340R&lt;&lt;ODS JOB NO&gt;&gt;</w:t>
      </w:r>
    </w:p>
    <w:p w:rsidR="00CA5787" w:rsidRPr="003E520A" w:rsidRDefault="00CA5787">
      <w:pPr>
        <w:pStyle w:val="CommentText"/>
        <w:rPr>
          <w:lang w:val="en-US"/>
        </w:rPr>
      </w:pPr>
      <w:r w:rsidRPr="003E520A">
        <w:rPr>
          <w:lang w:val="en-US"/>
        </w:rPr>
        <w:t>&lt;&lt;ODS DOC SYMBOL1&gt;&gt;CEDAW/C/URY/CO/8-9&lt;&lt;ODS DOC SYMBOL1&gt;&gt;</w:t>
      </w:r>
    </w:p>
    <w:p w:rsidR="00CA5787" w:rsidRPr="003E520A" w:rsidRDefault="00CA5787">
      <w:pPr>
        <w:pStyle w:val="CommentText"/>
        <w:rPr>
          <w:lang w:val="en-US"/>
        </w:rPr>
      </w:pPr>
      <w:r w:rsidRPr="003E520A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EA" w:rsidRDefault="004719EA" w:rsidP="008A1A7A">
      <w:pPr>
        <w:spacing w:line="240" w:lineRule="auto"/>
      </w:pPr>
      <w:r>
        <w:separator/>
      </w:r>
    </w:p>
  </w:endnote>
  <w:endnote w:type="continuationSeparator" w:id="0">
    <w:p w:rsidR="004719EA" w:rsidRDefault="004719E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A5787" w:rsidTr="00CA5787">
      <w:tc>
        <w:tcPr>
          <w:tcW w:w="5028" w:type="dxa"/>
          <w:shd w:val="clear" w:color="auto" w:fill="auto"/>
          <w:vAlign w:val="bottom"/>
        </w:tcPr>
        <w:p w:rsidR="00CA5787" w:rsidRPr="00CA5787" w:rsidRDefault="00CA5787" w:rsidP="00CA578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B67C4">
            <w:rPr>
              <w:noProof/>
            </w:rPr>
            <w:t>2</w:t>
          </w:r>
          <w:r>
            <w:fldChar w:fldCharType="end"/>
          </w:r>
          <w:r>
            <w:t>/</w:t>
          </w:r>
          <w:r w:rsidR="008B67C4">
            <w:fldChar w:fldCharType="begin"/>
          </w:r>
          <w:r w:rsidR="008B67C4">
            <w:instrText xml:space="preserve"> NUMPAGES  \* Arabic  \* MERGEFORMAT </w:instrText>
          </w:r>
          <w:r w:rsidR="008B67C4">
            <w:fldChar w:fldCharType="separate"/>
          </w:r>
          <w:r w:rsidR="008B67C4">
            <w:rPr>
              <w:noProof/>
            </w:rPr>
            <w:t>2</w:t>
          </w:r>
          <w:r w:rsidR="008B67C4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A5787" w:rsidRPr="00CA5787" w:rsidRDefault="00CA5787" w:rsidP="00CA578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C655A">
            <w:rPr>
              <w:b w:val="0"/>
              <w:color w:val="000000"/>
              <w:sz w:val="14"/>
            </w:rPr>
            <w:t>16-12879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A5787" w:rsidRPr="00CA5787" w:rsidRDefault="00CA5787" w:rsidP="00CA5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A5787" w:rsidTr="00CA5787">
      <w:tc>
        <w:tcPr>
          <w:tcW w:w="5028" w:type="dxa"/>
          <w:shd w:val="clear" w:color="auto" w:fill="auto"/>
          <w:vAlign w:val="bottom"/>
        </w:tcPr>
        <w:p w:rsidR="00CA5787" w:rsidRPr="00CA5787" w:rsidRDefault="00CA5787" w:rsidP="00CA578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C655A">
            <w:rPr>
              <w:b w:val="0"/>
              <w:color w:val="000000"/>
              <w:sz w:val="14"/>
            </w:rPr>
            <w:t>16-12879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A5787" w:rsidRPr="00CA5787" w:rsidRDefault="00CA5787" w:rsidP="00CA578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26D52">
            <w:rPr>
              <w:noProof/>
            </w:rPr>
            <w:t>17</w:t>
          </w:r>
          <w:r>
            <w:fldChar w:fldCharType="end"/>
          </w:r>
          <w:r>
            <w:t>/</w:t>
          </w:r>
          <w:r w:rsidR="008B67C4">
            <w:fldChar w:fldCharType="begin"/>
          </w:r>
          <w:r w:rsidR="008B67C4">
            <w:instrText xml:space="preserve"> NUMPAGES  \* Arabic  \* MERGEFORMAT </w:instrText>
          </w:r>
          <w:r w:rsidR="008B67C4">
            <w:fldChar w:fldCharType="separate"/>
          </w:r>
          <w:r w:rsidR="00026D52">
            <w:rPr>
              <w:noProof/>
            </w:rPr>
            <w:t>17</w:t>
          </w:r>
          <w:r w:rsidR="008B67C4">
            <w:rPr>
              <w:noProof/>
            </w:rPr>
            <w:fldChar w:fldCharType="end"/>
          </w:r>
        </w:p>
      </w:tc>
    </w:tr>
  </w:tbl>
  <w:p w:rsidR="00CA5787" w:rsidRPr="00CA5787" w:rsidRDefault="00CA5787" w:rsidP="00CA5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CA5787" w:rsidTr="00CA5787">
      <w:tc>
        <w:tcPr>
          <w:tcW w:w="3830" w:type="dxa"/>
        </w:tcPr>
        <w:p w:rsidR="00CA5787" w:rsidRDefault="00CA5787" w:rsidP="00CA578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73CA186" wp14:editId="0C0D520C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URY/CO/8-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URY/CO/8-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16-12879 (R)</w:t>
          </w:r>
          <w:r>
            <w:rPr>
              <w:color w:val="010000"/>
            </w:rPr>
            <w:t xml:space="preserve">    290816    </w:t>
          </w:r>
          <w:r w:rsidR="006653CD">
            <w:rPr>
              <w:color w:val="010000"/>
            </w:rPr>
            <w:t>30</w:t>
          </w:r>
          <w:r>
            <w:rPr>
              <w:color w:val="010000"/>
            </w:rPr>
            <w:t>0816</w:t>
          </w:r>
        </w:p>
        <w:p w:rsidR="00CA5787" w:rsidRPr="00CA5787" w:rsidRDefault="00CA5787" w:rsidP="00CA578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*1612879*</w:t>
          </w:r>
        </w:p>
      </w:tc>
      <w:tc>
        <w:tcPr>
          <w:tcW w:w="5028" w:type="dxa"/>
        </w:tcPr>
        <w:p w:rsidR="00CA5787" w:rsidRDefault="00CA5787" w:rsidP="00CA578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6114AF5" wp14:editId="1075867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5787" w:rsidRPr="00CA5787" w:rsidRDefault="00CA5787" w:rsidP="00CA578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EA" w:rsidRPr="00A23337" w:rsidRDefault="00A23337" w:rsidP="00A23337">
      <w:pPr>
        <w:pStyle w:val="Footer"/>
        <w:spacing w:after="80"/>
        <w:ind w:left="792"/>
        <w:rPr>
          <w:sz w:val="16"/>
        </w:rPr>
      </w:pPr>
      <w:r w:rsidRPr="00A23337">
        <w:rPr>
          <w:sz w:val="16"/>
        </w:rPr>
        <w:t>__________________</w:t>
      </w:r>
    </w:p>
  </w:footnote>
  <w:footnote w:type="continuationSeparator" w:id="0">
    <w:p w:rsidR="004719EA" w:rsidRPr="00A23337" w:rsidRDefault="00A23337" w:rsidP="00A23337">
      <w:pPr>
        <w:pStyle w:val="Footer"/>
        <w:spacing w:after="80"/>
        <w:ind w:left="792"/>
        <w:rPr>
          <w:sz w:val="16"/>
        </w:rPr>
      </w:pPr>
      <w:r w:rsidRPr="00A23337">
        <w:rPr>
          <w:sz w:val="16"/>
        </w:rPr>
        <w:t>__________________</w:t>
      </w:r>
    </w:p>
  </w:footnote>
  <w:footnote w:id="1">
    <w:p w:rsidR="003E520A" w:rsidRDefault="003E520A" w:rsidP="00A2333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4050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Pr="009B7AF1">
        <w:t>Приняты Комитетом на его шестьдесят четвертой сессии (4</w:t>
      </w:r>
      <w:r>
        <w:t>–</w:t>
      </w:r>
      <w:r w:rsidRPr="009B7AF1">
        <w:t>22 июля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A5787" w:rsidTr="00CA578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A5787" w:rsidRPr="00CA5787" w:rsidRDefault="00CA5787" w:rsidP="00CA578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C655A">
            <w:rPr>
              <w:b/>
            </w:rPr>
            <w:t>CEDAW/C/URY/CO/8-9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A5787" w:rsidRDefault="00CA5787" w:rsidP="00CA5787">
          <w:pPr>
            <w:pStyle w:val="Header"/>
          </w:pPr>
        </w:p>
      </w:tc>
    </w:tr>
  </w:tbl>
  <w:p w:rsidR="00CA5787" w:rsidRPr="00CA5787" w:rsidRDefault="00CA5787" w:rsidP="00CA5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A5787" w:rsidTr="00CA578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A5787" w:rsidRDefault="00CA5787" w:rsidP="00CA5787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CA5787" w:rsidRPr="00CA5787" w:rsidRDefault="00CA5787" w:rsidP="00CA578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C655A">
            <w:rPr>
              <w:b/>
            </w:rPr>
            <w:t>CEDAW/C/URY/CO/8-9</w:t>
          </w:r>
          <w:r>
            <w:rPr>
              <w:b/>
            </w:rPr>
            <w:fldChar w:fldCharType="end"/>
          </w:r>
        </w:p>
      </w:tc>
    </w:tr>
  </w:tbl>
  <w:p w:rsidR="00CA5787" w:rsidRPr="00CA5787" w:rsidRDefault="00CA5787" w:rsidP="00CA5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CA5787" w:rsidTr="00CA5787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A5787" w:rsidRPr="00CA5787" w:rsidRDefault="00CA5787" w:rsidP="00CA578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A5787" w:rsidRDefault="00CA5787" w:rsidP="00CA5787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A5787" w:rsidRPr="00CA5787" w:rsidRDefault="00CA5787" w:rsidP="00CA578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/C/URY/CO/8-9</w:t>
          </w:r>
        </w:p>
      </w:tc>
    </w:tr>
    <w:tr w:rsidR="00CA5787" w:rsidRPr="006653CD" w:rsidTr="00CA578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A5787" w:rsidRPr="00CA5787" w:rsidRDefault="00CA5787" w:rsidP="00CA578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7C2028E" wp14:editId="78E8D4E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A5787" w:rsidRPr="00CA5787" w:rsidRDefault="00CA5787" w:rsidP="00CA578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A5787" w:rsidRPr="00CA5787" w:rsidRDefault="00CA5787" w:rsidP="00CA5787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A5787" w:rsidRPr="003E520A" w:rsidRDefault="00CA5787" w:rsidP="00CA5787">
          <w:pPr>
            <w:pStyle w:val="Distribution"/>
            <w:rPr>
              <w:color w:val="000000"/>
              <w:lang w:val="en-US"/>
            </w:rPr>
          </w:pPr>
          <w:r w:rsidRPr="003E520A">
            <w:rPr>
              <w:color w:val="000000"/>
              <w:lang w:val="en-US"/>
            </w:rPr>
            <w:t>Distr.: General</w:t>
          </w:r>
        </w:p>
        <w:p w:rsidR="00CA5787" w:rsidRPr="003E520A" w:rsidRDefault="00CA5787" w:rsidP="00CA5787">
          <w:pPr>
            <w:pStyle w:val="Publication"/>
            <w:spacing w:before="120"/>
            <w:rPr>
              <w:color w:val="000000"/>
              <w:lang w:val="en-US"/>
            </w:rPr>
          </w:pPr>
          <w:r w:rsidRPr="003E520A">
            <w:rPr>
              <w:color w:val="000000"/>
              <w:lang w:val="en-US"/>
            </w:rPr>
            <w:t>25 July 2016</w:t>
          </w:r>
        </w:p>
        <w:p w:rsidR="00CA5787" w:rsidRPr="003E520A" w:rsidRDefault="00CA5787" w:rsidP="00CA5787">
          <w:pPr>
            <w:rPr>
              <w:color w:val="000000"/>
              <w:lang w:val="en-US"/>
            </w:rPr>
          </w:pPr>
          <w:r w:rsidRPr="003E520A">
            <w:rPr>
              <w:color w:val="000000"/>
              <w:lang w:val="en-US"/>
            </w:rPr>
            <w:t>Russian</w:t>
          </w:r>
        </w:p>
        <w:p w:rsidR="00CA5787" w:rsidRPr="003E520A" w:rsidRDefault="00CA5787" w:rsidP="00CA5787">
          <w:pPr>
            <w:pStyle w:val="Original"/>
            <w:rPr>
              <w:color w:val="000000"/>
              <w:lang w:val="en-US"/>
            </w:rPr>
          </w:pPr>
          <w:r w:rsidRPr="003E520A">
            <w:rPr>
              <w:color w:val="000000"/>
              <w:lang w:val="en-US"/>
            </w:rPr>
            <w:t>Original: English</w:t>
          </w:r>
        </w:p>
        <w:p w:rsidR="00CA5787" w:rsidRPr="003E520A" w:rsidRDefault="00CA5787" w:rsidP="00CA5787">
          <w:pPr>
            <w:rPr>
              <w:lang w:val="en-US"/>
            </w:rPr>
          </w:pPr>
        </w:p>
      </w:tc>
    </w:tr>
  </w:tbl>
  <w:p w:rsidR="00CA5787" w:rsidRPr="003E520A" w:rsidRDefault="00CA5787" w:rsidP="00CA578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12879*"/>
    <w:docVar w:name="CreationDt" w:val="29/08/2016 7:09: PM"/>
    <w:docVar w:name="DocCategory" w:val="Doc"/>
    <w:docVar w:name="DocType" w:val="Final"/>
    <w:docVar w:name="DutyStation" w:val="New York"/>
    <w:docVar w:name="FooterJN" w:val="16-12879"/>
    <w:docVar w:name="jobn" w:val="16-12879 (R)"/>
    <w:docVar w:name="jobnDT" w:val="16-12879 (R)   290816"/>
    <w:docVar w:name="jobnDTDT" w:val="16-12879 (R)   290816   290816"/>
    <w:docVar w:name="JobNo" w:val="1612879R"/>
    <w:docVar w:name="JobNo2" w:val="1623340R"/>
    <w:docVar w:name="LocalDrive" w:val="0"/>
    <w:docVar w:name="OandT" w:val=" "/>
    <w:docVar w:name="PaperSize" w:val="Letter"/>
    <w:docVar w:name="sss1" w:val="CEDAW/C/URY/CO/8-9"/>
    <w:docVar w:name="sss2" w:val="-"/>
    <w:docVar w:name="Symbol1" w:val="CEDAW/C/URY/CO/8-9"/>
    <w:docVar w:name="Symbol2" w:val="-"/>
  </w:docVars>
  <w:rsids>
    <w:rsidRoot w:val="004719EA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26D52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3F2B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1C02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E520A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19E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653CD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60E4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2BBD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B7682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7C4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3337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2C8D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655A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3E31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5787"/>
    <w:rsid w:val="00CB519E"/>
    <w:rsid w:val="00CC2E58"/>
    <w:rsid w:val="00CC3D89"/>
    <w:rsid w:val="00CC5B37"/>
    <w:rsid w:val="00CD2ED3"/>
    <w:rsid w:val="00CD2F27"/>
    <w:rsid w:val="00CD3C62"/>
    <w:rsid w:val="00CD7D86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7802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2E9B"/>
    <w:rsid w:val="00DC31D2"/>
    <w:rsid w:val="00DC7A5F"/>
    <w:rsid w:val="00DD0504"/>
    <w:rsid w:val="00DD0CE6"/>
    <w:rsid w:val="00DD55E3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8138E"/>
    <w:rsid w:val="00F85203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29BF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CA5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7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78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78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3E520A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520A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0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CA5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7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78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78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3E520A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520A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0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ru/CEDAW/C/URY/Q/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ink/ink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ru/CEDAW/C/SR.1417" TargetMode="External"/><Relationship Id="rId25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://undocs.org/ru/CEDAW/C/URY/8" TargetMode="External"/><Relationship Id="rId20" Type="http://schemas.openxmlformats.org/officeDocument/2006/relationships/hyperlink" Target="http://undocs.org/ru/CEDAW/C/URY/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hyperlink" Target="http://undocs.org/ru/CEDAW/C/URY/CO/7" TargetMode="External"/><Relationship Id="rId10" Type="http://schemas.openxmlformats.org/officeDocument/2006/relationships/header" Target="header2.xml"/><Relationship Id="rId19" Type="http://schemas.openxmlformats.org/officeDocument/2006/relationships/hyperlink" Target="http://undocs.org/ru/CEDAW/C/URY/Q/8-9/Add.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emf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02T21:47:06.958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7336 5642 3456,'-24'-2'2048,"24"-4"-1536,0 6 0,0 0-512,0 0 128,6-6-128,-2-2 0,3 2-128,0 0 0,1 0-2304,-1-1 0,0 7 1792,-1 4 128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02T21:47:06.95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5841 4847 2816,'0'-5'1664,"4"-7"-1280,-4 12 128,0 0-384,0-2 0,2 2-1024,0 0 128,2 0-1152,1-3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DFAF-B971-4A6B-8E84-E1475F9A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41964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Irina.Sergueenko</dc:creator>
  <cp:lastModifiedBy>Front Desk</cp:lastModifiedBy>
  <cp:revision>10</cp:revision>
  <cp:lastPrinted>2016-08-30T14:01:00Z</cp:lastPrinted>
  <dcterms:created xsi:type="dcterms:W3CDTF">2016-08-30T14:01:00Z</dcterms:created>
  <dcterms:modified xsi:type="dcterms:W3CDTF">2016-08-30T14:17:00Z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1612879R</vt:lpwstr>
  </property>
  <property fmtid="{D5CDD505-2E9C-101B-9397-08002B2CF9AE}" pid="3" name="ODSRefJobNo">
    <vt:lpwstr>1623340R</vt:lpwstr>
  </property>
  <property fmtid="{D5CDD505-2E9C-101B-9397-08002B2CF9AE}" pid="4" name="Symbol1">
    <vt:lpwstr>CEDAW/C/URY/CO/8-9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25 July 2016</vt:lpwstr>
  </property>
  <property fmtid="{D5CDD505-2E9C-101B-9397-08002B2CF9AE}" pid="9" name="Original">
    <vt:lpwstr>English</vt:lpwstr>
  </property>
  <property fmtid="{D5CDD505-2E9C-101B-9397-08002B2CF9AE}" pid="10" name="Release Date">
    <vt:lpwstr>290816</vt:lpwstr>
  </property>
  <property fmtid="{D5CDD505-2E9C-101B-9397-08002B2CF9AE}" pid="11" name="Comment">
    <vt:lpwstr/>
  </property>
  <property fmtid="{D5CDD505-2E9C-101B-9397-08002B2CF9AE}" pid="12" name="DraftPages">
    <vt:lpwstr> 17</vt:lpwstr>
  </property>
  <property fmtid="{D5CDD505-2E9C-101B-9397-08002B2CF9AE}" pid="13" name="Operator">
    <vt:lpwstr>ch</vt:lpwstr>
  </property>
</Properties>
</file>