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spacing w:line="60" w:lineRule="exact"/>
        <w:rPr>
          <w:sz w:val="6"/>
        </w:rPr>
        <w:sectPr w:rsidR="000000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20"/>
          <w:noEndnote/>
          <w:titlePg/>
        </w:sectPr>
      </w:pPr>
      <w:r>
        <w:rPr>
          <w:rStyle w:val="CommentReference"/>
          <w:vanish/>
        </w:rPr>
        <w:commentReference w:id="0"/>
      </w:r>
    </w:p>
    <w:p w:rsidR="00000000" w:rsidRDefault="00000000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 xml:space="preserve">Комитет по ликвидации дискриминации </w:t>
      </w:r>
      <w:r>
        <w:br/>
        <w:t>в отношении женщин</w:t>
      </w:r>
    </w:p>
    <w:p w:rsidR="00000000" w:rsidRDefault="00000000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Предсессионная рабочая группа</w:t>
      </w:r>
    </w:p>
    <w:p w:rsidR="00000000" w:rsidRDefault="00000000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Тридцать шестая сессия</w:t>
      </w:r>
    </w:p>
    <w:p w:rsidR="00000000" w:rsidRDefault="00000000">
      <w:r>
        <w:t>7–25 августа 2006 года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Перечень тем и вопросов, относящихся к рассмотрению периодических докладов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Узбекистан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ab/>
        <w:t>Предсессионная рабочая группа рассмотрела объединенный второй и тр</w:t>
      </w:r>
      <w:r>
        <w:t>е</w:t>
      </w:r>
      <w:r>
        <w:t>тий периодический доклад Узбекистана (CEDAW/C/UZB/2–3).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Конституция, законодательство и национальный механизм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1.</w:t>
      </w:r>
      <w:r>
        <w:tab/>
        <w:t>Хотя в преамбуле Конституции признается приоритетное значение общ</w:t>
      </w:r>
      <w:r>
        <w:t>е</w:t>
      </w:r>
      <w:r>
        <w:t>признанного международного права, статус Конвенции в Узбекистане четко не определен. Является ли Конвенция частью национального законодательства и пр</w:t>
      </w:r>
      <w:r>
        <w:t>и</w:t>
      </w:r>
      <w:r>
        <w:t>меняется ли она непосредственно в Узбекистане?</w:t>
      </w:r>
    </w:p>
    <w:p w:rsidR="00000000" w:rsidRDefault="00000000">
      <w:pPr>
        <w:pStyle w:val="SingleTxt"/>
      </w:pPr>
      <w:r>
        <w:t>2.</w:t>
      </w:r>
      <w:r>
        <w:tab/>
        <w:t>В докладе отмечается, что статья 18 Конституции запрещает любые фо</w:t>
      </w:r>
      <w:r>
        <w:t>р</w:t>
      </w:r>
      <w:r>
        <w:t>мы дискриминации по половым, национальным, религиозным и другим пр</w:t>
      </w:r>
      <w:r>
        <w:t>и</w:t>
      </w:r>
      <w:r>
        <w:t>знакам, а статья 46 гарантирует женщинам и мужчинам равные права (стр. 8). Однако в докладе не представлена четко сформулированная информация о применяемых законах и имеющихся у женщин средствах правовой защиты в связи с возможными нарушениями этой гарантии. Просьба представить и</w:t>
      </w:r>
      <w:r>
        <w:t>н</w:t>
      </w:r>
      <w:r>
        <w:t>формацию о том, рассматривались ли в каких-либо судах дела женщин, стол</w:t>
      </w:r>
      <w:r>
        <w:t>к</w:t>
      </w:r>
      <w:r>
        <w:t>нувшихся с проявлениями дискриминации, и о том, какие средства админис</w:t>
      </w:r>
      <w:r>
        <w:t>т</w:t>
      </w:r>
      <w:r>
        <w:t>ративной или правовой защиты имеются у женщин, ставших жертвами ди</w:t>
      </w:r>
      <w:r>
        <w:t>с</w:t>
      </w:r>
      <w:r>
        <w:t>криминации.</w:t>
      </w:r>
    </w:p>
    <w:p w:rsidR="00000000" w:rsidRDefault="00000000">
      <w:pPr>
        <w:pStyle w:val="SingleTxt"/>
      </w:pPr>
      <w:r>
        <w:t>3.</w:t>
      </w:r>
      <w:r>
        <w:tab/>
        <w:t>В докладе отмечается, что правительством подготовлен инициативный проект закона о гарантиях равных прав и равных возможностей среди женщин и мужчин и что он представлен в Парламент (стр. 8). Просьба предоставить информацию о состоянии этого закона, его основных положениях и механи</w:t>
      </w:r>
      <w:r>
        <w:t>з</w:t>
      </w:r>
      <w:r>
        <w:t>мах его и</w:t>
      </w:r>
      <w:r>
        <w:t>с</w:t>
      </w:r>
      <w:r>
        <w:t>полнения.</w:t>
      </w:r>
    </w:p>
    <w:p w:rsidR="00000000" w:rsidRDefault="00000000">
      <w:pPr>
        <w:pStyle w:val="SingleTxt"/>
      </w:pPr>
      <w:r>
        <w:t>4.</w:t>
      </w:r>
      <w:r>
        <w:tab/>
        <w:t>В докладе отмечается, что Институтом мониторинга действующего зак</w:t>
      </w:r>
      <w:r>
        <w:t>о</w:t>
      </w:r>
      <w:r>
        <w:t>нодательства при Олий Мажлисе в 1998 году была проведена гендерная эк</w:t>
      </w:r>
      <w:r>
        <w:t>с</w:t>
      </w:r>
      <w:r>
        <w:t>пертиза действующего законодательства (стр. 9). Просьба изложить результаты этого анализа, а также рекомендации и действия, предпринятые на основе эт</w:t>
      </w:r>
      <w:r>
        <w:t>о</w:t>
      </w:r>
      <w:r>
        <w:t>го анализа.</w:t>
      </w:r>
    </w:p>
    <w:p w:rsidR="00000000" w:rsidRDefault="00000000">
      <w:pPr>
        <w:pStyle w:val="SingleTxt"/>
      </w:pPr>
      <w:r>
        <w:t>5.</w:t>
      </w:r>
      <w:r>
        <w:tab/>
        <w:t>В докладе упоминается Национальный план действий, который нацелен на то, чтобы добиться «качественного перелома в улучшении положения же</w:t>
      </w:r>
      <w:r>
        <w:t>н</w:t>
      </w:r>
      <w:r>
        <w:t>щин в 2005 году» (стр. 9). Просьба представить подробную информацию об этом Плане, целевых сроках осуществления всех мер, а также о механизме м</w:t>
      </w:r>
      <w:r>
        <w:t>о</w:t>
      </w:r>
      <w:r>
        <w:t>н</w:t>
      </w:r>
      <w:r>
        <w:t>и</w:t>
      </w:r>
      <w:r>
        <w:t>торинга и оценки хода осуществления Плана.</w:t>
      </w:r>
    </w:p>
    <w:p w:rsidR="00000000" w:rsidRDefault="00000000">
      <w:pPr>
        <w:pStyle w:val="SingleTxt"/>
      </w:pPr>
      <w:r>
        <w:t>6.</w:t>
      </w:r>
      <w:r>
        <w:tab/>
        <w:t>В своих предыдущих заключительных замечаниях в 2001 году Комитет рекомендовал государству-участнику реорганизовать существующий наци</w:t>
      </w:r>
      <w:r>
        <w:t>о</w:t>
      </w:r>
      <w:r>
        <w:t>нальный механизм по защите интересов женщин в целях повышения его зн</w:t>
      </w:r>
      <w:r>
        <w:t>а</w:t>
      </w:r>
      <w:r>
        <w:t>чимости и потенциала и обеспечить его необходимыми людскими и финанс</w:t>
      </w:r>
      <w:r>
        <w:t>о</w:t>
      </w:r>
      <w:r>
        <w:t>выми ресурсами, с тем чтобы он мог эффективным образом выполнять свой мандат</w:t>
      </w:r>
      <w:r>
        <w:rPr>
          <w:rStyle w:val="FootnoteReference"/>
        </w:rPr>
        <w:footnoteReference w:id="2"/>
      </w:r>
      <w:r>
        <w:t>. В докладе отмечается, что в 2004 году было принято Постановление о дополнительных мерах по поддержке деятельности Комитета женщин Узбек</w:t>
      </w:r>
      <w:r>
        <w:t>и</w:t>
      </w:r>
      <w:r>
        <w:t>стана, согласно которому был создан постоянно действующий комитет в инт</w:t>
      </w:r>
      <w:r>
        <w:t>е</w:t>
      </w:r>
      <w:r>
        <w:t>ресах оценки состояния дел по защите прав женщин, разработке мер по обе</w:t>
      </w:r>
      <w:r>
        <w:t>с</w:t>
      </w:r>
      <w:r>
        <w:t>печению занятости женщин, обеспечению выполнения нормативно-правовых актов в целях защиты прав и интересов женщин и реализации мероприятий, направленных на повышение социальной и политической активности женщин (стр. 7). Просьба представить подробную информацию о результатах оценки, предпринятой этим постоянно действующим комитетом, о любых рекоменд</w:t>
      </w:r>
      <w:r>
        <w:t>а</w:t>
      </w:r>
      <w:r>
        <w:t>циях, сформулированных им, и о мерах, принятых государством-участником по результатам оценки и рекомендаций Комитета женщин, а также информацию о других мерах, принятых в целях укрепления национального м</w:t>
      </w:r>
      <w:r>
        <w:t>е</w:t>
      </w:r>
      <w:r>
        <w:t>ханизма.</w:t>
      </w:r>
    </w:p>
    <w:p w:rsidR="00000000" w:rsidRDefault="00000000">
      <w:pPr>
        <w:pStyle w:val="SingleTxt"/>
      </w:pPr>
      <w:r>
        <w:t>7.</w:t>
      </w:r>
      <w:r>
        <w:tab/>
        <w:t>Просьба разъяснить задачи и функции Национального центра Узбекист</w:t>
      </w:r>
      <w:r>
        <w:t>а</w:t>
      </w:r>
      <w:r>
        <w:t>на по правам человека, Комитета женщин и вышеупомянутого постоянно де</w:t>
      </w:r>
      <w:r>
        <w:t>й</w:t>
      </w:r>
      <w:r>
        <w:t>ствующего комитета, а также связи между ними.</w:t>
      </w:r>
    </w:p>
    <w:p w:rsidR="00000000" w:rsidRDefault="00000000">
      <w:pPr>
        <w:pStyle w:val="SingleTxt"/>
      </w:pPr>
      <w:r>
        <w:t>8.</w:t>
      </w:r>
      <w:r>
        <w:tab/>
        <w:t>В докладе отмечаются проблемы, связанные с работой и функциониров</w:t>
      </w:r>
      <w:r>
        <w:t>а</w:t>
      </w:r>
      <w:r>
        <w:t>нием «женских комитетов», поскольку они воспринимаются как государстве</w:t>
      </w:r>
      <w:r>
        <w:t>н</w:t>
      </w:r>
      <w:r>
        <w:t>ные структуры, а не как представители женщин; они не имеют должных связей со средствами массовой информации; они не являются отчетными перед общ</w:t>
      </w:r>
      <w:r>
        <w:t>е</w:t>
      </w:r>
      <w:r>
        <w:t>ством и местными организациями женщин; женщины в сельской местности о</w:t>
      </w:r>
      <w:r>
        <w:t>с</w:t>
      </w:r>
      <w:r>
        <w:t>таются вне поля зрения таких комитетов; и что в их работе имеется «неиспол</w:t>
      </w:r>
      <w:r>
        <w:t>ь</w:t>
      </w:r>
      <w:r>
        <w:t>зованный потенциал» (стр. 5–6). Просьба представить конкретную информ</w:t>
      </w:r>
      <w:r>
        <w:t>а</w:t>
      </w:r>
      <w:r>
        <w:t>цию о составе, функционировании и целях женских комитетов и указать меры, предпринимаемые с целью преодоления перечисленных в докладе проблем.</w:t>
      </w:r>
    </w:p>
    <w:p w:rsidR="00000000" w:rsidRDefault="00000000">
      <w:pPr>
        <w:pStyle w:val="SingleTxt"/>
      </w:pPr>
      <w:r>
        <w:t>9.</w:t>
      </w:r>
      <w:r>
        <w:tab/>
        <w:t>В докладе признается, что при подготовке доклада использовались «да</w:t>
      </w:r>
      <w:r>
        <w:t>н</w:t>
      </w:r>
      <w:r>
        <w:t>ные ряда неправительственных организаций (НПО)» (стр. 8), а также то, что в Узбекистане имело место «бурное развитие» неправительственных организ</w:t>
      </w:r>
      <w:r>
        <w:t>а</w:t>
      </w:r>
      <w:r>
        <w:t>ций (НПО) (стр. 16). Просьба представить информацию о связях между наци</w:t>
      </w:r>
      <w:r>
        <w:t>о</w:t>
      </w:r>
      <w:r>
        <w:t>нальным механизмом защиты интересов женщин и женскими НПО и другими группами гражданского общества, в том числе о том, имеются ли какие-либо формальные механизмы участия НПО.</w:t>
      </w:r>
    </w:p>
    <w:p w:rsidR="00000000" w:rsidRDefault="00000000">
      <w:pPr>
        <w:pStyle w:val="SingleTxt"/>
      </w:pPr>
      <w:r>
        <w:t>10.</w:t>
      </w:r>
      <w:r>
        <w:tab/>
        <w:t>В докладе отмечается, что Государственный комитет по статистике разр</w:t>
      </w:r>
      <w:r>
        <w:t>а</w:t>
      </w:r>
      <w:r>
        <w:t>ботал 176 гендерных показателей, отражающих различные аспекты гендерного развития и гендерной сбалансированности, и что он опубликовал ряд статист</w:t>
      </w:r>
      <w:r>
        <w:t>и</w:t>
      </w:r>
      <w:r>
        <w:t>ческих исследований о положении женщин и мужчин в Узбекистане (стр. 11–</w:t>
      </w:r>
      <w:r>
        <w:rPr>
          <w:lang w:val="en-US"/>
        </w:rPr>
        <w:br/>
      </w:r>
      <w:r>
        <w:t>12). Однако в доклад включена лишь ограниченная статистическая информ</w:t>
      </w:r>
      <w:r>
        <w:t>а</w:t>
      </w:r>
      <w:r>
        <w:t>ция (приложения 1–</w:t>
      </w:r>
      <w:r>
        <w:rPr>
          <w:lang w:val="en-US"/>
        </w:rPr>
        <w:t>5</w:t>
      </w:r>
      <w:r>
        <w:t>), и в нем не обсуждаются результаты статистических и</w:t>
      </w:r>
      <w:r>
        <w:t>с</w:t>
      </w:r>
      <w:r>
        <w:t>следований положения женщин и ход осуществления Конвенции в Узбекист</w:t>
      </w:r>
      <w:r>
        <w:t>а</w:t>
      </w:r>
      <w:r>
        <w:t>не. Просьба представить информацию о результатах изучения положения же</w:t>
      </w:r>
      <w:r>
        <w:t>н</w:t>
      </w:r>
      <w:r>
        <w:t>щин на основе использования гендерных показателей и результатах проведе</w:t>
      </w:r>
      <w:r>
        <w:t>н</w:t>
      </w:r>
      <w:r>
        <w:t>ных статистических исследований. Разъясните также, каким образом эта и</w:t>
      </w:r>
      <w:r>
        <w:t>н</w:t>
      </w:r>
      <w:r>
        <w:t>формация используется в целях дополнения, контроля и оценки стратегий и программ, связанных с женщинами.</w:t>
      </w:r>
    </w:p>
    <w:p w:rsidR="00000000" w:rsidRDefault="00000000">
      <w:pPr>
        <w:pStyle w:val="SingleTxt"/>
      </w:pPr>
      <w:r>
        <w:t>11.</w:t>
      </w:r>
      <w:r>
        <w:tab/>
        <w:t>В докладе отмечается, что Уполномоченный по правам человека (Омбу</w:t>
      </w:r>
      <w:r>
        <w:t>д</w:t>
      </w:r>
      <w:r>
        <w:t>смен), который обладает правом «законодательной инициативы» и полномочия которого были расширены в 2004 году, также сотрудничает с неправительс</w:t>
      </w:r>
      <w:r>
        <w:t>т</w:t>
      </w:r>
      <w:r>
        <w:t>венными и международными организациями в целях гарантирования прав женщин и поощрения равенства между женщинами и мужчинами (стр. 16). Просьба представить подробную информацию о любых законах о правах же</w:t>
      </w:r>
      <w:r>
        <w:t>н</w:t>
      </w:r>
      <w:r>
        <w:t>щин и равенстве между мужчинами и женщинами, которые были приняты бл</w:t>
      </w:r>
      <w:r>
        <w:t>а</w:t>
      </w:r>
      <w:r>
        <w:t>годаря усилиям Омбудсмена.</w:t>
      </w:r>
    </w:p>
    <w:p w:rsidR="00000000" w:rsidRDefault="00000000">
      <w:pPr>
        <w:pStyle w:val="SingleTxt"/>
      </w:pPr>
      <w:r>
        <w:t>12.</w:t>
      </w:r>
      <w:r>
        <w:tab/>
        <w:t>Просьба представить подробную информацию о жалобах, связанных с н</w:t>
      </w:r>
      <w:r>
        <w:t>а</w:t>
      </w:r>
      <w:r>
        <w:t>рушением прав женщин, которые были получены и урегулированы Омбудсм</w:t>
      </w:r>
      <w:r>
        <w:t>е</w:t>
      </w:r>
      <w:r>
        <w:t>ном в период после представления первоначального доклада.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Участие женщин в общественной жизни и процессе принятия решений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13.</w:t>
      </w:r>
      <w:r>
        <w:tab/>
        <w:t>В докладе отмечается, что «во всех структурах власти сверху донизу ос</w:t>
      </w:r>
      <w:r>
        <w:t>у</w:t>
      </w:r>
      <w:r>
        <w:t>ществляется курс на увеличение числа женщин на уровне принятия решений» (стр. 16). Однако, как видно из приложения 3 к докладу, на всех уровнях гос</w:t>
      </w:r>
      <w:r>
        <w:t>у</w:t>
      </w:r>
      <w:r>
        <w:t>дарственной администрации доминируют мужчины (например, в Олий Мажл</w:t>
      </w:r>
      <w:r>
        <w:t>и</w:t>
      </w:r>
      <w:r>
        <w:t>се — 90,1 процента мужчин, а в кабинете министров — 83,3 процента му</w:t>
      </w:r>
      <w:r>
        <w:t>ж</w:t>
      </w:r>
      <w:r>
        <w:t>чин). В докладе также отмечается, что в настоящее время правительство ра</w:t>
      </w:r>
      <w:r>
        <w:t>с</w:t>
      </w:r>
      <w:r>
        <w:t>сматривает вопрос о внесении в избирательное законодательство страны п</w:t>
      </w:r>
      <w:r>
        <w:t>о</w:t>
      </w:r>
      <w:r>
        <w:t>правки, предусматривающей 30</w:t>
      </w:r>
      <w:r>
        <w:noBreakHyphen/>
        <w:t>процентную квоту, выделяемую для женщин, выдвигаемых в качестве кандидатов от политических партий в органы госуда</w:t>
      </w:r>
      <w:r>
        <w:t>р</w:t>
      </w:r>
      <w:r>
        <w:t>ственного управления (стр. 35). Просьба указать, в каком состоянии находится эта поправка, а также представить информацию о других мерах, принимаемых с целью обеспечения всестороннего и равноправного участия и представленн</w:t>
      </w:r>
      <w:r>
        <w:t>о</w:t>
      </w:r>
      <w:r>
        <w:t>сти женщин на всех уровнях государственного управления, учитывая пункт 1 статьи 4 Конвенции и общую рекомендацию 25 Комитета относительно спец</w:t>
      </w:r>
      <w:r>
        <w:t>и</w:t>
      </w:r>
      <w:r>
        <w:t>альных мер временного характера и общую рекомендацию 23 относительно участия женщин в общественной жизни.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Насилие в отношении женщин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14.</w:t>
      </w:r>
      <w:r>
        <w:tab/>
        <w:t>Сбор какого рода данных ведется относительно проявлений всех форм н</w:t>
      </w:r>
      <w:r>
        <w:t>а</w:t>
      </w:r>
      <w:r>
        <w:t>силия в отношении женщин, включая насилие в быту, похищения, изнасилов</w:t>
      </w:r>
      <w:r>
        <w:t>а</w:t>
      </w:r>
      <w:r>
        <w:t>ние и сексуальное насилие, и о наличии каких тенденций они свидетельств</w:t>
      </w:r>
      <w:r>
        <w:t>у</w:t>
      </w:r>
      <w:r>
        <w:t>ют?</w:t>
      </w:r>
    </w:p>
    <w:p w:rsidR="00000000" w:rsidRDefault="00000000">
      <w:pPr>
        <w:pStyle w:val="SingleTxt"/>
      </w:pPr>
      <w:r>
        <w:t>15.</w:t>
      </w:r>
      <w:r>
        <w:tab/>
        <w:t>В докладе отмечается, что «подготовлены документы по внесению изм</w:t>
      </w:r>
      <w:r>
        <w:t>е</w:t>
      </w:r>
      <w:r>
        <w:t>нений в законодательство Узбекистана по вопросам предотвращения насилия в отношении женщин» (стр. 10). Просьба представить подробную информацию о поправках, предлагаемых в этих документах, а также об их нынешнем состо</w:t>
      </w:r>
      <w:r>
        <w:t>я</w:t>
      </w:r>
      <w:r>
        <w:t>нии.</w:t>
      </w:r>
    </w:p>
    <w:p w:rsidR="00000000" w:rsidRDefault="00000000">
      <w:pPr>
        <w:pStyle w:val="SingleTxt"/>
      </w:pPr>
      <w:r>
        <w:t>16.</w:t>
      </w:r>
      <w:r>
        <w:tab/>
        <w:t>В представленном в 2003 году докладе Специального докладчика по в</w:t>
      </w:r>
      <w:r>
        <w:t>о</w:t>
      </w:r>
      <w:r>
        <w:t>просу о насилии в отношении женщин, его причинах и последствиях отмечае</w:t>
      </w:r>
      <w:r>
        <w:t>т</w:t>
      </w:r>
      <w:r>
        <w:t>ся, что насилие в быту в Узбекистане является преступлением, не все проявл</w:t>
      </w:r>
      <w:r>
        <w:t>е</w:t>
      </w:r>
      <w:r>
        <w:t>ния которого находят отражения в представляемых докладах; случаи насилия в быту обычно рассматриваются членами семьи или старейшинами в рамках о</w:t>
      </w:r>
      <w:r>
        <w:t>б</w:t>
      </w:r>
      <w:r>
        <w:t>щины (махаллы), которые делают упор на примирении, тем самым подрывая индивидуальные права женщин в рамках семьи; случаи насилия в быту редко становятся предметом судебного преследования</w:t>
      </w:r>
      <w:r>
        <w:rPr>
          <w:lang w:val="en-US"/>
        </w:rPr>
        <w:t>,</w:t>
      </w:r>
      <w:r>
        <w:t xml:space="preserve"> и внимание на них обращае</w:t>
      </w:r>
      <w:r>
        <w:t>т</w:t>
      </w:r>
      <w:r>
        <w:t>ся зачастую лишь в тех случаях, когда жертвы совершают самоубийство (E/CN.4/2003/75/Add.1, пункт 1232). В докладе ничего не говорится о том, принят ли закон о борьбе с насилием в быту или же он только рассматривается. Просьба представить подробную информацию о мерах, принимаемых прав</w:t>
      </w:r>
      <w:r>
        <w:t>и</w:t>
      </w:r>
      <w:r>
        <w:t>тельством с целью решения пробл</w:t>
      </w:r>
      <w:r>
        <w:t>е</w:t>
      </w:r>
      <w:r>
        <w:t>мы насилия в быту.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Незаконная торговля и эксплуатация проституции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17.</w:t>
      </w:r>
      <w:r>
        <w:tab/>
        <w:t>В своих предыдущих заключительных замечаниях в 2001 году Комитет просил правительство предоставить дополнительную информацию и данные о торговле женщинами и девочками</w:t>
      </w:r>
      <w:r>
        <w:rPr>
          <w:rStyle w:val="FootnoteReference"/>
        </w:rPr>
        <w:footnoteReference w:id="3"/>
      </w:r>
      <w:r>
        <w:t>. Просьба представить эту информацию, в особенности данные о численности женщин и девочек, которых в рамках нез</w:t>
      </w:r>
      <w:r>
        <w:t>а</w:t>
      </w:r>
      <w:r>
        <w:t>конной торговли ввозят в Узбекистан, вывозят из Узбекистана и провозят тра</w:t>
      </w:r>
      <w:r>
        <w:t>н</w:t>
      </w:r>
      <w:r>
        <w:t>зитом через Узбекистан.</w:t>
      </w:r>
    </w:p>
    <w:p w:rsidR="00000000" w:rsidRDefault="00000000">
      <w:pPr>
        <w:pStyle w:val="SingleTxt"/>
      </w:pPr>
      <w:r>
        <w:t>18.</w:t>
      </w:r>
      <w:r>
        <w:tab/>
        <w:t>В докладе отмечается, что в момент представления доклада шел процесс разработки проекта закона и проекта комплексной программы по противоде</w:t>
      </w:r>
      <w:r>
        <w:t>й</w:t>
      </w:r>
      <w:r>
        <w:t>ствию незаконной торговле (стр. 14). Просьба представить информацию о п</w:t>
      </w:r>
      <w:r>
        <w:t>о</w:t>
      </w:r>
      <w:r>
        <w:t>ложении дел с таким законом и программой, предоставив подробные данные об их основных положениях, в особенности положениях, связанных с реабил</w:t>
      </w:r>
      <w:r>
        <w:t>и</w:t>
      </w:r>
      <w:r>
        <w:t>тацией жертв незаконной торговли, профессиональной подготовкой сотрудн</w:t>
      </w:r>
      <w:r>
        <w:t>и</w:t>
      </w:r>
      <w:r>
        <w:t>ков органов полиции и судебных органов и судебным преследованием торго</w:t>
      </w:r>
      <w:r>
        <w:t>в</w:t>
      </w:r>
      <w:r>
        <w:t>цев и их наказанием.</w:t>
      </w:r>
    </w:p>
    <w:p w:rsidR="00000000" w:rsidRDefault="00000000">
      <w:pPr>
        <w:pStyle w:val="SingleTxt"/>
      </w:pPr>
      <w:r>
        <w:t>19.</w:t>
      </w:r>
      <w:r>
        <w:tab/>
        <w:t>В представленном в 2003 году докладе Специального докладчика по в</w:t>
      </w:r>
      <w:r>
        <w:t>о</w:t>
      </w:r>
      <w:r>
        <w:t>просу о насилии в отношении женщин, его причинах и последствиях отмечае</w:t>
      </w:r>
      <w:r>
        <w:t>т</w:t>
      </w:r>
      <w:r>
        <w:t>ся, что женщины, которых принудили к проституции, рискуют быть взятыми под стражу в соответствии со статьей 190 Административного кодекса Узбек</w:t>
      </w:r>
      <w:r>
        <w:t>и</w:t>
      </w:r>
      <w:r>
        <w:t>стана, и что 20–30 процентов девушек, находящихся в Центре содержания под стражей в Коканде, составляют проститутки (E/CN.4/2003/75/Add.1, пункт 1232). Просьба представить информацию о том, подлежат ли клиенты и поставщики проституток уголовному наказанию в соответствии с законод</w:t>
      </w:r>
      <w:r>
        <w:t>а</w:t>
      </w:r>
      <w:r>
        <w:t>тельством Узбекистана и какие меры приняты в целях предотвращения повто</w:t>
      </w:r>
      <w:r>
        <w:t>р</w:t>
      </w:r>
      <w:r>
        <w:t>ной виктимизации женщин, принужденных к проституции.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Занятость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20.</w:t>
      </w:r>
      <w:r>
        <w:tab/>
        <w:t>В своих предыдущих заключительных замечаниях в 2001 году Комитет выразил озабоченность в связи с отсутствием дезагрегированных по признаку пола статистических данных о заработной плате</w:t>
      </w:r>
      <w:r>
        <w:rPr>
          <w:rStyle w:val="FootnoteReference"/>
        </w:rPr>
        <w:footnoteReference w:id="4"/>
      </w:r>
      <w:r>
        <w:t>. Просьба представить данные об участии в экономической деятельности и заработной плате, дезагрегирова</w:t>
      </w:r>
      <w:r>
        <w:t>н</w:t>
      </w:r>
      <w:r>
        <w:t>ные по признаку пола и экономическим секторам, а также информацию об уч</w:t>
      </w:r>
      <w:r>
        <w:t>а</w:t>
      </w:r>
      <w:r>
        <w:t>стии женщин в неформальном секторе.</w:t>
      </w:r>
    </w:p>
    <w:p w:rsidR="00000000" w:rsidRDefault="00000000">
      <w:pPr>
        <w:pStyle w:val="SingleTxt"/>
      </w:pPr>
      <w:r>
        <w:t>21.</w:t>
      </w:r>
      <w:r>
        <w:tab/>
        <w:t>В докладе отмечается, что на долю женщин приходится 43,9 процента р</w:t>
      </w:r>
      <w:r>
        <w:t>а</w:t>
      </w:r>
      <w:r>
        <w:t>бочей силы (стр. 28). В нем также отмечается, что женщины надлежащим о</w:t>
      </w:r>
      <w:r>
        <w:t>б</w:t>
      </w:r>
      <w:r>
        <w:t>разом представлены в системе среднего и высшего образования (стр. 21). О</w:t>
      </w:r>
      <w:r>
        <w:t>д</w:t>
      </w:r>
      <w:r>
        <w:t>нако на руководящих должностях процентная доля женщин весьма незнач</w:t>
      </w:r>
      <w:r>
        <w:t>и</w:t>
      </w:r>
      <w:r>
        <w:t>тельна (приложение 5). Просьба представить информацию о мерах, принима</w:t>
      </w:r>
      <w:r>
        <w:t>е</w:t>
      </w:r>
      <w:r>
        <w:t>мых с целью преодоления разрыва между квалификацией женщин и их назн</w:t>
      </w:r>
      <w:r>
        <w:t>а</w:t>
      </w:r>
      <w:r>
        <w:t>чением на ключевые должности управленческого и директивного уровня.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Образование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22.</w:t>
      </w:r>
      <w:r>
        <w:tab/>
        <w:t>В докладе отмечается, что на выбор специальностей женщинами и му</w:t>
      </w:r>
      <w:r>
        <w:t>ж</w:t>
      </w:r>
      <w:r>
        <w:t>чинами влияют главным образом сложившиеся стереотипы мышления, т.е. деление труда на «женский» и «мужской», а также традиции в семье и фа</w:t>
      </w:r>
      <w:r>
        <w:t>к</w:t>
      </w:r>
      <w:r>
        <w:t>торы экономического порядка (стр. 21). Просьба представить информацию, д</w:t>
      </w:r>
      <w:r>
        <w:t>е</w:t>
      </w:r>
      <w:r>
        <w:t>загрегированную по признаку пола и с учетом специальностей, касающуюся численн</w:t>
      </w:r>
      <w:r>
        <w:t>о</w:t>
      </w:r>
      <w:r>
        <w:t>сти учащихся высших учебных заведений.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Здравоохранение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23.</w:t>
      </w:r>
      <w:r>
        <w:tab/>
        <w:t>В докладе отмечается, что показатель материнской смертности неуклонно снижался с 1993 года (51,0 на 100 000) до 1997 года (20,7 на 100 000), а затем неуклонно повышался с 1997 года по 2001 год (34,5 на 100 000) (прилож</w:t>
      </w:r>
      <w:r>
        <w:t>е</w:t>
      </w:r>
      <w:r>
        <w:t>ние 2). Просьба указать на причины такого повышения показателя материнской смертности и пути, по которым в настоящее время решается эта проблема.</w:t>
      </w:r>
    </w:p>
    <w:p w:rsidR="00000000" w:rsidRDefault="00000000">
      <w:pPr>
        <w:pStyle w:val="SingleTxt"/>
      </w:pPr>
      <w:r>
        <w:t>24.</w:t>
      </w:r>
      <w:r>
        <w:tab/>
        <w:t>В докладе отмечается, что в 2002 году была принята национальная Пр</w:t>
      </w:r>
      <w:r>
        <w:t>о</w:t>
      </w:r>
      <w:r>
        <w:t>грамма по профилактике ВИЧ/СПИДа, рассчитанная на 2002–2006 годы (стр. 27). Просьба указать, учтена ли в этой программе гендерная проблемат</w:t>
      </w:r>
      <w:r>
        <w:t>и</w:t>
      </w:r>
      <w:r>
        <w:t>ка, а если учтена — то каким образом, а также представить информацию о к</w:t>
      </w:r>
      <w:r>
        <w:t>о</w:t>
      </w:r>
      <w:r>
        <w:t>личестве женщин, в настоящее время инфицированных ВИЧ/СПИДом, и о н</w:t>
      </w:r>
      <w:r>
        <w:t>а</w:t>
      </w:r>
      <w:r>
        <w:t>личии антиретровирусных медикаментов и обеспечении социально-психологических услуг для женщин, инфицированных ВИЧ/СПИДом, и их д</w:t>
      </w:r>
      <w:r>
        <w:t>е</w:t>
      </w:r>
      <w:r>
        <w:t>тей.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Брачные и семейные отношения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25.</w:t>
      </w:r>
      <w:r>
        <w:tab/>
        <w:t>В представленном в 2005 году докладе Специального докладчика по в</w:t>
      </w:r>
      <w:r>
        <w:t>о</w:t>
      </w:r>
      <w:r>
        <w:t>просу о насилии в отношении женщин, его причинах и последствиях внимание обращается на практику похищения невест, которых похищают, с тем чтобы жениться на них без уплаты большого приданого. В этом же докладе отмечае</w:t>
      </w:r>
      <w:r>
        <w:t>т</w:t>
      </w:r>
      <w:r>
        <w:t>ся, что полиция практически не препятствует совершению таких похищений и заключению принудительных браков, а мужчины редко когда несут ответс</w:t>
      </w:r>
      <w:r>
        <w:t>т</w:t>
      </w:r>
      <w:r>
        <w:t>венность за свои деяния, а мерой наказания лиц, признанных виновными в с</w:t>
      </w:r>
      <w:r>
        <w:t>о</w:t>
      </w:r>
      <w:r>
        <w:t>вершении таких деяний, является уплата небольшого штрафа (E/CN.4/2005/72/Add.1, пункт 476). В объединенном втором и третьем пери</w:t>
      </w:r>
      <w:r>
        <w:t>о</w:t>
      </w:r>
      <w:r>
        <w:t>дическом докладе Узбекистана отмечается, что традиции и культура Узбек</w:t>
      </w:r>
      <w:r>
        <w:t>и</w:t>
      </w:r>
      <w:r>
        <w:t>стана поощряют такую практику, как полигамия и принудительный брак или брак в раннем возрасте, несмотря на наличие законов, запрещающих подобную практику (стр. 12–13). Просьба указать, какие меры были приняты правител</w:t>
      </w:r>
      <w:r>
        <w:t>ь</w:t>
      </w:r>
      <w:r>
        <w:t>ством для обеспечения соблюдения минимального возраста вступления в брак и какие имеются законы, запрещающие полигамию и принудительный брак, а также количество рассмотренных в судебном порядке дел и число вынесенных по их результатам обвинительных приг</w:t>
      </w:r>
      <w:r>
        <w:t>о</w:t>
      </w:r>
      <w:r>
        <w:t>воров.</w:t>
      </w:r>
    </w:p>
    <w:p w:rsidR="00000000" w:rsidRDefault="00000000">
      <w:pPr>
        <w:pStyle w:val="SingleTxt"/>
      </w:pPr>
      <w:r>
        <w:t>26.</w:t>
      </w:r>
      <w:r>
        <w:tab/>
        <w:t>С учетом результатов проведенного опроса, в ходе которого 54,7 процента городских женщин и 61,4 процента сельских женщин высказали мнения, с</w:t>
      </w:r>
      <w:r>
        <w:t>о</w:t>
      </w:r>
      <w:r>
        <w:t>гласно которым женщины не пользуются равными правами по той причине, что мужчины считают себя главой семьи, в докладе отмечается, что «среди самих женщин, особенно это характерно для сельской местности, сохраняется инер</w:t>
      </w:r>
      <w:r>
        <w:t>т</w:t>
      </w:r>
      <w:r>
        <w:t>ность мышления в отношении главенствующей роли мужчины в семье и общ</w:t>
      </w:r>
      <w:r>
        <w:t>е</w:t>
      </w:r>
      <w:r>
        <w:t>стве» (стр. 34). Просьба разъяснить это заявление, а также представить по</w:t>
      </w:r>
      <w:r>
        <w:t>д</w:t>
      </w:r>
      <w:r>
        <w:t>робную информацию о принимаемых мерах по изменению стереотипных пре</w:t>
      </w:r>
      <w:r>
        <w:t>д</w:t>
      </w:r>
      <w:r>
        <w:t>ставлений о главенствующей роли мужчин в семье и изменению моделей пов</w:t>
      </w:r>
      <w:r>
        <w:t>е</w:t>
      </w:r>
      <w:r>
        <w:t>дения.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Сельские женщины и этнические меньшинства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27.</w:t>
      </w:r>
      <w:r>
        <w:tab/>
        <w:t>В своих предыдущих заключительных замечаниях в 2001 году Комитет просил представить дополнительную количественную и качественную инфо</w:t>
      </w:r>
      <w:r>
        <w:t>р</w:t>
      </w:r>
      <w:r>
        <w:t>мацию о сельских женщинах</w:t>
      </w:r>
      <w:r>
        <w:rPr>
          <w:rStyle w:val="FootnoteReference"/>
        </w:rPr>
        <w:footnoteReference w:id="5"/>
      </w:r>
      <w:r>
        <w:t>. Однако в докладе не содержится информации о вопросах, касающихся сельских женщин. Просьба представить подробную и</w:t>
      </w:r>
      <w:r>
        <w:t>н</w:t>
      </w:r>
      <w:r>
        <w:t>формацию о положении сельских женщин в области здравоохранения, образ</w:t>
      </w:r>
      <w:r>
        <w:t>о</w:t>
      </w:r>
      <w:r>
        <w:t>вания и экономики, а также о политических аспектах их участия в процессе принятия р</w:t>
      </w:r>
      <w:r>
        <w:t>е</w:t>
      </w:r>
      <w:r>
        <w:t>шений.</w:t>
      </w:r>
    </w:p>
    <w:p w:rsidR="00000000" w:rsidRDefault="00000000">
      <w:pPr>
        <w:pStyle w:val="SingleTxt"/>
      </w:pPr>
      <w:r>
        <w:t>28.</w:t>
      </w:r>
      <w:r>
        <w:tab/>
        <w:t>В первоначальном докладе Узбекистана отмечался многоэтнический х</w:t>
      </w:r>
      <w:r>
        <w:t>а</w:t>
      </w:r>
      <w:r>
        <w:t>рактер населения страны (CEDAW/C/UZB/1, стр. 3). Однако в объединенном втором и третьем периодическом докладе не содержится информации о том, сталкиваются ли определенные этнические или религиозные группы с теми или иными конкретными проблемами в различных областях, и были ли прин</w:t>
      </w:r>
      <w:r>
        <w:t>я</w:t>
      </w:r>
      <w:r>
        <w:t>ты конкретные меры по решению таких проблем. Просьба представить такую информацию.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Факультативный протокол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29.</w:t>
      </w:r>
      <w:r>
        <w:tab/>
        <w:t>В докладе отмечается, что правительство изучает вопрос о присоедин</w:t>
      </w:r>
      <w:r>
        <w:t>е</w:t>
      </w:r>
      <w:r>
        <w:t>нии к Факультативному протоколу к Конвенции (стр. 35). Просьба представить информацию о прогрессе, достигнутом в осуществлении решения о присоед</w:t>
      </w:r>
      <w:r>
        <w:t>и</w:t>
      </w:r>
      <w:r>
        <w:t>нении к Факультативному протоколу.</w:t>
      </w:r>
    </w:p>
    <w:p w:rsidR="00000000" w:rsidRDefault="00000000">
      <w:pPr>
        <w:pStyle w:val="SingleTxt"/>
        <w:spacing w:after="0" w:line="240" w:lineRule="auto"/>
      </w:pPr>
      <w:r>
        <w:rPr>
          <w:w w:val="100"/>
        </w:rPr>
        <w:pict>
          <v:line id="_x0000_s2050" style="position:absolute;left:0;text-align:left;z-index:1;mso-position-horizontal:absolute;mso-position-horizontal-relative:text;mso-position-vertical:absolute;mso-position-vertical-relative:text" from="210.25pt,10.1pt" to="282.25pt,10.1pt" o:allowincell="f" strokeweight=".25pt"/>
        </w:pict>
      </w:r>
    </w:p>
    <w:sectPr w:rsidR="00000000">
      <w:endnotePr>
        <w:numFmt w:val="decimal"/>
      </w:endnotePr>
      <w:type w:val="continuous"/>
      <w:pgSz w:w="12240" w:h="15840" w:code="1"/>
      <w:pgMar w:top="1742" w:right="1195" w:bottom="1898" w:left="1195" w:header="576" w:footer="1030" w:gutter="0"/>
      <w:pgNumType w:start="1"/>
      <w:cols w:space="72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initials="Start">
    <w:p w:rsidR="00000000" w:rsidRDefault="00000000">
      <w:pPr>
        <w:pStyle w:val="CommentText"/>
      </w:pPr>
      <w:r>
        <w:fldChar w:fldCharType="begin"/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 </w:instrText>
      </w:r>
      <w:r>
        <w:fldChar w:fldCharType="end"/>
      </w:r>
      <w:r>
        <w:rPr>
          <w:rStyle w:val="CommentReference"/>
        </w:rPr>
        <w:annotationRef/>
      </w:r>
      <w:r>
        <w:t>&lt;&lt;ODS JOB NO&gt;&gt;N0625051R&lt;&lt;ODS JOB NO&gt;&gt;</w:t>
      </w:r>
    </w:p>
    <w:p w:rsidR="00000000" w:rsidRDefault="00000000">
      <w:pPr>
        <w:pStyle w:val="CommentText"/>
      </w:pPr>
      <w:r>
        <w:t>&lt;&lt;ODS DOC SYMBOL1&gt;&gt;CEDAW/C/UZB/Q/3&lt;&lt;ODS DOC SYMBOL1&gt;&gt;</w:t>
      </w:r>
    </w:p>
    <w:p w:rsidR="00000000" w:rsidRDefault="00000000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6</w:t>
          </w:r>
          <w:r>
            <w:fldChar w:fldCharType="end"/>
          </w: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</w:p>
      </w:tc>
    </w:tr>
  </w:tbl>
  <w:p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</w:pP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5</w:t>
          </w:r>
          <w:r>
            <w:fldChar w:fldCharType="end"/>
          </w:r>
        </w:p>
      </w:tc>
    </w:tr>
  </w:tbl>
  <w:p w:rsidR="00000000" w:rsidRDefault="000000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</w:pPr>
  </w:p>
  <w:p w:rsidR="00000000" w:rsidRDefault="00000000">
    <w:pPr>
      <w:pStyle w:val="Footer"/>
      <w:rPr>
        <w:b w:val="0"/>
        <w:sz w:val="20"/>
      </w:rPr>
    </w:pPr>
    <w:r>
      <w:rPr>
        <w:b w:val="0"/>
        <w:sz w:val="20"/>
      </w:rPr>
      <w:t>06-25051 (R)    030306    060306</w:t>
    </w:r>
  </w:p>
  <w:p w:rsidR="00000000" w:rsidRDefault="00000000">
    <w:pPr>
      <w:pStyle w:val="Footer"/>
      <w:spacing w:before="120" w:line="240" w:lineRule="exact"/>
      <w:rPr>
        <w:rFonts w:ascii="Barcode 3 of 9 by request" w:hAnsi="Barcode 3 of 9 by request"/>
        <w:b w:val="0"/>
        <w:spacing w:val="4"/>
        <w:w w:val="103"/>
        <w:sz w:val="24"/>
      </w:rPr>
    </w:pPr>
    <w:r>
      <w:rPr>
        <w:rFonts w:ascii="Barcode 3 of 9 by request" w:hAnsi="Barcode 3 of 9 by request"/>
        <w:b w:val="0"/>
        <w:spacing w:val="4"/>
        <w:w w:val="103"/>
        <w:sz w:val="24"/>
      </w:rPr>
      <w:t>*0625051*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pStyle w:val="Footer"/>
        <w:spacing w:after="80"/>
        <w:ind w:left="792"/>
        <w:rPr>
          <w:sz w:val="16"/>
        </w:rPr>
      </w:pPr>
      <w:r>
        <w:rPr>
          <w:sz w:val="16"/>
        </w:rPr>
        <w:t>__________________</w:t>
      </w:r>
    </w:p>
  </w:footnote>
  <w:footnote w:type="continuationSeparator" w:id="0">
    <w:p w:rsidR="00000000" w:rsidRDefault="00000000">
      <w:pPr>
        <w:pStyle w:val="Footer"/>
        <w:spacing w:after="80"/>
        <w:ind w:left="792"/>
        <w:rPr>
          <w:sz w:val="16"/>
        </w:rPr>
      </w:pPr>
      <w:r>
        <w:rPr>
          <w:sz w:val="16"/>
        </w:rPr>
        <w:t>__________________</w:t>
      </w:r>
    </w:p>
  </w:footnote>
  <w:footnote w:type="continuationNotice" w:id="1">
    <w:p w:rsidR="00000000" w:rsidRDefault="00000000">
      <w:pPr>
        <w:pStyle w:val="Footer"/>
      </w:pPr>
    </w:p>
  </w:footnote>
  <w:footnote w:id="2">
    <w:p w:rsidR="00000000" w:rsidRDefault="00000000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</w:r>
      <w:r>
        <w:rPr>
          <w:i/>
        </w:rPr>
        <w:t xml:space="preserve">Официальные отчеты Генеральной Ассамблеи, пятьдесят шестая сессия, Дополнение № 38 </w:t>
      </w:r>
      <w:r>
        <w:t>(</w:t>
      </w:r>
      <w:r>
        <w:rPr>
          <w:lang w:val="en-US"/>
        </w:rPr>
        <w:t>A/56/38</w:t>
      </w:r>
      <w:r>
        <w:t>), пункт 175.</w:t>
      </w:r>
    </w:p>
  </w:footnote>
  <w:footnote w:id="3">
    <w:p w:rsidR="00000000" w:rsidRDefault="00000000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Там же, пункт 179.</w:t>
      </w:r>
    </w:p>
  </w:footnote>
  <w:footnote w:id="4">
    <w:p w:rsidR="00000000" w:rsidRDefault="00000000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Там же, пункт 182.</w:t>
      </w:r>
    </w:p>
  </w:footnote>
  <w:footnote w:id="5">
    <w:p w:rsidR="00000000" w:rsidRDefault="00000000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Там же, пункт 190.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-5.75pt;margin-top:0;width:7in;height:50.4pt;z-index:2;mso-position-horizontal:absolute;mso-position-horizontal-relative:text;mso-position-vertical:absolute;mso-position-vertical-relative:text" o:allowincell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CEDAW/C/UZB/Q/3</w:t>
                      </w: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</w:tr>
              </w:tbl>
              <w:p w:rsidR="00000000" w:rsidRDefault="00000000"/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5.75pt;margin-top:0;width:7in;height:50.4pt;z-index:1;mso-position-horizontal:absolute;mso-position-horizontal-relative:text;mso-position-vertical:absolute;mso-position-vertical-relative:text" o:allowincell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CEDAW/C/UZB/Q/3</w:t>
                      </w:r>
                    </w:p>
                  </w:tc>
                </w:tr>
              </w:tbl>
              <w:p w:rsidR="00000000" w:rsidRDefault="00000000"/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864"/>
      </w:trPr>
      <w:tc>
        <w:tcPr>
          <w:tcW w:w="4421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/C/UZB/Q/3</w:t>
          </w:r>
        </w:p>
      </w:tc>
    </w:tr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2880"/>
      </w:trPr>
      <w:tc>
        <w:tcPr>
          <w:tcW w:w="1267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 fillcolor="window">
                <v:imagedata r:id="rId1" o:title="_unlogo"/>
              </v:shape>
            </w:pict>
          </w:r>
        </w:p>
        <w:p w:rsidR="00000000" w:rsidRDefault="00000000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</w:p>
      </w:tc>
      <w:tc>
        <w:tcPr>
          <w:tcW w:w="3140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spacing w:before="240"/>
            <w:rPr>
              <w:lang w:val="en-US"/>
            </w:rPr>
          </w:pPr>
          <w:r>
            <w:rPr>
              <w:lang w:val="en-US"/>
            </w:rPr>
            <w:t>Distr.: General</w:t>
          </w:r>
        </w:p>
        <w:p w:rsidR="00000000" w:rsidRDefault="00000000">
          <w:r>
            <w:t>22 February 2006</w:t>
          </w:r>
        </w:p>
        <w:p w:rsidR="00000000" w:rsidRDefault="00000000">
          <w:r>
            <w:t>Russian</w:t>
          </w:r>
        </w:p>
        <w:p w:rsidR="00000000" w:rsidRDefault="00000000">
          <w:r>
            <w:t>Original: English</w:t>
          </w:r>
        </w:p>
      </w:tc>
    </w:tr>
  </w:tbl>
  <w:p w:rsidR="00000000" w:rsidRDefault="00000000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BB16AA8"/>
    <w:multiLevelType w:val="multilevel"/>
    <w:tmpl w:val="19820D8E"/>
    <w:name w:val="TOC2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312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4176"/>
        </w:tabs>
        <w:ind w:left="3888" w:hanging="432"/>
      </w:pPr>
    </w:lvl>
    <w:lvl w:ilvl="7">
      <w:start w:val="1"/>
      <w:numFmt w:val="none"/>
      <w:lvlText w:val=""/>
      <w:lvlJc w:val="left"/>
      <w:pPr>
        <w:tabs>
          <w:tab w:val="num" w:pos="4248"/>
        </w:tabs>
        <w:ind w:left="3888" w:firstLine="0"/>
      </w:pPr>
    </w:lvl>
    <w:lvl w:ilvl="8">
      <w:start w:val="1"/>
      <w:numFmt w:val="none"/>
      <w:suff w:val="nothing"/>
      <w:lvlText w:val=""/>
      <w:lvlJc w:val="left"/>
      <w:pPr>
        <w:ind w:left="3888" w:firstLine="0"/>
      </w:pPr>
    </w:lvl>
  </w:abstractNum>
  <w:abstractNum w:abstractNumId="6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abstractNum w:abstractNumId="7">
    <w:nsid w:val="5FF27F2B"/>
    <w:multiLevelType w:val="multilevel"/>
    <w:tmpl w:val="68AAAA24"/>
    <w:name w:val="TOC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-32406"/>
        </w:tabs>
        <w:ind w:left="-32766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312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4176"/>
        </w:tabs>
        <w:ind w:left="3888" w:hanging="432"/>
      </w:pPr>
    </w:lvl>
    <w:lvl w:ilvl="7">
      <w:start w:val="1"/>
      <w:numFmt w:val="none"/>
      <w:lvlText w:val=""/>
      <w:lvlJc w:val="left"/>
      <w:pPr>
        <w:tabs>
          <w:tab w:val="num" w:pos="4248"/>
        </w:tabs>
        <w:ind w:left="3888" w:firstLine="0"/>
      </w:pPr>
    </w:lvl>
    <w:lvl w:ilvl="8">
      <w:start w:val="1"/>
      <w:numFmt w:val="none"/>
      <w:suff w:val="nothing"/>
      <w:lvlText w:val=""/>
      <w:lvlJc w:val="left"/>
      <w:pPr>
        <w:ind w:left="3888" w:firstLine="0"/>
      </w:pPr>
    </w:lvl>
  </w:abstractNum>
  <w:num w:numId="1">
    <w:abstractNumId w:val="6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activeWritingStyle w:appName="MSWord" w:lang="ru-RU" w:vendorID="1" w:dllVersion="512" w:checkStyle="1"/>
  <w:doNotTrackMoves/>
  <w:defaultTabStop w:val="475"/>
  <w:autoHyphenation/>
  <w:hyphenationZone w:val="22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TopSpacingWP/>
    <w:suppressSpBfAfterPgBrk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reationDt" w:val="03/03/2006 17:48:37"/>
    <w:docVar w:name="DocCategory" w:val="Doc"/>
    <w:docVar w:name="DocType" w:val="Final"/>
    <w:docVar w:name="JobNo" w:val="0625051R"/>
    <w:docVar w:name="OandT" w:val=" "/>
    <w:docVar w:name="Symbol1" w:val="CEDAW/C/UZB/Q/3"/>
    <w:docVar w:name="Symbol2" w:val="-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exact"/>
    </w:pPr>
    <w:rPr>
      <w:spacing w:val="4"/>
      <w:w w:val="103"/>
      <w:kern w:val="14"/>
      <w:lang w:val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pPr>
      <w:ind w:left="1267" w:right="1267"/>
    </w:pPr>
  </w:style>
  <w:style w:type="paragraph" w:customStyle="1" w:styleId="SingleTxt">
    <w:name w:val="__Single Txt"/>
    <w:basedOn w:val="Normal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Pr>
      <w:sz w:val="6"/>
    </w:rPr>
  </w:style>
  <w:style w:type="character" w:styleId="FootnoteReference">
    <w:name w:val="footnote reference"/>
    <w:semiHidden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</w:style>
  <w:style w:type="paragraph" w:styleId="Footer">
    <w:name w:val="footer"/>
    <w:semiHidden/>
    <w:pPr>
      <w:tabs>
        <w:tab w:val="center" w:pos="4320"/>
        <w:tab w:val="right" w:pos="8640"/>
      </w:tabs>
    </w:pPr>
    <w:rPr>
      <w:b/>
      <w:noProof/>
      <w:sz w:val="17"/>
    </w:rPr>
  </w:style>
  <w:style w:type="paragraph" w:styleId="Header">
    <w:name w:val="header"/>
    <w:semiHidden/>
    <w:pPr>
      <w:tabs>
        <w:tab w:val="center" w:pos="4320"/>
        <w:tab w:val="right" w:pos="8640"/>
      </w:tabs>
    </w:pPr>
    <w:rPr>
      <w:noProof/>
      <w:sz w:val="17"/>
    </w:rPr>
  </w:style>
  <w:style w:type="character" w:styleId="LineNumber">
    <w:name w:val="line number"/>
    <w:semiHidden/>
    <w:rPr>
      <w:sz w:val="14"/>
    </w:rPr>
  </w:style>
  <w:style w:type="paragraph" w:styleId="ListContinue2">
    <w:name w:val="List Continue 2"/>
    <w:basedOn w:val="Normal"/>
    <w:next w:val="Normal"/>
    <w:semiHidden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semiHidden/>
    <w:pPr>
      <w:numPr>
        <w:numId w:val="3"/>
      </w:numPr>
      <w:tabs>
        <w:tab w:val="clear" w:pos="360"/>
        <w:tab w:val="num" w:pos="792"/>
      </w:tabs>
      <w:ind w:left="792" w:hanging="317"/>
    </w:pPr>
  </w:style>
  <w:style w:type="paragraph" w:styleId="ListNumber2">
    <w:name w:val="List Number 2"/>
    <w:basedOn w:val="H23"/>
    <w:next w:val="Normal"/>
    <w:semiHidden/>
    <w:pPr>
      <w:numPr>
        <w:numId w:val="5"/>
      </w:numPr>
      <w:tabs>
        <w:tab w:val="clear" w:pos="643"/>
        <w:tab w:val="num" w:pos="792"/>
      </w:tabs>
      <w:ind w:left="792" w:hanging="317"/>
    </w:pPr>
  </w:style>
  <w:style w:type="paragraph" w:styleId="ListNumber3">
    <w:name w:val="List Number 3"/>
    <w:basedOn w:val="H23"/>
    <w:next w:val="Normal"/>
    <w:semiHidden/>
    <w:pPr>
      <w:numPr>
        <w:numId w:val="7"/>
      </w:numPr>
      <w:tabs>
        <w:tab w:val="clear" w:pos="926"/>
        <w:tab w:val="num" w:pos="792"/>
      </w:tabs>
      <w:ind w:left="792" w:hanging="317"/>
    </w:pPr>
  </w:style>
  <w:style w:type="paragraph" w:styleId="ListNumber4">
    <w:name w:val="List Number 4"/>
    <w:basedOn w:val="H4"/>
    <w:next w:val="Normal"/>
    <w:semiHidden/>
    <w:pPr>
      <w:numPr>
        <w:numId w:val="9"/>
      </w:numPr>
      <w:tabs>
        <w:tab w:val="clear" w:pos="1209"/>
        <w:tab w:val="num" w:pos="792"/>
      </w:tabs>
      <w:ind w:left="792" w:hanging="317"/>
    </w:pPr>
  </w:style>
  <w:style w:type="paragraph" w:styleId="ListNumber5">
    <w:name w:val="List Number 5"/>
    <w:basedOn w:val="Normal"/>
    <w:next w:val="Normal"/>
    <w:semiHidden/>
    <w:pPr>
      <w:numPr>
        <w:numId w:val="11"/>
      </w:numPr>
      <w:tabs>
        <w:tab w:val="clear" w:pos="1492"/>
        <w:tab w:val="num" w:pos="792"/>
      </w:tabs>
      <w:ind w:left="792" w:hanging="317"/>
    </w:pPr>
  </w:style>
  <w:style w:type="paragraph" w:customStyle="1" w:styleId="Small">
    <w:name w:val="Small"/>
    <w:basedOn w:val="Normal"/>
    <w:next w:val="Normal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AnnexHdg">
    <w:name w:val="Annex Hdg"/>
    <w:basedOn w:val="Normal"/>
    <w:pPr>
      <w:keepNext/>
      <w:keepLines/>
      <w:suppressAutoHyphens/>
      <w:spacing w:after="120" w:line="240" w:lineRule="auto"/>
      <w:jc w:val="center"/>
    </w:pPr>
    <w:rPr>
      <w:b/>
      <w:noProof/>
      <w:spacing w:val="0"/>
      <w:w w:val="100"/>
      <w:sz w:val="18"/>
    </w:rPr>
  </w:style>
  <w:style w:type="paragraph" w:customStyle="1" w:styleId="AnnexeHdg">
    <w:name w:val="Annexe Hdg"/>
    <w:basedOn w:val="Normal"/>
    <w:pPr>
      <w:keepNext/>
      <w:keepLines/>
      <w:spacing w:after="120" w:line="240" w:lineRule="auto"/>
      <w:jc w:val="center"/>
    </w:pPr>
    <w:rPr>
      <w:b/>
      <w:i/>
      <w:spacing w:val="0"/>
      <w:w w:val="100"/>
      <w:lang w:val="fr-FR"/>
    </w:rPr>
  </w:style>
  <w:style w:type="paragraph" w:customStyle="1" w:styleId="Annexital">
    <w:name w:val="Annex ital"/>
    <w:basedOn w:val="Normal"/>
    <w:autoRedefine/>
    <w:pPr>
      <w:keepNext/>
      <w:spacing w:after="100" w:line="220" w:lineRule="exact"/>
    </w:pPr>
    <w:rPr>
      <w:i/>
      <w:sz w:val="18"/>
      <w:lang w:val="en-GB"/>
    </w:rPr>
  </w:style>
  <w:style w:type="paragraph" w:styleId="CommentText">
    <w:name w:val="annotation text"/>
    <w:basedOn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6</Pages>
  <Words>2289</Words>
  <Characters>13052</Characters>
  <Application>Microsoft Office Word</Application>
  <DocSecurity>4</DocSecurity>
  <Lines>108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United Nations</Company>
  <LinksUpToDate>false</LinksUpToDate>
  <CharactersWithSpaces>16028</CharactersWithSpaces>
  <SharedDoc>false</SharedDoc>
  <HLinks>
    <vt:vector size="6" baseType="variant">
      <vt:variant>
        <vt:i4>4522087</vt:i4>
      </vt:variant>
      <vt:variant>
        <vt:i4>33352</vt:i4>
      </vt:variant>
      <vt:variant>
        <vt:i4>1025</vt:i4>
      </vt:variant>
      <vt:variant>
        <vt:i4>1</vt:i4>
      </vt:variant>
      <vt:variant>
        <vt:lpwstr>C:\Program Files\Microsoft Office\WordMacros\_unlogo.wpg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DGAACS User</dc:creator>
  <cp:keywords/>
  <dc:description/>
  <cp:lastModifiedBy>Tatyana Nikitina</cp:lastModifiedBy>
  <cp:revision>4</cp:revision>
  <cp:lastPrinted>2006-03-06T14:08:00Z</cp:lastPrinted>
  <dcterms:created xsi:type="dcterms:W3CDTF">2006-03-06T14:08:00Z</dcterms:created>
  <dcterms:modified xsi:type="dcterms:W3CDTF">2006-03-06T14:34:00Z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0625051</vt:lpwstr>
  </property>
  <property fmtid="{D5CDD505-2E9C-101B-9397-08002B2CF9AE}" pid="3" name="Symbol1">
    <vt:lpwstr>CEDAW/C/UZB/Q/3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 6</vt:lpwstr>
  </property>
  <property fmtid="{D5CDD505-2E9C-101B-9397-08002B2CF9AE}" pid="8" name="Operator">
    <vt:lpwstr>Nikitina</vt:lpwstr>
  </property>
</Properties>
</file>