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FC0C" w14:textId="77777777" w:rsidR="00E225E9" w:rsidRPr="00BC28E4" w:rsidRDefault="00E225E9" w:rsidP="00BC28E4">
      <w:pPr>
        <w:spacing w:line="240" w:lineRule="auto"/>
        <w:rPr>
          <w:color w:val="010000"/>
          <w:sz w:val="2"/>
        </w:rPr>
        <w:sectPr w:rsidR="00E225E9" w:rsidRPr="00BC28E4" w:rsidSect="00694F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 w:rsidRPr="00BC28E4">
        <w:rPr>
          <w:rStyle w:val="CommentReference"/>
          <w:sz w:val="2"/>
        </w:rPr>
        <w:commentReference w:id="0"/>
      </w:r>
    </w:p>
    <w:p w14:paraId="2BE369EB" w14:textId="53C1BABB" w:rsidR="002C7908" w:rsidRPr="003D44FB" w:rsidRDefault="002C7908" w:rsidP="002C790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5070"/>
      </w:pPr>
      <w:r w:rsidRPr="003D44FB">
        <w:t>Комитет по ликвидации дискриминации в отношении женщин</w:t>
      </w:r>
    </w:p>
    <w:p w14:paraId="4A2581E2" w14:textId="1BF49A43" w:rsidR="002C7908" w:rsidRPr="003D44FB" w:rsidRDefault="002C7908" w:rsidP="002C7908">
      <w:pPr>
        <w:pStyle w:val="SingleTxt"/>
        <w:spacing w:after="0" w:line="120" w:lineRule="exact"/>
        <w:rPr>
          <w:sz w:val="10"/>
        </w:rPr>
      </w:pPr>
    </w:p>
    <w:p w14:paraId="11CECA0B" w14:textId="4529C955" w:rsidR="002C7908" w:rsidRPr="003D44FB" w:rsidRDefault="002C7908" w:rsidP="002C7908">
      <w:pPr>
        <w:pStyle w:val="SingleTxt"/>
        <w:spacing w:after="0" w:line="120" w:lineRule="exact"/>
        <w:rPr>
          <w:sz w:val="10"/>
        </w:rPr>
      </w:pPr>
    </w:p>
    <w:p w14:paraId="6F1DAAB3" w14:textId="602A99A6" w:rsidR="002C7908" w:rsidRPr="003D44FB" w:rsidRDefault="002C7908" w:rsidP="002C7908">
      <w:pPr>
        <w:pStyle w:val="SingleTxt"/>
        <w:spacing w:after="0" w:line="120" w:lineRule="exact"/>
        <w:rPr>
          <w:sz w:val="10"/>
        </w:rPr>
      </w:pPr>
    </w:p>
    <w:p w14:paraId="4E631FF5" w14:textId="2824D790" w:rsidR="002C7908" w:rsidRPr="003D44FB" w:rsidRDefault="002C7908" w:rsidP="002C7908">
      <w:pPr>
        <w:pStyle w:val="TitleHCH"/>
        <w:rPr>
          <w:b w:val="0"/>
          <w:sz w:val="20"/>
        </w:rPr>
      </w:pPr>
      <w:r w:rsidRPr="003D44FB">
        <w:tab/>
      </w:r>
      <w:r w:rsidRPr="003D44FB">
        <w:tab/>
        <w:t>Заключительные замечания по шестому периодическому докладу Узбекистана</w:t>
      </w:r>
      <w:r w:rsidR="00F236D9" w:rsidRPr="003D44FB">
        <w:rPr>
          <w:rStyle w:val="FootnoteReference"/>
          <w:b w:val="0"/>
          <w:sz w:val="20"/>
        </w:rPr>
        <w:footnoteReference w:customMarkFollows="1" w:id="1"/>
        <w:t>*</w:t>
      </w:r>
    </w:p>
    <w:p w14:paraId="286E77EB" w14:textId="30FB4C96" w:rsidR="00F236D9" w:rsidRPr="003D44FB" w:rsidRDefault="00F236D9" w:rsidP="00F236D9">
      <w:pPr>
        <w:spacing w:line="120" w:lineRule="exact"/>
        <w:rPr>
          <w:sz w:val="10"/>
        </w:rPr>
      </w:pPr>
    </w:p>
    <w:p w14:paraId="33B5E4A5" w14:textId="641152B9" w:rsidR="00F236D9" w:rsidRPr="003D44FB" w:rsidRDefault="00F236D9" w:rsidP="00F236D9">
      <w:pPr>
        <w:spacing w:line="120" w:lineRule="exact"/>
        <w:rPr>
          <w:sz w:val="10"/>
        </w:rPr>
      </w:pPr>
    </w:p>
    <w:p w14:paraId="4BCDCDB3" w14:textId="2C905B5D" w:rsidR="002C7908" w:rsidRPr="003D44FB" w:rsidRDefault="002C7908" w:rsidP="002C7908">
      <w:pPr>
        <w:pStyle w:val="SingleTxt"/>
      </w:pPr>
      <w:r w:rsidRPr="002C7908">
        <w:t>1.</w:t>
      </w:r>
      <w:r w:rsidRPr="002C7908">
        <w:tab/>
        <w:t>Комитет рассмотрел шестой периодический доклад Узбекистана (</w:t>
      </w:r>
      <w:hyperlink r:id="rId18" w:history="1">
        <w:r w:rsidRPr="002C7908">
          <w:rPr>
            <w:rStyle w:val="Hyperlink"/>
          </w:rPr>
          <w:t>CEDAW/C/</w:t>
        </w:r>
        <w:r w:rsidRPr="002C7908">
          <w:rPr>
            <w:rStyle w:val="Hyperlink"/>
          </w:rPr>
          <w:t>U</w:t>
        </w:r>
        <w:r w:rsidRPr="002C7908">
          <w:rPr>
            <w:rStyle w:val="Hyperlink"/>
          </w:rPr>
          <w:t>ZB/6</w:t>
        </w:r>
      </w:hyperlink>
      <w:r w:rsidRPr="002C7908">
        <w:t>) на своих 1862-м и 1864-м заседаниях (</w:t>
      </w:r>
      <w:hyperlink r:id="rId19" w:history="1">
        <w:r w:rsidRPr="002C7908">
          <w:rPr>
            <w:rStyle w:val="Hyperlink"/>
          </w:rPr>
          <w:t>CEDA</w:t>
        </w:r>
        <w:r w:rsidRPr="002C7908">
          <w:rPr>
            <w:rStyle w:val="Hyperlink"/>
          </w:rPr>
          <w:t>W</w:t>
        </w:r>
        <w:r w:rsidRPr="002C7908">
          <w:rPr>
            <w:rStyle w:val="Hyperlink"/>
          </w:rPr>
          <w:t>/C/SR.1862</w:t>
        </w:r>
      </w:hyperlink>
      <w:r w:rsidRPr="002C7908">
        <w:t xml:space="preserve"> и </w:t>
      </w:r>
      <w:hyperlink r:id="rId20" w:history="1">
        <w:r w:rsidRPr="002C7908">
          <w:rPr>
            <w:rStyle w:val="Hyperlink"/>
          </w:rPr>
          <w:t>CEDAW/C/SR.1864</w:t>
        </w:r>
      </w:hyperlink>
      <w:r w:rsidRPr="002C7908">
        <w:t>), состоявшихся 15 и 16 февраля 2022</w:t>
      </w:r>
      <w:r w:rsidR="00CB672D">
        <w:t> год</w:t>
      </w:r>
      <w:r w:rsidRPr="002C7908">
        <w:t xml:space="preserve">а. Список тем и вопросов, поднятых предсессионной рабочей группой, содержится в документе </w:t>
      </w:r>
      <w:hyperlink r:id="rId21" w:history="1">
        <w:r w:rsidRPr="002C7908">
          <w:rPr>
            <w:rStyle w:val="Hyperlink"/>
          </w:rPr>
          <w:t>CEDAW/C/UZB/Q/6</w:t>
        </w:r>
      </w:hyperlink>
      <w:r w:rsidRPr="002C7908">
        <w:t>, а ответы Узбекистана</w:t>
      </w:r>
      <w:r w:rsidR="00B31995">
        <w:t> </w:t>
      </w:r>
      <w:r w:rsidR="00B31995" w:rsidRPr="009925D5">
        <w:rPr>
          <w:sz w:val="14"/>
          <w:szCs w:val="14"/>
        </w:rPr>
        <w:t>—</w:t>
      </w:r>
      <w:r w:rsidRPr="002C7908">
        <w:t xml:space="preserve"> в документе </w:t>
      </w:r>
      <w:hyperlink r:id="rId22" w:history="1">
        <w:r w:rsidRPr="002C7908">
          <w:rPr>
            <w:rStyle w:val="Hyperlink"/>
          </w:rPr>
          <w:t>CEDAW/C/UZB/RQ/6</w:t>
        </w:r>
      </w:hyperlink>
      <w:r w:rsidRPr="002C7908">
        <w:t>.</w:t>
      </w:r>
    </w:p>
    <w:p w14:paraId="23607874" w14:textId="46F9BF60" w:rsidR="00F236D9" w:rsidRPr="003D44FB" w:rsidRDefault="00F236D9" w:rsidP="00F236D9">
      <w:pPr>
        <w:pStyle w:val="SingleTxt"/>
        <w:spacing w:after="0" w:line="120" w:lineRule="exact"/>
        <w:rPr>
          <w:sz w:val="10"/>
        </w:rPr>
      </w:pPr>
    </w:p>
    <w:p w14:paraId="762F996B" w14:textId="1B1D8C05" w:rsidR="00F236D9" w:rsidRPr="003D44FB" w:rsidRDefault="00F236D9" w:rsidP="00F236D9">
      <w:pPr>
        <w:pStyle w:val="SingleTxt"/>
        <w:spacing w:after="0" w:line="120" w:lineRule="exact"/>
        <w:rPr>
          <w:sz w:val="10"/>
        </w:rPr>
      </w:pPr>
    </w:p>
    <w:p w14:paraId="315921BF" w14:textId="60C6D2D3" w:rsidR="002C7908" w:rsidRPr="003D44FB" w:rsidRDefault="00F236D9" w:rsidP="00F236D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="002C7908" w:rsidRPr="003D44FB">
        <w:t>A.</w:t>
      </w:r>
      <w:r w:rsidR="002C7908" w:rsidRPr="003D44FB">
        <w:tab/>
        <w:t>Введение</w:t>
      </w:r>
    </w:p>
    <w:p w14:paraId="4692D273" w14:textId="09A071E7" w:rsidR="00F236D9" w:rsidRPr="003D44FB" w:rsidRDefault="00F236D9" w:rsidP="00F236D9">
      <w:pPr>
        <w:pStyle w:val="SingleTxt"/>
        <w:spacing w:after="0" w:line="120" w:lineRule="exact"/>
        <w:rPr>
          <w:sz w:val="10"/>
        </w:rPr>
      </w:pPr>
    </w:p>
    <w:p w14:paraId="6B3E6283" w14:textId="53563340" w:rsidR="00F236D9" w:rsidRPr="003D44FB" w:rsidRDefault="00F236D9" w:rsidP="00F236D9">
      <w:pPr>
        <w:pStyle w:val="SingleTxt"/>
        <w:spacing w:after="0" w:line="120" w:lineRule="exact"/>
        <w:rPr>
          <w:sz w:val="10"/>
        </w:rPr>
      </w:pPr>
    </w:p>
    <w:p w14:paraId="43706E6F" w14:textId="390DB901" w:rsidR="002C7908" w:rsidRPr="002C7908" w:rsidRDefault="002C7908" w:rsidP="002C7908">
      <w:pPr>
        <w:pStyle w:val="SingleTxt"/>
      </w:pPr>
      <w:r w:rsidRPr="002C7908">
        <w:t>2.</w:t>
      </w:r>
      <w:r w:rsidRPr="002C7908">
        <w:tab/>
        <w:t>Комитет признателен государству-участнику за представление шестого периодического доклада. Он также признателен государству-участнику за представленный доклад о принятых мерах по выполнению предыдущих заключительных замечаний Комитета (</w:t>
      </w:r>
      <w:hyperlink r:id="rId23" w:history="1">
        <w:r w:rsidRPr="002C7908">
          <w:rPr>
            <w:rStyle w:val="Hyperlink"/>
            <w:lang w:val="en-GB"/>
          </w:rPr>
          <w:t>CEDAW</w:t>
        </w:r>
        <w:r w:rsidRPr="002C7908">
          <w:rPr>
            <w:rStyle w:val="Hyperlink"/>
          </w:rPr>
          <w:t>/</w:t>
        </w:r>
        <w:r w:rsidRPr="002C7908">
          <w:rPr>
            <w:rStyle w:val="Hyperlink"/>
            <w:lang w:val="en-GB"/>
          </w:rPr>
          <w:t>C</w:t>
        </w:r>
        <w:r w:rsidRPr="002C7908">
          <w:rPr>
            <w:rStyle w:val="Hyperlink"/>
          </w:rPr>
          <w:t>/</w:t>
        </w:r>
        <w:r w:rsidRPr="002C7908">
          <w:rPr>
            <w:rStyle w:val="Hyperlink"/>
            <w:lang w:val="en-GB"/>
          </w:rPr>
          <w:t>UZB</w:t>
        </w:r>
        <w:r w:rsidRPr="002C7908">
          <w:rPr>
            <w:rStyle w:val="Hyperlink"/>
          </w:rPr>
          <w:t>/</w:t>
        </w:r>
        <w:r w:rsidRPr="002C7908">
          <w:rPr>
            <w:rStyle w:val="Hyperlink"/>
            <w:lang w:val="en-GB"/>
          </w:rPr>
          <w:t>CO</w:t>
        </w:r>
        <w:r w:rsidRPr="002C7908">
          <w:rPr>
            <w:rStyle w:val="Hyperlink"/>
          </w:rPr>
          <w:t>/5/</w:t>
        </w:r>
        <w:r w:rsidRPr="002C7908">
          <w:rPr>
            <w:rStyle w:val="Hyperlink"/>
            <w:lang w:val="en-GB"/>
          </w:rPr>
          <w:t>Add</w:t>
        </w:r>
        <w:r w:rsidRPr="002C7908">
          <w:rPr>
            <w:rStyle w:val="Hyperlink"/>
          </w:rPr>
          <w:t>.1</w:t>
        </w:r>
      </w:hyperlink>
      <w:r w:rsidRPr="002C7908">
        <w:t>) и письменные ответы на перечень тем и вопросов, сформулированных предсессионной рабочей группой. Комитет приветствует устное выступление делегации и дополнительные разъяснения по вопросам, которые в ходе диалога в устной форме были заданы членами Комитета.</w:t>
      </w:r>
    </w:p>
    <w:p w14:paraId="4B496E31" w14:textId="6275418E" w:rsidR="002C7908" w:rsidRPr="003D44FB" w:rsidRDefault="002C7908" w:rsidP="002C7908">
      <w:pPr>
        <w:pStyle w:val="SingleTxt"/>
      </w:pPr>
      <w:r w:rsidRPr="002C7908">
        <w:t>3.</w:t>
      </w:r>
      <w:r w:rsidRPr="002C7908">
        <w:tab/>
      </w:r>
      <w:r w:rsidR="00F236D9" w:rsidRPr="003D44FB">
        <w:t>Комитет выражает государству-участнику признательность за направление межведомственной делегации, которую возглавил директор Национального центра по правам человека Акмал Саидов и в состав которой вошли представители парламента (Олий мажлис), Министерства иностранных дел, Министерства высшего и среднего специального образования, Министерства по поддержке махалли и семьи, Министерства занятости и трудовых отношений, Министерства внутренних дел, Министерства здравоохранения, Верховного суда, Генеральной прокуратуры и Постоянного представительства Узбекистана при Отделении Организации Объединенных Наций и других международных организациях в Женеве.</w:t>
      </w:r>
    </w:p>
    <w:p w14:paraId="502B6FF9" w14:textId="2D73805F" w:rsidR="00F236D9" w:rsidRPr="003D44FB" w:rsidRDefault="00F236D9" w:rsidP="00F236D9">
      <w:pPr>
        <w:pStyle w:val="SingleTxt"/>
        <w:spacing w:after="0" w:line="120" w:lineRule="exact"/>
        <w:rPr>
          <w:sz w:val="10"/>
        </w:rPr>
      </w:pPr>
    </w:p>
    <w:p w14:paraId="431078FB" w14:textId="69FDFF10" w:rsidR="00F236D9" w:rsidRPr="003D44FB" w:rsidRDefault="00F236D9" w:rsidP="00F236D9">
      <w:pPr>
        <w:pStyle w:val="SingleTxt"/>
        <w:spacing w:after="0" w:line="120" w:lineRule="exact"/>
        <w:rPr>
          <w:sz w:val="10"/>
        </w:rPr>
      </w:pPr>
    </w:p>
    <w:p w14:paraId="5B152DC8" w14:textId="0F969A7E" w:rsidR="002C7908" w:rsidRPr="003D44FB" w:rsidRDefault="00F236D9" w:rsidP="00F62332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lastRenderedPageBreak/>
        <w:tab/>
      </w:r>
      <w:r w:rsidR="002C7908" w:rsidRPr="003D44FB">
        <w:t>B.</w:t>
      </w:r>
      <w:r w:rsidR="002C7908" w:rsidRPr="003D44FB">
        <w:tab/>
        <w:t>Позитивные аспекты</w:t>
      </w:r>
    </w:p>
    <w:p w14:paraId="1FB17EEF" w14:textId="775F6246" w:rsidR="00F236D9" w:rsidRPr="003D44FB" w:rsidRDefault="00F236D9" w:rsidP="00F62332">
      <w:pPr>
        <w:pStyle w:val="SingleTxt"/>
        <w:keepNext/>
        <w:keepLines/>
        <w:spacing w:after="0" w:line="120" w:lineRule="exact"/>
        <w:rPr>
          <w:sz w:val="10"/>
        </w:rPr>
      </w:pPr>
    </w:p>
    <w:p w14:paraId="214A1443" w14:textId="31F8197E" w:rsidR="00F236D9" w:rsidRPr="003D44FB" w:rsidRDefault="00F236D9" w:rsidP="00F62332">
      <w:pPr>
        <w:pStyle w:val="SingleTxt"/>
        <w:keepNext/>
        <w:keepLines/>
        <w:spacing w:after="0" w:line="120" w:lineRule="exact"/>
        <w:rPr>
          <w:sz w:val="10"/>
        </w:rPr>
      </w:pPr>
    </w:p>
    <w:p w14:paraId="568A45A5" w14:textId="5E7F3A5F" w:rsidR="002C7908" w:rsidRPr="002C7908" w:rsidRDefault="002C7908" w:rsidP="00F62332">
      <w:pPr>
        <w:pStyle w:val="SingleTxt"/>
        <w:keepNext/>
        <w:keepLines/>
      </w:pPr>
      <w:r w:rsidRPr="002C7908">
        <w:t>4.</w:t>
      </w:r>
      <w:r w:rsidRPr="002C7908">
        <w:tab/>
        <w:t>Комитет приветствует прогресс, достигнутый со времени рассмотрения в 2015</w:t>
      </w:r>
      <w:r w:rsidR="00CB672D">
        <w:t> год</w:t>
      </w:r>
      <w:r w:rsidRPr="002C7908">
        <w:t>у предыдущего доклада государства-участника (</w:t>
      </w:r>
      <w:hyperlink r:id="rId24" w:history="1">
        <w:r w:rsidRPr="002C7908">
          <w:rPr>
            <w:rStyle w:val="Hyperlink"/>
          </w:rPr>
          <w:t>CEDAW/C/UZB/5</w:t>
        </w:r>
      </w:hyperlink>
      <w:r w:rsidRPr="002C7908">
        <w:t xml:space="preserve">) и касающийся проведения законодательных реформ, в частности принятие следующих нормативно-правовых актов: </w:t>
      </w:r>
    </w:p>
    <w:p w14:paraId="119EABAD" w14:textId="32DAC256" w:rsidR="002C7908" w:rsidRPr="002C7908" w:rsidRDefault="00F62332" w:rsidP="002C7908">
      <w:pPr>
        <w:pStyle w:val="SingleTxt"/>
      </w:pPr>
      <w:r w:rsidRPr="003D44FB">
        <w:tab/>
      </w:r>
      <w:r w:rsidR="002C7908" w:rsidRPr="002C7908">
        <w:t>a)</w:t>
      </w:r>
      <w:r w:rsidR="002C7908" w:rsidRPr="002C7908">
        <w:tab/>
      </w:r>
      <w:bookmarkStart w:id="1" w:name="_Hlk97715360"/>
      <w:r w:rsidR="002C7908" w:rsidRPr="002C7908">
        <w:t xml:space="preserve">Закон о гарантиях равных прав и возможностей для женщин и мужчин </w:t>
      </w:r>
      <w:bookmarkEnd w:id="1"/>
      <w:r w:rsidR="002C7908" w:rsidRPr="002C7908">
        <w:t>(в 2019</w:t>
      </w:r>
      <w:r w:rsidR="00CB672D">
        <w:t> год</w:t>
      </w:r>
      <w:r w:rsidR="002C7908" w:rsidRPr="002C7908">
        <w:t>у);</w:t>
      </w:r>
    </w:p>
    <w:p w14:paraId="0F2CD26F" w14:textId="73096B93" w:rsidR="002C7908" w:rsidRPr="002C7908" w:rsidRDefault="00F62332" w:rsidP="002C7908">
      <w:pPr>
        <w:pStyle w:val="SingleTxt"/>
      </w:pPr>
      <w:r w:rsidRPr="003D44FB">
        <w:tab/>
      </w:r>
      <w:r w:rsidR="002C7908" w:rsidRPr="002C7908">
        <w:t>b)</w:t>
      </w:r>
      <w:r w:rsidR="002C7908" w:rsidRPr="002C7908">
        <w:tab/>
        <w:t>Закон о защите женщин от притеснения и насилия (в 2019</w:t>
      </w:r>
      <w:r w:rsidR="00CB672D">
        <w:t> год</w:t>
      </w:r>
      <w:r w:rsidR="002C7908" w:rsidRPr="002C7908">
        <w:t>у);</w:t>
      </w:r>
    </w:p>
    <w:p w14:paraId="4591A3D9" w14:textId="41DC01A1" w:rsidR="002C7908" w:rsidRPr="002C7908" w:rsidRDefault="00F62332" w:rsidP="002C7908">
      <w:pPr>
        <w:pStyle w:val="SingleTxt"/>
      </w:pPr>
      <w:r w:rsidRPr="003D44FB">
        <w:tab/>
      </w:r>
      <w:r w:rsidR="002C7908" w:rsidRPr="002C7908">
        <w:t>c)</w:t>
      </w:r>
      <w:r w:rsidR="002C7908" w:rsidRPr="002C7908">
        <w:tab/>
        <w:t>Закон об охране репродуктивного здоровья граждан, в котором провозглашаются равные права и возможности для женщин и мужчин в реализации их репродуктивных прав (в 2019</w:t>
      </w:r>
      <w:r w:rsidR="00CB672D">
        <w:t> год</w:t>
      </w:r>
      <w:r w:rsidR="002C7908" w:rsidRPr="002C7908">
        <w:t>у);</w:t>
      </w:r>
    </w:p>
    <w:p w14:paraId="7F478628" w14:textId="565A6078" w:rsidR="002C7908" w:rsidRPr="002C7908" w:rsidRDefault="00F62332" w:rsidP="002C7908">
      <w:pPr>
        <w:pStyle w:val="SingleTxt"/>
      </w:pPr>
      <w:r w:rsidRPr="003D44FB">
        <w:tab/>
      </w:r>
      <w:r w:rsidR="002C7908" w:rsidRPr="002C7908">
        <w:t>d)</w:t>
      </w:r>
      <w:r w:rsidR="002C7908" w:rsidRPr="002C7908">
        <w:tab/>
        <w:t>Закон о противодействии торговле людьми (в 2020</w:t>
      </w:r>
      <w:r w:rsidR="00CB672D">
        <w:t> год</w:t>
      </w:r>
      <w:r w:rsidR="002C7908" w:rsidRPr="002C7908">
        <w:t>у);</w:t>
      </w:r>
    </w:p>
    <w:p w14:paraId="75F2B3EC" w14:textId="4C2ABEC1" w:rsidR="002C7908" w:rsidRPr="002C7908" w:rsidRDefault="00F62332" w:rsidP="002C7908">
      <w:pPr>
        <w:pStyle w:val="SingleTxt"/>
      </w:pPr>
      <w:r w:rsidRPr="003D44FB">
        <w:tab/>
      </w:r>
      <w:r w:rsidR="002C7908" w:rsidRPr="002C7908">
        <w:t>e)</w:t>
      </w:r>
      <w:r w:rsidR="002C7908" w:rsidRPr="002C7908">
        <w:tab/>
        <w:t>поправка к статье 15 Семейного кодекса, устанавливающая для женщин и мужчин минимальный возраст вступления в брак на уровне 18 лет (в</w:t>
      </w:r>
      <w:r w:rsidR="00AD0FD9">
        <w:t> </w:t>
      </w:r>
      <w:r w:rsidR="002C7908" w:rsidRPr="002C7908">
        <w:t>2019</w:t>
      </w:r>
      <w:r w:rsidR="00CB672D">
        <w:t> год</w:t>
      </w:r>
      <w:r w:rsidR="002C7908" w:rsidRPr="002C7908">
        <w:t>у);</w:t>
      </w:r>
    </w:p>
    <w:p w14:paraId="7AED6DA0" w14:textId="4C42CC5C" w:rsidR="002C7908" w:rsidRPr="002C7908" w:rsidRDefault="00F62332" w:rsidP="002C7908">
      <w:pPr>
        <w:pStyle w:val="SingleTxt"/>
      </w:pPr>
      <w:r w:rsidRPr="003D44FB">
        <w:tab/>
      </w:r>
      <w:r w:rsidR="002C7908" w:rsidRPr="002C7908">
        <w:t>f)</w:t>
      </w:r>
      <w:r w:rsidR="002C7908" w:rsidRPr="002C7908">
        <w:tab/>
        <w:t>избирательный закон, устанавливающий минимальную квоту в 30</w:t>
      </w:r>
      <w:r w:rsidR="00AD0FD9">
        <w:t> </w:t>
      </w:r>
      <w:r w:rsidR="002C7908" w:rsidRPr="002C7908">
        <w:t>процентов для женщин-кандидатов, выдвигаемых на национальных выборах (в 2019</w:t>
      </w:r>
      <w:r w:rsidR="00CB672D">
        <w:t> год</w:t>
      </w:r>
      <w:r w:rsidR="002C7908" w:rsidRPr="002C7908">
        <w:t>у).</w:t>
      </w:r>
    </w:p>
    <w:p w14:paraId="01938DF0" w14:textId="77777777" w:rsidR="002C7908" w:rsidRPr="002C7908" w:rsidRDefault="002C7908" w:rsidP="002C7908">
      <w:pPr>
        <w:pStyle w:val="SingleTxt"/>
      </w:pPr>
      <w:r w:rsidRPr="002C7908">
        <w:t>5.</w:t>
      </w:r>
      <w:r w:rsidRPr="002C7908">
        <w:tab/>
        <w:t xml:space="preserve">Комитет приветствует усилия государства-участника по совершенствованию своей институциональной и нормативно-правовой базы, направленные на ускорение процесса ликвидации дискриминации в отношении женщин и содействие обеспечению гендерного равенства, и в частности принятие следующих документов: </w:t>
      </w:r>
    </w:p>
    <w:p w14:paraId="14B8D894" w14:textId="38CBD3A3" w:rsidR="002C7908" w:rsidRPr="002C7908" w:rsidRDefault="00F62332" w:rsidP="002C7908">
      <w:pPr>
        <w:pStyle w:val="SingleTxt"/>
      </w:pPr>
      <w:r w:rsidRPr="003D44FB">
        <w:tab/>
      </w:r>
      <w:r w:rsidR="002C7908" w:rsidRPr="002C7908">
        <w:t>a)</w:t>
      </w:r>
      <w:r w:rsidR="002C7908" w:rsidRPr="002C7908">
        <w:tab/>
        <w:t>Стратегия достижения гендерного равенства на период 2020</w:t>
      </w:r>
      <w:r w:rsidR="008B7D85">
        <w:t>–</w:t>
      </w:r>
      <w:r w:rsidR="002C7908" w:rsidRPr="002C7908">
        <w:t>2030</w:t>
      </w:r>
      <w:r w:rsidR="00CB672D">
        <w:t> год</w:t>
      </w:r>
      <w:r w:rsidR="002C7908" w:rsidRPr="002C7908">
        <w:t>ов (в 2021</w:t>
      </w:r>
      <w:r w:rsidR="00CB672D">
        <w:t> год</w:t>
      </w:r>
      <w:r w:rsidR="002C7908" w:rsidRPr="002C7908">
        <w:t>у);</w:t>
      </w:r>
    </w:p>
    <w:p w14:paraId="12595593" w14:textId="6C183A19" w:rsidR="002C7908" w:rsidRPr="002C7908" w:rsidRDefault="00F62332" w:rsidP="002C7908">
      <w:pPr>
        <w:pStyle w:val="SingleTxt"/>
      </w:pPr>
      <w:r w:rsidRPr="003D44FB">
        <w:tab/>
      </w:r>
      <w:r w:rsidR="002C7908" w:rsidRPr="002C7908">
        <w:t>b)</w:t>
      </w:r>
      <w:r w:rsidR="002C7908" w:rsidRPr="002C7908">
        <w:tab/>
        <w:t>Национальная стратегия по правам человека (в 2020</w:t>
      </w:r>
      <w:r w:rsidR="00CB672D">
        <w:t> год</w:t>
      </w:r>
      <w:r w:rsidR="002C7908" w:rsidRPr="002C7908">
        <w:t>у);</w:t>
      </w:r>
    </w:p>
    <w:p w14:paraId="0834A30A" w14:textId="7164F19C" w:rsidR="002C7908" w:rsidRPr="002C7908" w:rsidRDefault="00F62332" w:rsidP="002C7908">
      <w:pPr>
        <w:pStyle w:val="SingleTxt"/>
      </w:pPr>
      <w:r w:rsidRPr="003D44FB">
        <w:tab/>
      </w:r>
      <w:r w:rsidR="002C7908" w:rsidRPr="002C7908">
        <w:t>c)</w:t>
      </w:r>
      <w:r w:rsidR="002C7908" w:rsidRPr="002C7908">
        <w:tab/>
        <w:t>создание «Железной тетради», «Женской тетради» и «Молодежной тетради» для выявления и поддержки неблагополучных семей и нуждающихся лиц, включая женщин и девочек, в частности во время пандемии коронавирусного заболевания (COVID-19) (в 2020</w:t>
      </w:r>
      <w:r w:rsidR="00CB672D">
        <w:t> год</w:t>
      </w:r>
      <w:r w:rsidR="002C7908" w:rsidRPr="002C7908">
        <w:t>у);</w:t>
      </w:r>
    </w:p>
    <w:p w14:paraId="665F5C0F" w14:textId="39CB0805" w:rsidR="002C7908" w:rsidRPr="002C7908" w:rsidRDefault="00F62332" w:rsidP="002C7908">
      <w:pPr>
        <w:pStyle w:val="SingleTxt"/>
      </w:pPr>
      <w:r w:rsidRPr="003D44FB">
        <w:tab/>
      </w:r>
      <w:r w:rsidR="002C7908" w:rsidRPr="002C7908">
        <w:t>d)</w:t>
      </w:r>
      <w:r w:rsidR="002C7908" w:rsidRPr="002C7908">
        <w:tab/>
        <w:t>План действий по выполнению заключительных замечаний Комитета по пятому периодическому докладу Узбекистана (в 2017</w:t>
      </w:r>
      <w:r w:rsidR="00CB672D">
        <w:t> год</w:t>
      </w:r>
      <w:r w:rsidR="002C7908" w:rsidRPr="002C7908">
        <w:t>у).</w:t>
      </w:r>
    </w:p>
    <w:p w14:paraId="735B8E17" w14:textId="316B7836" w:rsidR="002C7908" w:rsidRPr="003D44FB" w:rsidRDefault="002C7908" w:rsidP="002C7908">
      <w:pPr>
        <w:pStyle w:val="SingleTxt"/>
      </w:pPr>
      <w:r w:rsidRPr="002C7908">
        <w:t>6.</w:t>
      </w:r>
      <w:r w:rsidRPr="002C7908">
        <w:tab/>
        <w:t>Комитет приветствует тот факт, что в период после рассмотрения предыдущего доклада государство-участник ратифицировало Конвенцию о правах инвалидов (в 2021</w:t>
      </w:r>
      <w:r w:rsidR="00CB672D">
        <w:t> год</w:t>
      </w:r>
      <w:r w:rsidRPr="002C7908">
        <w:t>у).</w:t>
      </w:r>
    </w:p>
    <w:p w14:paraId="77BBCA19" w14:textId="7A452541" w:rsidR="00F62332" w:rsidRPr="003D44FB" w:rsidRDefault="00F62332" w:rsidP="00F62332">
      <w:pPr>
        <w:pStyle w:val="SingleTxt"/>
        <w:spacing w:after="0" w:line="120" w:lineRule="exact"/>
        <w:rPr>
          <w:sz w:val="10"/>
        </w:rPr>
      </w:pPr>
    </w:p>
    <w:p w14:paraId="49B31856" w14:textId="76B98078" w:rsidR="00F62332" w:rsidRPr="003D44FB" w:rsidRDefault="00F62332" w:rsidP="00F62332">
      <w:pPr>
        <w:pStyle w:val="SingleTxt"/>
        <w:spacing w:after="0" w:line="120" w:lineRule="exact"/>
        <w:rPr>
          <w:sz w:val="10"/>
        </w:rPr>
      </w:pPr>
    </w:p>
    <w:p w14:paraId="1A66FA66" w14:textId="24902D62" w:rsidR="002C7908" w:rsidRPr="003D44FB" w:rsidRDefault="00F62332" w:rsidP="00F6233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="002C7908" w:rsidRPr="003D44FB">
        <w:t>C.</w:t>
      </w:r>
      <w:r w:rsidR="002C7908" w:rsidRPr="003D44FB">
        <w:tab/>
        <w:t>Цели в области устойчивого развития</w:t>
      </w:r>
    </w:p>
    <w:p w14:paraId="4A29DF25" w14:textId="4362606A" w:rsidR="00F62332" w:rsidRPr="003D44FB" w:rsidRDefault="00F62332" w:rsidP="00F62332">
      <w:pPr>
        <w:pStyle w:val="SingleTxt"/>
        <w:spacing w:after="0" w:line="120" w:lineRule="exact"/>
        <w:rPr>
          <w:sz w:val="10"/>
        </w:rPr>
      </w:pPr>
    </w:p>
    <w:p w14:paraId="30199169" w14:textId="5FEC26E2" w:rsidR="00F62332" w:rsidRPr="003D44FB" w:rsidRDefault="00F62332" w:rsidP="00F62332">
      <w:pPr>
        <w:pStyle w:val="SingleTxt"/>
        <w:spacing w:after="0" w:line="120" w:lineRule="exact"/>
        <w:rPr>
          <w:sz w:val="10"/>
        </w:rPr>
      </w:pPr>
    </w:p>
    <w:p w14:paraId="7BA0E036" w14:textId="000D3F99" w:rsidR="002C7908" w:rsidRPr="002C7908" w:rsidRDefault="002C7908" w:rsidP="002C7908">
      <w:pPr>
        <w:pStyle w:val="SingleTxt"/>
        <w:rPr>
          <w:b/>
          <w:bCs/>
        </w:rPr>
      </w:pPr>
      <w:r w:rsidRPr="002C7908">
        <w:t>7.</w:t>
      </w:r>
      <w:r w:rsidRPr="002C7908">
        <w:tab/>
      </w:r>
      <w:r w:rsidRPr="002C7908">
        <w:rPr>
          <w:b/>
          <w:bCs/>
        </w:rPr>
        <w:t>Комитет приветствует международную поддержку целей в области устойчивого развития и призывает к обеспечению гендерного равенства де</w:t>
      </w:r>
      <w:r w:rsidR="008B7D85">
        <w:rPr>
          <w:b/>
          <w:bCs/>
        </w:rPr>
        <w:noBreakHyphen/>
      </w:r>
      <w:r w:rsidRPr="002C7908">
        <w:rPr>
          <w:b/>
          <w:bCs/>
        </w:rPr>
        <w:t>юре (на законодательном уровне) и де-факто (на практике) в соответствии с положениями Конвенции о ликвидации всех форм дискриминации в отношении женщин на протяжении всего процесса осуществления Повестки дня в области устойчивого развития на период до 2030</w:t>
      </w:r>
      <w:r w:rsidR="00CB672D">
        <w:rPr>
          <w:b/>
          <w:bCs/>
        </w:rPr>
        <w:t> год</w:t>
      </w:r>
      <w:r w:rsidRPr="002C7908">
        <w:rPr>
          <w:b/>
          <w:bCs/>
        </w:rPr>
        <w:t xml:space="preserve">а. Комитет напоминает о важности цели 5 в области устойчивого развития и необходимости учитывать принципы равенства и недискриминации в процессе достижения всех 17 целей. Он настоятельно призывает государство-участник </w:t>
      </w:r>
      <w:r w:rsidRPr="002C7908">
        <w:rPr>
          <w:b/>
          <w:bCs/>
        </w:rPr>
        <w:lastRenderedPageBreak/>
        <w:t>признать, что женщины являются движущей силой его устойчивого развития, и принять в этой связи соответствующие программы и стратегии.</w:t>
      </w:r>
    </w:p>
    <w:p w14:paraId="2380926B" w14:textId="77777777" w:rsidR="00F62332" w:rsidRPr="003D44FB" w:rsidRDefault="00F62332" w:rsidP="00F62332">
      <w:pPr>
        <w:pStyle w:val="SingleTxt"/>
        <w:spacing w:after="0" w:line="120" w:lineRule="exact"/>
        <w:rPr>
          <w:b/>
          <w:bCs/>
          <w:sz w:val="10"/>
        </w:rPr>
      </w:pPr>
    </w:p>
    <w:p w14:paraId="74821B3B" w14:textId="77777777" w:rsidR="00F62332" w:rsidRPr="003D44FB" w:rsidRDefault="00F62332" w:rsidP="00F62332">
      <w:pPr>
        <w:pStyle w:val="SingleTxt"/>
        <w:spacing w:after="0" w:line="120" w:lineRule="exact"/>
        <w:rPr>
          <w:b/>
          <w:bCs/>
          <w:sz w:val="10"/>
        </w:rPr>
      </w:pPr>
    </w:p>
    <w:p w14:paraId="062333DB" w14:textId="04338C61" w:rsidR="002C7908" w:rsidRPr="003D44FB" w:rsidRDefault="00F62332" w:rsidP="00F6233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="002C7908" w:rsidRPr="003D44FB">
        <w:t>D.</w:t>
      </w:r>
      <w:r w:rsidR="002C7908" w:rsidRPr="003D44FB">
        <w:tab/>
        <w:t>Парламент</w:t>
      </w:r>
    </w:p>
    <w:p w14:paraId="489D1BA3" w14:textId="4E3A111C" w:rsidR="00F62332" w:rsidRPr="003D44FB" w:rsidRDefault="00F62332" w:rsidP="00F62332">
      <w:pPr>
        <w:pStyle w:val="SingleTxt"/>
        <w:spacing w:after="0" w:line="120" w:lineRule="exact"/>
        <w:rPr>
          <w:sz w:val="10"/>
        </w:rPr>
      </w:pPr>
    </w:p>
    <w:p w14:paraId="24AF314C" w14:textId="7002E714" w:rsidR="00F62332" w:rsidRPr="003D44FB" w:rsidRDefault="00F62332" w:rsidP="00F62332">
      <w:pPr>
        <w:pStyle w:val="SingleTxt"/>
        <w:spacing w:after="0" w:line="120" w:lineRule="exact"/>
        <w:rPr>
          <w:sz w:val="10"/>
        </w:rPr>
      </w:pPr>
    </w:p>
    <w:p w14:paraId="0F890299" w14:textId="51EF34A3" w:rsidR="002C7908" w:rsidRPr="002C7908" w:rsidRDefault="002C7908" w:rsidP="002C7908">
      <w:pPr>
        <w:pStyle w:val="SingleTxt"/>
        <w:rPr>
          <w:b/>
          <w:bCs/>
        </w:rPr>
      </w:pPr>
      <w:r w:rsidRPr="002C7908">
        <w:t>8.</w:t>
      </w:r>
      <w:r w:rsidRPr="002C7908">
        <w:rPr>
          <w:b/>
          <w:bCs/>
        </w:rPr>
        <w:tab/>
        <w:t>Комитет подчеркивает важнейшую роль законодательной власти в обеспечении полного осуществления Конвенции (см.</w:t>
      </w:r>
      <w:r w:rsidR="001370EA">
        <w:rPr>
          <w:b/>
          <w:bCs/>
        </w:rPr>
        <w:t> </w:t>
      </w:r>
      <w:r w:rsidRPr="002C7908">
        <w:rPr>
          <w:b/>
          <w:bCs/>
        </w:rPr>
        <w:t>документ</w:t>
      </w:r>
      <w:r w:rsidR="00CB672D">
        <w:rPr>
          <w:b/>
          <w:bCs/>
        </w:rPr>
        <w:t> </w:t>
      </w:r>
      <w:hyperlink r:id="rId25" w:history="1">
        <w:r w:rsidRPr="002C7908">
          <w:rPr>
            <w:rStyle w:val="Hyperlink"/>
            <w:b/>
            <w:bCs/>
          </w:rPr>
          <w:t>A/65/38</w:t>
        </w:r>
      </w:hyperlink>
      <w:r w:rsidRPr="002C7908">
        <w:rPr>
          <w:b/>
          <w:bCs/>
        </w:rPr>
        <w:t>, часть вторая, приложение</w:t>
      </w:r>
      <w:r w:rsidR="00CB672D">
        <w:rPr>
          <w:b/>
          <w:bCs/>
        </w:rPr>
        <w:t> </w:t>
      </w:r>
      <w:r w:rsidRPr="002C7908">
        <w:rPr>
          <w:b/>
          <w:bCs/>
        </w:rPr>
        <w:t>VI). Согласно своему мандату, он предлагает Олий мажлису принять необходимые меры к тому, чтобы согласно Конвенции в период до представления следующего периодического доклада выполнить настоящие заключительные замечания.</w:t>
      </w:r>
    </w:p>
    <w:p w14:paraId="1635573D" w14:textId="3FE3D933" w:rsidR="002C7908" w:rsidRPr="003D44FB" w:rsidRDefault="002C7908" w:rsidP="00F62332">
      <w:pPr>
        <w:pStyle w:val="SingleTxt"/>
        <w:spacing w:after="0" w:line="120" w:lineRule="exact"/>
        <w:rPr>
          <w:b/>
          <w:bCs/>
          <w:sz w:val="10"/>
        </w:rPr>
      </w:pPr>
    </w:p>
    <w:p w14:paraId="23105A09" w14:textId="455AE34F" w:rsidR="00F62332" w:rsidRPr="003D44FB" w:rsidRDefault="00F62332" w:rsidP="00F62332">
      <w:pPr>
        <w:pStyle w:val="SingleTxt"/>
        <w:spacing w:after="0" w:line="120" w:lineRule="exact"/>
        <w:rPr>
          <w:b/>
          <w:bCs/>
          <w:sz w:val="10"/>
        </w:rPr>
      </w:pPr>
    </w:p>
    <w:p w14:paraId="6D1D063A" w14:textId="17A0668D" w:rsidR="002C7908" w:rsidRPr="003D44FB" w:rsidRDefault="00F62332" w:rsidP="00F6233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="002C7908" w:rsidRPr="003D44FB">
        <w:t>E.</w:t>
      </w:r>
      <w:r w:rsidR="002C7908" w:rsidRPr="003D44FB">
        <w:tab/>
        <w:t xml:space="preserve"> Основные проблемы и рекомендации</w:t>
      </w:r>
    </w:p>
    <w:p w14:paraId="7F8AEFE2" w14:textId="1021A7F1" w:rsidR="00F62332" w:rsidRPr="003D44FB" w:rsidRDefault="00F62332" w:rsidP="00F62332">
      <w:pPr>
        <w:pStyle w:val="SingleTxt"/>
        <w:spacing w:after="0" w:line="120" w:lineRule="exact"/>
        <w:rPr>
          <w:sz w:val="10"/>
        </w:rPr>
      </w:pPr>
    </w:p>
    <w:p w14:paraId="76347F52" w14:textId="57056486" w:rsidR="00F62332" w:rsidRPr="003D44FB" w:rsidRDefault="00F62332" w:rsidP="00F62332">
      <w:pPr>
        <w:pStyle w:val="SingleTxt"/>
        <w:spacing w:after="0" w:line="120" w:lineRule="exact"/>
        <w:rPr>
          <w:sz w:val="10"/>
        </w:rPr>
      </w:pPr>
    </w:p>
    <w:p w14:paraId="0D84C08E" w14:textId="77777777" w:rsidR="002C7908" w:rsidRPr="003D44FB" w:rsidRDefault="002C7908" w:rsidP="00F6233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Законодательная база</w:t>
      </w:r>
    </w:p>
    <w:p w14:paraId="38DBC733" w14:textId="62F60BC6" w:rsidR="002C7908" w:rsidRPr="003D44FB" w:rsidRDefault="002C7908" w:rsidP="00F62332">
      <w:pPr>
        <w:pStyle w:val="SingleTxt"/>
        <w:spacing w:after="0" w:line="120" w:lineRule="exact"/>
        <w:rPr>
          <w:b/>
          <w:bCs/>
          <w:sz w:val="10"/>
        </w:rPr>
      </w:pPr>
    </w:p>
    <w:p w14:paraId="6275D188" w14:textId="0736B54A" w:rsidR="002C7908" w:rsidRPr="002C7908" w:rsidRDefault="002C7908" w:rsidP="002C7908">
      <w:pPr>
        <w:pStyle w:val="SingleTxt"/>
      </w:pPr>
      <w:r w:rsidRPr="002C7908">
        <w:t>9.</w:t>
      </w:r>
      <w:r w:rsidRPr="002C7908">
        <w:tab/>
        <w:t>Комитет приветствует прогресс, который был достигнут государством-участником в деле разработки прогрессивной национальной законодательной базы для защиты прав женщин и поощрения гендерного равенства с момента рассмотрения его пятого периодического доклада в 2015</w:t>
      </w:r>
      <w:r w:rsidR="00CB672D">
        <w:t> год</w:t>
      </w:r>
      <w:r w:rsidRPr="002C7908">
        <w:t>у. Поскольку многие важные законодательные акты были приняты недавно, Комитет считает, что трудно хронологически оценить прогресс и тенденции с точки зрения фактического положения женщин и осуществления ими прав человека во всех областях, охватываемых Конвенцией. Комитет отмечает, что определение дискриминации, содержащееся в Законе о гарантиях равных прав и возможностей для женщин и мужчин от 2019</w:t>
      </w:r>
      <w:r w:rsidR="00CB672D">
        <w:t> год</w:t>
      </w:r>
      <w:r w:rsidRPr="002C7908">
        <w:t>а, охватывает прямую и косвенную дискриминацию по признаку пола. Тем не менее, он с озабоченностью отмечает, что это определение не охватывает перекрестные формы дискриминации. Комитет также с озабоченностью отмечает, что Конвенция напрямую не применялась и не упоминалась в судебных разбирательствах, несмотря на существующие положения, обеспечивающие приоритет международных договоров над национальным законодательством, и соответствующее повышение квалификации судей и адвокатов. Комитет также обеспокоен тем, что государство-участник сделало оговорку к статье</w:t>
      </w:r>
      <w:r w:rsidR="00CB672D">
        <w:t> </w:t>
      </w:r>
      <w:r w:rsidRPr="002C7908">
        <w:t>12 недавно ратифицированной Конвенции о правах инвалидов, сохранив практику замещающего принятия решений; этот шаг противоречит предмету и цели Конвенции о ликвидации всех форм дискриминации в отношении женщин, закрепленным в статье</w:t>
      </w:r>
      <w:r w:rsidR="00CB672D">
        <w:t> </w:t>
      </w:r>
      <w:r w:rsidRPr="002C7908">
        <w:t>1, и не позволяет государству-участнику в полной мере осуществлять и учитывать все права человека женщин и девочек, имеющих инвалидность, в соответствии с правозащитной моделью инвалидности.</w:t>
      </w:r>
    </w:p>
    <w:p w14:paraId="5CF43EB9" w14:textId="77777777" w:rsidR="002C7908" w:rsidRPr="002C7908" w:rsidRDefault="002C7908" w:rsidP="002C7908">
      <w:pPr>
        <w:pStyle w:val="SingleTxt"/>
        <w:rPr>
          <w:b/>
          <w:bCs/>
        </w:rPr>
      </w:pPr>
      <w:r w:rsidRPr="002C7908">
        <w:t>10.</w:t>
      </w:r>
      <w:r w:rsidRPr="002C7908">
        <w:tab/>
      </w:r>
      <w:r w:rsidRPr="002C7908">
        <w:rPr>
          <w:b/>
          <w:bCs/>
        </w:rPr>
        <w:t>Комитет рекомендует государству-участнику:</w:t>
      </w:r>
    </w:p>
    <w:p w14:paraId="211723C3" w14:textId="60709E81" w:rsidR="002C7908" w:rsidRPr="002C7908" w:rsidRDefault="00F62332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a)</w:t>
      </w:r>
      <w:r w:rsidR="002C7908" w:rsidRPr="002C7908">
        <w:tab/>
      </w:r>
      <w:r w:rsidR="002C7908" w:rsidRPr="002C7908">
        <w:rPr>
          <w:b/>
          <w:bCs/>
        </w:rPr>
        <w:t>активизировать усилия по применению национальной законодательной базы для защиты прав женщин и поощрения гендерного равенства;</w:t>
      </w:r>
    </w:p>
    <w:p w14:paraId="0FC3C08A" w14:textId="5B7DB7EB" w:rsidR="002C7908" w:rsidRPr="002C7908" w:rsidRDefault="00F62332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b)</w:t>
      </w:r>
      <w:r w:rsidR="002C7908" w:rsidRPr="002C7908">
        <w:tab/>
      </w:r>
      <w:r w:rsidR="002C7908" w:rsidRPr="002C7908">
        <w:rPr>
          <w:b/>
          <w:bCs/>
        </w:rPr>
        <w:t xml:space="preserve">принять в соответствии со статьей 1 Конвенции всеобъемлющее антидискриминационное законодательство с определением дискриминации в отношении женщин, которое охватывает прямую и косвенную дискриминацию в государственной и частной сферах, а также пересекающиеся формы дискриминации; </w:t>
      </w:r>
    </w:p>
    <w:p w14:paraId="63BE39A9" w14:textId="01059249" w:rsidR="002C7908" w:rsidRPr="002C7908" w:rsidRDefault="00F62332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c)</w:t>
      </w:r>
      <w:r w:rsidR="002C7908" w:rsidRPr="002C7908">
        <w:tab/>
      </w:r>
      <w:r w:rsidR="002C7908" w:rsidRPr="002C7908">
        <w:rPr>
          <w:b/>
          <w:bCs/>
        </w:rPr>
        <w:t>повышать квалификацию сотрудников судебных органов и специалистов в области права в отношении прямого применения и использования Конвенции в судебных разбирательствах и толкования национального законодательства в свете Конвенции;</w:t>
      </w:r>
    </w:p>
    <w:p w14:paraId="13B6E5D5" w14:textId="11E5EA64" w:rsidR="002C7908" w:rsidRPr="003D44FB" w:rsidRDefault="00F62332" w:rsidP="002C7908">
      <w:pPr>
        <w:pStyle w:val="SingleTxt"/>
        <w:rPr>
          <w:b/>
          <w:bCs/>
        </w:rPr>
      </w:pPr>
      <w:r w:rsidRPr="003D44FB">
        <w:lastRenderedPageBreak/>
        <w:tab/>
      </w:r>
      <w:r w:rsidR="002C7908" w:rsidRPr="002C7908">
        <w:t>d)</w:t>
      </w:r>
      <w:r w:rsidR="002C7908" w:rsidRPr="002C7908">
        <w:tab/>
      </w:r>
      <w:r w:rsidR="002C7908" w:rsidRPr="002C7908">
        <w:rPr>
          <w:b/>
          <w:bCs/>
        </w:rPr>
        <w:t>снять свою оговорку к статье</w:t>
      </w:r>
      <w:r w:rsidR="00CB672D">
        <w:rPr>
          <w:b/>
          <w:bCs/>
        </w:rPr>
        <w:t> </w:t>
      </w:r>
      <w:r w:rsidR="002C7908" w:rsidRPr="002C7908">
        <w:rPr>
          <w:b/>
          <w:bCs/>
        </w:rPr>
        <w:t>12 Конвенции о правах инвалидов.</w:t>
      </w:r>
    </w:p>
    <w:p w14:paraId="547A948B" w14:textId="7DA171E2" w:rsidR="00F62332" w:rsidRPr="003D44FB" w:rsidRDefault="00F62332" w:rsidP="00F62332">
      <w:pPr>
        <w:pStyle w:val="SingleTxt"/>
        <w:spacing w:after="0" w:line="120" w:lineRule="exact"/>
        <w:rPr>
          <w:b/>
          <w:bCs/>
          <w:sz w:val="10"/>
        </w:rPr>
      </w:pPr>
    </w:p>
    <w:p w14:paraId="6A9BE342" w14:textId="041E34B3" w:rsidR="002C7908" w:rsidRPr="003D44FB" w:rsidRDefault="002C7908" w:rsidP="00F6233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Доступ к правосудию</w:t>
      </w:r>
    </w:p>
    <w:p w14:paraId="15D86530" w14:textId="29AE91B8" w:rsidR="00F62332" w:rsidRPr="003D44FB" w:rsidRDefault="00F62332" w:rsidP="00F62332">
      <w:pPr>
        <w:pStyle w:val="SingleTxt"/>
        <w:spacing w:after="0" w:line="120" w:lineRule="exact"/>
        <w:rPr>
          <w:sz w:val="10"/>
        </w:rPr>
      </w:pPr>
    </w:p>
    <w:p w14:paraId="796A54BB" w14:textId="70CFC453" w:rsidR="002C7908" w:rsidRPr="002C7908" w:rsidRDefault="002C7908" w:rsidP="002C7908">
      <w:pPr>
        <w:pStyle w:val="SingleTxt"/>
      </w:pPr>
      <w:r w:rsidRPr="002C7908">
        <w:t>11.</w:t>
      </w:r>
      <w:r w:rsidRPr="002C7908">
        <w:tab/>
        <w:t>Комитет отмечает, что обзор законодательства, начатый в 2018</w:t>
      </w:r>
      <w:r w:rsidR="00CB672D">
        <w:t> год</w:t>
      </w:r>
      <w:r w:rsidRPr="002C7908">
        <w:t>у, укрепил судебную систему и повысил прозрачность судебных процедур, что была разработана система электронного правосудия и что появилась возможность подачи исков в электронном виде, оплаты услуг через Интернет и участия в видеоконференциях; благодаря этому в сельских районах был расширен доступ к правосудию. При этом он с озабоченностью отмечает, что на пути доступа женщин и девочек к правосудию сохраняются барьеры, включая ограниченность знаний о своих правах и имеющихся средствах правовой защиты для их отстаивания, ограниченность возможностей сотрудников судебных и правоохранительных органов по применению Конвенции о ликвидации всех форм дискриминации в отношении женщин, а также гендерные предрассудки в судебной сфере, сохраняющиеся гендерные стереотипы и использование в махаллях процедур примирения в случаях гендерного насилия в отношении женщин.</w:t>
      </w:r>
    </w:p>
    <w:p w14:paraId="7F419080" w14:textId="41E5C48B" w:rsidR="002C7908" w:rsidRPr="002C7908" w:rsidRDefault="002C7908" w:rsidP="002C7908">
      <w:pPr>
        <w:pStyle w:val="SingleTxt"/>
        <w:rPr>
          <w:b/>
          <w:bCs/>
        </w:rPr>
      </w:pPr>
      <w:r w:rsidRPr="002C7908">
        <w:t>12.</w:t>
      </w:r>
      <w:r w:rsidRPr="002C7908">
        <w:tab/>
      </w:r>
      <w:r w:rsidRPr="002C7908">
        <w:rPr>
          <w:b/>
          <w:bCs/>
        </w:rPr>
        <w:t xml:space="preserve">Ссылаясь на свою общую рекомендацию </w:t>
      </w:r>
      <w:r w:rsidR="00CB672D" w:rsidRPr="00CB672D">
        <w:rPr>
          <w:b/>
          <w:bCs/>
        </w:rPr>
        <w:t>№ 33 (2015)</w:t>
      </w:r>
      <w:r w:rsidRPr="002C7908">
        <w:rPr>
          <w:b/>
          <w:bCs/>
        </w:rPr>
        <w:t xml:space="preserve"> о доступе женщин к правосудию, Комитет рекомендует государству-участнику устранить барьеры, препятствующие доступу женщин и девочек к правосудию, в том числе путем принятия следующих мер:</w:t>
      </w:r>
    </w:p>
    <w:p w14:paraId="11518766" w14:textId="2917DBE9" w:rsidR="002C7908" w:rsidRPr="002C7908" w:rsidRDefault="00F62332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a)</w:t>
      </w:r>
      <w:r w:rsidR="002C7908" w:rsidRPr="002C7908">
        <w:tab/>
      </w:r>
      <w:r w:rsidR="002C7908" w:rsidRPr="002C7908">
        <w:rPr>
          <w:b/>
          <w:bCs/>
        </w:rPr>
        <w:t>проведение учебной подготовки по вопросам судопроизводства и информационных кампаний, призванных искоренить гендерные предрассудки в судебной сфере и устойчивые гендерные стереотипы, а также обеспечить приоритет судебного преследования над процедурами примирения в махаллях в случаях гендерного насилия в отношении женщин;</w:t>
      </w:r>
    </w:p>
    <w:p w14:paraId="7FC40222" w14:textId="22C1F3E1" w:rsidR="002C7908" w:rsidRPr="002C7908" w:rsidRDefault="00F62332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b)</w:t>
      </w:r>
      <w:r w:rsidR="002C7908" w:rsidRPr="002C7908">
        <w:tab/>
      </w:r>
      <w:r w:rsidR="002C7908" w:rsidRPr="002C7908">
        <w:rPr>
          <w:b/>
          <w:bCs/>
        </w:rPr>
        <w:t>повышение осведомленности женщин и девочек, в том числе в сельских районах, об имеющихся средствах правовой защиты для предъявления претензий по поводу нарушения их прав;</w:t>
      </w:r>
    </w:p>
    <w:p w14:paraId="1D92C764" w14:textId="05B5C374" w:rsidR="002C7908" w:rsidRPr="002C7908" w:rsidRDefault="00F62332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c)</w:t>
      </w:r>
      <w:r w:rsidR="002C7908" w:rsidRPr="002C7908">
        <w:tab/>
      </w:r>
      <w:r w:rsidR="002C7908" w:rsidRPr="002C7908">
        <w:rPr>
          <w:b/>
          <w:bCs/>
        </w:rPr>
        <w:t>повышение осведомленности среди религиозных лидеров и общественных деятелей о необходимости прекратить стигматизацию женщин, заявляющих о своих правах, и проведение учебных занятий по вопросам прав женщин и гендерного равенства для работников судебной системы, полиции и других правоохранительных органов, с тем чтобы искоренить патриархальные взгляды, дискриминационные гендерные стереотипы и предубеждения в судебной сфере против женщин, заявляющих о своих правах.</w:t>
      </w:r>
    </w:p>
    <w:p w14:paraId="22F816AE" w14:textId="135C37EA" w:rsidR="002C7908" w:rsidRPr="003D44FB" w:rsidRDefault="002C7908" w:rsidP="00F62332">
      <w:pPr>
        <w:pStyle w:val="SingleTxt"/>
        <w:spacing w:after="0" w:line="120" w:lineRule="exact"/>
        <w:rPr>
          <w:b/>
          <w:bCs/>
          <w:sz w:val="10"/>
        </w:rPr>
      </w:pPr>
    </w:p>
    <w:p w14:paraId="228AD267" w14:textId="5543B684" w:rsidR="002C7908" w:rsidRPr="003D44FB" w:rsidRDefault="00F62332" w:rsidP="00F6233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</w:r>
      <w:r w:rsidR="002C7908" w:rsidRPr="003D44FB">
        <w:t>Национальный механизм по улучшению положения женщин</w:t>
      </w:r>
    </w:p>
    <w:p w14:paraId="21BDB6E1" w14:textId="061D8FD0" w:rsidR="00F62332" w:rsidRPr="003D44FB" w:rsidRDefault="00F62332" w:rsidP="00F62332">
      <w:pPr>
        <w:pStyle w:val="SingleTxt"/>
        <w:spacing w:after="0" w:line="120" w:lineRule="exact"/>
        <w:rPr>
          <w:sz w:val="10"/>
        </w:rPr>
      </w:pPr>
    </w:p>
    <w:p w14:paraId="42B66DF1" w14:textId="66D4DD7D" w:rsidR="002C7908" w:rsidRPr="002C7908" w:rsidRDefault="002C7908" w:rsidP="002C7908">
      <w:pPr>
        <w:pStyle w:val="SingleTxt"/>
      </w:pPr>
      <w:r w:rsidRPr="002C7908">
        <w:t>13.</w:t>
      </w:r>
      <w:r w:rsidRPr="002C7908">
        <w:tab/>
      </w:r>
      <w:r w:rsidR="00F62332" w:rsidRPr="003D44FB">
        <w:t>Комитет приветствует то, что в 2019</w:t>
      </w:r>
      <w:r w:rsidR="00CB672D">
        <w:t> год</w:t>
      </w:r>
      <w:r w:rsidR="00F62332" w:rsidRPr="003D44FB">
        <w:t>у была создана Комиссия по вопросам обеспечения гендерного равенства , а в 2020</w:t>
      </w:r>
      <w:r w:rsidR="00CB672D">
        <w:t> год</w:t>
      </w:r>
      <w:r w:rsidR="00F62332" w:rsidRPr="003D44FB">
        <w:t>у</w:t>
      </w:r>
      <w:r w:rsidR="00CB672D">
        <w:t> </w:t>
      </w:r>
      <w:r w:rsidR="00F62332" w:rsidRPr="003D44FB">
        <w:t>–– сенатский Комитет по вопросам женщин и гендерного равенства и Министерство по поддержке махалли и семьи. Он также отмечает, что в 2021</w:t>
      </w:r>
      <w:r w:rsidR="00CB672D">
        <w:t> год</w:t>
      </w:r>
      <w:r w:rsidR="00F62332" w:rsidRPr="003D44FB">
        <w:t>у была принята Национальная стратегия достижения гендерного равенства на период 2020</w:t>
      </w:r>
      <w:r w:rsidR="00CB672D">
        <w:t>–</w:t>
      </w:r>
      <w:r w:rsidR="00F62332" w:rsidRPr="003D44FB">
        <w:t>2030</w:t>
      </w:r>
      <w:r w:rsidR="00CB672D">
        <w:t> год</w:t>
      </w:r>
      <w:r w:rsidR="00F62332" w:rsidRPr="003D44FB">
        <w:t>ов. Вместе с тем Комитет с обеспокоенностью отмечает, что:</w:t>
      </w:r>
    </w:p>
    <w:p w14:paraId="6BA49D0D" w14:textId="7CDA1A7A" w:rsidR="002C7908" w:rsidRPr="002C7908" w:rsidRDefault="00F62332" w:rsidP="002C7908">
      <w:pPr>
        <w:pStyle w:val="SingleTxt"/>
      </w:pPr>
      <w:r w:rsidRPr="003D44FB">
        <w:tab/>
      </w:r>
      <w:r w:rsidR="002C7908" w:rsidRPr="002C7908">
        <w:t>a)</w:t>
      </w:r>
      <w:r w:rsidR="002C7908" w:rsidRPr="002C7908">
        <w:tab/>
        <w:t>слияние Комитета по делам женщин, органов управления махаллей и семейных центров в новое Министерство по поддержке махалли и семьи может привести к тому, что акцент сместится с гендерного равенства на традиционные стереотипные роли женщин в семье; фрагментация национального механизма снижает его возможности эффективно осуществлять политику гендерного равенства и учитывать гендерные аспекты во всех государственных ведомствах;</w:t>
      </w:r>
    </w:p>
    <w:p w14:paraId="2529E825" w14:textId="5636B786" w:rsidR="002C7908" w:rsidRPr="002C7908" w:rsidRDefault="00F62332" w:rsidP="002C7908">
      <w:pPr>
        <w:pStyle w:val="SingleTxt"/>
      </w:pPr>
      <w:r w:rsidRPr="003D44FB">
        <w:lastRenderedPageBreak/>
        <w:tab/>
      </w:r>
      <w:r w:rsidR="002C7908" w:rsidRPr="002C7908">
        <w:t>b)</w:t>
      </w:r>
      <w:r w:rsidR="002C7908" w:rsidRPr="002C7908">
        <w:tab/>
        <w:t>ограниченное сотрудничество национального механизма с гражданским обществом, особенно в сельской местности, несмотря на увеличение финансирования для организаций гражданского общества, включая организации по защите прав женщин.</w:t>
      </w:r>
    </w:p>
    <w:p w14:paraId="53BBA6FC" w14:textId="77777777" w:rsidR="002C7908" w:rsidRPr="002C7908" w:rsidRDefault="002C7908" w:rsidP="002C7908">
      <w:pPr>
        <w:pStyle w:val="SingleTxt"/>
        <w:rPr>
          <w:b/>
          <w:bCs/>
        </w:rPr>
      </w:pPr>
      <w:r w:rsidRPr="002C7908">
        <w:t>14.</w:t>
      </w:r>
      <w:r w:rsidRPr="002C7908">
        <w:tab/>
      </w:r>
      <w:r w:rsidRPr="002C7908">
        <w:rPr>
          <w:b/>
          <w:bCs/>
        </w:rPr>
        <w:t>Комитет напоминает, что низведение женщин до традиционной репродуктивной роли вместо поощрения их роли как активных участников процесса развития и правообладателей идет вразрез с деятельностью по улучшению положения женщин. Он рекомендует государству-участнику:</w:t>
      </w:r>
    </w:p>
    <w:p w14:paraId="6101FFB1" w14:textId="0C2B7D9A" w:rsidR="002C7908" w:rsidRPr="002C7908" w:rsidRDefault="00F62332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a)</w:t>
      </w:r>
      <w:r w:rsidR="002C7908" w:rsidRPr="002C7908">
        <w:tab/>
      </w:r>
      <w:r w:rsidR="002C7908" w:rsidRPr="002C7908">
        <w:rPr>
          <w:b/>
          <w:bCs/>
        </w:rPr>
        <w:t>четко определить мандаты и обязанности различных компонентов национального механизма по улучшению положения женщин и предоставить ему для этого достаточные людские, технические и финансовые ресурсы;</w:t>
      </w:r>
    </w:p>
    <w:p w14:paraId="24BB0397" w14:textId="4CEADFD5" w:rsidR="002C7908" w:rsidRPr="003D44FB" w:rsidRDefault="00F62332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b)</w:t>
      </w:r>
      <w:r w:rsidR="002C7908" w:rsidRPr="002C7908">
        <w:tab/>
      </w:r>
      <w:r w:rsidR="002C7908" w:rsidRPr="002C7908">
        <w:rPr>
          <w:b/>
          <w:bCs/>
        </w:rPr>
        <w:t>укреплять сотрудничество национального механизма с организациями гражданского общества, в частности с теми, которые занимаются правами женщин, чтобы обеспечить их значимое участие в принятии решений во всех областях, охватываемых Конвенцией.</w:t>
      </w:r>
    </w:p>
    <w:p w14:paraId="6999BF13" w14:textId="4A442DCB" w:rsidR="00BD39C4" w:rsidRPr="003D44FB" w:rsidRDefault="00BD39C4" w:rsidP="00BD39C4">
      <w:pPr>
        <w:pStyle w:val="SingleTxt"/>
        <w:spacing w:after="0" w:line="120" w:lineRule="exact"/>
        <w:rPr>
          <w:b/>
          <w:bCs/>
          <w:sz w:val="10"/>
        </w:rPr>
      </w:pPr>
    </w:p>
    <w:p w14:paraId="35858CFA" w14:textId="5D178E43" w:rsidR="002C7908" w:rsidRPr="003D44FB" w:rsidRDefault="002C7908" w:rsidP="00BD39C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Национальное правозащитное учреждение</w:t>
      </w:r>
    </w:p>
    <w:p w14:paraId="6BB982DE" w14:textId="46DE7962" w:rsidR="00BD39C4" w:rsidRPr="003D44FB" w:rsidRDefault="00BD39C4" w:rsidP="00BD39C4">
      <w:pPr>
        <w:pStyle w:val="SingleTxt"/>
        <w:spacing w:after="0" w:line="120" w:lineRule="exact"/>
        <w:rPr>
          <w:sz w:val="10"/>
        </w:rPr>
      </w:pPr>
    </w:p>
    <w:p w14:paraId="5F7E137B" w14:textId="5C822FD5" w:rsidR="002C7908" w:rsidRPr="002C7908" w:rsidRDefault="002C7908" w:rsidP="002C7908">
      <w:pPr>
        <w:pStyle w:val="SingleTxt"/>
      </w:pPr>
      <w:r w:rsidRPr="002C7908">
        <w:t>15.</w:t>
      </w:r>
      <w:r w:rsidRPr="002C7908">
        <w:tab/>
        <w:t>Комитет отмечает поправки к Закону об омбудсмене, наделяющие Управление омбудсмена полномочиями принимать жалобы от лиц, лишенных свободы, и выполнять функции национального превентивного механизма в соответствии с Факультативным протоколом к Конвенции против пыток и других жестоких, бесчеловечных или унижающих достоинство видов обращения и наказания (приняты в 2017 и 2019</w:t>
      </w:r>
      <w:r w:rsidR="00CB672D">
        <w:t> год</w:t>
      </w:r>
      <w:r w:rsidRPr="002C7908">
        <w:t>ах соответственно). В нем отмечается, что в 2020</w:t>
      </w:r>
      <w:r w:rsidR="00CB672D">
        <w:t> год</w:t>
      </w:r>
      <w:r w:rsidRPr="002C7908">
        <w:t xml:space="preserve">у Управление омбудсмена было аккредитовано со статусом </w:t>
      </w:r>
      <w:r w:rsidR="00AD0FD9">
        <w:t>«</w:t>
      </w:r>
      <w:r w:rsidRPr="002C7908">
        <w:t>В</w:t>
      </w:r>
      <w:r w:rsidR="00AD0FD9">
        <w:t>»</w:t>
      </w:r>
      <w:r w:rsidRPr="002C7908">
        <w:t xml:space="preserve"> Глобальным альянсом национальных правозащитных учреждений. Кроме того, он с озабоченностью отмечает, что Управление омбудсмена не имеет конкретного мандата по защите и поощрению прав женщин.</w:t>
      </w:r>
    </w:p>
    <w:p w14:paraId="02BE4C86" w14:textId="5BFECB24" w:rsidR="002C7908" w:rsidRPr="003D44FB" w:rsidRDefault="002C7908" w:rsidP="002C7908">
      <w:pPr>
        <w:pStyle w:val="SingleTxt"/>
        <w:rPr>
          <w:b/>
          <w:bCs/>
        </w:rPr>
      </w:pPr>
      <w:r w:rsidRPr="002C7908">
        <w:t>16.</w:t>
      </w:r>
      <w:r w:rsidRPr="002C7908">
        <w:tab/>
      </w:r>
      <w:r w:rsidRPr="002C7908">
        <w:rPr>
          <w:b/>
          <w:bCs/>
        </w:rPr>
        <w:t>Комитет рекомендует государству-участнику укрепить Управление омбудсмена, предоставив ему достаточные людские, технические и финансовые ресурсы для эффективного и независимого выполнения своего мандата в соответствии с принципами, касающимися статуса национальных учреждений, занимающихся поощрением и защитой прав человека (Парижские принципы), а также наделить Управление конкретным мандатом по поощрению и защите прав женщин и рассмотрению жалоб женщин и девочек на конфиденциальной основе с учетом гендерных факторов.</w:t>
      </w:r>
    </w:p>
    <w:p w14:paraId="58C41764" w14:textId="75C24612" w:rsidR="00BD39C4" w:rsidRPr="003D44FB" w:rsidRDefault="00BD39C4" w:rsidP="00BD39C4">
      <w:pPr>
        <w:pStyle w:val="SingleTxt"/>
        <w:spacing w:after="0" w:line="120" w:lineRule="exact"/>
        <w:rPr>
          <w:b/>
          <w:bCs/>
          <w:sz w:val="10"/>
        </w:rPr>
      </w:pPr>
    </w:p>
    <w:p w14:paraId="598A674D" w14:textId="5017E1A5" w:rsidR="002C7908" w:rsidRPr="003D44FB" w:rsidRDefault="002C7908" w:rsidP="00BD39C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Временные специальные меры</w:t>
      </w:r>
    </w:p>
    <w:p w14:paraId="3F3848FD" w14:textId="6D54E7C7" w:rsidR="00BD39C4" w:rsidRPr="003D44FB" w:rsidRDefault="00BD39C4" w:rsidP="00BD39C4">
      <w:pPr>
        <w:pStyle w:val="SingleTxt"/>
        <w:spacing w:after="0" w:line="120" w:lineRule="exact"/>
        <w:rPr>
          <w:sz w:val="10"/>
        </w:rPr>
      </w:pPr>
    </w:p>
    <w:p w14:paraId="2DA9DEC6" w14:textId="1CFB8DCB" w:rsidR="002C7908" w:rsidRPr="002C7908" w:rsidRDefault="002C7908" w:rsidP="002C7908">
      <w:pPr>
        <w:pStyle w:val="SingleTxt"/>
      </w:pPr>
      <w:r w:rsidRPr="002C7908">
        <w:t>17.</w:t>
      </w:r>
      <w:r w:rsidRPr="002C7908">
        <w:tab/>
        <w:t>Комитет с удовлетворением отмечает, что в 2019</w:t>
      </w:r>
      <w:r w:rsidR="00CB672D">
        <w:t> год</w:t>
      </w:r>
      <w:r w:rsidRPr="002C7908">
        <w:t xml:space="preserve">у был принят Закон о гарантиях равных прав и возможностей для женщин и мужчин, в котором предусматриваются временные специальные меры. Он также отмечает, что государство-участник провело исследование по вопросу об использовании временных специальных мер для обеспечения в государстве-участнике фактического равенства женщин и мужчин. Однако Комитет по-прежнему обеспокоен тем, что временные специальные меры слабо используются в большинстве </w:t>
      </w:r>
      <w:bookmarkStart w:id="2" w:name="_Hlk97735779"/>
      <w:r w:rsidRPr="002C7908">
        <w:t>областей, которые охватываются Конвенцией о ликвидации всех форм дискриминации в отношении женщин и в которых женщины недостаточно представлены или находятся в неблагоприятном положении</w:t>
      </w:r>
      <w:bookmarkEnd w:id="2"/>
      <w:r w:rsidRPr="002C7908">
        <w:t>, и что существующие временные специальные меры оказывают ограниченное воздействие.</w:t>
      </w:r>
    </w:p>
    <w:p w14:paraId="47F0CDB4" w14:textId="77777777" w:rsidR="005754DB" w:rsidRDefault="005754DB">
      <w:pPr>
        <w:spacing w:after="200" w:line="276" w:lineRule="auto"/>
      </w:pPr>
      <w:r>
        <w:br w:type="page"/>
      </w:r>
    </w:p>
    <w:p w14:paraId="68D42EB0" w14:textId="3B8DBF4D" w:rsidR="002C7908" w:rsidRPr="002C7908" w:rsidRDefault="002C7908" w:rsidP="002C7908">
      <w:pPr>
        <w:pStyle w:val="SingleTxt"/>
        <w:rPr>
          <w:b/>
          <w:bCs/>
        </w:rPr>
      </w:pPr>
      <w:r w:rsidRPr="002C7908">
        <w:lastRenderedPageBreak/>
        <w:t>18.</w:t>
      </w:r>
      <w:r w:rsidRPr="002C7908">
        <w:tab/>
      </w:r>
      <w:r w:rsidRPr="002C7908">
        <w:rPr>
          <w:b/>
          <w:bCs/>
        </w:rPr>
        <w:t xml:space="preserve">В соответствии с пунктом 1 статьи 4 Конвенции и общей рекомендацией Комитета № </w:t>
      </w:r>
      <w:r w:rsidR="00CB672D" w:rsidRPr="00CB672D">
        <w:rPr>
          <w:b/>
          <w:bCs/>
        </w:rPr>
        <w:t>25 (2004)</w:t>
      </w:r>
      <w:r w:rsidRPr="002C7908">
        <w:rPr>
          <w:b/>
          <w:bCs/>
        </w:rPr>
        <w:t xml:space="preserve"> о временных специальных мерах, а также ссылаясь на свои предыдущие рекомендации (</w:t>
      </w:r>
      <w:hyperlink r:id="rId26" w:history="1">
        <w:r w:rsidRPr="002C7908">
          <w:rPr>
            <w:rStyle w:val="Hyperlink"/>
            <w:b/>
            <w:bCs/>
          </w:rPr>
          <w:t>CEDAW/C/UZB/CO/5</w:t>
        </w:r>
      </w:hyperlink>
      <w:r w:rsidRPr="002C7908">
        <w:rPr>
          <w:b/>
          <w:bCs/>
        </w:rPr>
        <w:t>, пункт</w:t>
      </w:r>
      <w:r w:rsidR="00CB672D">
        <w:rPr>
          <w:b/>
          <w:bCs/>
        </w:rPr>
        <w:t> </w:t>
      </w:r>
      <w:r w:rsidRPr="002C7908">
        <w:rPr>
          <w:b/>
          <w:bCs/>
        </w:rPr>
        <w:t>14), Комитет рекомендует государству-участнику:</w:t>
      </w:r>
    </w:p>
    <w:p w14:paraId="2F101132" w14:textId="747FB9A6" w:rsidR="002C7908" w:rsidRPr="002C7908" w:rsidRDefault="00BD39C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a)</w:t>
      </w:r>
      <w:r w:rsidR="002C7908" w:rsidRPr="002C7908">
        <w:tab/>
      </w:r>
      <w:r w:rsidR="002C7908" w:rsidRPr="002C7908">
        <w:rPr>
          <w:b/>
          <w:bCs/>
        </w:rPr>
        <w:t>способствовать тому, чтобы цель принятия временных специальных мер понимали государственные должностные лица, парламентарии, политики, работодатели и широкая общественность;</w:t>
      </w:r>
    </w:p>
    <w:p w14:paraId="16707D4A" w14:textId="630215CE" w:rsidR="002C7908" w:rsidRPr="002C7908" w:rsidRDefault="00BD39C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b)</w:t>
      </w:r>
      <w:r w:rsidR="002C7908" w:rsidRPr="002C7908">
        <w:tab/>
      </w:r>
      <w:r w:rsidR="002C7908" w:rsidRPr="002C7908">
        <w:rPr>
          <w:b/>
          <w:bCs/>
        </w:rPr>
        <w:t>принять временные специальные меры и определить задачи с конкретными сроками их выполнения в качестве необходимой стратегии для ускоренного достижения фактического равенства женщин и мужчин во всех областях, которые охватываются Конвенцией и в которых женщины недостаточно представлены или находятся в неблагоприятном положении, в государственном и частном секторах, особенно на директивном уровне, уделяя при этом особое внимание женщинам из числа этнических меньшинств, женщинам-инвалидам и пожилым женщинам;</w:t>
      </w:r>
    </w:p>
    <w:p w14:paraId="7483365A" w14:textId="620B6D74" w:rsidR="002C7908" w:rsidRPr="002C7908" w:rsidRDefault="00BD39C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c)</w:t>
      </w:r>
      <w:r w:rsidR="002C7908" w:rsidRPr="002C7908">
        <w:tab/>
      </w:r>
      <w:r w:rsidR="002C7908" w:rsidRPr="002C7908">
        <w:rPr>
          <w:b/>
          <w:bCs/>
        </w:rPr>
        <w:t>создать механизм для наблюдения за ходом реализации временных специальных мер и оценки их влияния на достижение фактического равенства женщин и мужчин, а также утвердить надлежащие санкции за их несоблюдение;</w:t>
      </w:r>
    </w:p>
    <w:p w14:paraId="68C91CEB" w14:textId="6B72F160" w:rsidR="002C7908" w:rsidRPr="002C7908" w:rsidRDefault="00BD39C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d)</w:t>
      </w:r>
      <w:r w:rsidR="002C7908" w:rsidRPr="002C7908">
        <w:tab/>
      </w:r>
      <w:r w:rsidR="002C7908" w:rsidRPr="002C7908">
        <w:rPr>
          <w:b/>
          <w:bCs/>
        </w:rPr>
        <w:t>принять временные специальные меры, включая меры по улучшению сбора данных, и создать механизмы мониторинга для снижения уровня гендерного насилия в отношении женщин;</w:t>
      </w:r>
    </w:p>
    <w:p w14:paraId="066757E3" w14:textId="0ABED996" w:rsidR="002C7908" w:rsidRPr="003D44FB" w:rsidRDefault="00BD39C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e)</w:t>
      </w:r>
      <w:r w:rsidR="002C7908" w:rsidRPr="002C7908">
        <w:tab/>
      </w:r>
      <w:r w:rsidR="002C7908" w:rsidRPr="002C7908">
        <w:rPr>
          <w:b/>
          <w:bCs/>
        </w:rPr>
        <w:t>принять временные специальные меры и определить задачи с конкретными сроками их выполнения, с тем чтобы оказать женщинам, находящимся в особо неблагоприятном положении, включая сельских женщин, пожилых женщин, женщин-инвалидов и заключенных женщин, поддержку в доступе к полноценной занятости, безопасному жилью, надлежащему медицинскому обслуживанию и качественному образованию.</w:t>
      </w:r>
    </w:p>
    <w:p w14:paraId="56AE1938" w14:textId="700A6F5A" w:rsidR="00BD39C4" w:rsidRPr="003D44FB" w:rsidRDefault="00BD39C4" w:rsidP="00BD39C4">
      <w:pPr>
        <w:pStyle w:val="SingleTxt"/>
        <w:spacing w:after="0" w:line="120" w:lineRule="exact"/>
        <w:rPr>
          <w:b/>
          <w:bCs/>
          <w:sz w:val="10"/>
        </w:rPr>
      </w:pPr>
    </w:p>
    <w:p w14:paraId="45A36440" w14:textId="3E634798" w:rsidR="002C7908" w:rsidRPr="003D44FB" w:rsidRDefault="002C7908" w:rsidP="00BD39C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Стереотипы</w:t>
      </w:r>
    </w:p>
    <w:p w14:paraId="01BE60BF" w14:textId="7F9240A5" w:rsidR="00BD39C4" w:rsidRPr="003D44FB" w:rsidRDefault="00BD39C4" w:rsidP="00BD39C4">
      <w:pPr>
        <w:pStyle w:val="SingleTxt"/>
        <w:spacing w:after="0" w:line="120" w:lineRule="exact"/>
        <w:rPr>
          <w:sz w:val="10"/>
        </w:rPr>
      </w:pPr>
    </w:p>
    <w:p w14:paraId="2849BB5A" w14:textId="77777777" w:rsidR="002C7908" w:rsidRPr="002C7908" w:rsidRDefault="002C7908" w:rsidP="002C7908">
      <w:pPr>
        <w:pStyle w:val="SingleTxt"/>
      </w:pPr>
      <w:r w:rsidRPr="002C7908">
        <w:t>19.</w:t>
      </w:r>
      <w:r w:rsidRPr="002C7908">
        <w:tab/>
        <w:t>Комитет отмечает, что государство-участник поощряет распределение обязанностей по уходу за детьми между женщинами и мужчинами, в том числе путем включения отпуска по уходу за ребенком для отца в новый Трудовой кодекс, который в настоящее время находится на рассмотрении Сената. Вместе с тем обеспокоенность Комитета по-прежнему вызывает следующее:</w:t>
      </w:r>
    </w:p>
    <w:p w14:paraId="2FA525D7" w14:textId="436491C4" w:rsidR="002C7908" w:rsidRPr="002C7908" w:rsidRDefault="000F47BA" w:rsidP="002C7908">
      <w:pPr>
        <w:pStyle w:val="SingleTxt"/>
      </w:pPr>
      <w:r w:rsidRPr="003D44FB">
        <w:tab/>
      </w:r>
      <w:r w:rsidR="002C7908" w:rsidRPr="002C7908">
        <w:t>a)</w:t>
      </w:r>
      <w:r w:rsidR="002C7908" w:rsidRPr="002C7908">
        <w:tab/>
        <w:t>принятие в 2018</w:t>
      </w:r>
      <w:r w:rsidR="00CB672D">
        <w:t> год</w:t>
      </w:r>
      <w:r w:rsidR="002C7908" w:rsidRPr="002C7908">
        <w:t>у Закона о посредничестве, в соответствии с которым установлен порядок семейного посредничества как альтернативный способ урегулирования семейных конфликтов и споров, а также принятие в 2018</w:t>
      </w:r>
      <w:r w:rsidR="00CB672D">
        <w:t> год</w:t>
      </w:r>
      <w:r w:rsidR="002C7908" w:rsidRPr="002C7908">
        <w:t>у постановления Президента о концепции укрепления института семьи и программы его реализации, которые могут еще больше укрепить сохраняющиеся патриархальные взгляды и дискриминационные стереотипы в отношении функций и обязанностей женщин и мужчин в семье и обществе в государстве-участнике;</w:t>
      </w:r>
    </w:p>
    <w:p w14:paraId="6DA98125" w14:textId="55EBC704" w:rsidR="002C7908" w:rsidRPr="002C7908" w:rsidRDefault="000F47BA" w:rsidP="002C7908">
      <w:pPr>
        <w:pStyle w:val="SingleTxt"/>
      </w:pPr>
      <w:r w:rsidRPr="003D44FB">
        <w:tab/>
      </w:r>
      <w:r w:rsidR="002C7908" w:rsidRPr="002C7908">
        <w:t>b)</w:t>
      </w:r>
      <w:r w:rsidR="002C7908" w:rsidRPr="002C7908">
        <w:tab/>
        <w:t>отсутствие комплексной стратегии по борьбе с дискриминационными гендерными стереотипами;</w:t>
      </w:r>
    </w:p>
    <w:p w14:paraId="1ACC52B1" w14:textId="513EC3B0" w:rsidR="002C7908" w:rsidRPr="002C7908" w:rsidRDefault="000F47BA" w:rsidP="002C7908">
      <w:pPr>
        <w:pStyle w:val="SingleTxt"/>
      </w:pPr>
      <w:r w:rsidRPr="003D44FB">
        <w:tab/>
      </w:r>
      <w:r w:rsidR="002C7908" w:rsidRPr="002C7908">
        <w:t>c)</w:t>
      </w:r>
      <w:r w:rsidR="002C7908" w:rsidRPr="002C7908">
        <w:tab/>
        <w:t>сохранение дискриминационных гендерных стереотипов и изображение женщин в средствах массовой информации.</w:t>
      </w:r>
    </w:p>
    <w:p w14:paraId="2B8D19A8" w14:textId="3DA7839B" w:rsidR="002C7908" w:rsidRPr="002C7908" w:rsidRDefault="002C7908" w:rsidP="002C7908">
      <w:pPr>
        <w:pStyle w:val="SingleTxt"/>
        <w:rPr>
          <w:b/>
          <w:bCs/>
        </w:rPr>
      </w:pPr>
      <w:r w:rsidRPr="002C7908">
        <w:t>20.</w:t>
      </w:r>
      <w:r w:rsidRPr="002C7908">
        <w:tab/>
      </w:r>
      <w:r w:rsidRPr="002C7908">
        <w:rPr>
          <w:b/>
          <w:bCs/>
        </w:rPr>
        <w:t>Комитет подтверждает свои предыдущие рекомендации (</w:t>
      </w:r>
      <w:hyperlink r:id="rId27" w:history="1">
        <w:r w:rsidRPr="002C7908">
          <w:rPr>
            <w:rStyle w:val="Hyperlink"/>
            <w:b/>
            <w:bCs/>
          </w:rPr>
          <w:t>CEDAW/C/UZB/CO/5</w:t>
        </w:r>
      </w:hyperlink>
      <w:r w:rsidRPr="002C7908">
        <w:rPr>
          <w:b/>
          <w:bCs/>
        </w:rPr>
        <w:t>, пункт</w:t>
      </w:r>
      <w:r w:rsidR="00CB672D">
        <w:rPr>
          <w:b/>
          <w:bCs/>
        </w:rPr>
        <w:t> </w:t>
      </w:r>
      <w:r w:rsidRPr="002C7908">
        <w:rPr>
          <w:b/>
          <w:bCs/>
        </w:rPr>
        <w:t>16) и рекомендует государству-участнику:</w:t>
      </w:r>
    </w:p>
    <w:p w14:paraId="5F1E1533" w14:textId="6FE60B9B" w:rsidR="002C7908" w:rsidRPr="002C7908" w:rsidRDefault="000F47BA" w:rsidP="002C7908">
      <w:pPr>
        <w:pStyle w:val="SingleTxt"/>
        <w:rPr>
          <w:b/>
          <w:bCs/>
        </w:rPr>
      </w:pPr>
      <w:r w:rsidRPr="003D44FB">
        <w:lastRenderedPageBreak/>
        <w:tab/>
      </w:r>
      <w:r w:rsidR="002C7908" w:rsidRPr="002C7908">
        <w:t>a)</w:t>
      </w:r>
      <w:r w:rsidR="002C7908" w:rsidRPr="002C7908">
        <w:tab/>
      </w:r>
      <w:r w:rsidR="002C7908" w:rsidRPr="002C7908">
        <w:rPr>
          <w:b/>
          <w:bCs/>
        </w:rPr>
        <w:t>разработать и реализовать комплексную стратегию, которая применялась бы в том числе для онлайнового домена, была бы ориентирована на общественных деятелей, религиозных лидеров, учителей, девочек, мальчиков, женщин и мужчин и была бы предназначена для искоренения дискриминационных стереотипных представлений о функциях и обязанностях женщин и мужчин в семье и в обществе;</w:t>
      </w:r>
    </w:p>
    <w:p w14:paraId="20203732" w14:textId="67581CE3" w:rsidR="002C7908" w:rsidRPr="002C7908" w:rsidRDefault="000F47BA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b)</w:t>
      </w:r>
      <w:r w:rsidR="002C7908" w:rsidRPr="002C7908">
        <w:tab/>
      </w:r>
      <w:r w:rsidR="002C7908" w:rsidRPr="002C7908">
        <w:rPr>
          <w:b/>
          <w:bCs/>
        </w:rPr>
        <w:t>продолжать повышать осведомленность среди работников средств массовой информации в интересах борьбы с дискриминационными гендерными стереотипами и объективацией женщин и поощрять в средствах массовой информации позитивное изображение женщин как активной движущей силы развития;</w:t>
      </w:r>
    </w:p>
    <w:p w14:paraId="0EF241B3" w14:textId="073D495F" w:rsidR="002C7908" w:rsidRPr="003D44FB" w:rsidRDefault="000F47BA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c)</w:t>
      </w:r>
      <w:r w:rsidR="002C7908" w:rsidRPr="002C7908">
        <w:tab/>
      </w:r>
      <w:r w:rsidR="002C7908" w:rsidRPr="002C7908">
        <w:rPr>
          <w:b/>
          <w:bCs/>
        </w:rPr>
        <w:t>принять целенаправленные меры, включая повышение осведомленности, для поощрения равного распределения обязанностей по ведению домашнего хозяйства и по уходу за детьми, а также ответственного отцовства.</w:t>
      </w:r>
    </w:p>
    <w:p w14:paraId="55346F97" w14:textId="57A9E8E4" w:rsidR="000F47BA" w:rsidRPr="003D44FB" w:rsidRDefault="000F47BA" w:rsidP="000F47BA">
      <w:pPr>
        <w:pStyle w:val="SingleTxt"/>
        <w:spacing w:after="0" w:line="120" w:lineRule="exact"/>
        <w:rPr>
          <w:b/>
          <w:bCs/>
          <w:sz w:val="10"/>
        </w:rPr>
      </w:pPr>
    </w:p>
    <w:p w14:paraId="7ECF1CE8" w14:textId="29093DF7" w:rsidR="002C7908" w:rsidRPr="003D44FB" w:rsidRDefault="002C7908" w:rsidP="000F47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Гендерное насилие в отношении женщин</w:t>
      </w:r>
    </w:p>
    <w:p w14:paraId="629AF9D4" w14:textId="6E6F36B2" w:rsidR="000F47BA" w:rsidRPr="003D44FB" w:rsidRDefault="000F47BA" w:rsidP="000F47BA">
      <w:pPr>
        <w:pStyle w:val="SingleTxt"/>
        <w:spacing w:after="0" w:line="120" w:lineRule="exact"/>
        <w:rPr>
          <w:sz w:val="10"/>
        </w:rPr>
      </w:pPr>
    </w:p>
    <w:p w14:paraId="6A94E8EA" w14:textId="501227A4" w:rsidR="002C7908" w:rsidRPr="002C7908" w:rsidRDefault="002C7908" w:rsidP="002C7908">
      <w:pPr>
        <w:pStyle w:val="SingleTxt"/>
      </w:pPr>
      <w:r w:rsidRPr="002C7908">
        <w:t>21.</w:t>
      </w:r>
      <w:r w:rsidRPr="002C7908">
        <w:tab/>
        <w:t xml:space="preserve">Комитет приветствует </w:t>
      </w:r>
      <w:bookmarkStart w:id="3" w:name="_Hlk97803290"/>
      <w:r w:rsidRPr="002C7908">
        <w:t>принятие Закона о защите женщин от притеснения и насилия</w:t>
      </w:r>
      <w:bookmarkEnd w:id="3"/>
      <w:r w:rsidRPr="002C7908">
        <w:t xml:space="preserve"> (в 2019</w:t>
      </w:r>
      <w:r w:rsidR="00CB672D">
        <w:t> год</w:t>
      </w:r>
      <w:r w:rsidRPr="002C7908">
        <w:t>у) и правительственного постановления о защитных предписаниях. Комитет также отмечает, что в 2020</w:t>
      </w:r>
      <w:r w:rsidR="00CB672D">
        <w:t> год</w:t>
      </w:r>
      <w:r w:rsidRPr="002C7908">
        <w:t xml:space="preserve">у были приняты стандартные операционные процедуры для многосекторального реагирования на гендерное насилие. При этом Комитет по-прежнему обеспокоен тем, что в государстве-участнике наблюдается высокий уровень гендерного насилия в отношении женщин, включая резкое увеличение числа случаев домашнего насилия во время режима изоляции, введенного в связи с </w:t>
      </w:r>
      <w:r w:rsidRPr="002C7908">
        <w:rPr>
          <w:lang w:val="en-GB"/>
        </w:rPr>
        <w:t>COVID</w:t>
      </w:r>
      <w:r w:rsidRPr="002C7908">
        <w:t>-19. Кроме того, Комитет с обеспокоенностью отмечает:</w:t>
      </w:r>
    </w:p>
    <w:p w14:paraId="6DB843EE" w14:textId="634E3E1D" w:rsidR="002C7908" w:rsidRPr="002C7908" w:rsidRDefault="000F47BA" w:rsidP="002C7908">
      <w:pPr>
        <w:pStyle w:val="SingleTxt"/>
      </w:pPr>
      <w:r w:rsidRPr="003D44FB">
        <w:tab/>
      </w:r>
      <w:r w:rsidR="002C7908" w:rsidRPr="002C7908">
        <w:t>a)</w:t>
      </w:r>
      <w:r w:rsidR="002C7908" w:rsidRPr="002C7908">
        <w:tab/>
        <w:t xml:space="preserve">отсутствие в </w:t>
      </w:r>
      <w:bookmarkStart w:id="4" w:name="_Hlk97805264"/>
      <w:r w:rsidR="002C7908" w:rsidRPr="002C7908">
        <w:t>Законе о защите женщин от притеснения и насилия</w:t>
      </w:r>
      <w:bookmarkEnd w:id="4"/>
      <w:r w:rsidR="002C7908" w:rsidRPr="002C7908">
        <w:t xml:space="preserve"> юридического определения и положения о том, что за домашнее насилие предусматривается конкретная уголовная ответственность, а также слабый уровень правоприменения и контроля за исполнением законодательства;</w:t>
      </w:r>
    </w:p>
    <w:p w14:paraId="5112E304" w14:textId="4BB1C230" w:rsidR="002C7908" w:rsidRPr="002C7908" w:rsidRDefault="000F47BA" w:rsidP="002C7908">
      <w:pPr>
        <w:pStyle w:val="SingleTxt"/>
      </w:pPr>
      <w:r w:rsidRPr="003D44FB">
        <w:tab/>
      </w:r>
      <w:r w:rsidR="002C7908" w:rsidRPr="002C7908">
        <w:t>b)</w:t>
      </w:r>
      <w:r w:rsidR="002C7908" w:rsidRPr="002C7908">
        <w:tab/>
        <w:t>отсутствие в уголовном законодательстве положений, в которых предусматривается конкретная уголовная ответственность за различные формы гендерного насилия помимо сексуального насилия и изнасилования, и недостаточная защита от гендерного насилия женщин и девочек, сталкивающихся с перекрестными формами дискриминации, включая женщин и девочек, принадлежащих к религиозным и этническим меньшинствам, женщин и девочек с ограниченными возможностями и женщин, живущих с ВИЧ/СПИДом;</w:t>
      </w:r>
    </w:p>
    <w:p w14:paraId="5C9BFD79" w14:textId="7D739B9A" w:rsidR="002C7908" w:rsidRPr="002C7908" w:rsidRDefault="000F47BA" w:rsidP="002C7908">
      <w:pPr>
        <w:pStyle w:val="SingleTxt"/>
      </w:pPr>
      <w:r w:rsidRPr="003D44FB">
        <w:tab/>
      </w:r>
      <w:r w:rsidR="002C7908" w:rsidRPr="002C7908">
        <w:t>c)</w:t>
      </w:r>
      <w:r w:rsidR="002C7908" w:rsidRPr="002C7908">
        <w:tab/>
        <w:t>тот факт, что определение изнасилования основано на применении или угрозе насилия, а не на отсутствии согласия;</w:t>
      </w:r>
    </w:p>
    <w:p w14:paraId="6757EFCF" w14:textId="57255FED" w:rsidR="002C7908" w:rsidRPr="002C7908" w:rsidRDefault="000F47BA" w:rsidP="002C7908">
      <w:pPr>
        <w:pStyle w:val="SingleTxt"/>
      </w:pPr>
      <w:r w:rsidRPr="003D44FB">
        <w:tab/>
      </w:r>
      <w:r w:rsidR="002C7908" w:rsidRPr="002C7908">
        <w:t>d)</w:t>
      </w:r>
      <w:r w:rsidR="002C7908" w:rsidRPr="002C7908">
        <w:tab/>
        <w:t>ограничение срока действия защитных предписаний 30 днями с возможностью продления на один месяц, их ограниченное исполнение, отсутствие постановлений о высылке, отсутствие служб для поддержки жертв, препятствия для доступа женщин и девочек к правосудию в случаях гендерного насилия, включая ревиктимизацию в ходе уголовного процесса, а также широкое использование процедур примирения и посредничества в махаллях.</w:t>
      </w:r>
    </w:p>
    <w:p w14:paraId="3397C4C5" w14:textId="69407FC0" w:rsidR="002C7908" w:rsidRPr="002C7908" w:rsidRDefault="002C7908" w:rsidP="002C7908">
      <w:pPr>
        <w:pStyle w:val="SingleTxt"/>
        <w:rPr>
          <w:b/>
          <w:bCs/>
        </w:rPr>
      </w:pPr>
      <w:r w:rsidRPr="002C7908">
        <w:t>22.</w:t>
      </w:r>
      <w:r w:rsidRPr="002C7908">
        <w:tab/>
      </w:r>
      <w:r w:rsidRPr="002C7908">
        <w:rPr>
          <w:b/>
          <w:bCs/>
        </w:rPr>
        <w:t xml:space="preserve">Ссылаясь на свою общую рекомендацию № </w:t>
      </w:r>
      <w:r w:rsidR="00CB672D" w:rsidRPr="00CB672D">
        <w:rPr>
          <w:b/>
          <w:bCs/>
        </w:rPr>
        <w:t>35 (2017)</w:t>
      </w:r>
      <w:r w:rsidRPr="002C7908">
        <w:rPr>
          <w:b/>
          <w:bCs/>
        </w:rPr>
        <w:t xml:space="preserve"> о гендерном насилии в отношении женщин, предназначенную для обновления общей рекомендации № 19, Комитет рекомендует государству-участнику:</w:t>
      </w:r>
    </w:p>
    <w:p w14:paraId="1B264421" w14:textId="77777777" w:rsidR="005754DB" w:rsidRDefault="005754DB">
      <w:pPr>
        <w:spacing w:after="200" w:line="276" w:lineRule="auto"/>
      </w:pPr>
      <w:r>
        <w:br w:type="page"/>
      </w:r>
    </w:p>
    <w:p w14:paraId="60649AF9" w14:textId="7C105F55" w:rsidR="002C7908" w:rsidRPr="002C7908" w:rsidRDefault="000F47BA" w:rsidP="002C7908">
      <w:pPr>
        <w:pStyle w:val="SingleTxt"/>
        <w:rPr>
          <w:b/>
          <w:bCs/>
        </w:rPr>
      </w:pPr>
      <w:r w:rsidRPr="003D44FB">
        <w:lastRenderedPageBreak/>
        <w:tab/>
      </w:r>
      <w:r w:rsidR="002C7908" w:rsidRPr="002C7908">
        <w:t>a)</w:t>
      </w:r>
      <w:r w:rsidR="002C7908" w:rsidRPr="002C7908">
        <w:tab/>
      </w:r>
      <w:r w:rsidR="002C7908" w:rsidRPr="002C7908">
        <w:rPr>
          <w:b/>
          <w:bCs/>
        </w:rPr>
        <w:t xml:space="preserve">улучшить действующее законодательство, включая Уголовный кодекс, Кодекс об административных правонарушениях и </w:t>
      </w:r>
      <w:bookmarkStart w:id="5" w:name="_Hlk97806238"/>
      <w:r w:rsidR="002C7908" w:rsidRPr="002C7908">
        <w:rPr>
          <w:b/>
          <w:bCs/>
        </w:rPr>
        <w:t>Закон о защите женщин от притеснения и насилия</w:t>
      </w:r>
      <w:bookmarkEnd w:id="5"/>
      <w:r w:rsidR="002C7908" w:rsidRPr="002C7908">
        <w:rPr>
          <w:b/>
          <w:bCs/>
        </w:rPr>
        <w:t xml:space="preserve">, с целью обеспечить установление конкретной уголовной ответственности за домашнее насилие, создать возможности для преследования </w:t>
      </w:r>
      <w:r w:rsidR="002C7908" w:rsidRPr="002C7908">
        <w:rPr>
          <w:b/>
          <w:bCs/>
          <w:lang w:val="en-GB"/>
        </w:rPr>
        <w:t>ex</w:t>
      </w:r>
      <w:r w:rsidR="002C7908" w:rsidRPr="002C7908">
        <w:rPr>
          <w:b/>
          <w:bCs/>
        </w:rPr>
        <w:t xml:space="preserve"> </w:t>
      </w:r>
      <w:r w:rsidR="002C7908" w:rsidRPr="002C7908">
        <w:rPr>
          <w:b/>
          <w:bCs/>
          <w:lang w:val="en-GB"/>
        </w:rPr>
        <w:t>officio</w:t>
      </w:r>
      <w:r w:rsidR="002C7908" w:rsidRPr="002C7908">
        <w:rPr>
          <w:b/>
          <w:bCs/>
        </w:rPr>
        <w:t xml:space="preserve"> и предусмотреть надлежащее наказание, соразмерное тяжести совершенного деяния;</w:t>
      </w:r>
    </w:p>
    <w:p w14:paraId="0E9A2165" w14:textId="0DE8AA6A" w:rsidR="002C7908" w:rsidRPr="002C7908" w:rsidRDefault="000F47BA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b)</w:t>
      </w:r>
      <w:r w:rsidR="002C7908" w:rsidRPr="002C7908">
        <w:tab/>
      </w:r>
      <w:r w:rsidR="002C7908" w:rsidRPr="002C7908">
        <w:rPr>
          <w:b/>
          <w:bCs/>
        </w:rPr>
        <w:t>пересмотреть Закон о защите женщин от притеснения и насилия и другое соответствующее национальное законодательство, чтобы охватить все формы гендерного насилия и учесть особые потребности обездоленных и маргинализированных групп женщин, включая женщин-инвалидов, женщин-мигрантов, женщин, живущих с ВИЧ/СПИДом, лесбиянок, бисексуалок и трансгендерных женщин;</w:t>
      </w:r>
    </w:p>
    <w:p w14:paraId="49FFD87D" w14:textId="31DE62A0" w:rsidR="002C7908" w:rsidRPr="002C7908" w:rsidRDefault="000F47BA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c)</w:t>
      </w:r>
      <w:r w:rsidR="002C7908" w:rsidRPr="002C7908">
        <w:tab/>
      </w:r>
      <w:r w:rsidR="002C7908" w:rsidRPr="002C7908">
        <w:rPr>
          <w:b/>
          <w:bCs/>
        </w:rPr>
        <w:t>внести в законодательство поправки, с тем чтобы определение изнасилования основывалось на отсутствии согласия, а не на применении или угрозе применения силы;</w:t>
      </w:r>
    </w:p>
    <w:p w14:paraId="7721011C" w14:textId="3B7A5DDB" w:rsidR="002C7908" w:rsidRPr="002C7908" w:rsidRDefault="000F47BA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d)</w:t>
      </w:r>
      <w:r w:rsidR="002C7908" w:rsidRPr="002C7908">
        <w:tab/>
      </w:r>
      <w:r w:rsidR="002C7908" w:rsidRPr="002C7908">
        <w:rPr>
          <w:b/>
          <w:bCs/>
        </w:rPr>
        <w:t>обеспечить своевременность и эффективность выдачи, исполнения и контроля за исполнением защитных предписаний, включая при необходимости предписания о высылке, в случаях домашнего насилия, а также ввести надлежащие сдерживающие наказания за неисполнение таких предписаний;</w:t>
      </w:r>
    </w:p>
    <w:p w14:paraId="483476DF" w14:textId="0CAB819F" w:rsidR="002C7908" w:rsidRPr="002C7908" w:rsidRDefault="000F47BA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e)</w:t>
      </w:r>
      <w:r w:rsidR="002C7908" w:rsidRPr="002C7908">
        <w:tab/>
      </w:r>
      <w:r w:rsidR="002C7908" w:rsidRPr="002C7908">
        <w:rPr>
          <w:b/>
          <w:bCs/>
        </w:rPr>
        <w:t xml:space="preserve">поощрять информирование обо всех формах гендерного насилия в отношении женщин и девочек, включая домашнее и сексуальное насилие, и обеспечить эффективное расследование всех таких случаев, судебное преследование виновных </w:t>
      </w:r>
      <w:r w:rsidR="002C7908" w:rsidRPr="002C7908">
        <w:rPr>
          <w:b/>
          <w:bCs/>
          <w:lang w:val="en-US"/>
        </w:rPr>
        <w:t>ex</w:t>
      </w:r>
      <w:r w:rsidR="002C7908" w:rsidRPr="002C7908">
        <w:rPr>
          <w:b/>
          <w:bCs/>
        </w:rPr>
        <w:t xml:space="preserve"> </w:t>
      </w:r>
      <w:r w:rsidR="002C7908" w:rsidRPr="002C7908">
        <w:rPr>
          <w:b/>
          <w:bCs/>
          <w:lang w:val="en-US"/>
        </w:rPr>
        <w:t>officio</w:t>
      </w:r>
      <w:r w:rsidR="002C7908" w:rsidRPr="002C7908">
        <w:rPr>
          <w:b/>
          <w:bCs/>
        </w:rPr>
        <w:t xml:space="preserve"> и их наказание путем введения соответствующих санкций; отдавать приоритет уголовному судопроизводству, а не примирению; и обеспечить привлечение к ответственности сотрудников полиции, которые не принимают мер или отговаривают жертв от подачи жалоб;</w:t>
      </w:r>
    </w:p>
    <w:p w14:paraId="1FC131D7" w14:textId="2D4A5051" w:rsidR="002C7908" w:rsidRPr="002C7908" w:rsidRDefault="000F47BA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f)</w:t>
      </w:r>
      <w:r w:rsidR="002C7908" w:rsidRPr="002C7908">
        <w:tab/>
      </w:r>
      <w:r w:rsidR="002C7908" w:rsidRPr="002C7908">
        <w:rPr>
          <w:b/>
          <w:bCs/>
        </w:rPr>
        <w:t xml:space="preserve">обеспечить доступ женщин и девочек к правосудию и поощрять обращение в правоохранительные органы с жалобами на гендерное насилие, в том числе посредством доступной и при необходимости бесплатной юридической помощи; облегчить для истцов бремя доказывания; обеспечить доступность судебной экспертизы; а также продолжать повышать квалификацию судей, прокуроров, сотрудников полиции и других сотрудников правоохранительных органов относительно методов расследования и допроса, учитывающих гендерную специфику; </w:t>
      </w:r>
    </w:p>
    <w:p w14:paraId="51A1BD00" w14:textId="16F7FDD5" w:rsidR="002C7908" w:rsidRPr="002C7908" w:rsidRDefault="000F47BA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g)</w:t>
      </w:r>
      <w:r w:rsidR="002C7908" w:rsidRPr="002C7908">
        <w:tab/>
      </w:r>
      <w:r w:rsidR="002C7908" w:rsidRPr="002C7908">
        <w:rPr>
          <w:b/>
          <w:bCs/>
        </w:rPr>
        <w:t>укреплять на всей территории государства-участника службы поддержки и защиты жертв, включая круглосуточные «горячие линии», надлежащее жилье, медицинское лечение, психосоциальное консультирование и экономическую поддержку;</w:t>
      </w:r>
    </w:p>
    <w:p w14:paraId="44DC962C" w14:textId="29B8C73A" w:rsidR="002C7908" w:rsidRPr="003D44FB" w:rsidRDefault="000F47BA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h)</w:t>
      </w:r>
      <w:r w:rsidR="002C7908" w:rsidRPr="002C7908">
        <w:tab/>
      </w:r>
      <w:r w:rsidR="002C7908" w:rsidRPr="002C7908">
        <w:rPr>
          <w:b/>
          <w:bCs/>
        </w:rPr>
        <w:t>активизировать работу по повышению осведомленности широкой общественности о криминальном характере всех форм гендерного насилия, включая домашнее и сексуальное насилие, и о необходимости того, чтобы женщины могли сообщать о таких случаях в правоохранительные органы, не опасаясь мести, стигматизации или ревиктимизации</w:t>
      </w:r>
      <w:r w:rsidR="00CB672D">
        <w:rPr>
          <w:b/>
          <w:bCs/>
        </w:rPr>
        <w:t>.</w:t>
      </w:r>
    </w:p>
    <w:p w14:paraId="6E5CD13B" w14:textId="79D3B8DE" w:rsidR="004050B1" w:rsidRPr="003D44FB" w:rsidRDefault="004050B1" w:rsidP="004050B1">
      <w:pPr>
        <w:pStyle w:val="SingleTxt"/>
        <w:spacing w:after="0" w:line="120" w:lineRule="exact"/>
        <w:rPr>
          <w:b/>
          <w:bCs/>
          <w:sz w:val="10"/>
        </w:rPr>
      </w:pPr>
    </w:p>
    <w:p w14:paraId="5D79E269" w14:textId="5E71AA89" w:rsidR="002C7908" w:rsidRPr="003D44FB" w:rsidRDefault="002C7908" w:rsidP="004050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Торговля женщинами и эксплуатация проституции</w:t>
      </w:r>
    </w:p>
    <w:p w14:paraId="49A83118" w14:textId="54705210" w:rsidR="004050B1" w:rsidRPr="003D44FB" w:rsidRDefault="004050B1" w:rsidP="004050B1">
      <w:pPr>
        <w:pStyle w:val="SingleTxt"/>
        <w:spacing w:after="0" w:line="120" w:lineRule="exact"/>
        <w:rPr>
          <w:sz w:val="10"/>
        </w:rPr>
      </w:pPr>
    </w:p>
    <w:p w14:paraId="27EFBA7A" w14:textId="625CA4A6" w:rsidR="002C7908" w:rsidRPr="002C7908" w:rsidRDefault="002C7908" w:rsidP="002C7908">
      <w:pPr>
        <w:pStyle w:val="SingleTxt"/>
      </w:pPr>
      <w:r w:rsidRPr="002C7908">
        <w:t>23.</w:t>
      </w:r>
      <w:r w:rsidRPr="002C7908">
        <w:tab/>
        <w:t>Комитет приветствует принятие в 2020</w:t>
      </w:r>
      <w:r w:rsidR="00CB672D">
        <w:t> год</w:t>
      </w:r>
      <w:r w:rsidRPr="002C7908">
        <w:t xml:space="preserve">у Закона о противодействии торговле людьми, который вводит меры по предотвращению торговли людьми, устанавливает национальный механизм направления жертв, а также приводит определение торговли людьми в соответствие с международными стандартами. </w:t>
      </w:r>
      <w:r w:rsidRPr="002C7908">
        <w:lastRenderedPageBreak/>
        <w:t>Он также отмечает создание Национальной комиссии по противодействию торговле людьми и принудительному труду, которая действует под председательством спикера Сената и в состав которой входят представители гражданского общества. При этом Комитет с озабоченностью отмечает, что с территории государства-участника по-прежнему осуществляется торговля женщинами и девочками в целях сексуальной и трудовой эксплуатации. Кроме того, Комитет с обеспокоенностью отмечает следующее:</w:t>
      </w:r>
    </w:p>
    <w:p w14:paraId="32D1961D" w14:textId="401A8796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a)</w:t>
      </w:r>
      <w:r w:rsidR="002C7908" w:rsidRPr="002C7908">
        <w:tab/>
        <w:t xml:space="preserve">наличие сообщений о том, что, несмотря на криминализацию принудительного труда, в период сбора хлопка женщины подвергаются такому труду и эксплуатации; </w:t>
      </w:r>
    </w:p>
    <w:p w14:paraId="2D78AE6D" w14:textId="54D05E6E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b)</w:t>
      </w:r>
      <w:r w:rsidR="002C7908" w:rsidRPr="002C7908">
        <w:tab/>
        <w:t>тот факт, что, несмотря на криминализацию торговли людьми в целях сексуальной эксплуатации, национальное законодательство не освобождает транснациональных жертв торговли людьми от уголовной ответственности за незаконное пересечение границы;</w:t>
      </w:r>
    </w:p>
    <w:p w14:paraId="09C867EA" w14:textId="58C3931A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c)</w:t>
      </w:r>
      <w:r w:rsidR="002C7908" w:rsidRPr="002C7908">
        <w:tab/>
        <w:t>социальная стигматизация, дискриминация и гендерное насилие, с которыми сталкиваются жертвы торговли людьми, а также отсутствие программ реабилитации и реинтеграции;</w:t>
      </w:r>
    </w:p>
    <w:p w14:paraId="68472717" w14:textId="61EF30EC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d)</w:t>
      </w:r>
      <w:r w:rsidR="002C7908" w:rsidRPr="002C7908">
        <w:tab/>
        <w:t>отсутствие мер по снижению спроса на коммерческие сексуальные услуги, а также отсутствие данных о торговле женщинами и девочками внутри государства-участника, об их переправке с его территории или об их ввозе в его пределы;</w:t>
      </w:r>
    </w:p>
    <w:p w14:paraId="0CB38835" w14:textId="5B990B23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e)</w:t>
      </w:r>
      <w:r w:rsidR="002C7908" w:rsidRPr="002C7908">
        <w:tab/>
        <w:t>отсутствие программ оказания помощи женщинам, которые хотят прекратить заниматься проституцией</w:t>
      </w:r>
      <w:r w:rsidR="00414150" w:rsidRPr="00C74D6B">
        <w:t>.</w:t>
      </w:r>
    </w:p>
    <w:p w14:paraId="5E7D0D7A" w14:textId="5E70B69C" w:rsidR="002C7908" w:rsidRPr="002C7908" w:rsidRDefault="002C7908" w:rsidP="002C7908">
      <w:pPr>
        <w:pStyle w:val="SingleTxt"/>
        <w:rPr>
          <w:b/>
          <w:bCs/>
        </w:rPr>
      </w:pPr>
      <w:r w:rsidRPr="002C7908">
        <w:t>24.</w:t>
      </w:r>
      <w:r w:rsidRPr="002C7908">
        <w:tab/>
      </w:r>
      <w:r w:rsidRPr="002C7908">
        <w:rPr>
          <w:b/>
          <w:bCs/>
        </w:rPr>
        <w:t xml:space="preserve">Ссылаясь на свою общую рекомендацию № </w:t>
      </w:r>
      <w:r w:rsidR="00CB672D" w:rsidRPr="00CB672D">
        <w:rPr>
          <w:b/>
          <w:bCs/>
        </w:rPr>
        <w:t>38 (2020)</w:t>
      </w:r>
      <w:r w:rsidRPr="002C7908">
        <w:rPr>
          <w:b/>
          <w:bCs/>
        </w:rPr>
        <w:t xml:space="preserve"> о торговле женщинами и девочками в контексте глобальной миграции и свои предыдущие рекомендации (</w:t>
      </w:r>
      <w:hyperlink r:id="rId28" w:history="1">
        <w:r w:rsidRPr="002C7908">
          <w:rPr>
            <w:rStyle w:val="Hyperlink"/>
            <w:b/>
            <w:bCs/>
          </w:rPr>
          <w:t>CEDAW/C/UZB/CO/5</w:t>
        </w:r>
      </w:hyperlink>
      <w:r w:rsidRPr="002C7908">
        <w:rPr>
          <w:b/>
          <w:bCs/>
        </w:rPr>
        <w:t>, пункт 20), Комитет рекомендует государству-участнику:</w:t>
      </w:r>
    </w:p>
    <w:p w14:paraId="7E7AF24F" w14:textId="72633DA9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a)</w:t>
      </w:r>
      <w:r w:rsidR="002C7908" w:rsidRPr="002C7908">
        <w:tab/>
      </w:r>
      <w:r w:rsidR="002C7908" w:rsidRPr="002C7908">
        <w:rPr>
          <w:b/>
          <w:bCs/>
        </w:rPr>
        <w:t>запретить практику неоплачиваемого труда в период  сбора хлопка;</w:t>
      </w:r>
    </w:p>
    <w:p w14:paraId="4DAEBD9B" w14:textId="64417FD1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b)</w:t>
      </w:r>
      <w:r w:rsidR="002C7908" w:rsidRPr="002C7908">
        <w:tab/>
      </w:r>
      <w:r w:rsidR="002C7908" w:rsidRPr="002C7908">
        <w:rPr>
          <w:b/>
          <w:bCs/>
        </w:rPr>
        <w:t>обеспечить, чтобы женщины и девочки, ставшие жертвами торговли людьми, имели надлежащий доступ к службам поддержки, включая приюты, консультационные услуги и программы реинтеграции, и в достаточном объеме финансировать или субсидировать расходы на помещения и коммунальные услуги для неправительственных организаций, которые содержат приюты и помогают жертвам;</w:t>
      </w:r>
    </w:p>
    <w:p w14:paraId="43ACB55B" w14:textId="3FD165D8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c)</w:t>
      </w:r>
      <w:r w:rsidR="002C7908" w:rsidRPr="002C7908">
        <w:tab/>
      </w:r>
      <w:r w:rsidR="002C7908" w:rsidRPr="002C7908">
        <w:rPr>
          <w:b/>
          <w:bCs/>
        </w:rPr>
        <w:t xml:space="preserve">добиться того, чтобы расследование и судебное преследование осуществлялись по всем случаям торговли женщинами и девочками, чтобы виновные должным образом наказывались и чтобы осужденные отбывали свои сроки; </w:t>
      </w:r>
    </w:p>
    <w:p w14:paraId="53B639ED" w14:textId="5F3CDF0B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d)</w:t>
      </w:r>
      <w:r w:rsidR="002C7908" w:rsidRPr="002C7908">
        <w:tab/>
      </w:r>
      <w:r w:rsidR="002C7908" w:rsidRPr="002C7908">
        <w:rPr>
          <w:b/>
          <w:bCs/>
        </w:rPr>
        <w:t xml:space="preserve">обеспечить систематический сбор и анализ данных о торговле людьми в разбивке по возрасту, полу и гражданству жертв, а также по формам такой торговли; </w:t>
      </w:r>
    </w:p>
    <w:p w14:paraId="10D91916" w14:textId="3D457F17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e)</w:t>
      </w:r>
      <w:r w:rsidR="002C7908" w:rsidRPr="002C7908">
        <w:tab/>
      </w:r>
      <w:r w:rsidR="002C7908" w:rsidRPr="002C7908">
        <w:rPr>
          <w:b/>
          <w:bCs/>
        </w:rPr>
        <w:t>проводить кампании по информированию о рисках стать жертвой торговли людьми и обеспечить для мигрирующих женщин и девочек доступ к возможностям получения дохода, финансовой поддержке, юридической помощи, телефонам доверия и предотъездной информации;</w:t>
      </w:r>
    </w:p>
    <w:p w14:paraId="5FB49454" w14:textId="77777777" w:rsidR="005754DB" w:rsidRDefault="005754DB">
      <w:pPr>
        <w:spacing w:after="200" w:line="276" w:lineRule="auto"/>
      </w:pPr>
      <w:r>
        <w:br w:type="page"/>
      </w:r>
    </w:p>
    <w:p w14:paraId="73A40840" w14:textId="26107065" w:rsidR="002C7908" w:rsidRPr="002C7908" w:rsidRDefault="004050B1" w:rsidP="002C7908">
      <w:pPr>
        <w:pStyle w:val="SingleTxt"/>
        <w:rPr>
          <w:b/>
          <w:bCs/>
        </w:rPr>
      </w:pPr>
      <w:r w:rsidRPr="003D44FB">
        <w:lastRenderedPageBreak/>
        <w:tab/>
      </w:r>
      <w:r w:rsidR="002C7908" w:rsidRPr="002C7908">
        <w:t>f)</w:t>
      </w:r>
      <w:r w:rsidR="002C7908" w:rsidRPr="002C7908">
        <w:tab/>
      </w:r>
      <w:r w:rsidR="002C7908" w:rsidRPr="002C7908">
        <w:rPr>
          <w:b/>
          <w:bCs/>
        </w:rPr>
        <w:t>противодействовать спросу на коммерческие сексуальные услуги, в том числе путем проведения образовательных и просветительских мероприятий, ориентированных на широкую общественность, в частности на мужчин и мальчиков, и бороться со всеми формами подчинения и объективизации женщин;</w:t>
      </w:r>
    </w:p>
    <w:p w14:paraId="76DD8658" w14:textId="04E9965E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g)</w:t>
      </w:r>
      <w:r w:rsidR="002C7908" w:rsidRPr="002C7908">
        <w:tab/>
      </w:r>
      <w:r w:rsidR="002C7908" w:rsidRPr="002C7908">
        <w:rPr>
          <w:b/>
          <w:bCs/>
        </w:rPr>
        <w:t>осуществлять программы помощи женщинам, желающим прекратить заниматься проституцией, и предлагать им альтернативные возможности для получения дохода.</w:t>
      </w:r>
    </w:p>
    <w:p w14:paraId="2B77CAFE" w14:textId="103A4FA5" w:rsidR="002C7908" w:rsidRPr="003D44FB" w:rsidRDefault="002C7908" w:rsidP="004050B1">
      <w:pPr>
        <w:pStyle w:val="SingleTxt"/>
        <w:spacing w:after="0" w:line="120" w:lineRule="exact"/>
        <w:rPr>
          <w:b/>
          <w:bCs/>
          <w:sz w:val="10"/>
        </w:rPr>
      </w:pPr>
    </w:p>
    <w:p w14:paraId="2DB330D7" w14:textId="5BF42CCE" w:rsidR="002C7908" w:rsidRPr="003D44FB" w:rsidRDefault="002C7908" w:rsidP="004050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Участие в политической и общественной жизни</w:t>
      </w:r>
    </w:p>
    <w:p w14:paraId="4167BB1E" w14:textId="43825766" w:rsidR="004050B1" w:rsidRPr="003D44FB" w:rsidRDefault="004050B1" w:rsidP="004050B1">
      <w:pPr>
        <w:pStyle w:val="SingleTxt"/>
        <w:spacing w:after="0" w:line="120" w:lineRule="exact"/>
        <w:rPr>
          <w:sz w:val="10"/>
        </w:rPr>
      </w:pPr>
    </w:p>
    <w:p w14:paraId="4E657548" w14:textId="194D21E6" w:rsidR="002C7908" w:rsidRPr="002C7908" w:rsidRDefault="002C7908" w:rsidP="002C7908">
      <w:pPr>
        <w:pStyle w:val="SingleTxt"/>
      </w:pPr>
      <w:r w:rsidRPr="002C7908">
        <w:t>25.</w:t>
      </w:r>
      <w:r w:rsidRPr="002C7908">
        <w:tab/>
        <w:t>Комитет с удовлетворением отмечает, что на выборах 2019</w:t>
      </w:r>
      <w:r w:rsidR="00CB672D">
        <w:t> год</w:t>
      </w:r>
      <w:r w:rsidRPr="002C7908">
        <w:t>а доля женщин-кандидатов в депутаты Законодательной палаты  составила 41,3 процента. Однако Комитет по-прежнему обеспокоен тем, что женщины все еще недостаточно представлены на руководящих должностях, в том числе в Олий мажлисе, в научных кругах, в судебной системе и на государственной и дипломатической службе.</w:t>
      </w:r>
    </w:p>
    <w:p w14:paraId="25512872" w14:textId="3A8871D7" w:rsidR="002C7908" w:rsidRPr="002C7908" w:rsidRDefault="002C7908" w:rsidP="002C7908">
      <w:pPr>
        <w:pStyle w:val="SingleTxt"/>
        <w:rPr>
          <w:b/>
          <w:bCs/>
        </w:rPr>
      </w:pPr>
      <w:r w:rsidRPr="002C7908">
        <w:t>26.</w:t>
      </w:r>
      <w:r w:rsidRPr="002C7908">
        <w:tab/>
      </w:r>
      <w:r w:rsidRPr="002C7908">
        <w:rPr>
          <w:b/>
          <w:bCs/>
        </w:rPr>
        <w:t xml:space="preserve">Ссылаясь на свою общую рекомендацию № </w:t>
      </w:r>
      <w:r w:rsidR="00CB672D" w:rsidRPr="00CB672D">
        <w:rPr>
          <w:b/>
          <w:bCs/>
        </w:rPr>
        <w:t>23 (1997)</w:t>
      </w:r>
      <w:r w:rsidRPr="002C7908">
        <w:rPr>
          <w:b/>
          <w:bCs/>
        </w:rPr>
        <w:t xml:space="preserve"> об участии женщин в политической и общественной жизни, Комитет рекомендует государству-участнику: </w:t>
      </w:r>
    </w:p>
    <w:p w14:paraId="3589565C" w14:textId="20037EDD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a)</w:t>
      </w:r>
      <w:r w:rsidR="002C7908" w:rsidRPr="002C7908">
        <w:tab/>
      </w:r>
      <w:r w:rsidR="002C7908" w:rsidRPr="002C7908">
        <w:rPr>
          <w:b/>
          <w:bCs/>
        </w:rPr>
        <w:t>внести изменения в избирательное законодательство в интересах принятия целевых мер, включая временные специальные меры, такие как увеличение квот и специальное финансирование кампаний, с тем чтобы увеличить представленность женщин на всех уровнях правительства, в Олий мажлисе и местных советах, в судебной системе, в научных кругах и на дипломатической службе, в частности на директивном уровне;</w:t>
      </w:r>
    </w:p>
    <w:p w14:paraId="70C2E30E" w14:textId="41269E34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b)</w:t>
      </w:r>
      <w:r w:rsidR="002C7908" w:rsidRPr="002C7908">
        <w:tab/>
      </w:r>
      <w:r w:rsidR="002C7908" w:rsidRPr="002C7908">
        <w:rPr>
          <w:b/>
          <w:bCs/>
        </w:rPr>
        <w:t>принять меры по борьбе с негативным отношением и дискриминационным поведением в отношении женщин в сфере политики, включая информационные и образовательные кампании в школах, в Олий мажлисе и среди широкой общественности;</w:t>
      </w:r>
    </w:p>
    <w:p w14:paraId="7F8D95E8" w14:textId="3F1A2269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c)</w:t>
      </w:r>
      <w:r w:rsidR="002C7908" w:rsidRPr="002C7908">
        <w:tab/>
      </w:r>
      <w:r w:rsidR="002C7908" w:rsidRPr="002C7908">
        <w:rPr>
          <w:b/>
          <w:bCs/>
        </w:rPr>
        <w:t>ввести преференциальный режим найма женщин на гражданскую и дипломатическую службу, уделяя особое внимание женщинам, принадлежащим к обездоленным и отчужденным группам населения;</w:t>
      </w:r>
    </w:p>
    <w:p w14:paraId="75BCCF01" w14:textId="10513E94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d)</w:t>
      </w:r>
      <w:r w:rsidR="002C7908" w:rsidRPr="002C7908">
        <w:tab/>
      </w:r>
      <w:r w:rsidR="002C7908" w:rsidRPr="002C7908">
        <w:rPr>
          <w:b/>
          <w:bCs/>
        </w:rPr>
        <w:t>обязать политические партии включать в свои избирательные списки равное количество женщин-кандидатов и мужчин-кандидатов, располагая их в чередующемся порядке (система «молнии»);</w:t>
      </w:r>
    </w:p>
    <w:p w14:paraId="675E3E97" w14:textId="17DA7BDA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e)</w:t>
      </w:r>
      <w:r w:rsidR="002C7908" w:rsidRPr="002C7908">
        <w:tab/>
      </w:r>
      <w:r w:rsidR="002C7908" w:rsidRPr="002C7908">
        <w:rPr>
          <w:b/>
          <w:bCs/>
        </w:rPr>
        <w:t>обеспечить повышение квалификации женщин-политиков и женщин-кандидатов в таких сферах, как проведение политических кампаний, осуществление руководства и ведение переговоров, а также вместе со средствами массовой информации повышать осведомленность среди политиков, журналистов, религиозных лидеров, общественных деятелей и широкой общественности о важности всестороннего, независимого и демократического участия женщин наравне с мужчинами в общественно-политической жизни в качестве необходимого условия для полного осуществления прав человека женщин и для достижения политической стабильности и экономического развития в государстве-участнике;</w:t>
      </w:r>
    </w:p>
    <w:p w14:paraId="25940FFB" w14:textId="03275EA3" w:rsidR="002C7908" w:rsidRPr="003D44FB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f)</w:t>
      </w:r>
      <w:r w:rsidR="002C7908" w:rsidRPr="002C7908">
        <w:tab/>
      </w:r>
      <w:r w:rsidR="002C7908" w:rsidRPr="002C7908">
        <w:rPr>
          <w:b/>
          <w:bCs/>
        </w:rPr>
        <w:t>обеспечить повышение квалификации и обучение женщин, занимающих руководящие и лидерские позиции в частном секторе, и информировать организации частного сектора о важности полноценной представленности женщин на руководящих должностях.</w:t>
      </w:r>
    </w:p>
    <w:p w14:paraId="1CB0D0F9" w14:textId="77777777" w:rsidR="005754DB" w:rsidRPr="003D44FB" w:rsidRDefault="005754DB" w:rsidP="004050B1">
      <w:pPr>
        <w:pStyle w:val="SingleTxt"/>
        <w:spacing w:after="0" w:line="120" w:lineRule="exact"/>
        <w:rPr>
          <w:b/>
          <w:bCs/>
          <w:sz w:val="10"/>
        </w:rPr>
      </w:pPr>
    </w:p>
    <w:p w14:paraId="3C35E3F4" w14:textId="7E498A91" w:rsidR="002C7908" w:rsidRPr="003D44FB" w:rsidRDefault="002C7908" w:rsidP="004050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lastRenderedPageBreak/>
        <w:tab/>
      </w:r>
      <w:r w:rsidRPr="003D44FB">
        <w:tab/>
        <w:t>Гражданство</w:t>
      </w:r>
    </w:p>
    <w:p w14:paraId="6655E3C5" w14:textId="080FE997" w:rsidR="004050B1" w:rsidRPr="003D44FB" w:rsidRDefault="004050B1" w:rsidP="004050B1">
      <w:pPr>
        <w:pStyle w:val="SingleTxt"/>
        <w:spacing w:after="0" w:line="120" w:lineRule="exact"/>
        <w:rPr>
          <w:sz w:val="10"/>
        </w:rPr>
      </w:pPr>
    </w:p>
    <w:p w14:paraId="7A76E453" w14:textId="280621F3" w:rsidR="002C7908" w:rsidRPr="002C7908" w:rsidRDefault="002C7908" w:rsidP="002C7908">
      <w:pPr>
        <w:pStyle w:val="SingleTxt"/>
      </w:pPr>
      <w:r w:rsidRPr="002C7908">
        <w:t>27.</w:t>
      </w:r>
      <w:r w:rsidRPr="002C7908">
        <w:tab/>
        <w:t>Комитет отмечает, что в 2020</w:t>
      </w:r>
      <w:r w:rsidR="00CB672D">
        <w:t> год</w:t>
      </w:r>
      <w:r w:rsidRPr="002C7908">
        <w:t>у был принят Закон о гражданстве с поправками и что с 2016</w:t>
      </w:r>
      <w:r w:rsidR="00CB672D">
        <w:t> год</w:t>
      </w:r>
      <w:r w:rsidRPr="002C7908">
        <w:t>а государство-участник предоставило гражданство 16</w:t>
      </w:r>
      <w:r w:rsidRPr="002C7908">
        <w:rPr>
          <w:lang w:val="en-US"/>
        </w:rPr>
        <w:t> </w:t>
      </w:r>
      <w:r w:rsidRPr="002C7908">
        <w:t>298 лицам без гражданства. Вместе с тем Комитет с обеспокоенностью отмечает следующее:</w:t>
      </w:r>
    </w:p>
    <w:p w14:paraId="3E223871" w14:textId="765D9010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a)</w:t>
      </w:r>
      <w:r w:rsidR="002C7908" w:rsidRPr="002C7908">
        <w:tab/>
        <w:t>Закон о гражданстве запрещает гражданам иметь двойное гражданство, вследствие чего увеличивается вероятность безгражданства, особенно для женщин, и требует от иностранцев отказаться от своего гражданства, не получая при этом гарантий приобретения ими узбекского гражданства;</w:t>
      </w:r>
    </w:p>
    <w:p w14:paraId="41DC1D4B" w14:textId="7E6CBB55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b)</w:t>
      </w:r>
      <w:r w:rsidR="002C7908" w:rsidRPr="002C7908">
        <w:tab/>
        <w:t>Закон о гражданстве предусматривает утрату гражданства теми узбеками, которые проживают за рубежом и не прошли консульскую регистрацию в течение семилетнего периода, даже если это приводит к безгражданству; граждане Узбекистана могут отказаться от гражданства без предъявления доказательств того, что они получат гражданство другой страны;</w:t>
      </w:r>
    </w:p>
    <w:p w14:paraId="345CA2B5" w14:textId="2C5BA018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c)</w:t>
      </w:r>
      <w:r w:rsidR="002C7908" w:rsidRPr="002C7908">
        <w:tab/>
        <w:t>детям, родившимся на территории Узбекистана, не предоставляется узбекское гражданство, даже если им грозит безгражданство;</w:t>
      </w:r>
    </w:p>
    <w:p w14:paraId="60DAD923" w14:textId="5D78765D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d)</w:t>
      </w:r>
      <w:r w:rsidR="002C7908" w:rsidRPr="002C7908">
        <w:tab/>
        <w:t>несмотря на принятие в 2017</w:t>
      </w:r>
      <w:r w:rsidR="00CB672D">
        <w:t> год</w:t>
      </w:r>
      <w:r w:rsidR="002C7908" w:rsidRPr="002C7908">
        <w:t>у указа Президента об утверждении положения о порядке предоставления политического убежища, национальная система предоставления убежища не соответствует международным нормам и стандартам, требующим защиты и доступа к соответствующим гражданским, социальным и экономическим правам для просителей убежища и беженцев, включая женщин, в частности женщин-беженцев из Афганистана.</w:t>
      </w:r>
    </w:p>
    <w:p w14:paraId="46C8F652" w14:textId="20A8C9DC" w:rsidR="002C7908" w:rsidRPr="002C7908" w:rsidRDefault="002C7908" w:rsidP="002C7908">
      <w:pPr>
        <w:pStyle w:val="SingleTxt"/>
        <w:rPr>
          <w:b/>
          <w:bCs/>
        </w:rPr>
      </w:pPr>
      <w:r w:rsidRPr="002C7908">
        <w:t>28.</w:t>
      </w:r>
      <w:r w:rsidRPr="002C7908">
        <w:tab/>
      </w:r>
      <w:r w:rsidRPr="002C7908">
        <w:rPr>
          <w:b/>
          <w:bCs/>
        </w:rPr>
        <w:t xml:space="preserve">Ссылаясь на свою общую рекомендацию № </w:t>
      </w:r>
      <w:r w:rsidR="00BC28E4" w:rsidRPr="00BC28E4">
        <w:rPr>
          <w:b/>
          <w:bCs/>
        </w:rPr>
        <w:t>32 (2014)</w:t>
      </w:r>
      <w:r w:rsidRPr="002C7908">
        <w:rPr>
          <w:b/>
          <w:bCs/>
        </w:rPr>
        <w:t xml:space="preserve"> по гендерным аспектам статуса беженца, убежища, гражданства и безгражданства женщин, Комитет рекомендует государству-участнику: </w:t>
      </w:r>
    </w:p>
    <w:p w14:paraId="269E8321" w14:textId="3885DBBA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a)</w:t>
      </w:r>
      <w:r w:rsidR="002C7908" w:rsidRPr="002C7908">
        <w:tab/>
      </w:r>
      <w:r w:rsidR="002C7908" w:rsidRPr="002C7908">
        <w:rPr>
          <w:b/>
          <w:bCs/>
        </w:rPr>
        <w:t>внести в Закон о гражданстве изменения, предусматривающие предоставление гражданства детям, которые родились на территории Узбекистана и которые стали бы в противном случае лицами без гражданства, и ставящие утрату гражданства или отказ от него в зависимость от обладания или приобретения другого гражданства, а также разрешить повторное приобретение гражданства женщинам, которые стали бы в противном случае лицами без гражданства;</w:t>
      </w:r>
    </w:p>
    <w:p w14:paraId="2A194C93" w14:textId="024B4976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b)</w:t>
      </w:r>
      <w:r w:rsidR="002C7908" w:rsidRPr="002C7908">
        <w:tab/>
      </w:r>
      <w:r w:rsidR="002C7908" w:rsidRPr="002C7908">
        <w:rPr>
          <w:b/>
          <w:bCs/>
        </w:rPr>
        <w:t>принять меры к тому, чтобы девочки и мальчики, родившиеся на территории государства-участника, регистрировались при рождении и имели доступ к получению узбекского гражданства и документов, удостоверяющих личность, независимо от согласия или гражданства их родителей, места жительства или семейного положения, и чтобы утрата гражданства или отказ от него были возможны лишь при наличии или приобретении другого гражданства;</w:t>
      </w:r>
    </w:p>
    <w:p w14:paraId="279B7719" w14:textId="1D4DF402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c)</w:t>
      </w:r>
      <w:r w:rsidR="002C7908" w:rsidRPr="002C7908">
        <w:tab/>
      </w:r>
      <w:r w:rsidR="002C7908" w:rsidRPr="002C7908">
        <w:rPr>
          <w:b/>
          <w:bCs/>
        </w:rPr>
        <w:t>создать национальную систему предоставления убежища, соответствующую международным нормам и стандартам, и внести изменения в другие соответствующие законы, чтобы обеспечить защиту и доступ к основным услугам для женщин, ищущих убежище, и женщин-беженцев;</w:t>
      </w:r>
    </w:p>
    <w:p w14:paraId="1234CFCE" w14:textId="68A6F646" w:rsidR="002C7908" w:rsidRPr="003D44FB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d)</w:t>
      </w:r>
      <w:r w:rsidR="002C7908" w:rsidRPr="002C7908">
        <w:tab/>
      </w:r>
      <w:r w:rsidR="002C7908" w:rsidRPr="002C7908">
        <w:rPr>
          <w:b/>
          <w:bCs/>
        </w:rPr>
        <w:t>ратифицировать Конвенцию о статусе апатридов 1954</w:t>
      </w:r>
      <w:r w:rsidR="00CB672D">
        <w:rPr>
          <w:b/>
          <w:bCs/>
        </w:rPr>
        <w:t> год</w:t>
      </w:r>
      <w:r w:rsidR="002C7908" w:rsidRPr="002C7908">
        <w:rPr>
          <w:b/>
          <w:bCs/>
        </w:rPr>
        <w:t>а и Конвенцию о сокращении безгражданства 1961</w:t>
      </w:r>
      <w:r w:rsidR="00CB672D">
        <w:rPr>
          <w:b/>
          <w:bCs/>
        </w:rPr>
        <w:t> год</w:t>
      </w:r>
      <w:r w:rsidR="002C7908" w:rsidRPr="002C7908">
        <w:rPr>
          <w:b/>
          <w:bCs/>
        </w:rPr>
        <w:t>а.</w:t>
      </w:r>
    </w:p>
    <w:p w14:paraId="43CAEAE2" w14:textId="5AA1BF56" w:rsidR="004050B1" w:rsidRPr="003D44FB" w:rsidRDefault="004050B1" w:rsidP="004050B1">
      <w:pPr>
        <w:pStyle w:val="SingleTxt"/>
        <w:spacing w:after="0" w:line="120" w:lineRule="exact"/>
        <w:rPr>
          <w:b/>
          <w:bCs/>
          <w:sz w:val="10"/>
        </w:rPr>
      </w:pPr>
    </w:p>
    <w:p w14:paraId="0F14BD86" w14:textId="4DC4D9AE" w:rsidR="002C7908" w:rsidRPr="003D44FB" w:rsidRDefault="002C7908" w:rsidP="004050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Образование</w:t>
      </w:r>
    </w:p>
    <w:p w14:paraId="13DFBE62" w14:textId="1C6BBD3C" w:rsidR="004050B1" w:rsidRPr="003D44FB" w:rsidRDefault="004050B1" w:rsidP="004050B1">
      <w:pPr>
        <w:pStyle w:val="SingleTxt"/>
        <w:spacing w:after="0" w:line="120" w:lineRule="exact"/>
        <w:rPr>
          <w:sz w:val="10"/>
        </w:rPr>
      </w:pPr>
    </w:p>
    <w:p w14:paraId="29B76D30" w14:textId="77777777" w:rsidR="002C7908" w:rsidRPr="002C7908" w:rsidRDefault="002C7908" w:rsidP="002C7908">
      <w:pPr>
        <w:pStyle w:val="SingleTxt"/>
      </w:pPr>
      <w:r w:rsidRPr="002C7908">
        <w:t>29.</w:t>
      </w:r>
      <w:r w:rsidRPr="002C7908">
        <w:tab/>
        <w:t xml:space="preserve">Комитет отмечает прогресс, достигнутый государством-участником в деле укрепления права девочек и женщин на образование со времени рассмотрения </w:t>
      </w:r>
      <w:r w:rsidRPr="002C7908">
        <w:lastRenderedPageBreak/>
        <w:t>его предыдущего периодического доклада, а также стремление государства-участника к достижению цели 4 в области устойчивого развития. Вместе с тем обеспокоенность Комитета вызывают:</w:t>
      </w:r>
    </w:p>
    <w:p w14:paraId="7CE4840E" w14:textId="01E55617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a)</w:t>
      </w:r>
      <w:r w:rsidR="002C7908" w:rsidRPr="002C7908">
        <w:tab/>
        <w:t>низкий уровень зачисления женщин и девочек в высшие учебные заведения и высокий уровень отсева среди девочек в средней школе, что объясняется ранними беременностями, детскими браками, предпочтением отдавать для зачисления в школу мальчиков и высокой стоимостью платы за обучение;</w:t>
      </w:r>
    </w:p>
    <w:p w14:paraId="65AB0113" w14:textId="562464BB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b)</w:t>
      </w:r>
      <w:r w:rsidR="002C7908" w:rsidRPr="002C7908">
        <w:tab/>
        <w:t>сохраняющиеся гендерные стереотипы в системе образования и отсутствие полового просвещения, соответствующего возрасту;</w:t>
      </w:r>
    </w:p>
    <w:p w14:paraId="6C5516A2" w14:textId="4D393280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c)</w:t>
      </w:r>
      <w:r w:rsidR="002C7908" w:rsidRPr="002C7908">
        <w:tab/>
        <w:t>концентрация женщин и девочек в областях обучения, где традиционно доминируют женщины, и их недостаточная представленность в сферах науки, техники, инженерного дела, математики и информационно-коммуникационных технологий, что снижает их перспективы на рынке труда;</w:t>
      </w:r>
    </w:p>
    <w:p w14:paraId="175231CD" w14:textId="26533DCE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d)</w:t>
      </w:r>
      <w:r w:rsidR="002C7908" w:rsidRPr="002C7908">
        <w:tab/>
        <w:t xml:space="preserve">ограниченное использование формулировок и изображений, учитывающих гендерную проблематику, в учебниках и учебных материалах на всех уровнях образования; </w:t>
      </w:r>
    </w:p>
    <w:p w14:paraId="474D3D25" w14:textId="6276D17D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e)</w:t>
      </w:r>
      <w:r w:rsidR="002C7908" w:rsidRPr="002C7908">
        <w:tab/>
        <w:t xml:space="preserve">недостаточная представленность женщин на уровне принятия решений в системе образования. </w:t>
      </w:r>
    </w:p>
    <w:p w14:paraId="792F8CB4" w14:textId="251A6EB1" w:rsidR="002C7908" w:rsidRPr="002C7908" w:rsidRDefault="002C7908" w:rsidP="002C7908">
      <w:pPr>
        <w:pStyle w:val="SingleTxt"/>
        <w:rPr>
          <w:b/>
          <w:bCs/>
        </w:rPr>
      </w:pPr>
      <w:r w:rsidRPr="002C7908">
        <w:t>30.</w:t>
      </w:r>
      <w:r w:rsidRPr="002C7908">
        <w:tab/>
      </w:r>
      <w:r w:rsidRPr="002C7908">
        <w:rPr>
          <w:b/>
          <w:bCs/>
        </w:rPr>
        <w:t xml:space="preserve">Ссылаясь на свою общую рекомендацию № </w:t>
      </w:r>
      <w:r w:rsidR="00CB672D" w:rsidRPr="00CB672D">
        <w:rPr>
          <w:b/>
          <w:bCs/>
        </w:rPr>
        <w:t>36 (2017)</w:t>
      </w:r>
      <w:r w:rsidRPr="002C7908">
        <w:rPr>
          <w:b/>
          <w:bCs/>
        </w:rPr>
        <w:t xml:space="preserve"> о праве девочек и женщин на образование и свои предыдущие рекомендации (</w:t>
      </w:r>
      <w:hyperlink r:id="rId29" w:history="1">
        <w:r w:rsidRPr="002C7908">
          <w:rPr>
            <w:rStyle w:val="Hyperlink"/>
            <w:b/>
            <w:bCs/>
          </w:rPr>
          <w:t>CEDAW/C/UZB/CO/5</w:t>
        </w:r>
      </w:hyperlink>
      <w:r w:rsidRPr="002C7908">
        <w:rPr>
          <w:b/>
          <w:bCs/>
        </w:rPr>
        <w:t xml:space="preserve">, пункт 24), Комитет рекомендует государству-участнику: </w:t>
      </w:r>
    </w:p>
    <w:p w14:paraId="3035D48C" w14:textId="6842DD5A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a)</w:t>
      </w:r>
      <w:r w:rsidR="002C7908" w:rsidRPr="002C7908">
        <w:tab/>
      </w:r>
      <w:r w:rsidR="002C7908" w:rsidRPr="002C7908">
        <w:rPr>
          <w:b/>
          <w:bCs/>
        </w:rPr>
        <w:t xml:space="preserve">обеспечить охват девочек начальным, средним и высшим образованием, в том числе посредством проведения информационных кампаний, ориентированных на родителей, религиозных лидеров и общественных деятелей и посвященных важности образования для девочек на всех уровнях как основы для расширения их прав и возможностей, а также посредством финансовой поддержки семей с низким уровнем дохода для покрытия прямых и косвенных расходов на образование; </w:t>
      </w:r>
    </w:p>
    <w:p w14:paraId="1C27BBC7" w14:textId="1F721E53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b)</w:t>
      </w:r>
      <w:r w:rsidR="002C7908" w:rsidRPr="002C7908">
        <w:tab/>
      </w:r>
      <w:r w:rsidR="002C7908" w:rsidRPr="002C7908">
        <w:rPr>
          <w:b/>
          <w:bCs/>
        </w:rPr>
        <w:t>устранять причины отсева девочек из школ, включая браки с несовершеннолетними, принудительные браки и раннюю беременность, и обеспечить молодым матерям возможность вернуться в школу после рождения ребенка в целях завершения образования, получения аттестата и обеспечения доступа к высшему образованию или трудоустройству;</w:t>
      </w:r>
    </w:p>
    <w:p w14:paraId="3B5B8E9F" w14:textId="7802202E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c)</w:t>
      </w:r>
      <w:r w:rsidR="002C7908" w:rsidRPr="002C7908">
        <w:tab/>
      </w:r>
      <w:r w:rsidR="002C7908" w:rsidRPr="002C7908">
        <w:rPr>
          <w:b/>
          <w:bCs/>
        </w:rPr>
        <w:t xml:space="preserve">разработать и включить в школьные учебные программы: </w:t>
      </w:r>
      <w:r w:rsidR="002C7908" w:rsidRPr="002C7908">
        <w:rPr>
          <w:b/>
          <w:bCs/>
          <w:lang w:val="en-GB"/>
        </w:rPr>
        <w:t>i</w:t>
      </w:r>
      <w:r w:rsidR="002C7908" w:rsidRPr="002C7908">
        <w:rPr>
          <w:b/>
          <w:bCs/>
        </w:rPr>
        <w:t xml:space="preserve">) содержательную и доступную информацию о гендерном равенстве, в том числе о правах женщин, роли женщин-лидеров в общественной жизни и пагубных последствиях гендерных стереотипов, гендерного насилия и дискриминации в отношении женщин и девочек; и </w:t>
      </w:r>
      <w:r w:rsidR="002C7908" w:rsidRPr="002C7908">
        <w:rPr>
          <w:b/>
          <w:bCs/>
          <w:lang w:val="en-GB"/>
        </w:rPr>
        <w:t>ii</w:t>
      </w:r>
      <w:r w:rsidR="002C7908" w:rsidRPr="002C7908">
        <w:rPr>
          <w:b/>
          <w:bCs/>
        </w:rPr>
        <w:t xml:space="preserve">) половое просвещение, которое проводилось бы с учетом возрастной специфики на всех уровнях образования и в рамках которого особое внимание уделялось бы ответственному сексуальному поведению и профилактике ранней беременности и заболеваний, передающихся половым путем; </w:t>
      </w:r>
    </w:p>
    <w:p w14:paraId="427B2E9F" w14:textId="0499873D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d)</w:t>
      </w:r>
      <w:r w:rsidR="002C7908" w:rsidRPr="002C7908">
        <w:tab/>
      </w:r>
      <w:r w:rsidR="002C7908" w:rsidRPr="002C7908">
        <w:rPr>
          <w:b/>
          <w:bCs/>
        </w:rPr>
        <w:t xml:space="preserve">обеспечить для преподавательского состава, работающего на всех уровнях системы образования, подготовку по вопросам прав женщин и гендерного равенства, а также пересмотреть школьные учебники, программы и учебные материалы в целях искоренения дискриминационных гендерных стереотипов; </w:t>
      </w:r>
    </w:p>
    <w:p w14:paraId="0AB860D5" w14:textId="10E5F2D3" w:rsidR="002C7908" w:rsidRPr="002C7908" w:rsidRDefault="004050B1" w:rsidP="002C7908">
      <w:pPr>
        <w:pStyle w:val="SingleTxt"/>
        <w:rPr>
          <w:b/>
          <w:bCs/>
        </w:rPr>
      </w:pPr>
      <w:r w:rsidRPr="003D44FB">
        <w:lastRenderedPageBreak/>
        <w:tab/>
      </w:r>
      <w:r w:rsidR="002C7908" w:rsidRPr="002C7908">
        <w:t>e)</w:t>
      </w:r>
      <w:r w:rsidR="002C7908" w:rsidRPr="002C7908">
        <w:tab/>
      </w:r>
      <w:r w:rsidR="002C7908" w:rsidRPr="002C7908">
        <w:rPr>
          <w:b/>
          <w:bCs/>
        </w:rPr>
        <w:t xml:space="preserve">принять скоординированные меры к тому, чтобы побудить женщин и девочек к выбору нетрадиционных областей образования и профессиональной деятельности, таких как наука, техника, инженерное дело, математика и информационно-коммуникационные технологии, в том числе с опорой на консультирование по вопросам профессиональной деятельности, предоставление стипендий и выплату субсидий для покрытия косвенных расходов на образование. </w:t>
      </w:r>
    </w:p>
    <w:p w14:paraId="5E678167" w14:textId="60A13CF3" w:rsidR="002C7908" w:rsidRPr="003D44FB" w:rsidRDefault="002C7908" w:rsidP="004050B1">
      <w:pPr>
        <w:pStyle w:val="SingleTxt"/>
        <w:spacing w:after="0" w:line="120" w:lineRule="exact"/>
        <w:rPr>
          <w:b/>
          <w:bCs/>
          <w:sz w:val="10"/>
        </w:rPr>
      </w:pPr>
    </w:p>
    <w:p w14:paraId="43DC24D5" w14:textId="58B0EDC6" w:rsidR="002C7908" w:rsidRPr="003D44FB" w:rsidRDefault="002C7908" w:rsidP="004050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Занятость</w:t>
      </w:r>
    </w:p>
    <w:p w14:paraId="169E9B7A" w14:textId="5DBF42ED" w:rsidR="004050B1" w:rsidRPr="003D44FB" w:rsidRDefault="004050B1" w:rsidP="004050B1">
      <w:pPr>
        <w:pStyle w:val="SingleTxt"/>
        <w:spacing w:after="0" w:line="120" w:lineRule="exact"/>
        <w:rPr>
          <w:sz w:val="10"/>
        </w:rPr>
      </w:pPr>
    </w:p>
    <w:p w14:paraId="6F7DE61A" w14:textId="6832C48C" w:rsidR="002C7908" w:rsidRPr="002C7908" w:rsidRDefault="002C7908" w:rsidP="002C7908">
      <w:pPr>
        <w:pStyle w:val="SingleTxt"/>
      </w:pPr>
      <w:r w:rsidRPr="002C7908">
        <w:t>31.</w:t>
      </w:r>
      <w:r w:rsidRPr="002C7908">
        <w:tab/>
        <w:t>Комитет отмечает, что в 2019</w:t>
      </w:r>
      <w:r w:rsidR="00CB672D">
        <w:t> год</w:t>
      </w:r>
      <w:r w:rsidRPr="002C7908">
        <w:t>у был отменен запрет на трудоустройство женщин в определенных отраслях и профессиях. При этом Комитет обеспокоен тем, что в том же</w:t>
      </w:r>
      <w:r w:rsidR="006969A7" w:rsidRPr="00C74D6B">
        <w:t xml:space="preserve"> </w:t>
      </w:r>
      <w:r w:rsidR="00CB672D">
        <w:t>год</w:t>
      </w:r>
      <w:r w:rsidRPr="002C7908">
        <w:t xml:space="preserve">у Министерство труда и Министерство здравоохранения разработали и утвердили новый перечень сфер профессиональной деятельности, в которых не рекомендуется трудоустраивать женщин. Комитет также обеспокоен следующим: </w:t>
      </w:r>
    </w:p>
    <w:p w14:paraId="4BF174C5" w14:textId="1F086F07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a)</w:t>
      </w:r>
      <w:r w:rsidR="002C7908" w:rsidRPr="002C7908">
        <w:tab/>
        <w:t>в Узбекистане доля женщин среди руководителей составляет лишь 12</w:t>
      </w:r>
      <w:r w:rsidR="00CB672D">
        <w:t> </w:t>
      </w:r>
      <w:r w:rsidR="002C7908" w:rsidRPr="002C7908">
        <w:t>процентов, а план действий по созданию резерва женщин, имеющих право занимать руководящие должности, находится на стадии утверждения;</w:t>
      </w:r>
    </w:p>
    <w:p w14:paraId="09199731" w14:textId="131892D7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b)</w:t>
      </w:r>
      <w:r w:rsidR="002C7908" w:rsidRPr="002C7908">
        <w:tab/>
        <w:t xml:space="preserve">значительный гендерный разрыв в оплате труда и горизонтальная и вертикальная сегрегация на рынке труда, а также препятствия на пути продвижения женщин к руководящим должностям, более высокооплачиваемой работе и должностям директивного уровня, в том числе в национальных и местных администрациях; </w:t>
      </w:r>
    </w:p>
    <w:p w14:paraId="35C9DC50" w14:textId="30C605B1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c)</w:t>
      </w:r>
      <w:r w:rsidR="002C7908" w:rsidRPr="002C7908">
        <w:tab/>
        <w:t xml:space="preserve">отсутствие возможностей для совмещения профессиональной и семейной жизни и недостаточные усилия по поощрению и обеспечению равного распределения домашних обязанностей и обязанностей по воспитанию детей между женщинами и мужчинами; </w:t>
      </w:r>
    </w:p>
    <w:p w14:paraId="1C15B4AB" w14:textId="37D52AFF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d)</w:t>
      </w:r>
      <w:r w:rsidR="002C7908" w:rsidRPr="002C7908">
        <w:tab/>
        <w:t xml:space="preserve">концентрация женщин в неформальном секторе экономики и в низкооплачиваемых сферах деятельности, где им зачастую приходится трудиться в условиях эксплуатации и без доступа к системе социальной защиты и охраны труда, особенно во время пандемии </w:t>
      </w:r>
      <w:r w:rsidR="002C7908" w:rsidRPr="002C7908">
        <w:rPr>
          <w:lang w:val="en-US"/>
        </w:rPr>
        <w:t>COVID</w:t>
      </w:r>
      <w:r w:rsidR="002C7908" w:rsidRPr="002C7908">
        <w:t>-19;</w:t>
      </w:r>
    </w:p>
    <w:p w14:paraId="07C0C22A" w14:textId="07DF4E5C" w:rsidR="002C7908" w:rsidRPr="002C7908" w:rsidRDefault="004050B1" w:rsidP="002C7908">
      <w:pPr>
        <w:pStyle w:val="SingleTxt"/>
      </w:pPr>
      <w:r w:rsidRPr="003D44FB">
        <w:tab/>
      </w:r>
      <w:r w:rsidR="002C7908" w:rsidRPr="002C7908">
        <w:t>e)</w:t>
      </w:r>
      <w:r w:rsidR="002C7908" w:rsidRPr="002C7908">
        <w:tab/>
        <w:t xml:space="preserve">ограниченный доступ к достойной занятости для уязвимых и маргинализированных групп женщин, в том числе женщин из числа этнических меньшинств, женщин-мигрантов и женщин-инвалидов. </w:t>
      </w:r>
    </w:p>
    <w:p w14:paraId="08E58806" w14:textId="021544FC" w:rsidR="002C7908" w:rsidRPr="002C7908" w:rsidRDefault="002C7908" w:rsidP="002C7908">
      <w:pPr>
        <w:pStyle w:val="SingleTxt"/>
        <w:rPr>
          <w:b/>
          <w:bCs/>
        </w:rPr>
      </w:pPr>
      <w:r w:rsidRPr="002C7908">
        <w:t>32.</w:t>
      </w:r>
      <w:r w:rsidRPr="002C7908">
        <w:tab/>
      </w:r>
      <w:r w:rsidRPr="002C7908">
        <w:rPr>
          <w:b/>
          <w:bCs/>
        </w:rPr>
        <w:t>Напоминая, что прогресс в сфере занятости должен быть тесно связан с расширением прав и возможностей женщин и равенством в сфере труда, Комитет рекомендует государству-участнику переориентировать свою политику занятости на гендерное равенство и принять меры к тому, чтобы в ее основе лежали результаты, измеримые показатели, партнерства с частным сектором и возможности для профессиональной подготовки во всех областях, включая инновационные сектора и сектор информационно-коммуникационных технологий. Он также напоминает о своих предыдущих рекомендациях (</w:t>
      </w:r>
      <w:hyperlink r:id="rId30" w:history="1">
        <w:r w:rsidRPr="002C7908">
          <w:rPr>
            <w:rStyle w:val="Hyperlink"/>
            <w:b/>
            <w:bCs/>
          </w:rPr>
          <w:t>CEDAW/C/UZB/CO/5</w:t>
        </w:r>
      </w:hyperlink>
      <w:r w:rsidRPr="002C7908">
        <w:rPr>
          <w:b/>
          <w:bCs/>
        </w:rPr>
        <w:t>, пункт</w:t>
      </w:r>
      <w:r w:rsidR="00CB672D">
        <w:rPr>
          <w:b/>
          <w:bCs/>
        </w:rPr>
        <w:t> </w:t>
      </w:r>
      <w:r w:rsidRPr="002C7908">
        <w:rPr>
          <w:b/>
          <w:bCs/>
        </w:rPr>
        <w:t xml:space="preserve">26) и рекомендует государству-участнику: </w:t>
      </w:r>
    </w:p>
    <w:p w14:paraId="689FFB96" w14:textId="1CCDCB1C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a)</w:t>
      </w:r>
      <w:r w:rsidR="002C7908" w:rsidRPr="002C7908">
        <w:tab/>
      </w:r>
      <w:r w:rsidR="002C7908" w:rsidRPr="002C7908">
        <w:rPr>
          <w:b/>
          <w:bCs/>
        </w:rPr>
        <w:t xml:space="preserve">ускорить принятие плана действий по формированию резерва женщин, имеющих право занимать руководящие должности; </w:t>
      </w:r>
    </w:p>
    <w:p w14:paraId="5C83862D" w14:textId="1DF5A0AE" w:rsidR="002C7908" w:rsidRPr="002C7908" w:rsidRDefault="004050B1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b)</w:t>
      </w:r>
      <w:r w:rsidR="002C7908" w:rsidRPr="002C7908">
        <w:tab/>
      </w:r>
      <w:r w:rsidR="002C7908" w:rsidRPr="002C7908">
        <w:rPr>
          <w:b/>
          <w:bCs/>
        </w:rPr>
        <w:t xml:space="preserve">принять целенаправленные меры по расширению доступа женщин к официальной занятости, включая руководящие и высокооплачиваемые должности в традиционно мужских профессиях и руководящие должности в органах национальной и местной администрации, посредством </w:t>
      </w:r>
      <w:r w:rsidR="002C7908" w:rsidRPr="002C7908">
        <w:rPr>
          <w:b/>
          <w:bCs/>
        </w:rPr>
        <w:lastRenderedPageBreak/>
        <w:t xml:space="preserve">осуществления профессиональной подготовки, предоставления стимулов для преимущественного найма женщин, увеличения числа и повышения качества услуг в сфере ухода за детьми и дошкольного образования в городских и сельских районах, а также путем принятия мер по смягчению воздействия пандемии COVID-19 на занятость женщин; </w:t>
      </w:r>
    </w:p>
    <w:p w14:paraId="3CBF60A3" w14:textId="6CD4CF0B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c)</w:t>
      </w:r>
      <w:r w:rsidR="002C7908" w:rsidRPr="002C7908">
        <w:tab/>
      </w:r>
      <w:r w:rsidR="002C7908" w:rsidRPr="002C7908">
        <w:rPr>
          <w:b/>
          <w:bCs/>
        </w:rPr>
        <w:t xml:space="preserve">успешно внедрить принцип равной оплаты за труд равной ценности путем регулярного пересмотра заработной платы в секторах, где сконцентрированы женщины, и принятия мер по устранению гендерного разрыва в оплате труда, в том числе с помощью гендерно нейтральных аналитических методов классификации и оценки должностей и регулярных обследований на тему заработной платы; </w:t>
      </w:r>
    </w:p>
    <w:p w14:paraId="14EB2376" w14:textId="3B17C74B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d)</w:t>
      </w:r>
      <w:r w:rsidR="002C7908" w:rsidRPr="002C7908">
        <w:tab/>
      </w:r>
      <w:r w:rsidR="002C7908" w:rsidRPr="002C7908">
        <w:rPr>
          <w:b/>
          <w:bCs/>
        </w:rPr>
        <w:t xml:space="preserve">рассмотреть список нерекомендуемых профессий, ограничивающий доступ женщин к определенным профессиям и видам деятельности; облегчить женщинам доступ к таким профессиям; и обеспечить, чтобы любые ограничения были соразмерными, применялись с учетом конкретных обстоятельств и не охватывали всех женщин; </w:t>
      </w:r>
    </w:p>
    <w:p w14:paraId="1BBC1BF8" w14:textId="1A454A1C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e)</w:t>
      </w:r>
      <w:r w:rsidR="002C7908" w:rsidRPr="002C7908">
        <w:tab/>
      </w:r>
      <w:r w:rsidR="002C7908" w:rsidRPr="002C7908">
        <w:rPr>
          <w:b/>
          <w:bCs/>
        </w:rPr>
        <w:t>обеспечить охрану материнства для женщин, работающих в неформальном секторе экономики; содействовать возвращению молодых матерей на работу; и поощрять равное распределение обязанностей по ведению домашнего хозяйства и по уходу за детьми между женщинами и мужчинами, в том числе путем предоставления отцам более широких возможностей брать отпуск по уходу за ребенком;</w:t>
      </w:r>
    </w:p>
    <w:p w14:paraId="1A89B21E" w14:textId="742FDEED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f)</w:t>
      </w:r>
      <w:r w:rsidR="002C7908" w:rsidRPr="002C7908">
        <w:tab/>
      </w:r>
      <w:r w:rsidR="002C7908" w:rsidRPr="002C7908">
        <w:rPr>
          <w:b/>
          <w:bCs/>
        </w:rPr>
        <w:t>ратифицировать Конвенцию о работниках с семейными обязанностями (№ 156), принятую Международной организацией труда (МОТ) в 1981</w:t>
      </w:r>
      <w:r w:rsidR="00CB672D">
        <w:rPr>
          <w:b/>
          <w:bCs/>
        </w:rPr>
        <w:t> год</w:t>
      </w:r>
      <w:r w:rsidR="002C7908" w:rsidRPr="002C7908">
        <w:rPr>
          <w:b/>
          <w:bCs/>
        </w:rPr>
        <w:t>у</w:t>
      </w:r>
      <w:r w:rsidR="00CB672D" w:rsidRPr="002C7908">
        <w:rPr>
          <w:b/>
          <w:bCs/>
        </w:rPr>
        <w:t>;</w:t>
      </w:r>
    </w:p>
    <w:p w14:paraId="2F82E524" w14:textId="741E7122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g)</w:t>
      </w:r>
      <w:r w:rsidR="002C7908" w:rsidRPr="002C7908">
        <w:tab/>
      </w:r>
      <w:r w:rsidR="002C7908" w:rsidRPr="002C7908">
        <w:rPr>
          <w:b/>
          <w:bCs/>
        </w:rPr>
        <w:t>расширить доступ к возможностям трудоустройства и обучения для уязвимых и маргинализированных групп женщин, таких как женщины из числа этнических меньшинств, женщины-инвалиды и женщины-мигранты, а также обеспечить предотъездную подготовку для женщин-мигрантов.</w:t>
      </w:r>
    </w:p>
    <w:p w14:paraId="4B9D716A" w14:textId="4EE71538" w:rsidR="002C7908" w:rsidRPr="003D44FB" w:rsidRDefault="002C7908" w:rsidP="00A03A54">
      <w:pPr>
        <w:pStyle w:val="SingleTxt"/>
        <w:spacing w:after="0" w:line="120" w:lineRule="exact"/>
        <w:rPr>
          <w:b/>
          <w:bCs/>
          <w:sz w:val="10"/>
        </w:rPr>
      </w:pPr>
    </w:p>
    <w:p w14:paraId="7214D974" w14:textId="323B0364" w:rsidR="002C7908" w:rsidRPr="003D44FB" w:rsidRDefault="002C7908" w:rsidP="00A03A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Здоровье</w:t>
      </w:r>
    </w:p>
    <w:p w14:paraId="1CFDDF3C" w14:textId="5269B459" w:rsidR="00A03A54" w:rsidRPr="003D44FB" w:rsidRDefault="00A03A54" w:rsidP="00A03A54">
      <w:pPr>
        <w:pStyle w:val="SingleTxt"/>
        <w:spacing w:after="0" w:line="120" w:lineRule="exact"/>
        <w:rPr>
          <w:sz w:val="10"/>
        </w:rPr>
      </w:pPr>
    </w:p>
    <w:p w14:paraId="24E73133" w14:textId="39B6D339" w:rsidR="002C7908" w:rsidRPr="002C7908" w:rsidRDefault="002C7908" w:rsidP="002C7908">
      <w:pPr>
        <w:pStyle w:val="SingleTxt"/>
      </w:pPr>
      <w:r w:rsidRPr="002C7908">
        <w:t>33.</w:t>
      </w:r>
      <w:r w:rsidRPr="002C7908">
        <w:tab/>
        <w:t>Комитет выражает государству-участнику признательность за то, что в 2019</w:t>
      </w:r>
      <w:r w:rsidR="00CB672D">
        <w:t> год</w:t>
      </w:r>
      <w:r w:rsidRPr="002C7908">
        <w:t xml:space="preserve">у был принят Закон об охране репродуктивного здоровья граждан. Вместе с тем Комитет с обеспокоенностью отмечает: </w:t>
      </w:r>
    </w:p>
    <w:p w14:paraId="54574752" w14:textId="52BC11F1" w:rsidR="002C7908" w:rsidRPr="002C7908" w:rsidRDefault="00A03A54" w:rsidP="002C7908">
      <w:pPr>
        <w:pStyle w:val="SingleTxt"/>
      </w:pPr>
      <w:r w:rsidRPr="003D44FB">
        <w:tab/>
      </w:r>
      <w:r w:rsidR="002C7908" w:rsidRPr="002C7908">
        <w:t>a)</w:t>
      </w:r>
      <w:r w:rsidR="002C7908" w:rsidRPr="002C7908">
        <w:tab/>
        <w:t>высокий уровень материнской смертности (19,1 на 100 000 живорождений в 2019</w:t>
      </w:r>
      <w:r w:rsidR="00CB672D">
        <w:t> год</w:t>
      </w:r>
      <w:r w:rsidR="002C7908" w:rsidRPr="002C7908">
        <w:t xml:space="preserve">у) и младенческой смертности (21,4 на 100 000 живорождений), несмотря на небольшое снижение, а также рост мертворождений; </w:t>
      </w:r>
    </w:p>
    <w:p w14:paraId="3357EDCE" w14:textId="001C2E2E" w:rsidR="002C7908" w:rsidRPr="002C7908" w:rsidRDefault="00A03A54" w:rsidP="002C7908">
      <w:pPr>
        <w:pStyle w:val="SingleTxt"/>
      </w:pPr>
      <w:r w:rsidRPr="003D44FB">
        <w:tab/>
      </w:r>
      <w:r w:rsidR="002C7908" w:rsidRPr="002C7908">
        <w:t>b)</w:t>
      </w:r>
      <w:r w:rsidR="002C7908" w:rsidRPr="002C7908">
        <w:tab/>
        <w:t>тот факт, что в статье 113 Уголовного кодекса устанавливается уголовная ответственность за акты заражения и передачи ВИЧ, наказываемые лишением свободы на срок от пяти до восьми лет, даже в случае половых отношений по обоюдному согласию между взрослыми людьми и что в соответствии с Кодексом об административных правонарушениях сокрытие источника заражения венерической болезнью или ВИЧ/СПИДом (статья</w:t>
      </w:r>
      <w:r w:rsidR="00CB672D">
        <w:t> </w:t>
      </w:r>
      <w:r w:rsidR="002C7908" w:rsidRPr="002C7908">
        <w:t>57) и уклонение от обследования (статья</w:t>
      </w:r>
      <w:r w:rsidR="00CB672D">
        <w:t> </w:t>
      </w:r>
      <w:r w:rsidR="002C7908" w:rsidRPr="002C7908">
        <w:t>58 о лицах с венерическими заболеваниями или ВИЧ/СПИДом) по-прежнему относятся к числу правонарушений;</w:t>
      </w:r>
    </w:p>
    <w:p w14:paraId="4F4AC995" w14:textId="0611433D" w:rsidR="002C7908" w:rsidRPr="002C7908" w:rsidRDefault="00A03A54" w:rsidP="002C7908">
      <w:pPr>
        <w:pStyle w:val="SingleTxt"/>
      </w:pPr>
      <w:r w:rsidRPr="003D44FB">
        <w:tab/>
      </w:r>
      <w:r w:rsidR="002C7908" w:rsidRPr="002C7908">
        <w:t>c)</w:t>
      </w:r>
      <w:r w:rsidR="002C7908" w:rsidRPr="002C7908">
        <w:tab/>
        <w:t xml:space="preserve">ограниченный доступ женщин и девочек к имеющимися и недорогим современным противозачаточным средствам, особенно в сельских районах, и препятствия, с которыми сталкиваются девочки-подростки в получении доступа </w:t>
      </w:r>
      <w:r w:rsidR="002C7908" w:rsidRPr="002C7908">
        <w:lastRenderedPageBreak/>
        <w:t>к информации об охране сексуального и репродуктивного здоровья и соответствующих правах;</w:t>
      </w:r>
    </w:p>
    <w:p w14:paraId="0324397E" w14:textId="5F4D3E12" w:rsidR="002C7908" w:rsidRPr="002C7908" w:rsidRDefault="00A03A54" w:rsidP="002C7908">
      <w:pPr>
        <w:pStyle w:val="SingleTxt"/>
      </w:pPr>
      <w:r w:rsidRPr="003D44FB">
        <w:tab/>
      </w:r>
      <w:r w:rsidR="002C7908" w:rsidRPr="002C7908">
        <w:t>d)</w:t>
      </w:r>
      <w:r w:rsidR="002C7908" w:rsidRPr="002C7908">
        <w:tab/>
        <w:t>значительное число ранних беременностей, отсутствие в школьной программе указаний на то, что с учетом возраста должно осуществляться обязательное просвещение о сексуальном и репродуктивном здоровье и правах, а также недостаточная подготовка учителей в этой области;</w:t>
      </w:r>
    </w:p>
    <w:p w14:paraId="1FBE3A84" w14:textId="31531A3F" w:rsidR="002C7908" w:rsidRPr="002C7908" w:rsidRDefault="00A03A54" w:rsidP="002C7908">
      <w:pPr>
        <w:pStyle w:val="SingleTxt"/>
      </w:pPr>
      <w:r w:rsidRPr="003D44FB">
        <w:tab/>
      </w:r>
      <w:r w:rsidR="002C7908" w:rsidRPr="002C7908">
        <w:t>e)</w:t>
      </w:r>
      <w:r w:rsidR="002C7908" w:rsidRPr="002C7908">
        <w:tab/>
        <w:t xml:space="preserve">высокая распространенность анемии среди беременных женщин, девочек-подростков и женщин репродуктивного возраста; </w:t>
      </w:r>
    </w:p>
    <w:p w14:paraId="5FD7A615" w14:textId="5C22B754" w:rsidR="002C7908" w:rsidRPr="002C7908" w:rsidRDefault="00A03A54" w:rsidP="002C7908">
      <w:pPr>
        <w:pStyle w:val="SingleTxt"/>
      </w:pPr>
      <w:r w:rsidRPr="003D44FB">
        <w:tab/>
      </w:r>
      <w:r w:rsidR="002C7908" w:rsidRPr="002C7908">
        <w:t>f)</w:t>
      </w:r>
      <w:r w:rsidR="002C7908" w:rsidRPr="002C7908">
        <w:tab/>
        <w:t xml:space="preserve">рост числа самоубийств и членовредительства среди девочек-подростков. </w:t>
      </w:r>
    </w:p>
    <w:p w14:paraId="6F0B5316" w14:textId="632A1A36" w:rsidR="002C7908" w:rsidRPr="002C7908" w:rsidRDefault="002C7908" w:rsidP="002C7908">
      <w:pPr>
        <w:pStyle w:val="SingleTxt"/>
        <w:rPr>
          <w:b/>
          <w:bCs/>
        </w:rPr>
      </w:pPr>
      <w:r w:rsidRPr="002C7908">
        <w:t>34.</w:t>
      </w:r>
      <w:r w:rsidRPr="002C7908">
        <w:tab/>
      </w:r>
      <w:r w:rsidRPr="002C7908">
        <w:rPr>
          <w:b/>
          <w:bCs/>
        </w:rPr>
        <w:t xml:space="preserve">Комитет напоминает о своей общей рекомендации № </w:t>
      </w:r>
      <w:r w:rsidR="00BC28E4" w:rsidRPr="00BC28E4">
        <w:rPr>
          <w:b/>
          <w:bCs/>
        </w:rPr>
        <w:t>24 (1999)</w:t>
      </w:r>
      <w:r w:rsidRPr="002C7908">
        <w:rPr>
          <w:b/>
          <w:bCs/>
        </w:rPr>
        <w:t xml:space="preserve"> о женщинах и здоровье и рекомендует государству-участнику:</w:t>
      </w:r>
    </w:p>
    <w:p w14:paraId="207F5C92" w14:textId="3F6844C9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a)</w:t>
      </w:r>
      <w:r w:rsidR="002C7908" w:rsidRPr="002C7908">
        <w:tab/>
      </w:r>
      <w:r w:rsidR="002C7908" w:rsidRPr="002C7908">
        <w:rPr>
          <w:b/>
          <w:bCs/>
        </w:rPr>
        <w:t>устранить причины материнской и младенческой смертности путем принятия таких мер, как обеспечение доступа к безопасным абортам, послеабортной реабилитации и акушерской помощи, решение проблемы большого числа ранних беременностей и увеличение числа квалифицированных акушерок, в том числе в сельских и отдаленных районах;</w:t>
      </w:r>
    </w:p>
    <w:p w14:paraId="510EFDF7" w14:textId="0CE17B42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b)</w:t>
      </w:r>
      <w:r w:rsidR="002C7908" w:rsidRPr="002C7908">
        <w:tab/>
      </w:r>
      <w:r w:rsidR="002C7908" w:rsidRPr="002C7908">
        <w:rPr>
          <w:b/>
          <w:bCs/>
        </w:rPr>
        <w:t>декриминализировать заражение и передачу ВИЧ/СПИДа через половые отношения, в которые взрослые люди вступили по обоюдному согласию, и отменить статью 113 Уголовного кодекса, а также статьи</w:t>
      </w:r>
      <w:r w:rsidR="00CB672D">
        <w:rPr>
          <w:b/>
          <w:bCs/>
        </w:rPr>
        <w:t> </w:t>
      </w:r>
      <w:r w:rsidR="002C7908" w:rsidRPr="002C7908">
        <w:rPr>
          <w:b/>
          <w:bCs/>
        </w:rPr>
        <w:t>57 и 58 Кодекса об административных правонарушениях;</w:t>
      </w:r>
    </w:p>
    <w:p w14:paraId="4731DE06" w14:textId="59A2A5FB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c)</w:t>
      </w:r>
      <w:r w:rsidR="002C7908" w:rsidRPr="002C7908">
        <w:tab/>
      </w:r>
      <w:r w:rsidR="002C7908" w:rsidRPr="002C7908">
        <w:rPr>
          <w:b/>
          <w:bCs/>
        </w:rPr>
        <w:t>расширить доступ женщин и девочек к надлежащему и недорогому медицинскому обслуживанию, обеспечив надлежащим образом подготовленный персонал для достаточного количества медицинских учреждений, в том числе в сельских и отдаленных районах, а также активизировать усилия в целях реализации программ в области охраны здоровья и всеохватных информационных программ, чтобы обеспечить доступность современных контрацептивов для всех женщин и девочек, в том числе из числа обездоленных групп и из сельских районов;</w:t>
      </w:r>
    </w:p>
    <w:p w14:paraId="5F1F583B" w14:textId="4FC673F0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d)</w:t>
      </w:r>
      <w:r w:rsidR="002C7908" w:rsidRPr="002C7908">
        <w:tab/>
      </w:r>
      <w:r w:rsidR="002C7908" w:rsidRPr="002C7908">
        <w:rPr>
          <w:b/>
          <w:bCs/>
        </w:rPr>
        <w:t>включить в школьные программы всеохватный курс обучения, который должен проводиться с учетом возраста и охватывать темы сексуального и репродуктивного здоровья и прав, в том числе обучение о современных видах контрацепции, профилактике инфекций, передаваемых половым путем, и рисках совершения опасного аборта;</w:t>
      </w:r>
    </w:p>
    <w:p w14:paraId="5088B749" w14:textId="0B5A8B4B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e)</w:t>
      </w:r>
      <w:r w:rsidR="002C7908" w:rsidRPr="002C7908">
        <w:tab/>
      </w:r>
      <w:r w:rsidR="002C7908" w:rsidRPr="002C7908">
        <w:rPr>
          <w:b/>
          <w:bCs/>
        </w:rPr>
        <w:t>активизировать усилия по обеспечению обогащения пищевых продуктов для решения проблемы дефицита питательных микроэлементов у женщин и детей;</w:t>
      </w:r>
    </w:p>
    <w:p w14:paraId="27EC3BEB" w14:textId="77A9C3F4" w:rsidR="002C7908" w:rsidRPr="003D44FB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f)</w:t>
      </w:r>
      <w:r w:rsidR="002C7908" w:rsidRPr="002C7908">
        <w:tab/>
      </w:r>
      <w:r w:rsidR="002C7908" w:rsidRPr="002C7908">
        <w:rPr>
          <w:b/>
          <w:bCs/>
        </w:rPr>
        <w:t>провести исследования для установления коренных причин самоубийств, усилить меры по улучшению состояния психического здоровья молодых женщин и девочек в государстве-участнике, а также выделить надлежащие ресурсы для оказания соответствующей поддержки женщинам, перенесшим физические и психологические травмы.</w:t>
      </w:r>
    </w:p>
    <w:p w14:paraId="46CF6944" w14:textId="1E0638D6" w:rsidR="00A03A54" w:rsidRPr="003D44FB" w:rsidRDefault="00A03A54" w:rsidP="00A03A54">
      <w:pPr>
        <w:pStyle w:val="SingleTxt"/>
        <w:spacing w:after="0" w:line="120" w:lineRule="exact"/>
        <w:rPr>
          <w:b/>
          <w:bCs/>
          <w:sz w:val="10"/>
        </w:rPr>
      </w:pPr>
    </w:p>
    <w:p w14:paraId="2CC37C64" w14:textId="154D3DCF" w:rsidR="002C7908" w:rsidRPr="003D44FB" w:rsidRDefault="002C7908" w:rsidP="00A03A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Экономические и социальные выгоды</w:t>
      </w:r>
    </w:p>
    <w:p w14:paraId="4F48DEFA" w14:textId="399F002D" w:rsidR="00A03A54" w:rsidRPr="003D44FB" w:rsidRDefault="00A03A54" w:rsidP="00A03A54">
      <w:pPr>
        <w:pStyle w:val="SingleTxt"/>
        <w:spacing w:after="0" w:line="120" w:lineRule="exact"/>
        <w:rPr>
          <w:sz w:val="10"/>
        </w:rPr>
      </w:pPr>
    </w:p>
    <w:p w14:paraId="6287CFE2" w14:textId="57CFD666" w:rsidR="002C7908" w:rsidRPr="002C7908" w:rsidRDefault="002C7908" w:rsidP="002C7908">
      <w:pPr>
        <w:pStyle w:val="SingleTxt"/>
      </w:pPr>
      <w:r w:rsidRPr="002C7908">
        <w:t>35.</w:t>
      </w:r>
      <w:r w:rsidRPr="002C7908">
        <w:tab/>
        <w:t>Комитет отмечает, что в 2020</w:t>
      </w:r>
      <w:r w:rsidR="00CB672D">
        <w:t> год</w:t>
      </w:r>
      <w:r w:rsidRPr="002C7908">
        <w:t>у согласно указу Президента число видов деятельности для самозанятых было увеличено с 24 до 67; он также отмечает, что в 2020</w:t>
      </w:r>
      <w:r w:rsidR="00CB672D">
        <w:t> год</w:t>
      </w:r>
      <w:r w:rsidRPr="002C7908">
        <w:t>у была создана платформа «Женский блокнот», предназначенная для оказания помощи нуждающимся женщинам. Вместе с тем Комитет с обеспокоенностью отмечает:</w:t>
      </w:r>
    </w:p>
    <w:p w14:paraId="0F3EFCDA" w14:textId="05734A6F" w:rsidR="002C7908" w:rsidRPr="002C7908" w:rsidRDefault="00A03A54" w:rsidP="002C7908">
      <w:pPr>
        <w:pStyle w:val="SingleTxt"/>
      </w:pPr>
      <w:r w:rsidRPr="003D44FB">
        <w:lastRenderedPageBreak/>
        <w:tab/>
      </w:r>
      <w:r w:rsidR="002C7908" w:rsidRPr="002C7908">
        <w:t>a)</w:t>
      </w:r>
      <w:r w:rsidR="002C7908" w:rsidRPr="002C7908">
        <w:tab/>
        <w:t>несоразмерн</w:t>
      </w:r>
      <w:r w:rsidR="001B1B7D">
        <w:t>ую</w:t>
      </w:r>
      <w:r w:rsidR="002C7908" w:rsidRPr="002C7908">
        <w:t xml:space="preserve"> дол</w:t>
      </w:r>
      <w:r w:rsidR="001B1B7D">
        <w:t>ю</w:t>
      </w:r>
      <w:r w:rsidR="002C7908" w:rsidRPr="002C7908">
        <w:t xml:space="preserve"> неоплачиваемой работы по ведению домашнего хозяйства и по уходу, выполняемой женщинами, и значительное увеличение бремени женщин в плане осуществления неоплачиваемого ухода во время пандемии COVID-19;</w:t>
      </w:r>
    </w:p>
    <w:p w14:paraId="7E76F24F" w14:textId="6D467C73" w:rsidR="002C7908" w:rsidRPr="002C7908" w:rsidRDefault="00A03A54" w:rsidP="002C7908">
      <w:pPr>
        <w:pStyle w:val="SingleTxt"/>
      </w:pPr>
      <w:r w:rsidRPr="003D44FB">
        <w:tab/>
      </w:r>
      <w:r w:rsidR="002C7908" w:rsidRPr="002C7908">
        <w:t>b)</w:t>
      </w:r>
      <w:r w:rsidR="002C7908" w:rsidRPr="002C7908">
        <w:tab/>
        <w:t>несоразмерное влияние бедности на женщин, особенно сельских женщин, одиноких женщин-глав домашнего хозяйства, и женщин, занятых неоплачиваемым трудом по уходу;</w:t>
      </w:r>
    </w:p>
    <w:p w14:paraId="343ACCF7" w14:textId="5D1BC882" w:rsidR="002C7908" w:rsidRPr="002C7908" w:rsidRDefault="00A03A54" w:rsidP="002C7908">
      <w:pPr>
        <w:pStyle w:val="SingleTxt"/>
      </w:pPr>
      <w:r w:rsidRPr="003D44FB">
        <w:tab/>
      </w:r>
      <w:r w:rsidR="002C7908" w:rsidRPr="002C7908">
        <w:t>c)</w:t>
      </w:r>
      <w:r w:rsidR="002C7908" w:rsidRPr="002C7908">
        <w:tab/>
        <w:t>низк</w:t>
      </w:r>
      <w:r w:rsidR="005820AE">
        <w:t>ую</w:t>
      </w:r>
      <w:r w:rsidR="002C7908" w:rsidRPr="002C7908">
        <w:t xml:space="preserve"> процентн</w:t>
      </w:r>
      <w:r w:rsidR="005820AE">
        <w:t>ую</w:t>
      </w:r>
      <w:r w:rsidR="002C7908" w:rsidRPr="002C7908">
        <w:t xml:space="preserve"> дол</w:t>
      </w:r>
      <w:r w:rsidR="005820AE">
        <w:t>ю</w:t>
      </w:r>
      <w:r w:rsidR="002C7908" w:rsidRPr="002C7908">
        <w:t xml:space="preserve"> женщин, владеющих землей (23 процента) и недвижимостью (36,6 процента); </w:t>
      </w:r>
    </w:p>
    <w:p w14:paraId="4ED5FAC5" w14:textId="0DE80922" w:rsidR="002C7908" w:rsidRPr="002C7908" w:rsidRDefault="00A03A54" w:rsidP="002C7908">
      <w:pPr>
        <w:pStyle w:val="SingleTxt"/>
      </w:pPr>
      <w:r w:rsidRPr="003D44FB">
        <w:tab/>
      </w:r>
      <w:r w:rsidR="002C7908" w:rsidRPr="002C7908">
        <w:t>d)</w:t>
      </w:r>
      <w:r w:rsidR="002C7908" w:rsidRPr="002C7908">
        <w:tab/>
        <w:t>концентраци</w:t>
      </w:r>
      <w:r w:rsidR="00404214">
        <w:t>ю</w:t>
      </w:r>
      <w:r w:rsidR="002C7908" w:rsidRPr="002C7908">
        <w:t xml:space="preserve"> женского предпринимательства в низкорентабельных секторах, таких как оптовая и розничная торговля, сельское хозяйство, а также надомное предпринимательство.</w:t>
      </w:r>
    </w:p>
    <w:p w14:paraId="276AE8C2" w14:textId="77777777" w:rsidR="002C7908" w:rsidRPr="002C7908" w:rsidRDefault="002C7908" w:rsidP="002C7908">
      <w:pPr>
        <w:pStyle w:val="SingleTxt"/>
        <w:rPr>
          <w:b/>
          <w:bCs/>
        </w:rPr>
      </w:pPr>
      <w:r w:rsidRPr="002C7908">
        <w:t>36.</w:t>
      </w:r>
      <w:r w:rsidRPr="002C7908">
        <w:tab/>
      </w:r>
      <w:r w:rsidRPr="002C7908">
        <w:rPr>
          <w:b/>
          <w:bCs/>
        </w:rPr>
        <w:t>Комитет рекомендует государству-участнику:</w:t>
      </w:r>
    </w:p>
    <w:p w14:paraId="4B702EB3" w14:textId="10AE36F2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a)</w:t>
      </w:r>
      <w:r w:rsidR="002C7908" w:rsidRPr="002C7908">
        <w:tab/>
      </w:r>
      <w:r w:rsidR="002C7908" w:rsidRPr="002C7908">
        <w:rPr>
          <w:b/>
          <w:bCs/>
        </w:rPr>
        <w:t>усовершенствовать преобразовательные программы и стратегии по снижению бремени неоплачиваемого труда по уходу для женщин, особенно в сельских районах; облегчить доступ к качественным и недорогим государственным услугам, учитывающим гендерные аспекты и оказываемым в таких областях, как здравоохранение, образование, уход за детьми, транспорт, водоснабжение, землепользование, жилье и энергетика; и собрать данные о неоплачиваемом труде по уходу и установить порядок его монетизации в качестве основы для его признания и компенсации;</w:t>
      </w:r>
    </w:p>
    <w:p w14:paraId="29BC59CD" w14:textId="067E8F8D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b)</w:t>
      </w:r>
      <w:r w:rsidR="002C7908" w:rsidRPr="002C7908">
        <w:tab/>
      </w:r>
      <w:r w:rsidR="002C7908" w:rsidRPr="002C7908">
        <w:rPr>
          <w:b/>
          <w:bCs/>
        </w:rPr>
        <w:t>решить проблему феминизации бедности, в том числе путем устранения дискриминации в схемах пенсионного и социального обеспечения, принимая во внимание перерывы в занятости женщин из-за периодов воспитания детей и осуществления ими неоплачиваемой работы по уходу и по ведению домашнего хозяйства;</w:t>
      </w:r>
    </w:p>
    <w:p w14:paraId="39CDDFF8" w14:textId="33AA68EB" w:rsidR="002C7908" w:rsidRPr="003D44FB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c)</w:t>
      </w:r>
      <w:r w:rsidR="002C7908" w:rsidRPr="002C7908">
        <w:tab/>
      </w:r>
      <w:r w:rsidR="002C7908" w:rsidRPr="002C7908">
        <w:rPr>
          <w:b/>
          <w:bCs/>
        </w:rPr>
        <w:t>принять стимулирующие и целевые меры, включая субсидии для развития бизнеса, схемы инкубации, услуги по вовлечению в финансовую деятельность и другие пакеты стимулирующих мер, с тем чтобы поощрять предпринимательство среди женщин, расширять их экономические возможности и увеличивать их вклад в экономическую жизнь государства-участника.</w:t>
      </w:r>
    </w:p>
    <w:p w14:paraId="2B87D6BD" w14:textId="1545E28F" w:rsidR="00A03A54" w:rsidRPr="003D44FB" w:rsidRDefault="00A03A54" w:rsidP="00A03A54">
      <w:pPr>
        <w:pStyle w:val="SingleTxt"/>
        <w:spacing w:after="0" w:line="120" w:lineRule="exact"/>
        <w:rPr>
          <w:b/>
          <w:bCs/>
          <w:sz w:val="10"/>
        </w:rPr>
      </w:pPr>
    </w:p>
    <w:p w14:paraId="2A160669" w14:textId="7129143B" w:rsidR="002C7908" w:rsidRPr="003D44FB" w:rsidRDefault="002C7908" w:rsidP="00A03A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Сельские женщины</w:t>
      </w:r>
    </w:p>
    <w:p w14:paraId="4FFA192A" w14:textId="48A4324E" w:rsidR="00A03A54" w:rsidRPr="003D44FB" w:rsidRDefault="00A03A54" w:rsidP="00A03A54">
      <w:pPr>
        <w:pStyle w:val="SingleTxt"/>
        <w:spacing w:after="0" w:line="120" w:lineRule="exact"/>
        <w:rPr>
          <w:sz w:val="10"/>
        </w:rPr>
      </w:pPr>
    </w:p>
    <w:p w14:paraId="2A00B167" w14:textId="24FD742E" w:rsidR="002C7908" w:rsidRPr="002C7908" w:rsidRDefault="002C7908" w:rsidP="002C7908">
      <w:pPr>
        <w:pStyle w:val="SingleTxt"/>
      </w:pPr>
      <w:r w:rsidRPr="002C7908">
        <w:t>37.</w:t>
      </w:r>
      <w:r w:rsidRPr="002C7908">
        <w:tab/>
        <w:t>Комитет отмечает усилия государства-участника по расширению доступа сельских женщин к основным услугам и социальным льготам, в том числе посредством принятия Стратегии развития Нового Узбекистана на 2022</w:t>
      </w:r>
      <w:r w:rsidR="00CB672D">
        <w:t>–</w:t>
      </w:r>
      <w:r w:rsidRPr="002C7908">
        <w:t>2026</w:t>
      </w:r>
      <w:r w:rsidR="00CB672D">
        <w:t> год</w:t>
      </w:r>
      <w:r w:rsidRPr="002C7908">
        <w:t>ы и создания общенациональной ассоциации «Женщины аграрной сферы» в 2019</w:t>
      </w:r>
      <w:r w:rsidR="00CB672D">
        <w:t> год</w:t>
      </w:r>
      <w:r w:rsidRPr="002C7908">
        <w:t>у. При этом он по-прежнему обеспокоен тем, что сельские женщины и девочки имеют ограниченный доступ к образованию, возможностям трудоустройства и медицинскому обслуживанию. Он также обеспокоен тем, что в сельскохозяйственной политике не отражены гендерные аспекты и что сельские женщины в недостаточной мере участвуют в принятии решений и представлены на руководящих должностях.</w:t>
      </w:r>
    </w:p>
    <w:p w14:paraId="77A28C4A" w14:textId="0504325F" w:rsidR="002C7908" w:rsidRPr="003D44FB" w:rsidRDefault="002C7908" w:rsidP="002C7908">
      <w:pPr>
        <w:pStyle w:val="SingleTxt"/>
        <w:rPr>
          <w:b/>
          <w:bCs/>
        </w:rPr>
      </w:pPr>
      <w:r w:rsidRPr="002C7908">
        <w:t>38.</w:t>
      </w:r>
      <w:r w:rsidRPr="002C7908">
        <w:tab/>
      </w:r>
      <w:r w:rsidRPr="002C7908">
        <w:rPr>
          <w:b/>
          <w:bCs/>
        </w:rPr>
        <w:t>Комитет повторяет свою предыдущую рекомендацию (</w:t>
      </w:r>
      <w:hyperlink r:id="rId31" w:history="1">
        <w:r w:rsidRPr="002C7908">
          <w:rPr>
            <w:rStyle w:val="Hyperlink"/>
            <w:b/>
            <w:bCs/>
          </w:rPr>
          <w:t>CEDAW/C/UZB/CO/5</w:t>
        </w:r>
      </w:hyperlink>
      <w:r w:rsidRPr="002C7908">
        <w:rPr>
          <w:b/>
          <w:bCs/>
        </w:rPr>
        <w:t xml:space="preserve">, п. 30) и рекомендует государству-участнику бороться с бедностью среди сельских женщин, обеспечивая доступ к образованию, надлежащему водоснабжению и санитарии, официальному трудоустройству, низкопроцентным кредитам без залога и другим формам финансового кредитования агропредприятий, а также доступ к землевладению и </w:t>
      </w:r>
      <w:r w:rsidRPr="002C7908">
        <w:rPr>
          <w:b/>
          <w:bCs/>
        </w:rPr>
        <w:lastRenderedPageBreak/>
        <w:t>землепользованию. Комитет также рекомендует государству-участнику обеспечить учет гендерной проблематики в сельскохозяйственной политике, а также обеспечить равноправное участие сельских женщин в процессе принятия решений и их представленность на руководящих должностях.</w:t>
      </w:r>
    </w:p>
    <w:p w14:paraId="31ECE4DA" w14:textId="1E1100C9" w:rsidR="002C7908" w:rsidRPr="003D44FB" w:rsidRDefault="00A03A54" w:rsidP="00A03A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="002C7908" w:rsidRPr="003D44FB">
        <w:tab/>
        <w:t>Социально уязвимые и маргинализированные группы женщин</w:t>
      </w:r>
    </w:p>
    <w:p w14:paraId="0D57CF5A" w14:textId="7CBA693D" w:rsidR="00A03A54" w:rsidRPr="003D44FB" w:rsidRDefault="00A03A54" w:rsidP="00A03A54">
      <w:pPr>
        <w:pStyle w:val="SingleTxt"/>
        <w:spacing w:after="0" w:line="120" w:lineRule="exact"/>
        <w:rPr>
          <w:sz w:val="10"/>
        </w:rPr>
      </w:pPr>
    </w:p>
    <w:p w14:paraId="68143D4F" w14:textId="77777777" w:rsidR="002C7908" w:rsidRPr="002C7908" w:rsidRDefault="002C7908" w:rsidP="002C7908">
      <w:pPr>
        <w:pStyle w:val="SingleTxt"/>
      </w:pPr>
      <w:r w:rsidRPr="002C7908">
        <w:t>39.</w:t>
      </w:r>
      <w:r w:rsidRPr="002C7908">
        <w:tab/>
        <w:t>Комитет по-прежнему обеспокоен тем, что в государстве-участнике с перекрестными формами дискриминации по-прежнему сталкиваются пожилые женщины, женщины-инвалиды, женщины из числа этнических меньшинств, в частности женщины и девочки из общин мугат/луйли, женщины-беженцы и женщины, ищущие убежище, женщины-мигранты, женщины, живущие с ВИЧ/СПИДом, а также лесбиянки, бисексуалки и трансгендерные женщины.</w:t>
      </w:r>
    </w:p>
    <w:p w14:paraId="6B80EFCA" w14:textId="77777777" w:rsidR="002C7908" w:rsidRPr="002C7908" w:rsidRDefault="002C7908" w:rsidP="002C7908">
      <w:pPr>
        <w:pStyle w:val="SingleTxt"/>
        <w:rPr>
          <w:b/>
          <w:bCs/>
        </w:rPr>
      </w:pPr>
      <w:r w:rsidRPr="002C7908">
        <w:t>40.</w:t>
      </w:r>
      <w:r w:rsidRPr="002C7908">
        <w:tab/>
      </w:r>
      <w:r w:rsidRPr="002C7908">
        <w:rPr>
          <w:b/>
          <w:bCs/>
        </w:rPr>
        <w:t>Комитет рекомендует государству-участнику принять целенаправленные меры, включая временные специальные меры, по обеспечению доступа к правосудию, занятости и медицинскому обслуживанию, включая услуги по охране сексуального и репродуктивного здоровья с соблюдением конфиденциальности информации о пациенте, социальной защите и продовольственной безопасности для следующих групп женщин, находящихся в неблагоприятном положении: пожилые женщины, женщины-инвалиды, женщины из числа этнических меньшинств, в частности женщины и девочки из общин мугат/луйли, женщины-беженцы и женщины, ищущие убежище, женщины-мигранты, женщины, живущие с ВИЧ/СПИДом, а также лесбиянки, бисексуалки и трансгендерные женщины; при этом должны учитываться их особые потребности.</w:t>
      </w:r>
    </w:p>
    <w:p w14:paraId="4C7C0E65" w14:textId="15108867" w:rsidR="002C7908" w:rsidRPr="003D44FB" w:rsidRDefault="002C7908" w:rsidP="00A03A54">
      <w:pPr>
        <w:pStyle w:val="SingleTxt"/>
        <w:spacing w:after="0" w:line="120" w:lineRule="exact"/>
        <w:rPr>
          <w:b/>
          <w:bCs/>
          <w:sz w:val="10"/>
        </w:rPr>
      </w:pPr>
    </w:p>
    <w:p w14:paraId="4E4115D4" w14:textId="46F4CB2E" w:rsidR="002C7908" w:rsidRPr="003D44FB" w:rsidRDefault="00A03A54" w:rsidP="00A03A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</w:r>
      <w:r w:rsidR="002C7908" w:rsidRPr="003D44FB">
        <w:t>Брак и семейные отношения</w:t>
      </w:r>
    </w:p>
    <w:p w14:paraId="382373E3" w14:textId="43218C94" w:rsidR="00A03A54" w:rsidRPr="003D44FB" w:rsidRDefault="00A03A54" w:rsidP="00A03A54">
      <w:pPr>
        <w:pStyle w:val="SingleTxt"/>
        <w:spacing w:after="0" w:line="120" w:lineRule="exact"/>
        <w:rPr>
          <w:sz w:val="10"/>
        </w:rPr>
      </w:pPr>
    </w:p>
    <w:p w14:paraId="31EF3764" w14:textId="10CABF13" w:rsidR="002C7908" w:rsidRPr="002C7908" w:rsidRDefault="002C7908" w:rsidP="002C7908">
      <w:pPr>
        <w:pStyle w:val="SingleTxt"/>
      </w:pPr>
      <w:r w:rsidRPr="002C7908">
        <w:t>41.</w:t>
      </w:r>
      <w:r w:rsidRPr="002C7908">
        <w:tab/>
        <w:t>Комитет с удовлетворением отмечает, что в 2019</w:t>
      </w:r>
      <w:r w:rsidR="00CB672D">
        <w:t> год</w:t>
      </w:r>
      <w:r w:rsidRPr="002C7908">
        <w:t>у в статью</w:t>
      </w:r>
      <w:r w:rsidR="00CB672D">
        <w:t> </w:t>
      </w:r>
      <w:r w:rsidRPr="002C7908">
        <w:t>15 Семейного кодекса были внесены поправки, увеличивающие установленный законом минимальный возраст вступления в брак до 18 лет как для женщин, так и для мужчин. Он также принимает к сведению информацию делегации о том, что проект Семейного кодекса, объединяющий все законодательство о браке и семейных отношениях, был одобрен Олий мажлисом и представлен в Сенат. Вместе с тем Комитет с обеспокоенностью отмечает:</w:t>
      </w:r>
    </w:p>
    <w:p w14:paraId="412CB4D8" w14:textId="219341AF" w:rsidR="002C7908" w:rsidRPr="002C7908" w:rsidRDefault="00A03A54" w:rsidP="002C7908">
      <w:pPr>
        <w:pStyle w:val="SingleTxt"/>
      </w:pPr>
      <w:r w:rsidRPr="003D44FB">
        <w:tab/>
      </w:r>
      <w:r w:rsidR="002C7908" w:rsidRPr="002C7908">
        <w:t>a)</w:t>
      </w:r>
      <w:r w:rsidR="002C7908" w:rsidRPr="002C7908">
        <w:tab/>
        <w:t>тот факт, что в исключительных обстоятельствах, таких как беременность или рождение ребенка, хоким (местная власть) может разрешить вступление в брак в 17</w:t>
      </w:r>
      <w:r w:rsidR="00CB672D">
        <w:t> </w:t>
      </w:r>
      <w:r w:rsidR="002C7908" w:rsidRPr="002C7908">
        <w:t>лет;</w:t>
      </w:r>
    </w:p>
    <w:p w14:paraId="6B22A12D" w14:textId="7C5F70FA" w:rsidR="002C7908" w:rsidRPr="002C7908" w:rsidRDefault="00A03A54" w:rsidP="002C7908">
      <w:pPr>
        <w:pStyle w:val="SingleTxt"/>
      </w:pPr>
      <w:r w:rsidRPr="003D44FB">
        <w:tab/>
      </w:r>
      <w:r w:rsidR="002C7908" w:rsidRPr="002C7908">
        <w:t>b)</w:t>
      </w:r>
      <w:r w:rsidR="002C7908" w:rsidRPr="002C7908">
        <w:tab/>
        <w:t>законодательные положения, лишающие женщин, живущих с ВИЧ/СПИДом, права на усыновление, опекунство и приемное родительство;</w:t>
      </w:r>
    </w:p>
    <w:p w14:paraId="2A8E2BF7" w14:textId="747E2A18" w:rsidR="002C7908" w:rsidRPr="002C7908" w:rsidRDefault="00A03A54" w:rsidP="002C7908">
      <w:pPr>
        <w:pStyle w:val="SingleTxt"/>
      </w:pPr>
      <w:r w:rsidRPr="003D44FB">
        <w:tab/>
      </w:r>
      <w:r w:rsidR="002C7908" w:rsidRPr="002C7908">
        <w:t>c)</w:t>
      </w:r>
      <w:r w:rsidR="002C7908" w:rsidRPr="002C7908">
        <w:tab/>
        <w:t>тот факт, что женщины, которые участвуют в свадебной церемонии в соответствии с религиозным правом и без регистрации гражданского брака, не могут пользоваться защитой, предусмотренной Семейным кодексом, и при расторжении брака лишаются возможности защитить свои экономические интересы;</w:t>
      </w:r>
    </w:p>
    <w:p w14:paraId="2B397CDF" w14:textId="2721BD8D" w:rsidR="002C7908" w:rsidRPr="002C7908" w:rsidRDefault="00A03A54" w:rsidP="002C7908">
      <w:pPr>
        <w:pStyle w:val="SingleTxt"/>
      </w:pPr>
      <w:r w:rsidRPr="003D44FB">
        <w:tab/>
      </w:r>
      <w:r w:rsidR="002C7908" w:rsidRPr="002C7908">
        <w:t>d)</w:t>
      </w:r>
      <w:r w:rsidR="002C7908" w:rsidRPr="002C7908">
        <w:tab/>
        <w:t>сохранение полигамии и принудительных браков, особенно в сельской местности, несмотря на их запрет в законодательстве.</w:t>
      </w:r>
    </w:p>
    <w:p w14:paraId="57783E31" w14:textId="77777777" w:rsidR="002C7908" w:rsidRPr="002C7908" w:rsidRDefault="002C7908" w:rsidP="002C7908">
      <w:pPr>
        <w:pStyle w:val="SingleTxt"/>
        <w:rPr>
          <w:b/>
          <w:bCs/>
        </w:rPr>
      </w:pPr>
      <w:r w:rsidRPr="002C7908">
        <w:t>42.</w:t>
      </w:r>
      <w:r w:rsidRPr="002C7908">
        <w:tab/>
      </w:r>
      <w:r w:rsidRPr="002C7908">
        <w:rPr>
          <w:b/>
          <w:bCs/>
        </w:rPr>
        <w:t>Комитет рекомендует государству-участнику:</w:t>
      </w:r>
    </w:p>
    <w:p w14:paraId="3AF6CD12" w14:textId="19B31207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a)</w:t>
      </w:r>
      <w:r w:rsidR="002C7908" w:rsidRPr="002C7908">
        <w:tab/>
      </w:r>
      <w:r w:rsidR="002C7908" w:rsidRPr="002C7908">
        <w:rPr>
          <w:b/>
          <w:bCs/>
        </w:rPr>
        <w:t>пересмотреть статью</w:t>
      </w:r>
      <w:r w:rsidR="00CB672D">
        <w:rPr>
          <w:b/>
          <w:bCs/>
        </w:rPr>
        <w:t> </w:t>
      </w:r>
      <w:r w:rsidR="002C7908" w:rsidRPr="002C7908">
        <w:rPr>
          <w:b/>
          <w:bCs/>
        </w:rPr>
        <w:t xml:space="preserve">15 Семейного кодекса с целью изъять исключение о брачном возрасте и продолжить усилия по борьбе с полигамией и детскими и принудительными браками, особенно в сельской местности, в </w:t>
      </w:r>
      <w:r w:rsidR="002C7908" w:rsidRPr="002C7908">
        <w:rPr>
          <w:b/>
          <w:bCs/>
        </w:rPr>
        <w:lastRenderedPageBreak/>
        <w:t>том числе путем принятия следующих мер: устранение их коренных причин; поощрение отчетности; наказание за соучастие членов семьи, религиозных и общественных лидеров или сотрудников правоохранительных органов; установление механизмов для выявления таких случаев; а также обеспечение судебного преследования и надлежащего наказания ответственных в соответствии с совместной общей рекомендацией №</w:t>
      </w:r>
      <w:r w:rsidR="00197B75">
        <w:rPr>
          <w:b/>
          <w:bCs/>
          <w:lang w:val="en-US"/>
        </w:rPr>
        <w:t> </w:t>
      </w:r>
      <w:r w:rsidR="002C7908" w:rsidRPr="002C7908">
        <w:rPr>
          <w:b/>
          <w:bCs/>
        </w:rPr>
        <w:t xml:space="preserve">31 Комитета по ликвидации дискриминации в отношении женщин/замечания общего порядка № 18 Комитета по правам ребенка о вредной практике (2014); </w:t>
      </w:r>
    </w:p>
    <w:p w14:paraId="2925FB44" w14:textId="244E66E7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b)</w:t>
      </w:r>
      <w:r w:rsidR="002C7908" w:rsidRPr="002C7908">
        <w:tab/>
      </w:r>
      <w:r w:rsidR="002C7908" w:rsidRPr="002C7908">
        <w:rPr>
          <w:b/>
          <w:bCs/>
        </w:rPr>
        <w:t>отменить дискриминационное законодательство, лишающее женщин, живущих с ВИЧ/СПИДом, права на усыновление, опекунство и приемное родительство;</w:t>
      </w:r>
    </w:p>
    <w:p w14:paraId="31251D5F" w14:textId="2B036A60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c)</w:t>
      </w:r>
      <w:r w:rsidR="002C7908" w:rsidRPr="002C7908">
        <w:tab/>
      </w:r>
      <w:r w:rsidR="002C7908" w:rsidRPr="002C7908">
        <w:rPr>
          <w:b/>
          <w:bCs/>
        </w:rPr>
        <w:t xml:space="preserve">принять меры к тому, чтобы религиозные свадебные церемонии могли проводиться только после гражданской регистрации брака, и защищать права женщин при расторжении религиозных и основанных на обычае браков в соответствии с общей рекомендацией Комитета № </w:t>
      </w:r>
      <w:r w:rsidR="00BC28E4" w:rsidRPr="00BC28E4">
        <w:rPr>
          <w:b/>
          <w:bCs/>
        </w:rPr>
        <w:t>29 (2013)</w:t>
      </w:r>
      <w:r w:rsidR="002C7908" w:rsidRPr="002C7908">
        <w:rPr>
          <w:b/>
          <w:bCs/>
        </w:rPr>
        <w:t xml:space="preserve"> об экономических последствиях вступления в брак, семейных отношений и их расторжения; </w:t>
      </w:r>
    </w:p>
    <w:p w14:paraId="77E48BCB" w14:textId="028F84EE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d)</w:t>
      </w:r>
      <w:r w:rsidR="002C7908" w:rsidRPr="002C7908">
        <w:tab/>
      </w:r>
      <w:r w:rsidR="002C7908" w:rsidRPr="002C7908">
        <w:rPr>
          <w:b/>
          <w:bCs/>
        </w:rPr>
        <w:t>принимать меры к тому, чтобы в соответствии со статьей 16 Конвенции о ликвидации всех форм дискриминации в отношении женщин в период брака и семейных отношений и после их расторжения женщины и мужчины имели одинаковые права и обязанности, включая равные родительские права, независимо от их семейного положения, и одинаковые права на выбор фамилии, профессии и места жительства;</w:t>
      </w:r>
    </w:p>
    <w:p w14:paraId="15D3D320" w14:textId="56EB5588" w:rsidR="002C7908" w:rsidRPr="002C7908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e)</w:t>
      </w:r>
      <w:r w:rsidR="002C7908" w:rsidRPr="002C7908">
        <w:tab/>
      </w:r>
      <w:r w:rsidR="002C7908" w:rsidRPr="002C7908">
        <w:rPr>
          <w:b/>
          <w:bCs/>
        </w:rPr>
        <w:t>проводить для судей, прокуроров и сотрудников правоохранительных органов и местных исполнительных органов учебные и информационно-просветительские мероприятия, посвященные борьбе с полигамией и принудительными и детскими браками;</w:t>
      </w:r>
    </w:p>
    <w:p w14:paraId="7A572726" w14:textId="4F5A0411" w:rsidR="002C7908" w:rsidRPr="003D44FB" w:rsidRDefault="00A03A54" w:rsidP="002C7908">
      <w:pPr>
        <w:pStyle w:val="SingleTxt"/>
        <w:rPr>
          <w:b/>
          <w:bCs/>
        </w:rPr>
      </w:pPr>
      <w:r w:rsidRPr="003D44FB">
        <w:tab/>
      </w:r>
      <w:r w:rsidR="002C7908" w:rsidRPr="002C7908">
        <w:t>f)</w:t>
      </w:r>
      <w:r w:rsidR="002C7908" w:rsidRPr="002C7908">
        <w:tab/>
      </w:r>
      <w:r w:rsidR="002C7908" w:rsidRPr="002C7908">
        <w:rPr>
          <w:b/>
          <w:bCs/>
        </w:rPr>
        <w:t xml:space="preserve">реформировать системы сбора данных и процедуры регистрации в интересах соблюдения уголовного и административного законодательства о полигамии и принудительных и детских браках. </w:t>
      </w:r>
    </w:p>
    <w:p w14:paraId="4B5AD751" w14:textId="770321C7" w:rsidR="00A03A54" w:rsidRPr="003D44FB" w:rsidRDefault="00A03A54" w:rsidP="00A03A54">
      <w:pPr>
        <w:pStyle w:val="SingleTxt"/>
        <w:spacing w:after="0" w:line="120" w:lineRule="exact"/>
        <w:rPr>
          <w:b/>
          <w:bCs/>
          <w:sz w:val="10"/>
        </w:rPr>
      </w:pPr>
    </w:p>
    <w:p w14:paraId="7C85C34E" w14:textId="66A3C310" w:rsidR="002C7908" w:rsidRPr="003D44FB" w:rsidRDefault="002C7908" w:rsidP="00A03A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Факультативный протокол к Конвенции и поправка к пункту</w:t>
      </w:r>
      <w:r w:rsidR="00CB672D">
        <w:t> </w:t>
      </w:r>
      <w:r w:rsidRPr="003D44FB">
        <w:t>1 статьи</w:t>
      </w:r>
      <w:r w:rsidR="00CB672D">
        <w:t> </w:t>
      </w:r>
      <w:r w:rsidRPr="003D44FB">
        <w:t>20 Конвенции</w:t>
      </w:r>
    </w:p>
    <w:p w14:paraId="3017D1DF" w14:textId="1CDB3321" w:rsidR="00A03A54" w:rsidRPr="003D44FB" w:rsidRDefault="00A03A54" w:rsidP="00A03A54">
      <w:pPr>
        <w:pStyle w:val="SingleTxt"/>
        <w:spacing w:after="0" w:line="120" w:lineRule="exact"/>
        <w:rPr>
          <w:sz w:val="10"/>
        </w:rPr>
      </w:pPr>
    </w:p>
    <w:p w14:paraId="32A273C2" w14:textId="7D2DB1DF" w:rsidR="002C7908" w:rsidRPr="003D44FB" w:rsidRDefault="002C7908" w:rsidP="002C7908">
      <w:pPr>
        <w:pStyle w:val="SingleTxt"/>
        <w:rPr>
          <w:b/>
          <w:bCs/>
        </w:rPr>
      </w:pPr>
      <w:r w:rsidRPr="002C7908">
        <w:t>43.</w:t>
      </w:r>
      <w:r w:rsidRPr="002C7908">
        <w:tab/>
      </w:r>
      <w:r w:rsidRPr="002C7908">
        <w:rPr>
          <w:b/>
          <w:bCs/>
        </w:rPr>
        <w:t>Комитет рекомендует государству-участнику ратифицировать Факультативный протокол к Конвенции и как можно скорее принять поправку к пункту</w:t>
      </w:r>
      <w:r w:rsidR="00CB672D">
        <w:rPr>
          <w:b/>
          <w:bCs/>
        </w:rPr>
        <w:t> </w:t>
      </w:r>
      <w:r w:rsidRPr="002C7908">
        <w:rPr>
          <w:b/>
          <w:bCs/>
        </w:rPr>
        <w:t>1 статьи</w:t>
      </w:r>
      <w:r w:rsidR="00CB672D">
        <w:rPr>
          <w:b/>
          <w:bCs/>
        </w:rPr>
        <w:t> </w:t>
      </w:r>
      <w:r w:rsidRPr="002C7908">
        <w:rPr>
          <w:b/>
          <w:bCs/>
        </w:rPr>
        <w:t xml:space="preserve">20 Конвенции о продолжительности заседаний Комитета. </w:t>
      </w:r>
    </w:p>
    <w:p w14:paraId="114CC857" w14:textId="49AE775D" w:rsidR="00A03A54" w:rsidRPr="003D44FB" w:rsidRDefault="00A03A54" w:rsidP="00A03A54">
      <w:pPr>
        <w:pStyle w:val="SingleTxt"/>
        <w:spacing w:after="0" w:line="120" w:lineRule="exact"/>
        <w:rPr>
          <w:b/>
          <w:bCs/>
          <w:sz w:val="10"/>
        </w:rPr>
      </w:pPr>
    </w:p>
    <w:p w14:paraId="1D3FAD06" w14:textId="30C8BAB2" w:rsidR="002C7908" w:rsidRPr="003D44FB" w:rsidRDefault="002C7908" w:rsidP="00A03A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Пекинская декларация и Платформа действий</w:t>
      </w:r>
    </w:p>
    <w:p w14:paraId="1FAEFCDB" w14:textId="17272E42" w:rsidR="00A03A54" w:rsidRPr="003D44FB" w:rsidRDefault="00A03A54" w:rsidP="00A03A54">
      <w:pPr>
        <w:pStyle w:val="SingleTxt"/>
        <w:spacing w:after="0" w:line="120" w:lineRule="exact"/>
        <w:rPr>
          <w:sz w:val="10"/>
        </w:rPr>
      </w:pPr>
    </w:p>
    <w:p w14:paraId="2EDD86F6" w14:textId="77777777" w:rsidR="002C7908" w:rsidRPr="002C7908" w:rsidRDefault="002C7908" w:rsidP="002C7908">
      <w:pPr>
        <w:pStyle w:val="SingleTxt"/>
        <w:rPr>
          <w:b/>
          <w:bCs/>
        </w:rPr>
      </w:pPr>
      <w:r w:rsidRPr="002C7908">
        <w:t>44.</w:t>
      </w:r>
      <w:r w:rsidRPr="002C7908">
        <w:tab/>
      </w:r>
      <w:r w:rsidRPr="002C7908">
        <w:rPr>
          <w:b/>
          <w:bCs/>
        </w:rPr>
        <w:t>Комитет призывает государство-участник использовать Пекинскую декларацию и Платформу действий и провести дальнейшую оценку осуществления прав, предусмотренных в Конвенции, в контексте 25-летнего обзора хода осуществления Декларации и Платформы действий в целях достижения фактического равенства между женщинами и мужчинами.</w:t>
      </w:r>
    </w:p>
    <w:p w14:paraId="038F65A9" w14:textId="55BBEFF4" w:rsidR="002C7908" w:rsidRPr="003D44FB" w:rsidRDefault="002C7908" w:rsidP="00A03A54">
      <w:pPr>
        <w:pStyle w:val="SingleTxt"/>
        <w:spacing w:after="0" w:line="120" w:lineRule="exact"/>
        <w:rPr>
          <w:b/>
          <w:bCs/>
          <w:sz w:val="10"/>
        </w:rPr>
      </w:pPr>
    </w:p>
    <w:p w14:paraId="20549FD5" w14:textId="3520C663" w:rsidR="002C7908" w:rsidRPr="003D44FB" w:rsidRDefault="002C7908" w:rsidP="00A03A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Распространение информации</w:t>
      </w:r>
    </w:p>
    <w:p w14:paraId="456797F6" w14:textId="323D8399" w:rsidR="00A03A54" w:rsidRPr="003D44FB" w:rsidRDefault="00A03A54" w:rsidP="00A03A54">
      <w:pPr>
        <w:pStyle w:val="SingleTxt"/>
        <w:spacing w:after="0" w:line="120" w:lineRule="exact"/>
        <w:rPr>
          <w:sz w:val="10"/>
        </w:rPr>
      </w:pPr>
    </w:p>
    <w:p w14:paraId="69847EDA" w14:textId="370DB1C1" w:rsidR="002C7908" w:rsidRPr="003D44FB" w:rsidRDefault="002C7908" w:rsidP="002C7908">
      <w:pPr>
        <w:pStyle w:val="SingleTxt"/>
        <w:rPr>
          <w:b/>
          <w:bCs/>
        </w:rPr>
      </w:pPr>
      <w:r w:rsidRPr="002C7908">
        <w:t>45.</w:t>
      </w:r>
      <w:r w:rsidRPr="002C7908">
        <w:tab/>
      </w:r>
      <w:r w:rsidRPr="002C7908">
        <w:rPr>
          <w:b/>
          <w:bCs/>
        </w:rPr>
        <w:t xml:space="preserve">Комитет просит государство-участник принять меры к тому, чтобы настоящие заключительные замечания в целях их полного осуществления были своевременно распространены на официальных языках государства-участника среди сотрудников соответствующих государственных </w:t>
      </w:r>
      <w:r w:rsidRPr="002C7908">
        <w:rPr>
          <w:b/>
          <w:bCs/>
        </w:rPr>
        <w:lastRenderedPageBreak/>
        <w:t>учреждений всех уровней (национального, регионального и местного), в частности правительства, Олий мажлиса и органов судебной власти.</w:t>
      </w:r>
    </w:p>
    <w:p w14:paraId="23691919" w14:textId="11F4A1B6" w:rsidR="00A03A54" w:rsidRPr="003D44FB" w:rsidRDefault="00A03A54" w:rsidP="00A03A54">
      <w:pPr>
        <w:pStyle w:val="SingleTxt"/>
        <w:spacing w:after="0" w:line="120" w:lineRule="exact"/>
        <w:rPr>
          <w:b/>
          <w:bCs/>
          <w:sz w:val="10"/>
        </w:rPr>
      </w:pPr>
    </w:p>
    <w:p w14:paraId="1B034E2F" w14:textId="12728286" w:rsidR="002C7908" w:rsidRPr="003D44FB" w:rsidRDefault="00A03A54" w:rsidP="00A03A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="002C7908" w:rsidRPr="003D44FB">
        <w:tab/>
        <w:t>Ратификация других договоров</w:t>
      </w:r>
    </w:p>
    <w:p w14:paraId="4E060B85" w14:textId="58F4DA09" w:rsidR="00A03A54" w:rsidRPr="003D44FB" w:rsidRDefault="00A03A54" w:rsidP="00A03A54">
      <w:pPr>
        <w:pStyle w:val="SingleTxt"/>
        <w:keepNext/>
        <w:keepLines/>
        <w:spacing w:after="0" w:line="120" w:lineRule="exact"/>
        <w:rPr>
          <w:sz w:val="10"/>
        </w:rPr>
      </w:pPr>
    </w:p>
    <w:p w14:paraId="68DB2482" w14:textId="54ECCD6A" w:rsidR="002C7908" w:rsidRPr="003D44FB" w:rsidRDefault="002C7908" w:rsidP="00A03A54">
      <w:pPr>
        <w:pStyle w:val="SingleTxt"/>
        <w:keepNext/>
        <w:keepLines/>
        <w:rPr>
          <w:b/>
          <w:bCs/>
        </w:rPr>
      </w:pPr>
      <w:r w:rsidRPr="002C7908">
        <w:t>46.</w:t>
      </w:r>
      <w:r w:rsidRPr="002C7908">
        <w:tab/>
      </w:r>
      <w:r w:rsidRPr="002C7908">
        <w:rPr>
          <w:b/>
          <w:bCs/>
        </w:rPr>
        <w:t>Комитет отмечает, что соблюдение государством-участником девяти основных международных документов по правам человека позволит женщинам более активно пользоваться своими правами человека и основными свободами во всех сферах жизни. В связи с этим Комитет рекомендует государству-участнику ратифицировать Международную конвенцию для защиты всех лиц от насильственных исчезновений и Международную конвенцию о защите прав всех трудящихся-мигрантов и членов их семей, участником которых оно еще не является.</w:t>
      </w:r>
    </w:p>
    <w:p w14:paraId="1B913B6B" w14:textId="2DA13E88" w:rsidR="00A03A54" w:rsidRPr="003D44FB" w:rsidRDefault="00A03A54" w:rsidP="00A03A54">
      <w:pPr>
        <w:pStyle w:val="SingleTxt"/>
        <w:keepNext/>
        <w:keepLines/>
        <w:spacing w:after="0" w:line="120" w:lineRule="exact"/>
        <w:rPr>
          <w:b/>
          <w:bCs/>
          <w:sz w:val="10"/>
        </w:rPr>
      </w:pPr>
    </w:p>
    <w:p w14:paraId="3A147B59" w14:textId="1B7D87B2" w:rsidR="002C7908" w:rsidRPr="003D44FB" w:rsidRDefault="00A03A54" w:rsidP="00A03A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</w:r>
      <w:r w:rsidR="002C7908" w:rsidRPr="003D44FB">
        <w:t>Последующая деятельность в связи с заключительными замечаниями</w:t>
      </w:r>
    </w:p>
    <w:p w14:paraId="39CB6871" w14:textId="4B729A68" w:rsidR="00A03A54" w:rsidRPr="003D44FB" w:rsidRDefault="00A03A54" w:rsidP="00A03A54">
      <w:pPr>
        <w:pStyle w:val="SingleTxt"/>
        <w:spacing w:after="0" w:line="120" w:lineRule="exact"/>
        <w:rPr>
          <w:sz w:val="10"/>
        </w:rPr>
      </w:pPr>
    </w:p>
    <w:p w14:paraId="3ECCE34B" w14:textId="3B73D313" w:rsidR="002C7908" w:rsidRPr="003D44FB" w:rsidRDefault="002C7908" w:rsidP="002C7908">
      <w:pPr>
        <w:pStyle w:val="SingleTxt"/>
        <w:rPr>
          <w:b/>
          <w:bCs/>
        </w:rPr>
      </w:pPr>
      <w:r w:rsidRPr="002C7908">
        <w:t>47.</w:t>
      </w:r>
      <w:r w:rsidRPr="002C7908">
        <w:tab/>
      </w:r>
      <w:r w:rsidRPr="002C7908">
        <w:rPr>
          <w:b/>
          <w:bCs/>
        </w:rPr>
        <w:t>Комитет просит государство-участник представить в течение двух лет письменную информацию о шагах, предпринятых для выполнения рекомендаций, содержащихся в пунктах 22</w:t>
      </w:r>
      <w:r w:rsidR="00CB672D">
        <w:rPr>
          <w:b/>
          <w:bCs/>
        </w:rPr>
        <w:t> </w:t>
      </w:r>
      <w:r w:rsidRPr="002C7908">
        <w:rPr>
          <w:b/>
          <w:bCs/>
          <w:lang w:val="en-US"/>
        </w:rPr>
        <w:t>d</w:t>
      </w:r>
      <w:r w:rsidRPr="002C7908">
        <w:rPr>
          <w:b/>
          <w:bCs/>
        </w:rPr>
        <w:t>), 30</w:t>
      </w:r>
      <w:r w:rsidR="00CB672D">
        <w:rPr>
          <w:b/>
          <w:bCs/>
        </w:rPr>
        <w:t> </w:t>
      </w:r>
      <w:r w:rsidRPr="002C7908">
        <w:rPr>
          <w:b/>
          <w:bCs/>
        </w:rPr>
        <w:t>b), 34</w:t>
      </w:r>
      <w:r w:rsidR="00CB672D">
        <w:rPr>
          <w:b/>
          <w:bCs/>
        </w:rPr>
        <w:t> </w:t>
      </w:r>
      <w:r w:rsidRPr="002C7908">
        <w:rPr>
          <w:b/>
          <w:bCs/>
        </w:rPr>
        <w:t>а) и 42</w:t>
      </w:r>
      <w:r w:rsidR="00CB672D">
        <w:rPr>
          <w:b/>
          <w:bCs/>
        </w:rPr>
        <w:t> </w:t>
      </w:r>
      <w:r w:rsidRPr="002C7908">
        <w:rPr>
          <w:b/>
          <w:bCs/>
          <w:lang w:val="en-US"/>
        </w:rPr>
        <w:t>b</w:t>
      </w:r>
      <w:r w:rsidRPr="002C7908">
        <w:rPr>
          <w:b/>
          <w:bCs/>
        </w:rPr>
        <w:t>) выше.</w:t>
      </w:r>
    </w:p>
    <w:p w14:paraId="22899913" w14:textId="13C22C05" w:rsidR="00A03A54" w:rsidRPr="003D44FB" w:rsidRDefault="00A03A54" w:rsidP="00A03A54">
      <w:pPr>
        <w:pStyle w:val="SingleTxt"/>
        <w:spacing w:after="0" w:line="120" w:lineRule="exact"/>
        <w:rPr>
          <w:b/>
          <w:bCs/>
          <w:sz w:val="10"/>
        </w:rPr>
      </w:pPr>
    </w:p>
    <w:p w14:paraId="5538858B" w14:textId="323F3485" w:rsidR="002C7908" w:rsidRPr="003D44FB" w:rsidRDefault="002C7908" w:rsidP="00A03A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44FB">
        <w:tab/>
      </w:r>
      <w:r w:rsidRPr="003D44FB">
        <w:tab/>
        <w:t>Подготовка следующего доклада</w:t>
      </w:r>
    </w:p>
    <w:p w14:paraId="3DCEB0A7" w14:textId="3D5BC472" w:rsidR="00A03A54" w:rsidRPr="003D44FB" w:rsidRDefault="00A03A54" w:rsidP="00A03A54">
      <w:pPr>
        <w:pStyle w:val="SingleTxt"/>
        <w:spacing w:after="0" w:line="120" w:lineRule="exact"/>
        <w:rPr>
          <w:sz w:val="10"/>
        </w:rPr>
      </w:pPr>
    </w:p>
    <w:p w14:paraId="74680268" w14:textId="3228095B" w:rsidR="002C7908" w:rsidRPr="002C7908" w:rsidRDefault="002C7908" w:rsidP="002C7908">
      <w:pPr>
        <w:pStyle w:val="SingleTxt"/>
        <w:rPr>
          <w:b/>
          <w:bCs/>
        </w:rPr>
      </w:pPr>
      <w:r w:rsidRPr="002C7908">
        <w:t>48.</w:t>
      </w:r>
      <w:r w:rsidRPr="002C7908">
        <w:tab/>
      </w:r>
      <w:r w:rsidRPr="002C7908">
        <w:rPr>
          <w:b/>
          <w:bCs/>
        </w:rPr>
        <w:t>Комитет предлагает государству-участнику представить свой седьмой периодический доклад в феврале 2026</w:t>
      </w:r>
      <w:r w:rsidR="00CB672D">
        <w:rPr>
          <w:b/>
          <w:bCs/>
        </w:rPr>
        <w:t> год</w:t>
      </w:r>
      <w:r w:rsidRPr="002C7908">
        <w:rPr>
          <w:b/>
          <w:bCs/>
        </w:rPr>
        <w:t>а. Доклад должен быть представлен в срок и охватывать весь период до момента его представления.</w:t>
      </w:r>
    </w:p>
    <w:p w14:paraId="2CC5E78C" w14:textId="0D0D0A2F" w:rsidR="00E225E9" w:rsidRPr="003D44FB" w:rsidRDefault="002C7908" w:rsidP="002C7908">
      <w:pPr>
        <w:pStyle w:val="SingleTxt"/>
        <w:rPr>
          <w:b/>
          <w:bCs/>
        </w:rPr>
      </w:pPr>
      <w:r w:rsidRPr="003D44FB">
        <w:t>49.</w:t>
      </w:r>
      <w:r w:rsidRPr="003D44FB">
        <w:tab/>
      </w:r>
      <w:r w:rsidRPr="003D44FB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(см.</w:t>
      </w:r>
      <w:r w:rsidR="00A03A54" w:rsidRPr="003D44FB">
        <w:rPr>
          <w:b/>
          <w:bCs/>
          <w:lang w:val="en-US"/>
        </w:rPr>
        <w:t> </w:t>
      </w:r>
      <w:hyperlink r:id="rId32" w:history="1">
        <w:r w:rsidRPr="003D44FB">
          <w:rPr>
            <w:rStyle w:val="Hyperlink"/>
            <w:b/>
            <w:bCs/>
            <w:lang w:val="en-GB"/>
          </w:rPr>
          <w:t>HRI</w:t>
        </w:r>
        <w:r w:rsidRPr="003D44FB">
          <w:rPr>
            <w:rStyle w:val="Hyperlink"/>
            <w:b/>
            <w:bCs/>
          </w:rPr>
          <w:t>/</w:t>
        </w:r>
        <w:r w:rsidRPr="003D44FB">
          <w:rPr>
            <w:rStyle w:val="Hyperlink"/>
            <w:b/>
            <w:bCs/>
            <w:lang w:val="en-GB"/>
          </w:rPr>
          <w:t>GEN</w:t>
        </w:r>
        <w:r w:rsidRPr="003D44FB">
          <w:rPr>
            <w:rStyle w:val="Hyperlink"/>
            <w:b/>
            <w:bCs/>
          </w:rPr>
          <w:t>/2/</w:t>
        </w:r>
        <w:r w:rsidRPr="003D44FB">
          <w:rPr>
            <w:rStyle w:val="Hyperlink"/>
            <w:b/>
            <w:bCs/>
            <w:lang w:val="en-GB"/>
          </w:rPr>
          <w:t>Rev</w:t>
        </w:r>
        <w:r w:rsidRPr="003D44FB">
          <w:rPr>
            <w:rStyle w:val="Hyperlink"/>
            <w:b/>
            <w:bCs/>
          </w:rPr>
          <w:t>.6</w:t>
        </w:r>
      </w:hyperlink>
      <w:r w:rsidRPr="003D44FB">
        <w:rPr>
          <w:b/>
          <w:bCs/>
        </w:rPr>
        <w:t>, гл.</w:t>
      </w:r>
      <w:r w:rsidR="00CB672D">
        <w:rPr>
          <w:b/>
          <w:bCs/>
        </w:rPr>
        <w:t> </w:t>
      </w:r>
      <w:r w:rsidRPr="003D44FB">
        <w:rPr>
          <w:b/>
          <w:bCs/>
          <w:lang w:val="en-GB"/>
        </w:rPr>
        <w:t>I</w:t>
      </w:r>
      <w:r w:rsidRPr="003D44FB">
        <w:rPr>
          <w:b/>
          <w:bCs/>
        </w:rPr>
        <w:t>).</w:t>
      </w:r>
    </w:p>
    <w:p w14:paraId="4A87616B" w14:textId="15F78553" w:rsidR="00A03A54" w:rsidRPr="003D44FB" w:rsidRDefault="00A03A54" w:rsidP="00A03A54">
      <w:pPr>
        <w:pStyle w:val="SingleTxt"/>
        <w:spacing w:after="0" w:line="240" w:lineRule="auto"/>
        <w:rPr>
          <w:lang w:val="en-US"/>
        </w:rPr>
      </w:pPr>
      <w:r w:rsidRPr="003D44FB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27A9F" wp14:editId="49477789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B077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03A54" w:rsidRPr="003D44FB" w:rsidSect="00694FDA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art" w:date="2022-03-18T11:29:00Z" w:initials="Start">
    <w:p w14:paraId="362AB0BC" w14:textId="77777777" w:rsidR="00E225E9" w:rsidRPr="00694FDA" w:rsidRDefault="00E225E9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694FDA">
        <w:rPr>
          <w:lang w:val="en-US"/>
        </w:rPr>
        <w:t>&lt;&lt;ODS JOB NO&gt;&gt;N2227427R&lt;&lt;ODS JOB NO&gt;&gt;</w:t>
      </w:r>
    </w:p>
    <w:p w14:paraId="68F009CD" w14:textId="77777777" w:rsidR="00E225E9" w:rsidRPr="00694FDA" w:rsidRDefault="00E225E9">
      <w:pPr>
        <w:pStyle w:val="CommentText"/>
        <w:rPr>
          <w:lang w:val="en-US"/>
        </w:rPr>
      </w:pPr>
      <w:r w:rsidRPr="00694FDA">
        <w:rPr>
          <w:lang w:val="en-US"/>
        </w:rPr>
        <w:t>&lt;&lt;ODS DOC SYMBOL1&gt;&gt;CEDAW/C/UZB/CO/6&lt;&lt;ODS DOC SYMBOL1&gt;&gt;</w:t>
      </w:r>
    </w:p>
    <w:p w14:paraId="6FC9CE11" w14:textId="5BB4F488" w:rsidR="00E225E9" w:rsidRDefault="00E225E9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C9CE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EEB7F" w16cex:dateUtc="2022-03-18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C9CE11" w16cid:durableId="25DEEB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85BA" w14:textId="77777777" w:rsidR="0039666C" w:rsidRDefault="0039666C" w:rsidP="001824A1">
      <w:pPr>
        <w:spacing w:line="240" w:lineRule="auto"/>
      </w:pPr>
      <w:r>
        <w:separator/>
      </w:r>
    </w:p>
  </w:endnote>
  <w:endnote w:type="continuationSeparator" w:id="0">
    <w:p w14:paraId="4D4111A5" w14:textId="77777777" w:rsidR="0039666C" w:rsidRDefault="0039666C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225E9" w14:paraId="235762F9" w14:textId="77777777" w:rsidTr="00E225E9">
      <w:tc>
        <w:tcPr>
          <w:tcW w:w="4920" w:type="dxa"/>
          <w:shd w:val="clear" w:color="auto" w:fill="auto"/>
          <w:vAlign w:val="bottom"/>
        </w:tcPr>
        <w:p w14:paraId="7887E19A" w14:textId="00EF2963" w:rsidR="00E225E9" w:rsidRPr="00E225E9" w:rsidRDefault="00E225E9" w:rsidP="00E225E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0FE6C670" w14:textId="2095239E" w:rsidR="00E225E9" w:rsidRPr="00E225E9" w:rsidRDefault="00E225E9" w:rsidP="00E225E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A2D2A">
            <w:rPr>
              <w:b w:val="0"/>
              <w:color w:val="000000"/>
              <w:sz w:val="14"/>
            </w:rPr>
            <w:t>22-02986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1B413A01" w14:textId="77777777" w:rsidR="00E225E9" w:rsidRPr="00E225E9" w:rsidRDefault="00E225E9" w:rsidP="00E22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225E9" w14:paraId="3024566B" w14:textId="77777777" w:rsidTr="00E225E9">
      <w:tc>
        <w:tcPr>
          <w:tcW w:w="4920" w:type="dxa"/>
          <w:shd w:val="clear" w:color="auto" w:fill="auto"/>
          <w:vAlign w:val="bottom"/>
        </w:tcPr>
        <w:p w14:paraId="11597BAE" w14:textId="2A4441AB" w:rsidR="00E225E9" w:rsidRPr="00E225E9" w:rsidRDefault="00E225E9" w:rsidP="00E225E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A2D2A">
            <w:rPr>
              <w:b w:val="0"/>
              <w:color w:val="000000"/>
              <w:sz w:val="14"/>
            </w:rPr>
            <w:t>22-02986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0EA8606" w14:textId="4D7D5679" w:rsidR="00E225E9" w:rsidRPr="00E225E9" w:rsidRDefault="00E225E9" w:rsidP="00E225E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14:paraId="413ABED9" w14:textId="77777777" w:rsidR="00E225E9" w:rsidRPr="00E225E9" w:rsidRDefault="00E225E9" w:rsidP="00E22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E225E9" w14:paraId="485DD02B" w14:textId="77777777" w:rsidTr="00E225E9">
      <w:tc>
        <w:tcPr>
          <w:tcW w:w="3830" w:type="dxa"/>
        </w:tcPr>
        <w:p w14:paraId="2C0BDF15" w14:textId="33C05FAB" w:rsidR="00E225E9" w:rsidRDefault="00E225E9" w:rsidP="00E225E9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8EFB99B" wp14:editId="0EEFFFDC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22-02986 (R)</w:t>
          </w:r>
          <w:r>
            <w:rPr>
              <w:color w:val="010000"/>
            </w:rPr>
            <w:t xml:space="preserve">    1</w:t>
          </w:r>
          <w:r w:rsidR="00F62332">
            <w:rPr>
              <w:color w:val="010000"/>
              <w:lang w:val="en-US"/>
            </w:rPr>
            <w:t>6</w:t>
          </w:r>
          <w:r>
            <w:rPr>
              <w:color w:val="010000"/>
            </w:rPr>
            <w:t xml:space="preserve">0322    </w:t>
          </w:r>
          <w:r w:rsidR="00F62332">
            <w:rPr>
              <w:color w:val="010000"/>
              <w:lang w:val="en-US"/>
            </w:rPr>
            <w:t>25</w:t>
          </w:r>
          <w:r>
            <w:rPr>
              <w:color w:val="010000"/>
            </w:rPr>
            <w:t>0322</w:t>
          </w:r>
        </w:p>
        <w:p w14:paraId="64B1891A" w14:textId="5E79F0C9" w:rsidR="00E225E9" w:rsidRPr="00E225E9" w:rsidRDefault="00E225E9" w:rsidP="00E225E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*2202986*</w:t>
          </w:r>
        </w:p>
      </w:tc>
      <w:tc>
        <w:tcPr>
          <w:tcW w:w="4920" w:type="dxa"/>
        </w:tcPr>
        <w:p w14:paraId="09E59A51" w14:textId="1E1176E6" w:rsidR="00E225E9" w:rsidRDefault="00E225E9" w:rsidP="00E225E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1F0B1818" wp14:editId="78F5A18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609E5A" w14:textId="77777777" w:rsidR="00E225E9" w:rsidRPr="00E225E9" w:rsidRDefault="00E225E9" w:rsidP="00E225E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A5F7" w14:textId="77777777" w:rsidR="0039666C" w:rsidRPr="00F236D9" w:rsidRDefault="0039666C" w:rsidP="00F236D9">
      <w:pPr>
        <w:pStyle w:val="Footer"/>
        <w:spacing w:after="80"/>
        <w:ind w:left="792"/>
      </w:pPr>
      <w:r w:rsidRPr="00F236D9">
        <w:t>__________________</w:t>
      </w:r>
    </w:p>
  </w:footnote>
  <w:footnote w:type="continuationSeparator" w:id="0">
    <w:p w14:paraId="2CDCF98B" w14:textId="77777777" w:rsidR="0039666C" w:rsidRPr="00F236D9" w:rsidRDefault="0039666C" w:rsidP="00F236D9">
      <w:pPr>
        <w:pStyle w:val="Footer"/>
        <w:spacing w:after="80"/>
        <w:ind w:left="792"/>
      </w:pPr>
      <w:r w:rsidRPr="00F236D9">
        <w:t>__________________</w:t>
      </w:r>
    </w:p>
  </w:footnote>
  <w:footnote w:id="1">
    <w:p w14:paraId="1761A30B" w14:textId="3D0E8A2D" w:rsidR="00F236D9" w:rsidRPr="00F236D9" w:rsidRDefault="00F236D9" w:rsidP="00F236D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rStyle w:val="FootnoteReference"/>
        </w:rPr>
        <w:tab/>
        <w:t>*</w:t>
      </w:r>
      <w:r>
        <w:tab/>
      </w:r>
      <w:r w:rsidRPr="00F236D9">
        <w:t>Принята Комитетом на его восемьдесят первой сессии (7</w:t>
      </w:r>
      <w:r w:rsidR="0035102F" w:rsidRPr="00FA7506">
        <w:t>–</w:t>
      </w:r>
      <w:r w:rsidRPr="00F236D9">
        <w:t>25 февраля 2022</w:t>
      </w:r>
      <w:r w:rsidR="00CB672D">
        <w:t> год</w:t>
      </w:r>
      <w:r w:rsidRPr="00F236D9">
        <w:t>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225E9" w14:paraId="52CF809C" w14:textId="77777777" w:rsidTr="00E225E9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E3AF2CE" w14:textId="18E5ACA5" w:rsidR="00E225E9" w:rsidRPr="00E225E9" w:rsidRDefault="00E225E9" w:rsidP="00E225E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A2D2A">
            <w:rPr>
              <w:b/>
            </w:rPr>
            <w:t>CEDAW/C/UZB/CO/6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6818B73" w14:textId="77777777" w:rsidR="00E225E9" w:rsidRDefault="00E225E9" w:rsidP="00E225E9">
          <w:pPr>
            <w:pStyle w:val="Header"/>
          </w:pPr>
        </w:p>
      </w:tc>
    </w:tr>
  </w:tbl>
  <w:p w14:paraId="238D561F" w14:textId="77777777" w:rsidR="00E225E9" w:rsidRPr="00E225E9" w:rsidRDefault="00E225E9" w:rsidP="00E22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225E9" w14:paraId="4F3D5A9F" w14:textId="77777777" w:rsidTr="00E225E9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5E1B56F" w14:textId="77777777" w:rsidR="00E225E9" w:rsidRDefault="00E225E9" w:rsidP="00E225E9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2EFA312D" w14:textId="78052A97" w:rsidR="00E225E9" w:rsidRPr="00E225E9" w:rsidRDefault="00E225E9" w:rsidP="00E225E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A2D2A">
            <w:rPr>
              <w:b/>
            </w:rPr>
            <w:t>CEDAW/C/UZB/CO/6</w:t>
          </w:r>
          <w:r>
            <w:rPr>
              <w:b/>
            </w:rPr>
            <w:fldChar w:fldCharType="end"/>
          </w:r>
        </w:p>
      </w:tc>
    </w:tr>
  </w:tbl>
  <w:p w14:paraId="79C9DD80" w14:textId="77777777" w:rsidR="00E225E9" w:rsidRPr="00E225E9" w:rsidRDefault="00E225E9" w:rsidP="00E22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E225E9" w14:paraId="425CA9EB" w14:textId="77777777" w:rsidTr="00E225E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7F77466E" w14:textId="7ABB214E" w:rsidR="00E225E9" w:rsidRPr="00E225E9" w:rsidRDefault="00E225E9" w:rsidP="00E225E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DD5D58F" w14:textId="77777777" w:rsidR="00E225E9" w:rsidRDefault="00E225E9" w:rsidP="00E225E9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2F6EA27F" w14:textId="4007BE5E" w:rsidR="00E225E9" w:rsidRPr="00E225E9" w:rsidRDefault="00E225E9" w:rsidP="00E225E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/C/UZB/CO/6</w:t>
          </w:r>
        </w:p>
      </w:tc>
    </w:tr>
    <w:tr w:rsidR="00E225E9" w:rsidRPr="0035102F" w14:paraId="7CE896FF" w14:textId="77777777" w:rsidTr="00E225E9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7EF76A8" w14:textId="3090D673" w:rsidR="00E225E9" w:rsidRPr="00E225E9" w:rsidRDefault="00E225E9" w:rsidP="00E225E9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3F7FBF63" wp14:editId="3FA6D08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8A80684" w14:textId="7D9B10DA" w:rsidR="00E225E9" w:rsidRPr="00E225E9" w:rsidRDefault="00E225E9" w:rsidP="00E225E9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10EB69E" w14:textId="77777777" w:rsidR="00E225E9" w:rsidRPr="00E225E9" w:rsidRDefault="00E225E9" w:rsidP="00E225E9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9DB5813" w14:textId="77777777" w:rsidR="00E225E9" w:rsidRPr="00694FDA" w:rsidRDefault="00E225E9" w:rsidP="00E225E9">
          <w:pPr>
            <w:pStyle w:val="Distribution"/>
            <w:rPr>
              <w:color w:val="000000"/>
              <w:lang w:val="en-US"/>
            </w:rPr>
          </w:pPr>
          <w:r w:rsidRPr="00694FDA">
            <w:rPr>
              <w:color w:val="000000"/>
              <w:lang w:val="en-US"/>
            </w:rPr>
            <w:t>Distr.: General</w:t>
          </w:r>
        </w:p>
        <w:p w14:paraId="2DBD3842" w14:textId="77777777" w:rsidR="00E225E9" w:rsidRPr="00694FDA" w:rsidRDefault="00E225E9" w:rsidP="00E225E9">
          <w:pPr>
            <w:pStyle w:val="Publication"/>
            <w:rPr>
              <w:color w:val="000000"/>
              <w:lang w:val="en-US"/>
            </w:rPr>
          </w:pPr>
          <w:r w:rsidRPr="00694FDA">
            <w:rPr>
              <w:color w:val="000000"/>
              <w:lang w:val="en-US"/>
            </w:rPr>
            <w:t>1 March 2022</w:t>
          </w:r>
        </w:p>
        <w:p w14:paraId="0906AD05" w14:textId="77777777" w:rsidR="00E225E9" w:rsidRPr="00694FDA" w:rsidRDefault="00E225E9" w:rsidP="00E225E9">
          <w:pPr>
            <w:rPr>
              <w:color w:val="000000"/>
              <w:lang w:val="en-US"/>
            </w:rPr>
          </w:pPr>
          <w:r w:rsidRPr="00694FDA">
            <w:rPr>
              <w:color w:val="000000"/>
              <w:lang w:val="en-US"/>
            </w:rPr>
            <w:t>Russian</w:t>
          </w:r>
        </w:p>
        <w:p w14:paraId="4FA833F1" w14:textId="77777777" w:rsidR="00E225E9" w:rsidRPr="00694FDA" w:rsidRDefault="00E225E9" w:rsidP="00E225E9">
          <w:pPr>
            <w:pStyle w:val="Original"/>
            <w:rPr>
              <w:color w:val="000000"/>
              <w:lang w:val="en-US"/>
            </w:rPr>
          </w:pPr>
          <w:r w:rsidRPr="00694FDA">
            <w:rPr>
              <w:color w:val="000000"/>
              <w:lang w:val="en-US"/>
            </w:rPr>
            <w:t>Original: English</w:t>
          </w:r>
        </w:p>
        <w:p w14:paraId="4C809BDF" w14:textId="100FF7F5" w:rsidR="00E225E9" w:rsidRPr="00694FDA" w:rsidRDefault="00E225E9" w:rsidP="00E225E9">
          <w:pPr>
            <w:rPr>
              <w:lang w:val="en-US"/>
            </w:rPr>
          </w:pPr>
        </w:p>
      </w:tc>
    </w:tr>
  </w:tbl>
  <w:p w14:paraId="403198C9" w14:textId="77777777" w:rsidR="00E225E9" w:rsidRPr="00694FDA" w:rsidRDefault="00E225E9" w:rsidP="00E225E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0C9F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GrammaticalErrors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202986*"/>
    <w:docVar w:name="CreationDt" w:val="18/03/2022 11:28 AM"/>
    <w:docVar w:name="DocCategory" w:val="Doc"/>
    <w:docVar w:name="DocType" w:val="Final"/>
    <w:docVar w:name="DutyStation" w:val="New York"/>
    <w:docVar w:name="FooterJN" w:val="22-02986"/>
    <w:docVar w:name="jobn" w:val="22-02986 (R)"/>
    <w:docVar w:name="jobnDT" w:val="22-02986 (R)   180322"/>
    <w:docVar w:name="jobnDTDT" w:val="22-02986 (R)   180322   180322"/>
    <w:docVar w:name="JobNo" w:val="2202986R"/>
    <w:docVar w:name="JobNo2" w:val="2227427R"/>
    <w:docVar w:name="LocalDrive" w:val="0"/>
    <w:docVar w:name="OandT" w:val=" "/>
    <w:docVar w:name="sss1" w:val="CEDAW/C/UZB/CO/6"/>
    <w:docVar w:name="sss2" w:val="-"/>
    <w:docVar w:name="Symbol1" w:val="CEDAW/C/UZB/CO/6"/>
    <w:docVar w:name="Symbol2" w:val="-"/>
    <w:docVar w:name="Title1" w:val="_x0009__x0009_Заключительные замечания по шестому периодическому докладу Узбекистана* _x000d_"/>
  </w:docVars>
  <w:rsids>
    <w:rsidRoot w:val="00E503F9"/>
    <w:rsid w:val="00003F8C"/>
    <w:rsid w:val="00057473"/>
    <w:rsid w:val="0009586B"/>
    <w:rsid w:val="000A1A1B"/>
    <w:rsid w:val="000F47BA"/>
    <w:rsid w:val="001147AB"/>
    <w:rsid w:val="001370EA"/>
    <w:rsid w:val="00147D9F"/>
    <w:rsid w:val="0016724F"/>
    <w:rsid w:val="001824A1"/>
    <w:rsid w:val="00183C48"/>
    <w:rsid w:val="00197B75"/>
    <w:rsid w:val="001B0786"/>
    <w:rsid w:val="001B1B7D"/>
    <w:rsid w:val="001B5619"/>
    <w:rsid w:val="001F427A"/>
    <w:rsid w:val="001F7371"/>
    <w:rsid w:val="00210AF4"/>
    <w:rsid w:val="00210EC3"/>
    <w:rsid w:val="00215A7D"/>
    <w:rsid w:val="002C7908"/>
    <w:rsid w:val="002D2C61"/>
    <w:rsid w:val="002E0F45"/>
    <w:rsid w:val="002F4047"/>
    <w:rsid w:val="00306985"/>
    <w:rsid w:val="003218EF"/>
    <w:rsid w:val="003228A2"/>
    <w:rsid w:val="00323373"/>
    <w:rsid w:val="0035102F"/>
    <w:rsid w:val="003578C3"/>
    <w:rsid w:val="003807EF"/>
    <w:rsid w:val="0038495D"/>
    <w:rsid w:val="0039666C"/>
    <w:rsid w:val="003D44FB"/>
    <w:rsid w:val="003F7347"/>
    <w:rsid w:val="00404214"/>
    <w:rsid w:val="004050B1"/>
    <w:rsid w:val="00414150"/>
    <w:rsid w:val="004240B1"/>
    <w:rsid w:val="00425FDE"/>
    <w:rsid w:val="004275D7"/>
    <w:rsid w:val="004279A5"/>
    <w:rsid w:val="00431502"/>
    <w:rsid w:val="00432AC6"/>
    <w:rsid w:val="004731F9"/>
    <w:rsid w:val="004C0CB6"/>
    <w:rsid w:val="005224EA"/>
    <w:rsid w:val="00542D6F"/>
    <w:rsid w:val="005644C2"/>
    <w:rsid w:val="00571999"/>
    <w:rsid w:val="005754DB"/>
    <w:rsid w:val="005820AE"/>
    <w:rsid w:val="00586456"/>
    <w:rsid w:val="00593A5D"/>
    <w:rsid w:val="005A118A"/>
    <w:rsid w:val="005A2266"/>
    <w:rsid w:val="005B58D8"/>
    <w:rsid w:val="00635C39"/>
    <w:rsid w:val="00643F79"/>
    <w:rsid w:val="00694FDA"/>
    <w:rsid w:val="006969A7"/>
    <w:rsid w:val="006A2D2A"/>
    <w:rsid w:val="006B0972"/>
    <w:rsid w:val="006D4969"/>
    <w:rsid w:val="006E5CA5"/>
    <w:rsid w:val="00705A84"/>
    <w:rsid w:val="00726630"/>
    <w:rsid w:val="00764059"/>
    <w:rsid w:val="0077332B"/>
    <w:rsid w:val="007D2E54"/>
    <w:rsid w:val="0080025F"/>
    <w:rsid w:val="0083640B"/>
    <w:rsid w:val="00840363"/>
    <w:rsid w:val="00843551"/>
    <w:rsid w:val="008B4A4B"/>
    <w:rsid w:val="008B7D85"/>
    <w:rsid w:val="008D7164"/>
    <w:rsid w:val="008E0493"/>
    <w:rsid w:val="008E3D70"/>
    <w:rsid w:val="0096420F"/>
    <w:rsid w:val="009707EE"/>
    <w:rsid w:val="00972652"/>
    <w:rsid w:val="009A1A35"/>
    <w:rsid w:val="009C0052"/>
    <w:rsid w:val="009D5859"/>
    <w:rsid w:val="009F077A"/>
    <w:rsid w:val="00A03A54"/>
    <w:rsid w:val="00A57ABA"/>
    <w:rsid w:val="00A72FF5"/>
    <w:rsid w:val="00AA0CE4"/>
    <w:rsid w:val="00AD0FD9"/>
    <w:rsid w:val="00B306AF"/>
    <w:rsid w:val="00B31995"/>
    <w:rsid w:val="00B535EE"/>
    <w:rsid w:val="00B745E4"/>
    <w:rsid w:val="00B95A96"/>
    <w:rsid w:val="00BC28E4"/>
    <w:rsid w:val="00BD39C4"/>
    <w:rsid w:val="00C06BC2"/>
    <w:rsid w:val="00C26FCC"/>
    <w:rsid w:val="00C41769"/>
    <w:rsid w:val="00C45C26"/>
    <w:rsid w:val="00C54064"/>
    <w:rsid w:val="00C71CD0"/>
    <w:rsid w:val="00C74D6B"/>
    <w:rsid w:val="00C8329D"/>
    <w:rsid w:val="00CA4BB0"/>
    <w:rsid w:val="00CB2E73"/>
    <w:rsid w:val="00CB672D"/>
    <w:rsid w:val="00CD42C2"/>
    <w:rsid w:val="00D11AF9"/>
    <w:rsid w:val="00D760D3"/>
    <w:rsid w:val="00D82575"/>
    <w:rsid w:val="00D82BC5"/>
    <w:rsid w:val="00D96F14"/>
    <w:rsid w:val="00DB6D00"/>
    <w:rsid w:val="00DF78D1"/>
    <w:rsid w:val="00E03929"/>
    <w:rsid w:val="00E10D88"/>
    <w:rsid w:val="00E144A8"/>
    <w:rsid w:val="00E225E9"/>
    <w:rsid w:val="00E25037"/>
    <w:rsid w:val="00E32D8E"/>
    <w:rsid w:val="00E503F9"/>
    <w:rsid w:val="00E720E8"/>
    <w:rsid w:val="00E7414B"/>
    <w:rsid w:val="00EC2A36"/>
    <w:rsid w:val="00ED31CE"/>
    <w:rsid w:val="00EF1631"/>
    <w:rsid w:val="00F236D9"/>
    <w:rsid w:val="00F2422B"/>
    <w:rsid w:val="00F47221"/>
    <w:rsid w:val="00F62332"/>
    <w:rsid w:val="00F63321"/>
    <w:rsid w:val="00F81CC1"/>
    <w:rsid w:val="00FB1E56"/>
    <w:rsid w:val="00FB731E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F85CC"/>
  <w15:chartTrackingRefBased/>
  <w15:docId w15:val="{FEB53F7F-8BA1-43CF-A5AA-D9DB15A1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224EA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224EA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5224EA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24EA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5224E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5224E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5224E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5224E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5224E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5224EA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5224E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5224E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5224E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5224EA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5224E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5224EA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5224E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5224EA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5224EA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5224EA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5224EA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5224EA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5224E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5224E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224EA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aliases w:val="3_G"/>
    <w:basedOn w:val="Normal"/>
    <w:link w:val="FooterChar"/>
    <w:unhideWhenUsed/>
    <w:rsid w:val="005224EA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rsid w:val="005224EA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aliases w:val="4_G"/>
    <w:basedOn w:val="DefaultParagraphFont"/>
    <w:uiPriority w:val="99"/>
    <w:qFormat/>
    <w:rsid w:val="005224E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qFormat/>
    <w:rsid w:val="005224EA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224EA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aliases w:val="6_G"/>
    <w:basedOn w:val="Normal"/>
    <w:link w:val="HeaderChar"/>
    <w:rsid w:val="005224EA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rsid w:val="005224EA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224EA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224EA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224EA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5224E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5224EA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5224EA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5224EA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5224EA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5224EA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5224EA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5224EA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5224EA"/>
    <w:rPr>
      <w:szCs w:val="20"/>
    </w:rPr>
  </w:style>
  <w:style w:type="paragraph" w:customStyle="1" w:styleId="Publication">
    <w:name w:val="Publication"/>
    <w:basedOn w:val="Normal"/>
    <w:next w:val="Normal"/>
    <w:qFormat/>
    <w:rsid w:val="005224EA"/>
  </w:style>
  <w:style w:type="paragraph" w:customStyle="1" w:styleId="ReleaseDate">
    <w:name w:val="ReleaseDate"/>
    <w:basedOn w:val="Normal"/>
    <w:next w:val="Normal"/>
    <w:qFormat/>
    <w:rsid w:val="005224EA"/>
    <w:rPr>
      <w:szCs w:val="20"/>
    </w:rPr>
  </w:style>
  <w:style w:type="paragraph" w:customStyle="1" w:styleId="Small">
    <w:name w:val="Small"/>
    <w:basedOn w:val="Normal"/>
    <w:next w:val="Normal"/>
    <w:qFormat/>
    <w:rsid w:val="005224E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5224E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5224E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5224E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5224E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D11AF9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3228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2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5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5E9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5E9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paragraph" w:customStyle="1" w:styleId="HChG">
    <w:name w:val="_ H _Ch_G"/>
    <w:basedOn w:val="Normal"/>
    <w:next w:val="Normal"/>
    <w:qFormat/>
    <w:rsid w:val="002C7908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  <w:outlineLvl w:val="1"/>
    </w:pPr>
    <w:rPr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2C7908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  <w:outlineLvl w:val="2"/>
    </w:pPr>
    <w:rPr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2C7908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  <w:outlineLvl w:val="3"/>
    </w:pPr>
    <w:rPr>
      <w:b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2C7908"/>
    <w:p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spacing w:val="0"/>
      <w:w w:val="100"/>
      <w:kern w:val="0"/>
      <w:szCs w:val="20"/>
      <w:lang w:val="en-GB"/>
    </w:rPr>
  </w:style>
  <w:style w:type="table" w:styleId="TableGrid">
    <w:name w:val="Table Grid"/>
    <w:basedOn w:val="TableNormal"/>
    <w:rsid w:val="002C7908"/>
    <w:pPr>
      <w:suppressAutoHyphens/>
      <w:spacing w:after="0" w:line="240" w:lineRule="atLeast"/>
    </w:pPr>
    <w:rPr>
      <w:rFonts w:ascii="Times New Roman" w:eastAsia="SimSun" w:hAnsi="Times New Roman" w:cs="Times New Roman"/>
      <w:sz w:val="20"/>
      <w:szCs w:val="20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locked/>
    <w:rsid w:val="002C790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2C7908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ru">
    <w:name w:val="ru"/>
    <w:basedOn w:val="DefaultParagraphFont"/>
    <w:rsid w:val="002C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undocs.org/ru/CEDAW/C/UZB/6" TargetMode="External"/><Relationship Id="rId26" Type="http://schemas.openxmlformats.org/officeDocument/2006/relationships/hyperlink" Target="https://undocs.org/ru/CEDAW/C/UZB/CO/5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ru/CEDAW/C/UZB/Q/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5" Type="http://schemas.openxmlformats.org/officeDocument/2006/relationships/hyperlink" Target="https://undocs.org/ru/A/65/3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hyperlink" Target="https://undocs.org/ru/CEDAW/C/SR.1864" TargetMode="External"/><Relationship Id="rId29" Type="http://schemas.openxmlformats.org/officeDocument/2006/relationships/hyperlink" Target="https://undocs.org/ru/CEDAW/C/UZB/CO/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ru/CEDAW/C/UZB/5" TargetMode="External"/><Relationship Id="rId32" Type="http://schemas.openxmlformats.org/officeDocument/2006/relationships/hyperlink" Target="https://undocs.org/ru/HRI/GEN/2/Rev.6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ru/CEDAW/C/UZB/CO/5/Add.1" TargetMode="External"/><Relationship Id="rId28" Type="http://schemas.openxmlformats.org/officeDocument/2006/relationships/hyperlink" Target="https://undocs.org/ru/CEDAW/C/UZB/CO/5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ru/CEDAW/C/SR.1862" TargetMode="External"/><Relationship Id="rId31" Type="http://schemas.openxmlformats.org/officeDocument/2006/relationships/hyperlink" Target="https://undocs.org/ru/CEDAW/C/UZB/CO/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CEDAW/C/UZB/RQ/6" TargetMode="External"/><Relationship Id="rId27" Type="http://schemas.openxmlformats.org/officeDocument/2006/relationships/hyperlink" Target="https://undocs.org/ru/CEDAW/C/UZB/CO/5" TargetMode="External"/><Relationship Id="rId30" Type="http://schemas.openxmlformats.org/officeDocument/2006/relationships/hyperlink" Target="https://undocs.org/ru/CEDAW/C/UZB/CO/5" TargetMode="External"/><Relationship Id="rId8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A508-EAEA-47FF-A81B-345E7B0A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6775</Words>
  <Characters>46888</Characters>
  <Application>Microsoft Office Word</Application>
  <DocSecurity>0</DocSecurity>
  <Lines>956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Trepelkova</dc:creator>
  <cp:keywords/>
  <dc:description/>
  <cp:lastModifiedBy>Irina Feoktistova</cp:lastModifiedBy>
  <cp:revision>8</cp:revision>
  <cp:lastPrinted>2022-03-21T15:48:00Z</cp:lastPrinted>
  <dcterms:created xsi:type="dcterms:W3CDTF">2022-03-21T15:38:00Z</dcterms:created>
  <dcterms:modified xsi:type="dcterms:W3CDTF">2022-03-21T15:51:00Z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2202986R</vt:lpwstr>
  </property>
  <property fmtid="{D5CDD505-2E9C-101B-9397-08002B2CF9AE}" pid="3" name="ODSRefJobNo">
    <vt:lpwstr>2227427R</vt:lpwstr>
  </property>
  <property fmtid="{D5CDD505-2E9C-101B-9397-08002B2CF9AE}" pid="4" name="Symbol1">
    <vt:lpwstr>CEDAW/C/UZB/CO/6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Russian</vt:lpwstr>
  </property>
  <property fmtid="{D5CDD505-2E9C-101B-9397-08002B2CF9AE}" pid="9" name="Distribution">
    <vt:lpwstr>General</vt:lpwstr>
  </property>
  <property fmtid="{D5CDD505-2E9C-101B-9397-08002B2CF9AE}" pid="10" name="Publication Date">
    <vt:lpwstr>1 March 2022</vt:lpwstr>
  </property>
  <property fmtid="{D5CDD505-2E9C-101B-9397-08002B2CF9AE}" pid="11" name="Original">
    <vt:lpwstr>English</vt:lpwstr>
  </property>
  <property fmtid="{D5CDD505-2E9C-101B-9397-08002B2CF9AE}" pid="12" name="Release Date">
    <vt:lpwstr>180322</vt:lpwstr>
  </property>
  <property fmtid="{D5CDD505-2E9C-101B-9397-08002B2CF9AE}" pid="13" name="Title1">
    <vt:lpwstr>		Заключительные замечания по шестому периодическому докладу Узбекистана* _x000d_</vt:lpwstr>
  </property>
  <property fmtid="{D5CDD505-2E9C-101B-9397-08002B2CF9AE}" pid="14" name="Comment">
    <vt:lpwstr/>
  </property>
  <property fmtid="{D5CDD505-2E9C-101B-9397-08002B2CF9AE}" pid="15" name="DraftPages">
    <vt:lpwstr> </vt:lpwstr>
  </property>
  <property fmtid="{D5CDD505-2E9C-101B-9397-08002B2CF9AE}" pid="16" name="Operator">
    <vt:lpwstr/>
  </property>
</Properties>
</file>