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960"/>
        <w:gridCol w:w="2126"/>
      </w:tblGrid>
      <w:tr w:rsidR="000B0B1E" w:rsidRPr="00F3506D" w14:paraId="241BB075" w14:textId="77777777" w:rsidTr="00E56EE3">
        <w:trPr>
          <w:trHeight w:hRule="exact" w:val="851"/>
        </w:trPr>
        <w:tc>
          <w:tcPr>
            <w:tcW w:w="1280" w:type="dxa"/>
            <w:tcBorders>
              <w:bottom w:val="single" w:sz="4" w:space="0" w:color="auto"/>
            </w:tcBorders>
            <w:shd w:val="clear" w:color="auto" w:fill="auto"/>
          </w:tcPr>
          <w:p w14:paraId="11E4E300" w14:textId="77777777" w:rsidR="002D5AAC" w:rsidRPr="00067737" w:rsidRDefault="002D5AAC" w:rsidP="00E56EE3"/>
        </w:tc>
        <w:tc>
          <w:tcPr>
            <w:tcW w:w="2273" w:type="dxa"/>
            <w:tcBorders>
              <w:bottom w:val="single" w:sz="4" w:space="0" w:color="auto"/>
            </w:tcBorders>
            <w:shd w:val="clear" w:color="auto" w:fill="auto"/>
            <w:vAlign w:val="bottom"/>
          </w:tcPr>
          <w:p w14:paraId="14E53DCF" w14:textId="77777777" w:rsidR="002D5AAC" w:rsidRPr="00067737" w:rsidRDefault="00081C1D" w:rsidP="00E56EE3">
            <w:pPr>
              <w:spacing w:after="80" w:line="300" w:lineRule="exact"/>
              <w:rPr>
                <w:sz w:val="28"/>
              </w:rPr>
            </w:pPr>
            <w:r w:rsidRPr="00067737">
              <w:rPr>
                <w:sz w:val="28"/>
              </w:rPr>
              <w:t>Naciones Unidas</w:t>
            </w:r>
          </w:p>
        </w:tc>
        <w:tc>
          <w:tcPr>
            <w:tcW w:w="6086" w:type="dxa"/>
            <w:gridSpan w:val="2"/>
            <w:tcBorders>
              <w:bottom w:val="single" w:sz="4" w:space="0" w:color="auto"/>
            </w:tcBorders>
            <w:shd w:val="clear" w:color="auto" w:fill="auto"/>
            <w:vAlign w:val="bottom"/>
          </w:tcPr>
          <w:p w14:paraId="3980FAA0" w14:textId="75B986BA" w:rsidR="002D5AAC" w:rsidRPr="002732DF" w:rsidRDefault="002732DF" w:rsidP="002732DF">
            <w:pPr>
              <w:jc w:val="right"/>
              <w:rPr>
                <w:lang w:val="en-GB"/>
              </w:rPr>
            </w:pPr>
            <w:proofErr w:type="spellStart"/>
            <w:r w:rsidRPr="002732DF">
              <w:rPr>
                <w:sz w:val="40"/>
                <w:lang w:val="en-GB"/>
              </w:rPr>
              <w:t>CMW</w:t>
            </w:r>
            <w:proofErr w:type="spellEnd"/>
            <w:r>
              <w:rPr>
                <w:lang w:val="en-GB"/>
              </w:rPr>
              <w:t>/C/PRY/CO/2</w:t>
            </w:r>
          </w:p>
        </w:tc>
      </w:tr>
      <w:tr w:rsidR="000B0B1E" w:rsidRPr="00067737" w14:paraId="66233875" w14:textId="77777777" w:rsidTr="00480465">
        <w:trPr>
          <w:trHeight w:hRule="exact" w:val="2835"/>
        </w:trPr>
        <w:tc>
          <w:tcPr>
            <w:tcW w:w="1280" w:type="dxa"/>
            <w:tcBorders>
              <w:top w:val="single" w:sz="4" w:space="0" w:color="auto"/>
              <w:bottom w:val="single" w:sz="12" w:space="0" w:color="auto"/>
            </w:tcBorders>
            <w:shd w:val="clear" w:color="auto" w:fill="auto"/>
          </w:tcPr>
          <w:p w14:paraId="554D344C" w14:textId="77777777" w:rsidR="002D5AAC" w:rsidRPr="00067737" w:rsidRDefault="00081C1D" w:rsidP="00E56EE3">
            <w:pPr>
              <w:spacing w:before="120"/>
              <w:jc w:val="center"/>
            </w:pPr>
            <w:r w:rsidRPr="00067737">
              <w:rPr>
                <w:noProof/>
                <w:lang w:eastAsia="en-GB"/>
              </w:rPr>
              <w:drawing>
                <wp:inline distT="0" distB="0" distL="0" distR="0" wp14:anchorId="543C8D9D" wp14:editId="321193F5">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2619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6233" w:type="dxa"/>
            <w:gridSpan w:val="2"/>
            <w:tcBorders>
              <w:top w:val="single" w:sz="4" w:space="0" w:color="auto"/>
              <w:bottom w:val="single" w:sz="12" w:space="0" w:color="auto"/>
            </w:tcBorders>
            <w:shd w:val="clear" w:color="auto" w:fill="auto"/>
          </w:tcPr>
          <w:p w14:paraId="0DDC1F81" w14:textId="24D47921" w:rsidR="002D5AAC" w:rsidRPr="00067737" w:rsidRDefault="00081C1D" w:rsidP="00DC5695">
            <w:pPr>
              <w:spacing w:before="120" w:line="360" w:lineRule="exact"/>
              <w:rPr>
                <w:b/>
                <w:sz w:val="34"/>
                <w:szCs w:val="34"/>
              </w:rPr>
            </w:pPr>
            <w:r w:rsidRPr="00067737">
              <w:rPr>
                <w:b/>
                <w:sz w:val="34"/>
                <w:szCs w:val="34"/>
              </w:rPr>
              <w:t>Convención Internacional sobre</w:t>
            </w:r>
            <w:r w:rsidRPr="00067737">
              <w:rPr>
                <w:b/>
                <w:sz w:val="34"/>
                <w:szCs w:val="34"/>
              </w:rPr>
              <w:br/>
              <w:t>la Protección de los Derechos de</w:t>
            </w:r>
            <w:r w:rsidRPr="00067737">
              <w:rPr>
                <w:b/>
                <w:sz w:val="34"/>
                <w:szCs w:val="34"/>
              </w:rPr>
              <w:br/>
              <w:t>Todos los Trabajadores Migratorios</w:t>
            </w:r>
            <w:r w:rsidRPr="00067737">
              <w:rPr>
                <w:b/>
                <w:sz w:val="34"/>
                <w:szCs w:val="34"/>
              </w:rPr>
              <w:br/>
              <w:t xml:space="preserve">y de </w:t>
            </w:r>
            <w:r w:rsidR="003D48D1">
              <w:rPr>
                <w:b/>
                <w:sz w:val="34"/>
                <w:szCs w:val="34"/>
              </w:rPr>
              <w:t>S</w:t>
            </w:r>
            <w:r w:rsidRPr="00067737">
              <w:rPr>
                <w:b/>
                <w:sz w:val="34"/>
                <w:szCs w:val="34"/>
              </w:rPr>
              <w:t>us Familiares</w:t>
            </w:r>
          </w:p>
        </w:tc>
        <w:tc>
          <w:tcPr>
            <w:tcW w:w="2126" w:type="dxa"/>
            <w:tcBorders>
              <w:top w:val="single" w:sz="4" w:space="0" w:color="auto"/>
              <w:bottom w:val="single" w:sz="12" w:space="0" w:color="auto"/>
            </w:tcBorders>
            <w:shd w:val="clear" w:color="auto" w:fill="auto"/>
          </w:tcPr>
          <w:p w14:paraId="50B14DD0" w14:textId="73B6A33F" w:rsidR="00935A0B" w:rsidRPr="00067737" w:rsidRDefault="00081C1D" w:rsidP="00935A0B">
            <w:pPr>
              <w:spacing w:before="240" w:line="240" w:lineRule="exact"/>
            </w:pPr>
            <w:r w:rsidRPr="00067737">
              <w:t xml:space="preserve">Distr. </w:t>
            </w:r>
            <w:r w:rsidR="00F3506D">
              <w:t>general</w:t>
            </w:r>
          </w:p>
          <w:p w14:paraId="3D02F603" w14:textId="71952A71" w:rsidR="00935A0B" w:rsidRPr="00067737" w:rsidRDefault="00AC4DDC" w:rsidP="00935A0B">
            <w:r>
              <w:t>3</w:t>
            </w:r>
            <w:r w:rsidR="00081C1D" w:rsidRPr="00067737">
              <w:t xml:space="preserve"> de </w:t>
            </w:r>
            <w:r w:rsidR="005B4EC0">
              <w:t>junio</w:t>
            </w:r>
            <w:r w:rsidR="006A3A01" w:rsidRPr="00067737">
              <w:t xml:space="preserve"> </w:t>
            </w:r>
            <w:r w:rsidR="002D44B0" w:rsidRPr="00067737">
              <w:t>de 2022</w:t>
            </w:r>
          </w:p>
          <w:p w14:paraId="35A49593" w14:textId="77777777" w:rsidR="00935A0B" w:rsidRPr="00067737" w:rsidRDefault="00935A0B" w:rsidP="00935A0B"/>
          <w:p w14:paraId="6F7E94E6" w14:textId="54812EDF" w:rsidR="002D5AAC" w:rsidRPr="00067737" w:rsidRDefault="00081C1D" w:rsidP="00EF63A8">
            <w:r w:rsidRPr="00067737">
              <w:t>Original: español</w:t>
            </w:r>
          </w:p>
        </w:tc>
      </w:tr>
    </w:tbl>
    <w:p w14:paraId="7039D8E9" w14:textId="028A24BE" w:rsidR="001A4396" w:rsidRPr="00067737" w:rsidRDefault="00081C1D" w:rsidP="001A4396">
      <w:pPr>
        <w:spacing w:before="120"/>
        <w:rPr>
          <w:b/>
          <w:sz w:val="24"/>
          <w:szCs w:val="24"/>
        </w:rPr>
      </w:pPr>
      <w:r w:rsidRPr="00067737">
        <w:rPr>
          <w:b/>
          <w:sz w:val="24"/>
          <w:szCs w:val="24"/>
        </w:rPr>
        <w:t>Comité de Protección de los Derechos de Todos</w:t>
      </w:r>
      <w:r w:rsidR="00405A04" w:rsidRPr="00067737">
        <w:rPr>
          <w:b/>
          <w:sz w:val="24"/>
          <w:szCs w:val="24"/>
        </w:rPr>
        <w:br/>
      </w:r>
      <w:r w:rsidRPr="00067737">
        <w:rPr>
          <w:b/>
          <w:sz w:val="24"/>
          <w:szCs w:val="24"/>
        </w:rPr>
        <w:t xml:space="preserve">los Trabajadores Migratorios y de </w:t>
      </w:r>
      <w:r w:rsidR="003D48D1">
        <w:rPr>
          <w:b/>
          <w:sz w:val="24"/>
          <w:szCs w:val="24"/>
        </w:rPr>
        <w:t>S</w:t>
      </w:r>
      <w:r w:rsidRPr="00067737">
        <w:rPr>
          <w:b/>
          <w:sz w:val="24"/>
          <w:szCs w:val="24"/>
        </w:rPr>
        <w:t>us Familiares</w:t>
      </w:r>
    </w:p>
    <w:p w14:paraId="7F4FC498" w14:textId="0C5D267E" w:rsidR="00865668" w:rsidRPr="0008316B" w:rsidRDefault="00081C1D" w:rsidP="00865668">
      <w:pPr>
        <w:pStyle w:val="HChG"/>
      </w:pPr>
      <w:r w:rsidRPr="00067737">
        <w:tab/>
      </w:r>
      <w:r w:rsidRPr="00067737">
        <w:tab/>
      </w:r>
      <w:r w:rsidRPr="0008316B">
        <w:t xml:space="preserve">Observaciones finales sobre </w:t>
      </w:r>
      <w:r w:rsidR="00602BC9" w:rsidRPr="0008316B">
        <w:t>e</w:t>
      </w:r>
      <w:r w:rsidRPr="0008316B">
        <w:t xml:space="preserve">l </w:t>
      </w:r>
      <w:r w:rsidR="00602BC9" w:rsidRPr="0008316B">
        <w:t xml:space="preserve">segundo informe </w:t>
      </w:r>
      <w:r w:rsidR="00AC4DDC">
        <w:br/>
      </w:r>
      <w:r w:rsidR="00602BC9" w:rsidRPr="0008316B">
        <w:t>periódico del Paraguay</w:t>
      </w:r>
      <w:r w:rsidR="00F3506D" w:rsidRPr="00BE21E8">
        <w:rPr>
          <w:rStyle w:val="Refdenotaalpie"/>
          <w:b w:val="0"/>
          <w:bCs/>
          <w:sz w:val="20"/>
          <w:vertAlign w:val="baseline"/>
        </w:rPr>
        <w:footnoteReference w:customMarkFollows="1" w:id="1"/>
        <w:t>*</w:t>
      </w:r>
    </w:p>
    <w:p w14:paraId="5C2A2AC0" w14:textId="5E1D4993"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bookmarkStart w:id="0" w:name="_Hlk98746163"/>
      <w:r w:rsidRPr="0008316B">
        <w:t>1.</w:t>
      </w:r>
      <w:r w:rsidRPr="0008316B">
        <w:tab/>
      </w:r>
      <w:r w:rsidR="00067737" w:rsidRPr="0008316B">
        <w:t>El Comité examinó el segundo informe periódico de</w:t>
      </w:r>
      <w:r w:rsidR="003D48D1">
        <w:t>l</w:t>
      </w:r>
      <w:r w:rsidR="00067737" w:rsidRPr="0008316B">
        <w:t xml:space="preserve"> Paraguay</w:t>
      </w:r>
      <w:r w:rsidR="003D48D1">
        <w:rPr>
          <w:rStyle w:val="Refdenotaalpie"/>
        </w:rPr>
        <w:footnoteReference w:id="2"/>
      </w:r>
      <w:r w:rsidR="00067737" w:rsidRPr="0008316B">
        <w:t xml:space="preserve"> en s</w:t>
      </w:r>
      <w:r w:rsidR="002D7815" w:rsidRPr="0008316B">
        <w:t>us</w:t>
      </w:r>
      <w:r w:rsidR="00067737" w:rsidRPr="0008316B">
        <w:t xml:space="preserve"> </w:t>
      </w:r>
      <w:r w:rsidR="00BA4ABA" w:rsidRPr="0008316B">
        <w:t>sesi</w:t>
      </w:r>
      <w:r w:rsidR="002D7815" w:rsidRPr="0008316B">
        <w:t>ones</w:t>
      </w:r>
      <w:r w:rsidR="00067737" w:rsidRPr="0008316B">
        <w:t xml:space="preserve"> </w:t>
      </w:r>
      <w:r w:rsidR="002D7815" w:rsidRPr="0008316B">
        <w:t>484</w:t>
      </w:r>
      <w:r w:rsidR="00067737" w:rsidRPr="0008316B">
        <w:t>ª</w:t>
      </w:r>
      <w:r w:rsidR="002D7815" w:rsidRPr="0008316B">
        <w:t xml:space="preserve"> y 485ª</w:t>
      </w:r>
      <w:r w:rsidR="003D48D1">
        <w:rPr>
          <w:rStyle w:val="Refdenotaalpie"/>
        </w:rPr>
        <w:footnoteReference w:id="3"/>
      </w:r>
      <w:r w:rsidR="00067737" w:rsidRPr="0008316B">
        <w:t xml:space="preserve">, celebradas los días 4 y 5 de abril de 2022, y en su </w:t>
      </w:r>
      <w:r w:rsidR="002D7815" w:rsidRPr="0008316B">
        <w:t>492</w:t>
      </w:r>
      <w:r w:rsidR="00067737" w:rsidRPr="0008316B">
        <w:t>ª sesión, celebrada el 8 de abril de 2022, aprobó las siguientes observaciones finales.</w:t>
      </w:r>
    </w:p>
    <w:bookmarkEnd w:id="0"/>
    <w:p w14:paraId="58B6FBBD" w14:textId="77777777" w:rsidR="00067737" w:rsidRPr="0008316B" w:rsidRDefault="00067737" w:rsidP="00F9799D">
      <w:pPr>
        <w:pStyle w:val="H1G"/>
      </w:pPr>
      <w:r w:rsidRPr="0008316B">
        <w:tab/>
        <w:t>A.</w:t>
      </w:r>
      <w:r w:rsidRPr="0008316B">
        <w:tab/>
        <w:t>Introducción</w:t>
      </w:r>
    </w:p>
    <w:p w14:paraId="1BD1A04F" w14:textId="6D42430B" w:rsidR="00391C7F"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bookmarkStart w:id="1" w:name="_Hlk98746071"/>
      <w:r w:rsidRPr="0008316B">
        <w:t>2.</w:t>
      </w:r>
      <w:r w:rsidRPr="0008316B">
        <w:tab/>
      </w:r>
      <w:r w:rsidR="00067737" w:rsidRPr="0008316B">
        <w:t xml:space="preserve">El Comité acoge con satisfacción la presentación del segundo informe periódico del Estado parte, </w:t>
      </w:r>
      <w:r w:rsidR="00D3457D">
        <w:t xml:space="preserve">que se </w:t>
      </w:r>
      <w:r w:rsidR="00067737" w:rsidRPr="0008316B">
        <w:t>prepar</w:t>
      </w:r>
      <w:r w:rsidR="00D3457D">
        <w:t>ó</w:t>
      </w:r>
      <w:r w:rsidR="00067737" w:rsidRPr="0008316B">
        <w:t xml:space="preserve"> </w:t>
      </w:r>
      <w:r w:rsidR="00D3457D">
        <w:t>en</w:t>
      </w:r>
      <w:r w:rsidR="00D3457D" w:rsidRPr="0008316B">
        <w:t xml:space="preserve"> </w:t>
      </w:r>
      <w:r w:rsidR="00067737" w:rsidRPr="0008316B">
        <w:t xml:space="preserve">respuesta a la lista de cuestiones </w:t>
      </w:r>
      <w:r w:rsidR="0056166B" w:rsidRPr="0008316B">
        <w:t>previa</w:t>
      </w:r>
      <w:r w:rsidR="00D3457D">
        <w:t xml:space="preserve"> a la presentación del informe</w:t>
      </w:r>
      <w:r w:rsidR="00D3457D">
        <w:rPr>
          <w:rStyle w:val="Refdenotaalpie"/>
        </w:rPr>
        <w:footnoteReference w:id="4"/>
      </w:r>
      <w:r w:rsidR="00067737" w:rsidRPr="0008316B">
        <w:t xml:space="preserve">, así como la información adicional proporcionada durante el diálogo por </w:t>
      </w:r>
      <w:r w:rsidR="00391C7F" w:rsidRPr="0008316B">
        <w:t xml:space="preserve">la delegación encabezada por </w:t>
      </w:r>
      <w:r w:rsidR="009434FF">
        <w:t xml:space="preserve">el </w:t>
      </w:r>
      <w:r w:rsidR="009434FF" w:rsidRPr="0008316B">
        <w:t>Viceministro de Justicia</w:t>
      </w:r>
      <w:r w:rsidR="009434FF">
        <w:t>,</w:t>
      </w:r>
      <w:r w:rsidR="009434FF" w:rsidRPr="0008316B">
        <w:t xml:space="preserve"> </w:t>
      </w:r>
      <w:r w:rsidR="00391C7F" w:rsidRPr="0008316B">
        <w:t xml:space="preserve">Edgar Taboada Insfrán, acompañado por el Encargado de Negocios de la Misión Permanente del Paraguay ante la Oficina de las Naciones Unidas y </w:t>
      </w:r>
      <w:r w:rsidR="009434FF">
        <w:t>otros</w:t>
      </w:r>
      <w:r w:rsidR="00D3457D">
        <w:t xml:space="preserve"> </w:t>
      </w:r>
      <w:r w:rsidR="009434FF">
        <w:t>o</w:t>
      </w:r>
      <w:r w:rsidR="00391C7F" w:rsidRPr="0008316B">
        <w:t xml:space="preserve">rganismos </w:t>
      </w:r>
      <w:r w:rsidR="009434FF">
        <w:t>e</w:t>
      </w:r>
      <w:r w:rsidR="00391C7F" w:rsidRPr="0008316B">
        <w:t xml:space="preserve">specializados con sede en Ginebra, </w:t>
      </w:r>
      <w:r w:rsidR="00D3457D">
        <w:t xml:space="preserve">el </w:t>
      </w:r>
      <w:r w:rsidR="00391C7F" w:rsidRPr="0008316B">
        <w:t xml:space="preserve">Embajador Julio Peralta. La delegación también estuvo conformada por representantes de la Dirección General de Migraciones, instancia dependiente del Ministerio del Interior, representantes de la Secretaría de Desarrollo para Repatriados </w:t>
      </w:r>
      <w:r w:rsidR="00391C7F" w:rsidRPr="009434FF">
        <w:t xml:space="preserve">y Refugiados Connacionales, del Ministerio de Relaciones Exteriores y de la Misión Permanente del Paraguay ante la Oficina de las Naciones Unidas y </w:t>
      </w:r>
      <w:r w:rsidR="009434FF" w:rsidRPr="009434FF">
        <w:t xml:space="preserve">otros </w:t>
      </w:r>
      <w:r w:rsidR="009434FF" w:rsidRPr="00A465D3">
        <w:t>o</w:t>
      </w:r>
      <w:r w:rsidR="00391C7F" w:rsidRPr="009434FF">
        <w:t xml:space="preserve">rganismos </w:t>
      </w:r>
      <w:r w:rsidR="009434FF" w:rsidRPr="00A465D3">
        <w:t>e</w:t>
      </w:r>
      <w:r w:rsidR="00391C7F" w:rsidRPr="009434FF">
        <w:t>specializados</w:t>
      </w:r>
      <w:r w:rsidR="00391C7F" w:rsidRPr="0008316B">
        <w:t xml:space="preserve"> con sede en Ginebra.</w:t>
      </w:r>
    </w:p>
    <w:bookmarkEnd w:id="1"/>
    <w:p w14:paraId="1A9F8347" w14:textId="32B5D8A9"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3.</w:t>
      </w:r>
      <w:r w:rsidRPr="0008316B">
        <w:tab/>
      </w:r>
      <w:r w:rsidR="00067737" w:rsidRPr="0008316B">
        <w:t xml:space="preserve">El Comité aprecia el diálogo abierto y constructivo mantenido con la delegación y valora tanto la información proporcionada por los representantes del Estado parte como el enfoque constructivo de las sesiones que permitieron un análisis y reflexión conjunta. </w:t>
      </w:r>
    </w:p>
    <w:p w14:paraId="747BF276" w14:textId="54EC567F"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4.</w:t>
      </w:r>
      <w:r w:rsidRPr="0008316B">
        <w:tab/>
      </w:r>
      <w:r w:rsidR="00067737" w:rsidRPr="0008316B">
        <w:t>El Comité es consciente de que el Paraguay, como país de origen de los trabajadores migratorios, ha avanzado en la protección de los derechos de sus nacionales en el extranjero</w:t>
      </w:r>
      <w:r w:rsidR="00585214" w:rsidRPr="0008316B">
        <w:t xml:space="preserve"> y observa, de igual manera, </w:t>
      </w:r>
      <w:r w:rsidR="00067737" w:rsidRPr="0008316B">
        <w:t xml:space="preserve">que el Estado parte se enfrenta a varios problemas </w:t>
      </w:r>
      <w:r w:rsidR="002813A8" w:rsidRPr="0008316B">
        <w:t xml:space="preserve">relacionados con </w:t>
      </w:r>
      <w:r w:rsidR="00067737" w:rsidRPr="0008316B">
        <w:t>la protección de los derechos de los trabajadores migratorios y sus familiares como país de tránsito</w:t>
      </w:r>
      <w:r w:rsidR="004B3E3F" w:rsidRPr="0008316B">
        <w:t>, retorno</w:t>
      </w:r>
      <w:r w:rsidR="00067737" w:rsidRPr="0008316B">
        <w:t xml:space="preserve"> y destino. </w:t>
      </w:r>
    </w:p>
    <w:p w14:paraId="5211977F" w14:textId="526EF64A"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5.</w:t>
      </w:r>
      <w:r w:rsidRPr="0008316B">
        <w:tab/>
      </w:r>
      <w:r w:rsidR="00067737" w:rsidRPr="0008316B">
        <w:t>El Comité</w:t>
      </w:r>
      <w:r w:rsidR="00375E10" w:rsidRPr="0008316B">
        <w:t xml:space="preserve"> t</w:t>
      </w:r>
      <w:r w:rsidR="00067737" w:rsidRPr="0008316B">
        <w:t xml:space="preserve">oma nota </w:t>
      </w:r>
      <w:r w:rsidR="00B65BFA" w:rsidRPr="0008316B">
        <w:t xml:space="preserve">de </w:t>
      </w:r>
      <w:r w:rsidR="00067737" w:rsidRPr="0008316B">
        <w:t>que algunos países en los cuales se han asentado paraguayos pertenecen al Mercado Común del Sur (MERCOSUR) y</w:t>
      </w:r>
      <w:r w:rsidR="00647E6F" w:rsidRPr="0008316B">
        <w:t>,</w:t>
      </w:r>
      <w:r w:rsidR="00067737" w:rsidRPr="0008316B">
        <w:t xml:space="preserve"> por ende, pueden acceder a los beneficios de los acuerdos del MERCOSUR.</w:t>
      </w:r>
    </w:p>
    <w:p w14:paraId="07EDBC15" w14:textId="39A63795" w:rsidR="00067737" w:rsidRPr="003F5E2C" w:rsidRDefault="00067737" w:rsidP="003F5E2C">
      <w:pPr>
        <w:pStyle w:val="H1G"/>
      </w:pPr>
      <w:r w:rsidRPr="003F5E2C">
        <w:lastRenderedPageBreak/>
        <w:tab/>
        <w:t>B.</w:t>
      </w:r>
      <w:r w:rsidRPr="003F5E2C">
        <w:tab/>
        <w:t>Aspectos positivos</w:t>
      </w:r>
    </w:p>
    <w:p w14:paraId="15819909" w14:textId="2E56C922"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6.</w:t>
      </w:r>
      <w:r w:rsidRPr="0008316B">
        <w:tab/>
      </w:r>
      <w:r w:rsidR="00067737" w:rsidRPr="0008316B">
        <w:t xml:space="preserve">El Comité </w:t>
      </w:r>
      <w:r w:rsidR="00E32C36" w:rsidRPr="0008316B">
        <w:t>recibe</w:t>
      </w:r>
      <w:r w:rsidR="00067737" w:rsidRPr="0008316B">
        <w:t xml:space="preserve"> con satisfacción los esfuerzos del Estado parte y la implementación de acciones orientadas para promover y proteger los derechos de los trabajadores migrantes y de sus familiares. El Comité también considera </w:t>
      </w:r>
      <w:r w:rsidR="005A09ED" w:rsidRPr="0008316B">
        <w:t>con agrado</w:t>
      </w:r>
      <w:r w:rsidR="00067737" w:rsidRPr="0008316B">
        <w:t xml:space="preserve"> la </w:t>
      </w:r>
      <w:r w:rsidR="002123E9" w:rsidRPr="0008316B">
        <w:t xml:space="preserve">recepción </w:t>
      </w:r>
      <w:r w:rsidR="00067737" w:rsidRPr="0008316B">
        <w:t>humanitaria del Estado parte de migrantes</w:t>
      </w:r>
      <w:r w:rsidR="00767F0D" w:rsidRPr="0008316B">
        <w:t xml:space="preserve"> y refugiados</w:t>
      </w:r>
      <w:r w:rsidR="00067737" w:rsidRPr="0008316B">
        <w:t xml:space="preserve"> venezolanos.</w:t>
      </w:r>
      <w:r w:rsidR="00067737" w:rsidRPr="0008316B" w:rsidDel="00563BEE">
        <w:t xml:space="preserve"> </w:t>
      </w:r>
      <w:r w:rsidR="00067737" w:rsidRPr="0008316B">
        <w:t xml:space="preserve">El Comité </w:t>
      </w:r>
      <w:r w:rsidR="00E70758" w:rsidRPr="0008316B">
        <w:t>advierte</w:t>
      </w:r>
      <w:r w:rsidR="00067737" w:rsidRPr="0008316B">
        <w:t xml:space="preserve"> </w:t>
      </w:r>
      <w:r w:rsidR="00D55117" w:rsidRPr="0008316B">
        <w:t>positivamente</w:t>
      </w:r>
      <w:r w:rsidR="00067737" w:rsidRPr="0008316B">
        <w:t>:</w:t>
      </w:r>
    </w:p>
    <w:p w14:paraId="27D8AEC9" w14:textId="6C7BE118" w:rsidR="00067737" w:rsidRPr="0008316B" w:rsidRDefault="00BA4ABA" w:rsidP="00F9799D">
      <w:pPr>
        <w:pStyle w:val="SingleTxtG"/>
      </w:pPr>
      <w:r w:rsidRPr="0008316B">
        <w:tab/>
      </w:r>
      <w:r w:rsidR="00067737" w:rsidRPr="0008316B">
        <w:t>a)</w:t>
      </w:r>
      <w:r w:rsidR="00067737" w:rsidRPr="0008316B">
        <w:tab/>
        <w:t>La ratificación</w:t>
      </w:r>
      <w:r w:rsidR="009B22D9" w:rsidRPr="0008316B">
        <w:t>, en noviembre 2021,</w:t>
      </w:r>
      <w:r w:rsidR="00067737" w:rsidRPr="0008316B">
        <w:t xml:space="preserve"> del Convenio sobre el </w:t>
      </w:r>
      <w:r w:rsidR="0049544F">
        <w:t>T</w:t>
      </w:r>
      <w:r w:rsidR="00067737" w:rsidRPr="0008316B">
        <w:t xml:space="preserve">rabajo a </w:t>
      </w:r>
      <w:r w:rsidR="0049544F">
        <w:t>T</w:t>
      </w:r>
      <w:r w:rsidR="00067737" w:rsidRPr="0008316B">
        <w:t xml:space="preserve">iempo </w:t>
      </w:r>
      <w:r w:rsidR="0049544F">
        <w:t>P</w:t>
      </w:r>
      <w:r w:rsidR="00067737" w:rsidRPr="0008316B">
        <w:t>arcial</w:t>
      </w:r>
      <w:r w:rsidR="009434FF">
        <w:t>, 1994 (núm. 175)</w:t>
      </w:r>
      <w:r w:rsidR="006C6428" w:rsidRPr="0008316B">
        <w:t xml:space="preserve"> </w:t>
      </w:r>
      <w:r w:rsidR="00067737" w:rsidRPr="0008316B">
        <w:t xml:space="preserve">de la </w:t>
      </w:r>
      <w:bookmarkStart w:id="2" w:name="_Hlk104909953"/>
      <w:r w:rsidR="00067737" w:rsidRPr="0008316B">
        <w:t>Organización Internacional del Trabajo</w:t>
      </w:r>
      <w:bookmarkEnd w:id="2"/>
      <w:r w:rsidR="00067737" w:rsidRPr="0008316B">
        <w:t xml:space="preserve"> (OIT), </w:t>
      </w:r>
      <w:r w:rsidR="00464E10" w:rsidRPr="0008316B">
        <w:t xml:space="preserve">el cual </w:t>
      </w:r>
      <w:r w:rsidR="00067737" w:rsidRPr="0008316B">
        <w:t>entrará en vigor para</w:t>
      </w:r>
      <w:r w:rsidR="003D48D1">
        <w:t xml:space="preserve"> el</w:t>
      </w:r>
      <w:r w:rsidR="00067737" w:rsidRPr="0008316B">
        <w:t xml:space="preserve"> Paraguay en noviembre 2022</w:t>
      </w:r>
      <w:r w:rsidR="00F9799D" w:rsidRPr="0008316B">
        <w:t>;</w:t>
      </w:r>
      <w:r w:rsidR="00067737" w:rsidRPr="0008316B">
        <w:t xml:space="preserve"> </w:t>
      </w:r>
    </w:p>
    <w:p w14:paraId="3EB6178E" w14:textId="236F9F8A" w:rsidR="00067737" w:rsidRPr="0008316B" w:rsidRDefault="00F9799D" w:rsidP="00F9799D">
      <w:pPr>
        <w:pStyle w:val="SingleTxtG"/>
      </w:pPr>
      <w:r w:rsidRPr="0008316B">
        <w:tab/>
      </w:r>
      <w:r w:rsidR="00067737" w:rsidRPr="0008316B">
        <w:t>b)</w:t>
      </w:r>
      <w:r w:rsidR="00067737" w:rsidRPr="0008316B">
        <w:tab/>
        <w:t>La ratificación</w:t>
      </w:r>
      <w:r w:rsidR="00766EC5" w:rsidRPr="0008316B">
        <w:t>, en octubre 2021,</w:t>
      </w:r>
      <w:r w:rsidR="00067737" w:rsidRPr="0008316B">
        <w:t xml:space="preserve"> del Convenio sobre la </w:t>
      </w:r>
      <w:r w:rsidR="0049544F">
        <w:t>S</w:t>
      </w:r>
      <w:r w:rsidR="00067737" w:rsidRPr="0008316B">
        <w:t xml:space="preserve">eguridad </w:t>
      </w:r>
      <w:r w:rsidR="0049544F">
        <w:t>S</w:t>
      </w:r>
      <w:r w:rsidR="00067737" w:rsidRPr="0008316B">
        <w:t>ocial (</w:t>
      </w:r>
      <w:r w:rsidR="0049544F">
        <w:t>N</w:t>
      </w:r>
      <w:r w:rsidR="00067737" w:rsidRPr="0008316B">
        <w:t xml:space="preserve">orma </w:t>
      </w:r>
      <w:r w:rsidR="0049544F">
        <w:t>M</w:t>
      </w:r>
      <w:r w:rsidR="00067737" w:rsidRPr="0008316B">
        <w:t>ínima)</w:t>
      </w:r>
      <w:r w:rsidR="00E17573">
        <w:t>, 1952</w:t>
      </w:r>
      <w:r w:rsidR="0049544F">
        <w:t xml:space="preserve"> </w:t>
      </w:r>
      <w:r w:rsidR="00E17573">
        <w:t>(</w:t>
      </w:r>
      <w:r w:rsidR="00E41A0E" w:rsidRPr="0008316B">
        <w:t>núm</w:t>
      </w:r>
      <w:r w:rsidR="0049544F">
        <w:t>.</w:t>
      </w:r>
      <w:r w:rsidR="00E41A0E" w:rsidRPr="0008316B">
        <w:t xml:space="preserve"> 102</w:t>
      </w:r>
      <w:r w:rsidR="00E17573">
        <w:t>)</w:t>
      </w:r>
      <w:r w:rsidR="00E41A0E" w:rsidRPr="0008316B">
        <w:t xml:space="preserve"> </w:t>
      </w:r>
      <w:r w:rsidR="00E17573">
        <w:t>de la OIT</w:t>
      </w:r>
      <w:r w:rsidR="00E17573" w:rsidRPr="0008316B">
        <w:t xml:space="preserve">, </w:t>
      </w:r>
      <w:r w:rsidR="00E41A0E" w:rsidRPr="0008316B">
        <w:t xml:space="preserve">el cual </w:t>
      </w:r>
      <w:r w:rsidR="00067737" w:rsidRPr="0008316B">
        <w:t>entrará en vigor para</w:t>
      </w:r>
      <w:r w:rsidR="003D48D1">
        <w:t xml:space="preserve"> el</w:t>
      </w:r>
      <w:r w:rsidR="00067737" w:rsidRPr="0008316B">
        <w:t xml:space="preserve"> Paraguay en octubre 2022</w:t>
      </w:r>
      <w:r w:rsidRPr="0008316B">
        <w:t>;</w:t>
      </w:r>
    </w:p>
    <w:p w14:paraId="6AB287D0" w14:textId="7773F885" w:rsidR="00067737" w:rsidRPr="0008316B" w:rsidRDefault="00F9799D" w:rsidP="00F9799D">
      <w:pPr>
        <w:pStyle w:val="SingleTxtG"/>
      </w:pPr>
      <w:r w:rsidRPr="0008316B">
        <w:tab/>
      </w:r>
      <w:r w:rsidR="00067737" w:rsidRPr="0008316B">
        <w:t>c)</w:t>
      </w:r>
      <w:r w:rsidR="00067737" w:rsidRPr="0008316B">
        <w:tab/>
      </w:r>
      <w:r w:rsidR="00067737" w:rsidRPr="00683C1E">
        <w:t>La adhesión al Protocolo Facultativo de la Convención sobre los Derechos del Niño relativo a un procedimiento de comunicaciones, en ener</w:t>
      </w:r>
      <w:r w:rsidR="00D9753C" w:rsidRPr="00683C1E">
        <w:t>o</w:t>
      </w:r>
      <w:r w:rsidR="00067737" w:rsidRPr="00683C1E">
        <w:t xml:space="preserve"> 2017</w:t>
      </w:r>
      <w:r w:rsidRPr="00683C1E">
        <w:t>;</w:t>
      </w:r>
    </w:p>
    <w:p w14:paraId="5E111F9C" w14:textId="77E88088" w:rsidR="00067737" w:rsidRPr="0008316B" w:rsidRDefault="00F9799D" w:rsidP="00F9799D">
      <w:pPr>
        <w:pStyle w:val="SingleTxtG"/>
      </w:pPr>
      <w:r w:rsidRPr="0008316B">
        <w:tab/>
      </w:r>
      <w:r w:rsidR="00067737" w:rsidRPr="0008316B">
        <w:t>d)</w:t>
      </w:r>
      <w:r w:rsidR="00067737" w:rsidRPr="0008316B">
        <w:tab/>
        <w:t>La adhesión</w:t>
      </w:r>
      <w:r w:rsidR="00605D0E" w:rsidRPr="0008316B">
        <w:t>, en julio de 2014,</w:t>
      </w:r>
      <w:r w:rsidR="00067737" w:rsidRPr="0008316B">
        <w:t xml:space="preserve"> </w:t>
      </w:r>
      <w:r w:rsidR="00BA4ABA" w:rsidRPr="0008316B">
        <w:t>a</w:t>
      </w:r>
      <w:r w:rsidR="00D9753C" w:rsidRPr="0008316B">
        <w:t xml:space="preserve"> </w:t>
      </w:r>
      <w:r w:rsidR="00605D0E" w:rsidRPr="0008316B">
        <w:t>la</w:t>
      </w:r>
      <w:r w:rsidR="00D9753C" w:rsidRPr="0008316B">
        <w:t xml:space="preserve"> Convención sobre el Estatuto de los Apátridas,</w:t>
      </w:r>
      <w:r w:rsidR="00BA4ABA" w:rsidRPr="0008316B">
        <w:t xml:space="preserve"> </w:t>
      </w:r>
      <w:r w:rsidR="00605D0E" w:rsidRPr="0008316B">
        <w:t>de 1954</w:t>
      </w:r>
      <w:r w:rsidRPr="0008316B">
        <w:t>;</w:t>
      </w:r>
    </w:p>
    <w:p w14:paraId="51F696D6" w14:textId="11D33AB2" w:rsidR="00067737" w:rsidRPr="0008316B" w:rsidRDefault="00F9799D" w:rsidP="00F9799D">
      <w:pPr>
        <w:pStyle w:val="SingleTxtG"/>
      </w:pPr>
      <w:r w:rsidRPr="0008316B">
        <w:tab/>
      </w:r>
      <w:r w:rsidR="00067737" w:rsidRPr="0008316B">
        <w:t>e)</w:t>
      </w:r>
      <w:r w:rsidR="00067737" w:rsidRPr="0008316B">
        <w:tab/>
        <w:t>La ratificación</w:t>
      </w:r>
      <w:r w:rsidR="0064502B" w:rsidRPr="0008316B">
        <w:t>, en mayo de 2013,</w:t>
      </w:r>
      <w:r w:rsidR="00067737" w:rsidRPr="0008316B">
        <w:t xml:space="preserve"> del Convenio sobre las Trabajadoras y los Trabajadores Domésticos</w:t>
      </w:r>
      <w:r w:rsidR="00E17573">
        <w:t>, 2011 (</w:t>
      </w:r>
      <w:r w:rsidR="00E17573" w:rsidRPr="0008316B">
        <w:t>núm</w:t>
      </w:r>
      <w:r w:rsidR="00E17573">
        <w:t>.</w:t>
      </w:r>
      <w:r w:rsidR="00E17573" w:rsidRPr="0008316B">
        <w:t xml:space="preserve"> 189</w:t>
      </w:r>
      <w:r w:rsidR="00E17573">
        <w:t>)</w:t>
      </w:r>
      <w:r w:rsidR="007C7CE4" w:rsidRPr="0008316B">
        <w:t xml:space="preserve"> de la OIT</w:t>
      </w:r>
      <w:r w:rsidRPr="0008316B">
        <w:t>;</w:t>
      </w:r>
    </w:p>
    <w:p w14:paraId="7C05708C" w14:textId="7EAA0BF9" w:rsidR="00067737" w:rsidRPr="0008316B" w:rsidRDefault="00F9799D" w:rsidP="00F9799D">
      <w:pPr>
        <w:pStyle w:val="SingleTxtG"/>
      </w:pPr>
      <w:r w:rsidRPr="0008316B">
        <w:tab/>
      </w:r>
      <w:r w:rsidR="00067737" w:rsidRPr="0008316B">
        <w:t>f)</w:t>
      </w:r>
      <w:r w:rsidR="00BA4ABA" w:rsidRPr="0008316B">
        <w:tab/>
      </w:r>
      <w:r w:rsidR="00067737" w:rsidRPr="0008316B">
        <w:t>La adhesión</w:t>
      </w:r>
      <w:r w:rsidR="00CB55C3" w:rsidRPr="0008316B">
        <w:t>, en junio de 2012,</w:t>
      </w:r>
      <w:r w:rsidR="00BA4ABA" w:rsidRPr="0008316B">
        <w:t xml:space="preserve"> a</w:t>
      </w:r>
      <w:r w:rsidR="00D9753C" w:rsidRPr="0008316B">
        <w:t xml:space="preserve"> </w:t>
      </w:r>
      <w:r w:rsidR="00CB55C3" w:rsidRPr="0008316B">
        <w:t xml:space="preserve">la </w:t>
      </w:r>
      <w:r w:rsidR="00D9753C" w:rsidRPr="0008316B">
        <w:t xml:space="preserve">Convención para </w:t>
      </w:r>
      <w:r w:rsidR="0049544F">
        <w:t>R</w:t>
      </w:r>
      <w:r w:rsidR="00D9753C" w:rsidRPr="0008316B">
        <w:t xml:space="preserve">educir los </w:t>
      </w:r>
      <w:r w:rsidR="0049544F">
        <w:t>C</w:t>
      </w:r>
      <w:r w:rsidR="00D9753C" w:rsidRPr="0008316B">
        <w:t xml:space="preserve">asos de </w:t>
      </w:r>
      <w:r w:rsidR="0049544F">
        <w:t>A</w:t>
      </w:r>
      <w:r w:rsidR="00D9753C" w:rsidRPr="0008316B">
        <w:t xml:space="preserve">patridia, </w:t>
      </w:r>
      <w:r w:rsidR="00CB55C3" w:rsidRPr="0008316B">
        <w:t xml:space="preserve">de 1961. </w:t>
      </w:r>
    </w:p>
    <w:p w14:paraId="77BB9EC5" w14:textId="77D12A75"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7.</w:t>
      </w:r>
      <w:r w:rsidRPr="0008316B">
        <w:tab/>
      </w:r>
      <w:r w:rsidR="00067737" w:rsidRPr="0008316B">
        <w:t xml:space="preserve">El Comité reconoce que el Estado parte ha ido construyendo un marco normativo </w:t>
      </w:r>
      <w:r w:rsidR="00572A62" w:rsidRPr="0008316B">
        <w:t xml:space="preserve">con base en </w:t>
      </w:r>
      <w:r w:rsidR="00067737" w:rsidRPr="0008316B">
        <w:t xml:space="preserve">textos nacionales y </w:t>
      </w:r>
      <w:r w:rsidR="00572A62" w:rsidRPr="0008316B">
        <w:t xml:space="preserve">convenios de </w:t>
      </w:r>
      <w:r w:rsidR="00067737" w:rsidRPr="0008316B">
        <w:t>cooperación bi</w:t>
      </w:r>
      <w:r w:rsidR="002C0F41" w:rsidRPr="0008316B">
        <w:t>lateral</w:t>
      </w:r>
      <w:r w:rsidR="00357896" w:rsidRPr="0008316B">
        <w:t xml:space="preserve"> y </w:t>
      </w:r>
      <w:r w:rsidR="00067737" w:rsidRPr="0008316B">
        <w:t>multilateral</w:t>
      </w:r>
      <w:r w:rsidR="00357896" w:rsidRPr="0008316B">
        <w:t>es</w:t>
      </w:r>
      <w:r w:rsidR="004B3E3F" w:rsidRPr="0008316B">
        <w:t xml:space="preserve">. </w:t>
      </w:r>
      <w:r w:rsidR="00067737" w:rsidRPr="0008316B">
        <w:t xml:space="preserve">Además, </w:t>
      </w:r>
      <w:r w:rsidR="00572A62" w:rsidRPr="0008316B">
        <w:t>e</w:t>
      </w:r>
      <w:r w:rsidR="00067737" w:rsidRPr="0008316B">
        <w:t>l Comité celebra la adopción de las siguientes medidas legislativas e institucionales:</w:t>
      </w:r>
    </w:p>
    <w:p w14:paraId="5BFC46BC" w14:textId="05635EF1" w:rsidR="00E2517B" w:rsidRPr="0008316B" w:rsidRDefault="00F9799D" w:rsidP="00F9799D">
      <w:pPr>
        <w:pStyle w:val="SingleTxtG"/>
      </w:pPr>
      <w:bookmarkStart w:id="3" w:name="_Hlk98746914"/>
      <w:r w:rsidRPr="0008316B">
        <w:tab/>
        <w:t>a)</w:t>
      </w:r>
      <w:r w:rsidRPr="0008316B">
        <w:tab/>
      </w:r>
      <w:r w:rsidR="00E2517B" w:rsidRPr="0008316B">
        <w:t xml:space="preserve">Ley </w:t>
      </w:r>
      <w:r w:rsidR="00483811">
        <w:t>núm.</w:t>
      </w:r>
      <w:r w:rsidR="00981E9A" w:rsidRPr="0008316B">
        <w:t xml:space="preserve"> </w:t>
      </w:r>
      <w:r w:rsidR="00E2517B" w:rsidRPr="0008316B">
        <w:t>6338/19</w:t>
      </w:r>
      <w:r w:rsidR="00981E9A" w:rsidRPr="0008316B">
        <w:t xml:space="preserve"> que modifica el artículo 10 de la Ley </w:t>
      </w:r>
      <w:r w:rsidR="00483811">
        <w:t>núm.</w:t>
      </w:r>
      <w:r w:rsidR="00981E9A" w:rsidRPr="0008316B">
        <w:t xml:space="preserve"> 5407/15 del</w:t>
      </w:r>
      <w:r w:rsidR="00E2517B" w:rsidRPr="0008316B">
        <w:t xml:space="preserve"> Trabajo </w:t>
      </w:r>
      <w:r w:rsidR="00483811">
        <w:t>D</w:t>
      </w:r>
      <w:r w:rsidR="00E2517B" w:rsidRPr="0008316B">
        <w:t xml:space="preserve">oméstico, </w:t>
      </w:r>
      <w:r w:rsidR="00B539F0" w:rsidRPr="0008316B">
        <w:t xml:space="preserve">de </w:t>
      </w:r>
      <w:r w:rsidR="00E2517B" w:rsidRPr="0008316B">
        <w:t>julio de 2019</w:t>
      </w:r>
      <w:r w:rsidRPr="0008316B">
        <w:t>;</w:t>
      </w:r>
    </w:p>
    <w:p w14:paraId="460A25EF" w14:textId="5D7666B6" w:rsidR="00E2517B" w:rsidRPr="0008316B" w:rsidRDefault="00F9799D" w:rsidP="00F9799D">
      <w:pPr>
        <w:pStyle w:val="SingleTxtG"/>
      </w:pPr>
      <w:r w:rsidRPr="0008316B">
        <w:tab/>
        <w:t>b)</w:t>
      </w:r>
      <w:r w:rsidRPr="0008316B">
        <w:tab/>
      </w:r>
      <w:r w:rsidR="00E2517B" w:rsidRPr="0008316B">
        <w:t xml:space="preserve">Resolución </w:t>
      </w:r>
      <w:r w:rsidR="00483811">
        <w:t>núm.</w:t>
      </w:r>
      <w:r w:rsidR="00E2517B" w:rsidRPr="0008316B">
        <w:t xml:space="preserve"> 62 (62/2019), </w:t>
      </w:r>
      <w:r w:rsidR="00E5493B" w:rsidRPr="0008316B">
        <w:t>R</w:t>
      </w:r>
      <w:r w:rsidR="00981E9A" w:rsidRPr="0008316B">
        <w:t>adicación</w:t>
      </w:r>
      <w:r w:rsidR="00E2517B" w:rsidRPr="0008316B">
        <w:t xml:space="preserve"> </w:t>
      </w:r>
      <w:r w:rsidR="00287987">
        <w:t>T</w:t>
      </w:r>
      <w:r w:rsidR="00E2517B" w:rsidRPr="0008316B">
        <w:t>empora</w:t>
      </w:r>
      <w:r w:rsidR="00287987">
        <w:t>ria</w:t>
      </w:r>
      <w:r w:rsidR="00E2517B" w:rsidRPr="0008316B">
        <w:t xml:space="preserve"> para </w:t>
      </w:r>
      <w:r w:rsidR="00287987">
        <w:t>V</w:t>
      </w:r>
      <w:r w:rsidR="00E2517B" w:rsidRPr="0008316B">
        <w:t xml:space="preserve">enezolanos, </w:t>
      </w:r>
      <w:r w:rsidR="00B539F0" w:rsidRPr="0008316B">
        <w:t xml:space="preserve">de </w:t>
      </w:r>
      <w:r w:rsidR="00E2517B" w:rsidRPr="0008316B">
        <w:t>febrero 2019</w:t>
      </w:r>
      <w:r w:rsidRPr="0008316B">
        <w:t>;</w:t>
      </w:r>
    </w:p>
    <w:p w14:paraId="314FB650" w14:textId="6DB52144" w:rsidR="00067737" w:rsidRPr="0008316B" w:rsidRDefault="00F9799D" w:rsidP="00F9799D">
      <w:pPr>
        <w:pStyle w:val="SingleTxtG"/>
      </w:pPr>
      <w:r w:rsidRPr="0008316B">
        <w:tab/>
        <w:t>c)</w:t>
      </w:r>
      <w:r w:rsidRPr="0008316B">
        <w:tab/>
      </w:r>
      <w:r w:rsidR="00067737" w:rsidRPr="0008316B">
        <w:t xml:space="preserve">Ley </w:t>
      </w:r>
      <w:r w:rsidR="00287987">
        <w:t xml:space="preserve">de </w:t>
      </w:r>
      <w:r w:rsidR="00981E9A" w:rsidRPr="0008316B">
        <w:t xml:space="preserve">Protección y </w:t>
      </w:r>
      <w:r w:rsidR="00287987">
        <w:t>F</w:t>
      </w:r>
      <w:r w:rsidR="00981E9A" w:rsidRPr="0008316B">
        <w:t xml:space="preserve">acilidades para la </w:t>
      </w:r>
      <w:r w:rsidR="00287987">
        <w:t>N</w:t>
      </w:r>
      <w:r w:rsidR="00981E9A" w:rsidRPr="0008316B">
        <w:t xml:space="preserve">aturalización de las </w:t>
      </w:r>
      <w:r w:rsidR="00287987">
        <w:t>P</w:t>
      </w:r>
      <w:r w:rsidR="00981E9A" w:rsidRPr="0008316B">
        <w:t xml:space="preserve">ersonas </w:t>
      </w:r>
      <w:r w:rsidR="00287987">
        <w:t>A</w:t>
      </w:r>
      <w:r w:rsidR="00981E9A" w:rsidRPr="0008316B">
        <w:t>pátridas</w:t>
      </w:r>
      <w:r w:rsidR="00287987">
        <w:t xml:space="preserve"> (Ley núm.</w:t>
      </w:r>
      <w:r w:rsidR="00287987" w:rsidRPr="0008316B">
        <w:t xml:space="preserve"> 6149</w:t>
      </w:r>
      <w:r w:rsidR="00287987">
        <w:t>)</w:t>
      </w:r>
      <w:r w:rsidR="00981E9A" w:rsidRPr="0008316B">
        <w:t xml:space="preserve">, </w:t>
      </w:r>
      <w:r w:rsidR="00B539F0" w:rsidRPr="0008316B">
        <w:t xml:space="preserve">de </w:t>
      </w:r>
      <w:r w:rsidR="00981E9A" w:rsidRPr="0008316B">
        <w:t>septiembre 2018</w:t>
      </w:r>
      <w:r w:rsidRPr="0008316B">
        <w:t>;</w:t>
      </w:r>
    </w:p>
    <w:p w14:paraId="41D15493" w14:textId="5C44F200" w:rsidR="00BA4ABA" w:rsidRPr="0008316B" w:rsidRDefault="00F9799D" w:rsidP="00F9799D">
      <w:pPr>
        <w:pStyle w:val="SingleTxtG"/>
      </w:pPr>
      <w:r w:rsidRPr="0008316B">
        <w:tab/>
        <w:t>d)</w:t>
      </w:r>
      <w:r w:rsidRPr="0008316B">
        <w:tab/>
      </w:r>
      <w:r w:rsidR="00BA4ABA" w:rsidRPr="0008316B">
        <w:t xml:space="preserve">Decreto </w:t>
      </w:r>
      <w:r w:rsidR="00287987">
        <w:t>núm.</w:t>
      </w:r>
      <w:r w:rsidR="00BA4ABA" w:rsidRPr="0008316B">
        <w:t xml:space="preserve"> 6285/16, </w:t>
      </w:r>
      <w:r w:rsidR="00287987">
        <w:t xml:space="preserve">por el que se aprueba la </w:t>
      </w:r>
      <w:r w:rsidR="00BA4ABA" w:rsidRPr="0008316B">
        <w:t>Estrategia Nacional de Prevención del Trabajo Forzoso en</w:t>
      </w:r>
      <w:r w:rsidR="003D48D1">
        <w:t xml:space="preserve"> el</w:t>
      </w:r>
      <w:r w:rsidR="00BA4ABA" w:rsidRPr="0008316B">
        <w:t xml:space="preserve"> Paraguay, </w:t>
      </w:r>
      <w:r w:rsidR="00B539F0" w:rsidRPr="0008316B">
        <w:t xml:space="preserve">de </w:t>
      </w:r>
      <w:r w:rsidR="00BA4ABA" w:rsidRPr="0008316B">
        <w:t>noviembre de 2016</w:t>
      </w:r>
      <w:r w:rsidRPr="0008316B">
        <w:t>;</w:t>
      </w:r>
    </w:p>
    <w:p w14:paraId="351A1A1C" w14:textId="3E6C7A2F" w:rsidR="006218F4" w:rsidRPr="0008316B" w:rsidRDefault="00F9799D" w:rsidP="006218F4">
      <w:pPr>
        <w:pStyle w:val="SingleTxtG"/>
      </w:pPr>
      <w:r w:rsidRPr="0008316B">
        <w:tab/>
        <w:t>e)</w:t>
      </w:r>
      <w:r w:rsidRPr="0008316B">
        <w:tab/>
      </w:r>
      <w:r w:rsidR="00EE4800" w:rsidRPr="0008316B">
        <w:t xml:space="preserve">Decreto </w:t>
      </w:r>
      <w:r w:rsidR="00287987">
        <w:t>núm.</w:t>
      </w:r>
      <w:r w:rsidR="00E17573">
        <w:t> </w:t>
      </w:r>
      <w:r w:rsidR="00EE4800" w:rsidRPr="0008316B">
        <w:t>4483/15</w:t>
      </w:r>
      <w:r w:rsidR="005B6BDD" w:rsidRPr="0008316B">
        <w:t>,</w:t>
      </w:r>
      <w:r w:rsidR="00EE4800" w:rsidRPr="0008316B">
        <w:t xml:space="preserve"> </w:t>
      </w:r>
      <w:r w:rsidR="00287987">
        <w:t xml:space="preserve">por el que se aprueba la </w:t>
      </w:r>
      <w:r w:rsidR="00EE4800" w:rsidRPr="0008316B">
        <w:t xml:space="preserve">Política Nacional de Migraciones de la Republica del Paraguay, </w:t>
      </w:r>
      <w:r w:rsidR="00B539F0" w:rsidRPr="0008316B">
        <w:t xml:space="preserve">de </w:t>
      </w:r>
      <w:r w:rsidR="00EE4800" w:rsidRPr="0008316B">
        <w:t>noviembre 2015</w:t>
      </w:r>
      <w:r w:rsidRPr="0008316B">
        <w:t>;</w:t>
      </w:r>
    </w:p>
    <w:p w14:paraId="72786A24" w14:textId="0B6E9A0C" w:rsidR="00DA24B2" w:rsidRPr="0008316B" w:rsidRDefault="00F9799D" w:rsidP="00F9799D">
      <w:pPr>
        <w:pStyle w:val="SingleTxtG"/>
      </w:pPr>
      <w:r w:rsidRPr="0008316B">
        <w:tab/>
        <w:t>f)</w:t>
      </w:r>
      <w:r w:rsidRPr="0008316B">
        <w:tab/>
      </w:r>
      <w:r w:rsidR="00067737" w:rsidRPr="0008316B">
        <w:t xml:space="preserve">Ley </w:t>
      </w:r>
      <w:r w:rsidR="00287987">
        <w:t>núm.</w:t>
      </w:r>
      <w:r w:rsidR="00E17573">
        <w:t> </w:t>
      </w:r>
      <w:r w:rsidR="00067737" w:rsidRPr="0008316B">
        <w:t>4634/12</w:t>
      </w:r>
      <w:r w:rsidR="005B6BDD" w:rsidRPr="0008316B">
        <w:t xml:space="preserve">, </w:t>
      </w:r>
      <w:r w:rsidR="00287987">
        <w:t xml:space="preserve">por la que se aprueba el </w:t>
      </w:r>
      <w:r w:rsidR="00067737" w:rsidRPr="0008316B">
        <w:t>Convenio de Seguridad Social entre</w:t>
      </w:r>
      <w:r w:rsidR="003D48D1">
        <w:t xml:space="preserve"> el</w:t>
      </w:r>
      <w:r w:rsidR="00067737" w:rsidRPr="0008316B">
        <w:t xml:space="preserve"> Paraguay y Chile</w:t>
      </w:r>
      <w:r w:rsidR="00BA4ABA" w:rsidRPr="0008316B">
        <w:t xml:space="preserve">, </w:t>
      </w:r>
      <w:r w:rsidR="00B539F0" w:rsidRPr="0008316B">
        <w:t xml:space="preserve">de </w:t>
      </w:r>
      <w:r w:rsidR="00BA4ABA" w:rsidRPr="0008316B">
        <w:t>junio de 2012</w:t>
      </w:r>
      <w:r w:rsidR="00E2517B" w:rsidRPr="0008316B">
        <w:t>.</w:t>
      </w:r>
      <w:bookmarkEnd w:id="3"/>
    </w:p>
    <w:p w14:paraId="6BD158C3" w14:textId="40A43D51"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8.</w:t>
      </w:r>
      <w:r w:rsidRPr="0008316B">
        <w:tab/>
      </w:r>
      <w:r w:rsidR="00067737" w:rsidRPr="0008316B">
        <w:t xml:space="preserve">El Comité resalta la creación </w:t>
      </w:r>
      <w:r w:rsidR="00FE067F" w:rsidRPr="0008316B">
        <w:t>de las Jornadas de Regularización</w:t>
      </w:r>
      <w:r w:rsidR="00C16103" w:rsidRPr="0008316B">
        <w:t xml:space="preserve"> Migratoria</w:t>
      </w:r>
      <w:r w:rsidR="00345078" w:rsidRPr="0008316B">
        <w:t>, las Jornadas de Atención Integral al Migrante</w:t>
      </w:r>
      <w:r w:rsidR="00FE067F" w:rsidRPr="0008316B">
        <w:t xml:space="preserve"> </w:t>
      </w:r>
      <w:r w:rsidR="00067737" w:rsidRPr="0008316B">
        <w:t>y la labor de varios cuerpos colegiados, como consejos, mesas de trabajo y comités que trabajan en los programas y proyectos dedicados a las personas en movilidad humana y reconoce el interés del Estado parte por articular los esfuerzos de todas sus entidades para cumplir con las obligaciones de la Convención, así como su participación activa en los procesos regionales de diálogo para abordar los flujos migratorios de personas en América del Sur</w:t>
      </w:r>
      <w:r w:rsidR="00715CB7" w:rsidRPr="0008316B">
        <w:t>, incluso capacitando otros países de la región</w:t>
      </w:r>
      <w:r w:rsidR="00067737" w:rsidRPr="0008316B">
        <w:t>.</w:t>
      </w:r>
    </w:p>
    <w:p w14:paraId="07C3CB94" w14:textId="4E6CF9B6" w:rsidR="002E1A8E"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9.</w:t>
      </w:r>
      <w:r w:rsidRPr="0008316B">
        <w:tab/>
      </w:r>
      <w:r w:rsidR="002E1A8E" w:rsidRPr="0008316B">
        <w:t>El Comité considera positiva la creación del Equipo Especializado en Derechos de Personas Migrantes y en Condición de Refugio</w:t>
      </w:r>
      <w:r w:rsidR="00D24E26" w:rsidRPr="0008316B">
        <w:t xml:space="preserve"> integrado por </w:t>
      </w:r>
      <w:r w:rsidR="00C175F5">
        <w:t>cinco</w:t>
      </w:r>
      <w:r w:rsidR="00D24E26" w:rsidRPr="0008316B">
        <w:t xml:space="preserve"> </w:t>
      </w:r>
      <w:r w:rsidR="00E22EC8">
        <w:t>d</w:t>
      </w:r>
      <w:r w:rsidR="00D24E26" w:rsidRPr="0008316B">
        <w:t xml:space="preserve">efensores </w:t>
      </w:r>
      <w:r w:rsidR="00E22EC8">
        <w:t>p</w:t>
      </w:r>
      <w:r w:rsidR="00D24E26" w:rsidRPr="0008316B">
        <w:t>úblicos, a fin de</w:t>
      </w:r>
      <w:r w:rsidR="00931AAD" w:rsidRPr="0008316B">
        <w:t xml:space="preserve"> optimizar la capacidad institucional y</w:t>
      </w:r>
      <w:r w:rsidR="00D24E26" w:rsidRPr="0008316B">
        <w:t xml:space="preserve"> </w:t>
      </w:r>
      <w:r w:rsidR="00931AAD" w:rsidRPr="0008316B">
        <w:t>garantizar el efectivo acceso a la justicia del creciente número de inmigrantes y solicitantes de refugio en el Estado parte</w:t>
      </w:r>
      <w:r w:rsidR="002E1A8E" w:rsidRPr="0008316B">
        <w:t xml:space="preserve">. Sin embargo, el Comité considera </w:t>
      </w:r>
      <w:r w:rsidR="00D24E26" w:rsidRPr="0008316B">
        <w:t xml:space="preserve">que para que </w:t>
      </w:r>
      <w:r w:rsidR="00931AAD" w:rsidRPr="0008316B">
        <w:t xml:space="preserve">haya </w:t>
      </w:r>
      <w:r w:rsidR="00D24E26" w:rsidRPr="0008316B">
        <w:t xml:space="preserve">un impacto en la realidad de las personas migrantes </w:t>
      </w:r>
      <w:r w:rsidR="00931AAD" w:rsidRPr="0008316B">
        <w:t>es importante</w:t>
      </w:r>
      <w:r w:rsidR="00D24E26" w:rsidRPr="0008316B">
        <w:t xml:space="preserve"> que los </w:t>
      </w:r>
      <w:r w:rsidR="00F814C4">
        <w:t>d</w:t>
      </w:r>
      <w:r w:rsidR="00D24E26" w:rsidRPr="0008316B">
        <w:t xml:space="preserve">efensores </w:t>
      </w:r>
      <w:r w:rsidR="00F814C4">
        <w:t>p</w:t>
      </w:r>
      <w:r w:rsidR="00D24E26" w:rsidRPr="0008316B">
        <w:t xml:space="preserve">úblicos que conformen el equipo abarquen los distritos y departamentos donde se dan más casos, como aquellos que lindan con las fronteras internacionales. </w:t>
      </w:r>
    </w:p>
    <w:p w14:paraId="5E92D2E3" w14:textId="1EAD1554"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lastRenderedPageBreak/>
        <w:t>10.</w:t>
      </w:r>
      <w:r w:rsidRPr="0008316B">
        <w:tab/>
      </w:r>
      <w:r w:rsidR="00067737" w:rsidRPr="0008316B">
        <w:t xml:space="preserve">El Comité toma nota del </w:t>
      </w:r>
      <w:r w:rsidR="00CB3313">
        <w:t>S</w:t>
      </w:r>
      <w:r w:rsidR="00067737" w:rsidRPr="0008316B">
        <w:t xml:space="preserve">istema </w:t>
      </w:r>
      <w:r w:rsidR="00CB3313">
        <w:t xml:space="preserve">de Monitoreo de Recomendaciones </w:t>
      </w:r>
      <w:r w:rsidR="00E17573">
        <w:t>(</w:t>
      </w:r>
      <w:r w:rsidR="00067737" w:rsidRPr="0008316B">
        <w:t xml:space="preserve">SIMORE </w:t>
      </w:r>
      <w:r w:rsidR="00F60FE5">
        <w:t>PLUS</w:t>
      </w:r>
      <w:r w:rsidR="00E17573">
        <w:t>)</w:t>
      </w:r>
      <w:r w:rsidR="00067737" w:rsidRPr="0008316B">
        <w:t xml:space="preserve"> para la recolección de datos para la elaboración de informes periódicos</w:t>
      </w:r>
      <w:r w:rsidR="004D486E" w:rsidRPr="0008316B">
        <w:t xml:space="preserve">, </w:t>
      </w:r>
      <w:r w:rsidR="005F1233" w:rsidRPr="0008316B">
        <w:t xml:space="preserve">e igualmente </w:t>
      </w:r>
      <w:r w:rsidR="00722CA2">
        <w:t xml:space="preserve">de </w:t>
      </w:r>
      <w:r w:rsidR="00936BBC" w:rsidRPr="0008316B">
        <w:t xml:space="preserve">que el </w:t>
      </w:r>
      <w:r w:rsidR="00CB3313">
        <w:t>i</w:t>
      </w:r>
      <w:r w:rsidR="00936BBC" w:rsidRPr="0008316B">
        <w:t xml:space="preserve">nforme presentado por el Estado </w:t>
      </w:r>
      <w:r w:rsidR="00415014" w:rsidRPr="0008316B">
        <w:t xml:space="preserve">es producto de un proceso propiciado por </w:t>
      </w:r>
      <w:r w:rsidR="00F60FE5">
        <w:t>este sistema</w:t>
      </w:r>
      <w:r w:rsidR="00415014" w:rsidRPr="0008316B">
        <w:t>.</w:t>
      </w:r>
      <w:r w:rsidR="0075655D" w:rsidRPr="0008316B">
        <w:t xml:space="preserve"> </w:t>
      </w:r>
    </w:p>
    <w:p w14:paraId="41B1303F" w14:textId="38AF30FC" w:rsidR="00067737" w:rsidRPr="003F5E2C" w:rsidRDefault="00067737" w:rsidP="003F5E2C">
      <w:pPr>
        <w:pStyle w:val="H1G"/>
      </w:pPr>
      <w:r w:rsidRPr="003F5E2C">
        <w:tab/>
        <w:t>C.</w:t>
      </w:r>
      <w:r w:rsidRPr="003F5E2C">
        <w:tab/>
        <w:t>Principales ámbitos de preocupación y recomendaciones</w:t>
      </w:r>
    </w:p>
    <w:p w14:paraId="4594BC4D" w14:textId="77777777" w:rsidR="00067737" w:rsidRPr="003F5E2C" w:rsidRDefault="00067737" w:rsidP="003F5E2C">
      <w:pPr>
        <w:pStyle w:val="H23G"/>
      </w:pPr>
      <w:r w:rsidRPr="003F5E2C">
        <w:tab/>
        <w:t>1.</w:t>
      </w:r>
      <w:r w:rsidRPr="003F5E2C">
        <w:tab/>
        <w:t>Medidas generales de aplicación (arts. 73 y 84)</w:t>
      </w:r>
    </w:p>
    <w:p w14:paraId="5D5AAECD" w14:textId="77777777" w:rsidR="001F5C20" w:rsidRPr="003F5E2C" w:rsidRDefault="00067737" w:rsidP="003F5E2C">
      <w:pPr>
        <w:pStyle w:val="H23G"/>
      </w:pPr>
      <w:r w:rsidRPr="003F5E2C">
        <w:tab/>
      </w:r>
      <w:r w:rsidRPr="003F5E2C">
        <w:tab/>
        <w:t>Contexto actual</w:t>
      </w:r>
    </w:p>
    <w:p w14:paraId="7FDF2FE8" w14:textId="47884EB1" w:rsidR="001B490C"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11.</w:t>
      </w:r>
      <w:r w:rsidRPr="0008316B">
        <w:tab/>
      </w:r>
      <w:r w:rsidR="001B490C" w:rsidRPr="0008316B">
        <w:t xml:space="preserve">El Comité </w:t>
      </w:r>
      <w:r w:rsidR="00C12502" w:rsidRPr="0008316B">
        <w:t>recibe</w:t>
      </w:r>
      <w:r w:rsidR="001B490C" w:rsidRPr="0008316B">
        <w:t xml:space="preserve"> con satisfacción </w:t>
      </w:r>
      <w:r w:rsidR="00CB3313">
        <w:t xml:space="preserve">la información acerca de </w:t>
      </w:r>
      <w:r w:rsidR="001B490C" w:rsidRPr="0008316B">
        <w:t>que</w:t>
      </w:r>
      <w:r w:rsidR="00CB3313">
        <w:t>,</w:t>
      </w:r>
      <w:r w:rsidR="001B490C" w:rsidRPr="0008316B">
        <w:t xml:space="preserve"> desde mayo de 2021</w:t>
      </w:r>
      <w:r w:rsidR="00CB3313">
        <w:t>,</w:t>
      </w:r>
      <w:r w:rsidR="001B490C" w:rsidRPr="0008316B">
        <w:t xml:space="preserve"> </w:t>
      </w:r>
      <w:r w:rsidR="00CB3313">
        <w:t xml:space="preserve">los </w:t>
      </w:r>
      <w:r w:rsidR="001B490C" w:rsidRPr="0008316B">
        <w:t xml:space="preserve">extranjeros </w:t>
      </w:r>
      <w:r w:rsidR="00CB3313">
        <w:t xml:space="preserve">que </w:t>
      </w:r>
      <w:r w:rsidR="001B490C" w:rsidRPr="0008316B">
        <w:t>resid</w:t>
      </w:r>
      <w:r w:rsidR="00CB3313">
        <w:t>en</w:t>
      </w:r>
      <w:r w:rsidR="001B490C" w:rsidRPr="0008316B">
        <w:t xml:space="preserve"> en el Estado </w:t>
      </w:r>
      <w:proofErr w:type="gramStart"/>
      <w:r w:rsidR="001B490C" w:rsidRPr="0008316B">
        <w:t>parte</w:t>
      </w:r>
      <w:proofErr w:type="gramEnd"/>
      <w:r w:rsidR="001B490C" w:rsidRPr="0008316B">
        <w:t xml:space="preserve"> sin documentación, refugiados, solicitantes de asilo </w:t>
      </w:r>
      <w:r w:rsidR="001F5C20" w:rsidRPr="0008316B">
        <w:t>y</w:t>
      </w:r>
      <w:r w:rsidR="001B490C" w:rsidRPr="0008316B">
        <w:t xml:space="preserve"> </w:t>
      </w:r>
      <w:r w:rsidR="001F5C20" w:rsidRPr="0008316B">
        <w:t>apátridas</w:t>
      </w:r>
      <w:r w:rsidR="001B490C" w:rsidRPr="0008316B">
        <w:t xml:space="preserve"> están autorizad</w:t>
      </w:r>
      <w:r w:rsidR="00CB3313">
        <w:t>o</w:t>
      </w:r>
      <w:r w:rsidR="001B490C" w:rsidRPr="0008316B">
        <w:t xml:space="preserve">s a recibir vacunas </w:t>
      </w:r>
      <w:r w:rsidR="00CB3313">
        <w:t>contra</w:t>
      </w:r>
      <w:r w:rsidR="00CB3313" w:rsidRPr="0008316B">
        <w:t xml:space="preserve"> </w:t>
      </w:r>
      <w:r w:rsidR="00013BE7">
        <w:t>la enfermedad por coronavirus (</w:t>
      </w:r>
      <w:r w:rsidR="001B490C" w:rsidRPr="0008316B">
        <w:t>COVID</w:t>
      </w:r>
      <w:r w:rsidR="00D979BD" w:rsidRPr="0008316B">
        <w:t>-19</w:t>
      </w:r>
      <w:r w:rsidR="00013BE7">
        <w:t>)</w:t>
      </w:r>
      <w:r w:rsidR="001B490C" w:rsidRPr="0008316B">
        <w:t xml:space="preserve"> con los documentos v</w:t>
      </w:r>
      <w:r w:rsidR="00013BE7">
        <w:t>á</w:t>
      </w:r>
      <w:r w:rsidR="001B490C" w:rsidRPr="0008316B">
        <w:t xml:space="preserve">lidos de </w:t>
      </w:r>
      <w:r w:rsidR="00013BE7">
        <w:t>la Comisión Nacional de Refugiados</w:t>
      </w:r>
      <w:r w:rsidR="001B490C" w:rsidRPr="0008316B">
        <w:t>. Sin embargo, preocupa al Comité que el cierre de la</w:t>
      </w:r>
      <w:r w:rsidR="00D979BD" w:rsidRPr="0008316B">
        <w:t>s</w:t>
      </w:r>
      <w:r w:rsidR="001B490C" w:rsidRPr="0008316B">
        <w:t xml:space="preserve"> frontera</w:t>
      </w:r>
      <w:r w:rsidR="00D979BD" w:rsidRPr="0008316B">
        <w:t xml:space="preserve">s por varios meses al inicio de la pandemia </w:t>
      </w:r>
      <w:r w:rsidR="00013BE7">
        <w:t xml:space="preserve">de </w:t>
      </w:r>
      <w:r w:rsidR="00D979BD" w:rsidRPr="0008316B">
        <w:t>COVID-19</w:t>
      </w:r>
      <w:r w:rsidR="008C5E16" w:rsidRPr="0008316B">
        <w:t xml:space="preserve"> y </w:t>
      </w:r>
      <w:r w:rsidR="001F5C20" w:rsidRPr="0008316B">
        <w:t>el acceso limitado a los medios de subsistencia para migrantes y refugiados hi</w:t>
      </w:r>
      <w:r w:rsidR="00013BE7">
        <w:t>cieron</w:t>
      </w:r>
      <w:r w:rsidR="001F5C20" w:rsidRPr="0008316B">
        <w:t xml:space="preserve"> aún más difícil </w:t>
      </w:r>
      <w:r w:rsidR="001D137F" w:rsidRPr="0008316B">
        <w:t>acceder a</w:t>
      </w:r>
      <w:r w:rsidR="001F5C20" w:rsidRPr="0008316B">
        <w:t xml:space="preserve"> los subsidios paliativos aprobados por el </w:t>
      </w:r>
      <w:r w:rsidR="00013BE7">
        <w:t>G</w:t>
      </w:r>
      <w:r w:rsidR="001F5C20" w:rsidRPr="0008316B">
        <w:t>obierno.</w:t>
      </w:r>
      <w:r w:rsidR="001D137F" w:rsidRPr="0008316B">
        <w:t xml:space="preserve"> </w:t>
      </w:r>
      <w:r w:rsidR="00745D98" w:rsidRPr="0008316B">
        <w:t>Preocupa al Comité el alto impacto de</w:t>
      </w:r>
      <w:r w:rsidR="00013BE7">
        <w:t xml:space="preserve"> </w:t>
      </w:r>
      <w:r w:rsidR="00745D98" w:rsidRPr="0008316B">
        <w:t>l</w:t>
      </w:r>
      <w:r w:rsidR="00013BE7">
        <w:t>a</w:t>
      </w:r>
      <w:r w:rsidR="00745D98" w:rsidRPr="0008316B">
        <w:t xml:space="preserve"> COVID-19 en los migrantes y la falta de políticas y programas específicos de mitigación. </w:t>
      </w:r>
      <w:r w:rsidR="00D979BD" w:rsidRPr="0008316B">
        <w:t xml:space="preserve">El Comité toma nota de la reapertura gradual y con flexibilidad </w:t>
      </w:r>
      <w:r w:rsidR="00745D98" w:rsidRPr="0008316B">
        <w:t xml:space="preserve">al retorno de los connacionales </w:t>
      </w:r>
      <w:r w:rsidR="00D979BD" w:rsidRPr="0008316B">
        <w:t xml:space="preserve">de las fronteras desde octubre </w:t>
      </w:r>
      <w:r w:rsidR="00013BE7">
        <w:t xml:space="preserve">de </w:t>
      </w:r>
      <w:r w:rsidR="00D979BD" w:rsidRPr="0008316B">
        <w:t>2020.</w:t>
      </w:r>
    </w:p>
    <w:p w14:paraId="4886C5A4" w14:textId="4E0D56D2"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12.</w:t>
      </w:r>
      <w:r w:rsidRPr="0008316B">
        <w:rPr>
          <w:bCs/>
        </w:rPr>
        <w:tab/>
      </w:r>
      <w:r w:rsidR="00067737" w:rsidRPr="0008316B">
        <w:rPr>
          <w:b/>
          <w:bCs/>
        </w:rPr>
        <w:t>El Comité recomienda el Estado parte proteger los derechos de los migrantes y sus familiares, en particular el derecho a la salud, y mitigar los impactos adversos de la pandemia de enfermedad por coronavirus (COVID-19)</w:t>
      </w:r>
      <w:r w:rsidR="00E641D1" w:rsidRPr="0008316B">
        <w:rPr>
          <w:b/>
          <w:bCs/>
        </w:rPr>
        <w:t xml:space="preserve">, considerando </w:t>
      </w:r>
      <w:r w:rsidR="00067737" w:rsidRPr="0008316B">
        <w:rPr>
          <w:b/>
          <w:bCs/>
        </w:rPr>
        <w:t xml:space="preserve">la </w:t>
      </w:r>
      <w:r w:rsidR="00722502">
        <w:rPr>
          <w:b/>
          <w:bCs/>
        </w:rPr>
        <w:t>n</w:t>
      </w:r>
      <w:r w:rsidR="00067737" w:rsidRPr="0008316B">
        <w:rPr>
          <w:b/>
          <w:bCs/>
        </w:rPr>
        <w:t>ota</w:t>
      </w:r>
      <w:r w:rsidR="00E17573">
        <w:rPr>
          <w:rStyle w:val="Refdenotaalpie"/>
          <w:b/>
          <w:bCs/>
        </w:rPr>
        <w:footnoteReference w:id="5"/>
      </w:r>
      <w:r w:rsidR="00067737" w:rsidRPr="0008316B">
        <w:rPr>
          <w:b/>
          <w:bCs/>
        </w:rPr>
        <w:t xml:space="preserve"> de </w:t>
      </w:r>
      <w:r w:rsidR="00722502">
        <w:rPr>
          <w:b/>
          <w:bCs/>
        </w:rPr>
        <w:t>o</w:t>
      </w:r>
      <w:r w:rsidR="00067737" w:rsidRPr="0008316B">
        <w:rPr>
          <w:b/>
          <w:bCs/>
        </w:rPr>
        <w:t>rientación conjunta acerca de los impactos de la pandemia de COVID-19 sobre los derechos humanos de las personas migrantes, emitida por el Comité y el Relator Especial sobre los derechos humanos de los migrantes</w:t>
      </w:r>
      <w:r w:rsidR="00F2375C" w:rsidRPr="0008316B">
        <w:t>.</w:t>
      </w:r>
    </w:p>
    <w:p w14:paraId="75590109" w14:textId="77777777" w:rsidR="00067737" w:rsidRPr="003F5E2C" w:rsidRDefault="00067737" w:rsidP="003F5E2C">
      <w:pPr>
        <w:pStyle w:val="H23G"/>
      </w:pPr>
      <w:r w:rsidRPr="003F5E2C">
        <w:tab/>
      </w:r>
      <w:r w:rsidRPr="003F5E2C">
        <w:tab/>
        <w:t>Legislación y aplicación</w:t>
      </w:r>
    </w:p>
    <w:p w14:paraId="62E88D7E" w14:textId="232DD5D5" w:rsidR="005F0E4C" w:rsidRPr="00415415"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415415">
        <w:t>13.</w:t>
      </w:r>
      <w:r w:rsidRPr="00415415">
        <w:tab/>
      </w:r>
      <w:r w:rsidR="00067737" w:rsidRPr="0008316B">
        <w:t xml:space="preserve">El Comité </w:t>
      </w:r>
      <w:r w:rsidR="0065465E" w:rsidRPr="0008316B">
        <w:t>toma nota</w:t>
      </w:r>
      <w:r w:rsidR="00067737" w:rsidRPr="0008316B">
        <w:t xml:space="preserve"> </w:t>
      </w:r>
      <w:r w:rsidR="0065465E" w:rsidRPr="0008316B">
        <w:t xml:space="preserve">del </w:t>
      </w:r>
      <w:r w:rsidR="0065465E" w:rsidRPr="00415415">
        <w:t xml:space="preserve">proyecto de </w:t>
      </w:r>
      <w:r w:rsidR="00415415" w:rsidRPr="00A465D3">
        <w:t>l</w:t>
      </w:r>
      <w:r w:rsidR="0065465E" w:rsidRPr="00415415">
        <w:t xml:space="preserve">ey de </w:t>
      </w:r>
      <w:r w:rsidR="00415415" w:rsidRPr="00A465D3">
        <w:t>m</w:t>
      </w:r>
      <w:r w:rsidR="0065465E" w:rsidRPr="00415415">
        <w:t xml:space="preserve">igraciones </w:t>
      </w:r>
      <w:r w:rsidR="00590239" w:rsidRPr="00415415">
        <w:t xml:space="preserve">en </w:t>
      </w:r>
      <w:r w:rsidR="005F0E4C" w:rsidRPr="00415415">
        <w:t xml:space="preserve">el cual </w:t>
      </w:r>
      <w:r w:rsidR="003E7276" w:rsidRPr="00415415">
        <w:t xml:space="preserve">se </w:t>
      </w:r>
      <w:r w:rsidR="005F0E4C" w:rsidRPr="00415415">
        <w:t xml:space="preserve">pretende establecer un régimen migratorio acorde </w:t>
      </w:r>
      <w:r w:rsidR="003E7276" w:rsidRPr="00415415">
        <w:t xml:space="preserve">con </w:t>
      </w:r>
      <w:r w:rsidR="005F0E4C" w:rsidRPr="00415415">
        <w:t>los instrumentos internacionales de derechos humanos. Sin embargo, le preocupa al Comité que el proyecto de ley sig</w:t>
      </w:r>
      <w:r w:rsidR="003E7276" w:rsidRPr="00415415">
        <w:t>a todavía</w:t>
      </w:r>
      <w:r w:rsidR="005F0E4C" w:rsidRPr="00415415">
        <w:t xml:space="preserve"> en trámite </w:t>
      </w:r>
      <w:r w:rsidR="00722502" w:rsidRPr="00415415">
        <w:t xml:space="preserve">después de </w:t>
      </w:r>
      <w:r w:rsidR="005F0E4C" w:rsidRPr="00415415">
        <w:t xml:space="preserve">más de </w:t>
      </w:r>
      <w:r w:rsidR="00722502" w:rsidRPr="00415415">
        <w:t>cinco</w:t>
      </w:r>
      <w:r w:rsidR="005F0E4C" w:rsidRPr="00415415">
        <w:t xml:space="preserve"> años de ser presentado</w:t>
      </w:r>
      <w:r w:rsidR="0002126B" w:rsidRPr="00415415">
        <w:t>.</w:t>
      </w:r>
      <w:r w:rsidR="004B3E3F" w:rsidRPr="00415415">
        <w:t xml:space="preserve"> </w:t>
      </w:r>
      <w:r w:rsidR="00083763" w:rsidRPr="00415415">
        <w:rPr>
          <w:lang w:val="es-MX"/>
        </w:rPr>
        <w:t xml:space="preserve">En virtud de la ausencia de una ley sobre la materia, resulta de especial importancia la realización de una política migratoria que cubra los aspectos esenciales para el respeto de los derechos humanos. </w:t>
      </w:r>
    </w:p>
    <w:p w14:paraId="1879B5AB" w14:textId="7C646B96" w:rsidR="00BC6615"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bookmarkStart w:id="4" w:name="_Hlk100230174"/>
      <w:r w:rsidRPr="0008316B">
        <w:rPr>
          <w:bCs/>
        </w:rPr>
        <w:t>14.</w:t>
      </w:r>
      <w:r w:rsidRPr="0008316B">
        <w:rPr>
          <w:bCs/>
        </w:rPr>
        <w:tab/>
      </w:r>
      <w:r w:rsidR="00067737" w:rsidRPr="00415415">
        <w:rPr>
          <w:b/>
          <w:bCs/>
        </w:rPr>
        <w:t xml:space="preserve">El Comité insta al Estado parte a </w:t>
      </w:r>
      <w:r w:rsidR="00375E10" w:rsidRPr="00415415">
        <w:rPr>
          <w:b/>
          <w:bCs/>
        </w:rPr>
        <w:t>aproba</w:t>
      </w:r>
      <w:r w:rsidR="00067737" w:rsidRPr="00415415">
        <w:rPr>
          <w:b/>
          <w:bCs/>
        </w:rPr>
        <w:t>r</w:t>
      </w:r>
      <w:r w:rsidR="00375E10" w:rsidRPr="00415415">
        <w:rPr>
          <w:b/>
          <w:bCs/>
        </w:rPr>
        <w:t xml:space="preserve"> y publicar</w:t>
      </w:r>
      <w:r w:rsidR="00067737" w:rsidRPr="00415415">
        <w:rPr>
          <w:b/>
          <w:bCs/>
        </w:rPr>
        <w:t xml:space="preserve"> </w:t>
      </w:r>
      <w:r w:rsidR="0065465E" w:rsidRPr="00415415">
        <w:rPr>
          <w:b/>
          <w:bCs/>
        </w:rPr>
        <w:t>la</w:t>
      </w:r>
      <w:r w:rsidR="00067737" w:rsidRPr="00415415">
        <w:rPr>
          <w:b/>
          <w:bCs/>
        </w:rPr>
        <w:t xml:space="preserve"> </w:t>
      </w:r>
      <w:r w:rsidR="00415415" w:rsidRPr="00A465D3">
        <w:rPr>
          <w:b/>
          <w:bCs/>
        </w:rPr>
        <w:t>l</w:t>
      </w:r>
      <w:r w:rsidR="00067737" w:rsidRPr="00415415">
        <w:rPr>
          <w:b/>
          <w:bCs/>
        </w:rPr>
        <w:t xml:space="preserve">ey de </w:t>
      </w:r>
      <w:r w:rsidR="00415415" w:rsidRPr="00A465D3">
        <w:rPr>
          <w:b/>
          <w:bCs/>
        </w:rPr>
        <w:t>m</w:t>
      </w:r>
      <w:r w:rsidR="00067737" w:rsidRPr="00415415">
        <w:rPr>
          <w:b/>
          <w:bCs/>
        </w:rPr>
        <w:t>igracio</w:t>
      </w:r>
      <w:r w:rsidR="0065465E" w:rsidRPr="00415415">
        <w:rPr>
          <w:b/>
          <w:bCs/>
        </w:rPr>
        <w:t>nes tan</w:t>
      </w:r>
      <w:r w:rsidR="0065465E" w:rsidRPr="0008316B">
        <w:rPr>
          <w:b/>
          <w:bCs/>
        </w:rPr>
        <w:t xml:space="preserve"> pronto sea posible y </w:t>
      </w:r>
      <w:r w:rsidR="00067737" w:rsidRPr="0008316B">
        <w:rPr>
          <w:b/>
          <w:bCs/>
        </w:rPr>
        <w:t>que</w:t>
      </w:r>
      <w:r w:rsidR="00375E10" w:rsidRPr="0008316B">
        <w:rPr>
          <w:b/>
          <w:bCs/>
        </w:rPr>
        <w:t xml:space="preserve"> su contenido</w:t>
      </w:r>
      <w:r w:rsidR="00067737" w:rsidRPr="0008316B">
        <w:rPr>
          <w:b/>
          <w:bCs/>
        </w:rPr>
        <w:t xml:space="preserve"> </w:t>
      </w:r>
      <w:r w:rsidR="00375E10" w:rsidRPr="0008316B">
        <w:rPr>
          <w:b/>
          <w:bCs/>
        </w:rPr>
        <w:t>esté</w:t>
      </w:r>
      <w:r w:rsidR="00067737" w:rsidRPr="0008316B">
        <w:rPr>
          <w:b/>
          <w:bCs/>
        </w:rPr>
        <w:t xml:space="preserve"> plenamente conforme con las disposiciones de la Convención</w:t>
      </w:r>
      <w:r w:rsidR="008C5E16" w:rsidRPr="0008316B">
        <w:rPr>
          <w:b/>
          <w:bCs/>
        </w:rPr>
        <w:t>.</w:t>
      </w:r>
    </w:p>
    <w:bookmarkEnd w:id="4"/>
    <w:p w14:paraId="16FA6FC4" w14:textId="4CED61E9" w:rsidR="00375E10"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15.</w:t>
      </w:r>
      <w:r w:rsidRPr="0008316B">
        <w:rPr>
          <w:bCs/>
        </w:rPr>
        <w:tab/>
      </w:r>
      <w:r w:rsidR="00375E10" w:rsidRPr="0008316B">
        <w:rPr>
          <w:b/>
          <w:bCs/>
        </w:rPr>
        <w:t>El Comité recomienda que el Estado parte tome medidas claras y efectivas, con plazos, indicadores, puntos de referencia de seguimiento y evaluación</w:t>
      </w:r>
      <w:r w:rsidR="00E841EE" w:rsidRPr="0008316B">
        <w:rPr>
          <w:b/>
          <w:bCs/>
        </w:rPr>
        <w:t xml:space="preserve"> </w:t>
      </w:r>
      <w:r w:rsidR="00375E10" w:rsidRPr="0008316B">
        <w:rPr>
          <w:b/>
          <w:bCs/>
        </w:rPr>
        <w:t>para implementar la política migratoria de 2015, proporcione suficientes recursos humanos, técnicos y financieros para su implementación, e incluya en su próximo informe periódico información sobre los resultados obtenidos y las dificultades encontradas, respaldada por estadísticas.</w:t>
      </w:r>
    </w:p>
    <w:p w14:paraId="3F953DAC" w14:textId="32D3D646"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16.</w:t>
      </w:r>
      <w:r w:rsidRPr="0008316B">
        <w:tab/>
      </w:r>
      <w:r w:rsidR="00067737" w:rsidRPr="0008316B">
        <w:rPr>
          <w:b/>
          <w:bCs/>
        </w:rPr>
        <w:t>El Comité recomienda</w:t>
      </w:r>
      <w:r w:rsidR="00D21575" w:rsidRPr="0008316B">
        <w:rPr>
          <w:b/>
          <w:bCs/>
        </w:rPr>
        <w:t>,</w:t>
      </w:r>
      <w:r w:rsidR="00067737" w:rsidRPr="0008316B">
        <w:rPr>
          <w:b/>
          <w:bCs/>
        </w:rPr>
        <w:t xml:space="preserve"> además</w:t>
      </w:r>
      <w:r w:rsidR="00D21575" w:rsidRPr="0008316B">
        <w:rPr>
          <w:b/>
          <w:bCs/>
        </w:rPr>
        <w:t>,</w:t>
      </w:r>
      <w:r w:rsidR="00067737" w:rsidRPr="0008316B">
        <w:rPr>
          <w:b/>
          <w:bCs/>
        </w:rPr>
        <w:t xml:space="preserve"> al Estado parte</w:t>
      </w:r>
      <w:r w:rsidR="00F3506D" w:rsidRPr="0008316B">
        <w:rPr>
          <w:b/>
          <w:bCs/>
        </w:rPr>
        <w:t xml:space="preserve"> l</w:t>
      </w:r>
      <w:r w:rsidR="00067737" w:rsidRPr="0008316B">
        <w:rPr>
          <w:b/>
          <w:bCs/>
        </w:rPr>
        <w:t xml:space="preserve">a creación de mecanismos de regularización </w:t>
      </w:r>
      <w:r w:rsidR="00067737" w:rsidRPr="00415415">
        <w:rPr>
          <w:b/>
          <w:bCs/>
        </w:rPr>
        <w:t xml:space="preserve">ordinarios regulados </w:t>
      </w:r>
      <w:r w:rsidR="00415415" w:rsidRPr="00A465D3">
        <w:rPr>
          <w:b/>
          <w:bCs/>
        </w:rPr>
        <w:t>por</w:t>
      </w:r>
      <w:r w:rsidR="00415415" w:rsidRPr="00415415">
        <w:rPr>
          <w:b/>
          <w:bCs/>
        </w:rPr>
        <w:t xml:space="preserve"> </w:t>
      </w:r>
      <w:r w:rsidR="00067737" w:rsidRPr="00415415">
        <w:rPr>
          <w:b/>
          <w:bCs/>
        </w:rPr>
        <w:t>norma legal dentro del Estado parte</w:t>
      </w:r>
      <w:r w:rsidR="00067737" w:rsidRPr="0008316B">
        <w:rPr>
          <w:b/>
          <w:bCs/>
        </w:rPr>
        <w:t>, de acuerdo con el artículo 69 de la Convención, con independencia de que las personas migrantes se encuentren en situación regular o irregular</w:t>
      </w:r>
      <w:r w:rsidR="003F031A" w:rsidRPr="0008316B">
        <w:rPr>
          <w:b/>
          <w:bCs/>
        </w:rPr>
        <w:t>, en particular</w:t>
      </w:r>
      <w:r w:rsidR="00067737" w:rsidRPr="0008316B">
        <w:rPr>
          <w:b/>
          <w:bCs/>
        </w:rPr>
        <w:t xml:space="preserve"> de conformidad con la observación general núm. 2 (2013)</w:t>
      </w:r>
      <w:r w:rsidR="000223B0" w:rsidRPr="0008316B">
        <w:rPr>
          <w:b/>
          <w:bCs/>
        </w:rPr>
        <w:t xml:space="preserve"> del Comité sobre los derechos de los trabajadores migratorios en situación irregular y de sus familiares</w:t>
      </w:r>
      <w:r w:rsidR="00F3506D" w:rsidRPr="0008316B">
        <w:rPr>
          <w:b/>
          <w:bCs/>
        </w:rPr>
        <w:t>.</w:t>
      </w:r>
    </w:p>
    <w:p w14:paraId="18C29C3D" w14:textId="03D01798" w:rsidR="00067737" w:rsidRPr="003F5E2C" w:rsidRDefault="00595429" w:rsidP="003F5E2C">
      <w:pPr>
        <w:pStyle w:val="H23G"/>
      </w:pPr>
      <w:r w:rsidRPr="003F5E2C">
        <w:lastRenderedPageBreak/>
        <w:tab/>
      </w:r>
      <w:r w:rsidRPr="003F5E2C">
        <w:tab/>
      </w:r>
      <w:r w:rsidR="00067737" w:rsidRPr="003F5E2C">
        <w:t>Artículos 76</w:t>
      </w:r>
      <w:r w:rsidR="00E82325">
        <w:t xml:space="preserve"> y </w:t>
      </w:r>
      <w:r w:rsidR="00067737" w:rsidRPr="003F5E2C">
        <w:t>77</w:t>
      </w:r>
    </w:p>
    <w:p w14:paraId="7CF09B16" w14:textId="23F8443C"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17.</w:t>
      </w:r>
      <w:r w:rsidRPr="0008316B">
        <w:rPr>
          <w:bCs/>
        </w:rPr>
        <w:tab/>
      </w:r>
      <w:r w:rsidR="00067737" w:rsidRPr="0008316B">
        <w:rPr>
          <w:b/>
          <w:bCs/>
        </w:rPr>
        <w:t>El Comité reitera su recomendación anterior</w:t>
      </w:r>
      <w:r w:rsidR="0040730E" w:rsidRPr="00A465D3">
        <w:rPr>
          <w:rStyle w:val="Refdenotaalpie"/>
        </w:rPr>
        <w:footnoteReference w:id="6"/>
      </w:r>
      <w:r w:rsidR="00067737" w:rsidRPr="0008316B">
        <w:rPr>
          <w:b/>
          <w:bCs/>
        </w:rPr>
        <w:t xml:space="preserve"> e insta al Estado parte a formular las declaraciones previstas en los artículos 76 y 77 de la Convención y reconocer la competencia del Comité para recibir comunicaciones de </w:t>
      </w:r>
      <w:r w:rsidR="00E82325">
        <w:rPr>
          <w:b/>
          <w:bCs/>
        </w:rPr>
        <w:t xml:space="preserve">los </w:t>
      </w:r>
      <w:r w:rsidR="00067737" w:rsidRPr="0008316B">
        <w:rPr>
          <w:b/>
          <w:bCs/>
        </w:rPr>
        <w:t>Estados parte y personas lo antes posible.</w:t>
      </w:r>
    </w:p>
    <w:p w14:paraId="5961151E" w14:textId="0815EE4E" w:rsidR="00067737" w:rsidRPr="003F5E2C" w:rsidRDefault="00595429" w:rsidP="003F5E2C">
      <w:pPr>
        <w:pStyle w:val="H23G"/>
      </w:pPr>
      <w:r w:rsidRPr="003F5E2C">
        <w:tab/>
      </w:r>
      <w:r w:rsidRPr="003F5E2C">
        <w:tab/>
      </w:r>
      <w:r w:rsidR="00067737" w:rsidRPr="003F5E2C">
        <w:t>Ratificación de los instrumentos pertinentes</w:t>
      </w:r>
    </w:p>
    <w:p w14:paraId="7C741828" w14:textId="05C70B55"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18.</w:t>
      </w:r>
      <w:r w:rsidRPr="0008316B">
        <w:rPr>
          <w:bCs/>
        </w:rPr>
        <w:tab/>
      </w:r>
      <w:r w:rsidR="00067737" w:rsidRPr="0008316B">
        <w:rPr>
          <w:b/>
          <w:bCs/>
        </w:rPr>
        <w:t xml:space="preserve">El Comité reitera su recomendación </w:t>
      </w:r>
      <w:r w:rsidR="005B4EC0">
        <w:rPr>
          <w:b/>
          <w:bCs/>
        </w:rPr>
        <w:t>anterior</w:t>
      </w:r>
      <w:r w:rsidR="0040730E" w:rsidRPr="00A465D3">
        <w:rPr>
          <w:rStyle w:val="Refdenotaalpie"/>
        </w:rPr>
        <w:footnoteReference w:id="7"/>
      </w:r>
      <w:r w:rsidR="005B4EC0">
        <w:rPr>
          <w:b/>
          <w:bCs/>
        </w:rPr>
        <w:t xml:space="preserve"> </w:t>
      </w:r>
      <w:r w:rsidR="00067737" w:rsidRPr="0008316B">
        <w:rPr>
          <w:b/>
          <w:bCs/>
        </w:rPr>
        <w:t xml:space="preserve">y </w:t>
      </w:r>
      <w:r w:rsidR="005B4EC0">
        <w:rPr>
          <w:b/>
          <w:bCs/>
        </w:rPr>
        <w:t>alienta al</w:t>
      </w:r>
      <w:r w:rsidR="00067737" w:rsidRPr="0008316B">
        <w:rPr>
          <w:b/>
          <w:bCs/>
        </w:rPr>
        <w:t xml:space="preserve"> Estado parte</w:t>
      </w:r>
      <w:r w:rsidR="005B4EC0">
        <w:rPr>
          <w:b/>
          <w:bCs/>
        </w:rPr>
        <w:t xml:space="preserve"> a que</w:t>
      </w:r>
      <w:r w:rsidR="00067737" w:rsidRPr="0008316B">
        <w:rPr>
          <w:b/>
          <w:bCs/>
        </w:rPr>
        <w:t xml:space="preserve"> ratifique lo antes posible</w:t>
      </w:r>
      <w:r w:rsidR="0040730E">
        <w:rPr>
          <w:b/>
          <w:bCs/>
        </w:rPr>
        <w:t xml:space="preserve"> el </w:t>
      </w:r>
      <w:r w:rsidR="0040730E" w:rsidRPr="0040730E">
        <w:rPr>
          <w:b/>
          <w:bCs/>
        </w:rPr>
        <w:t>Convenio sobre los Trabajadores Migrantes (Revisado), 1949 (núm. 97)</w:t>
      </w:r>
      <w:r w:rsidR="0040730E">
        <w:rPr>
          <w:b/>
          <w:bCs/>
        </w:rPr>
        <w:t xml:space="preserve">, el </w:t>
      </w:r>
      <w:r w:rsidR="0040730E" w:rsidRPr="0040730E">
        <w:rPr>
          <w:b/>
          <w:bCs/>
        </w:rPr>
        <w:t>Convenio sobre los Trabajadores Migrantes</w:t>
      </w:r>
      <w:r w:rsidR="0040730E">
        <w:rPr>
          <w:b/>
          <w:bCs/>
        </w:rPr>
        <w:t xml:space="preserve"> (Disposiciones Complementarias), 1975 (núm. 143), el Convenio sobre las Agencias de Empleo Privadas, 1997 (núm. 181) </w:t>
      </w:r>
      <w:bookmarkStart w:id="5" w:name="_Hlk100582597"/>
      <w:r w:rsidR="0040730E">
        <w:rPr>
          <w:b/>
          <w:bCs/>
        </w:rPr>
        <w:t>y</w:t>
      </w:r>
      <w:r w:rsidR="0075728C" w:rsidRPr="0008316B">
        <w:rPr>
          <w:b/>
          <w:bCs/>
        </w:rPr>
        <w:t xml:space="preserve"> </w:t>
      </w:r>
      <w:r w:rsidR="00067737" w:rsidRPr="0008316B">
        <w:rPr>
          <w:b/>
          <w:bCs/>
        </w:rPr>
        <w:t xml:space="preserve">el Convenio </w:t>
      </w:r>
      <w:r w:rsidR="0040730E">
        <w:rPr>
          <w:b/>
          <w:bCs/>
        </w:rPr>
        <w:t>sobre la Violencia y el Acoso, 2019 (</w:t>
      </w:r>
      <w:r w:rsidR="0040730E" w:rsidRPr="0008316B">
        <w:rPr>
          <w:b/>
          <w:bCs/>
        </w:rPr>
        <w:t>núm. 190</w:t>
      </w:r>
      <w:r w:rsidR="0040730E">
        <w:rPr>
          <w:b/>
          <w:bCs/>
        </w:rPr>
        <w:t xml:space="preserve">) </w:t>
      </w:r>
      <w:r w:rsidR="00067737" w:rsidRPr="0008316B">
        <w:rPr>
          <w:b/>
          <w:bCs/>
        </w:rPr>
        <w:t>de la OIT</w:t>
      </w:r>
      <w:r w:rsidR="003F031A" w:rsidRPr="0008316B">
        <w:rPr>
          <w:b/>
          <w:bCs/>
        </w:rPr>
        <w:t>.</w:t>
      </w:r>
      <w:r w:rsidR="00067737" w:rsidRPr="0008316B">
        <w:rPr>
          <w:b/>
          <w:bCs/>
        </w:rPr>
        <w:t xml:space="preserve"> </w:t>
      </w:r>
    </w:p>
    <w:bookmarkEnd w:id="5"/>
    <w:p w14:paraId="0CCFA4D4" w14:textId="2BC20818" w:rsidR="00067737" w:rsidRPr="003F5E2C" w:rsidRDefault="00595429" w:rsidP="003F5E2C">
      <w:pPr>
        <w:pStyle w:val="H23G"/>
      </w:pPr>
      <w:r w:rsidRPr="003F5E2C">
        <w:tab/>
      </w:r>
      <w:r w:rsidRPr="003F5E2C">
        <w:tab/>
      </w:r>
      <w:r w:rsidR="00067737" w:rsidRPr="003F5E2C">
        <w:t xml:space="preserve">Política y estrategia </w:t>
      </w:r>
    </w:p>
    <w:p w14:paraId="39835009" w14:textId="050A2400" w:rsidR="004F5865"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19.</w:t>
      </w:r>
      <w:r w:rsidRPr="0008316B">
        <w:tab/>
      </w:r>
      <w:r w:rsidR="00067737" w:rsidRPr="0008316B">
        <w:t xml:space="preserve">El Comité </w:t>
      </w:r>
      <w:r w:rsidR="00722CA2">
        <w:t>observa</w:t>
      </w:r>
      <w:r w:rsidR="00722CA2" w:rsidRPr="0008316B">
        <w:t xml:space="preserve"> </w:t>
      </w:r>
      <w:r w:rsidR="00067737" w:rsidRPr="0008316B">
        <w:t>con preocupación que no existe una estrategia directamente vinculada a la implementación de la Convención</w:t>
      </w:r>
      <w:r w:rsidR="00EE6C30" w:rsidRPr="0008316B">
        <w:t xml:space="preserve">, </w:t>
      </w:r>
      <w:r w:rsidR="00FC35F5">
        <w:t>cuando es</w:t>
      </w:r>
      <w:r w:rsidR="00CE357C" w:rsidRPr="0008316B">
        <w:t xml:space="preserve"> su existencia e implementación </w:t>
      </w:r>
      <w:r w:rsidR="00FC35F5">
        <w:t xml:space="preserve">la que </w:t>
      </w:r>
      <w:r w:rsidR="00CE357C" w:rsidRPr="0008316B">
        <w:t>ha</w:t>
      </w:r>
      <w:r w:rsidR="00C91378" w:rsidRPr="0008316B">
        <w:t>ce</w:t>
      </w:r>
      <w:r w:rsidR="00CE357C" w:rsidRPr="0008316B">
        <w:t xml:space="preserve"> que las personas migrantes </w:t>
      </w:r>
      <w:r w:rsidR="00C91378" w:rsidRPr="0008316B">
        <w:t>gocen de los derechos que le corresponden.</w:t>
      </w:r>
    </w:p>
    <w:p w14:paraId="4D5AF69D" w14:textId="2CB0E714"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20.</w:t>
      </w:r>
      <w:r w:rsidRPr="0008316B">
        <w:rPr>
          <w:bCs/>
        </w:rPr>
        <w:tab/>
      </w:r>
      <w:r w:rsidR="00067737" w:rsidRPr="0008316B">
        <w:rPr>
          <w:b/>
          <w:bCs/>
        </w:rPr>
        <w:t xml:space="preserve">El Comité recomienda que el Estado parte asegure los recursos humanos, técnicos y financieros necesarios para la implementación efectiva de los compromisos </w:t>
      </w:r>
      <w:r w:rsidR="00EC3B45" w:rsidRPr="0008316B">
        <w:rPr>
          <w:b/>
          <w:bCs/>
        </w:rPr>
        <w:t xml:space="preserve">contraídos </w:t>
      </w:r>
      <w:r w:rsidR="00067737" w:rsidRPr="0008316B">
        <w:rPr>
          <w:b/>
          <w:bCs/>
        </w:rPr>
        <w:t>frente a los derechos de los trabajadores migrantes y sus familiares en el Plan Nacional de Derechos Humanos, en línea con las obligaciones derivadas de la Convención.</w:t>
      </w:r>
      <w:r w:rsidR="004F5865" w:rsidRPr="0008316B">
        <w:rPr>
          <w:b/>
          <w:bCs/>
        </w:rPr>
        <w:t xml:space="preserve"> Además, el Comité recomienda que el Estado parte establezca una estrategia directamente vinculada a la implementación de la Convención y</w:t>
      </w:r>
      <w:r w:rsidR="002823E8" w:rsidRPr="0008316B">
        <w:rPr>
          <w:b/>
          <w:bCs/>
        </w:rPr>
        <w:t xml:space="preserve"> su correspondiente monitoreo y</w:t>
      </w:r>
      <w:r w:rsidR="004F5865" w:rsidRPr="0008316B">
        <w:rPr>
          <w:b/>
          <w:bCs/>
        </w:rPr>
        <w:t xml:space="preserve"> que </w:t>
      </w:r>
      <w:r w:rsidR="001C7418" w:rsidRPr="0008316B">
        <w:rPr>
          <w:b/>
          <w:bCs/>
        </w:rPr>
        <w:t xml:space="preserve">la información </w:t>
      </w:r>
      <w:r w:rsidR="004F5865" w:rsidRPr="0008316B">
        <w:rPr>
          <w:b/>
          <w:bCs/>
        </w:rPr>
        <w:t>se haga</w:t>
      </w:r>
      <w:r w:rsidR="001C7418" w:rsidRPr="0008316B">
        <w:rPr>
          <w:b/>
          <w:bCs/>
        </w:rPr>
        <w:t xml:space="preserve"> </w:t>
      </w:r>
      <w:r w:rsidR="004F5865" w:rsidRPr="0008316B">
        <w:rPr>
          <w:b/>
          <w:bCs/>
        </w:rPr>
        <w:t xml:space="preserve">disponible </w:t>
      </w:r>
      <w:r w:rsidR="002823E8" w:rsidRPr="0008316B">
        <w:rPr>
          <w:b/>
          <w:bCs/>
        </w:rPr>
        <w:t>d</w:t>
      </w:r>
      <w:r w:rsidR="004F5865" w:rsidRPr="0008316B">
        <w:rPr>
          <w:b/>
          <w:bCs/>
        </w:rPr>
        <w:t xml:space="preserve">e manera sistemática, </w:t>
      </w:r>
      <w:r w:rsidR="00511091" w:rsidRPr="0008316B">
        <w:rPr>
          <w:b/>
          <w:bCs/>
        </w:rPr>
        <w:t xml:space="preserve">concentrada </w:t>
      </w:r>
      <w:r w:rsidR="004F5865" w:rsidRPr="0008316B">
        <w:rPr>
          <w:b/>
          <w:bCs/>
        </w:rPr>
        <w:t>y clara.</w:t>
      </w:r>
    </w:p>
    <w:p w14:paraId="35B3CCD0" w14:textId="6F5A0A64" w:rsidR="00067737" w:rsidRPr="003F5E2C" w:rsidRDefault="00595429" w:rsidP="003F5E2C">
      <w:pPr>
        <w:pStyle w:val="H23G"/>
      </w:pPr>
      <w:r w:rsidRPr="003F5E2C">
        <w:tab/>
      </w:r>
      <w:r w:rsidRPr="003F5E2C">
        <w:tab/>
      </w:r>
      <w:r w:rsidR="00067737" w:rsidRPr="003F5E2C">
        <w:t>Coordinación</w:t>
      </w:r>
    </w:p>
    <w:p w14:paraId="1C29BA6A" w14:textId="1E936819"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21.</w:t>
      </w:r>
      <w:r w:rsidRPr="0008316B">
        <w:tab/>
      </w:r>
      <w:r w:rsidR="00067737" w:rsidRPr="0008316B">
        <w:t>El Comité toma nota del Convenio Marco Interinstitucional para aumentar la coordinación entre la</w:t>
      </w:r>
      <w:r w:rsidR="00391C7F" w:rsidRPr="0008316B">
        <w:t xml:space="preserve"> Dirección</w:t>
      </w:r>
      <w:r w:rsidR="00067737" w:rsidRPr="0008316B">
        <w:t xml:space="preserve"> General de Migraciones, el Ministerio de Trabajo, Empleo y Seguridad Social y el Instituto de Previsión Social y la Unión Industrial Paraguaya en lo que concierne</w:t>
      </w:r>
      <w:r w:rsidR="006D5BCF" w:rsidRPr="0008316B">
        <w:t xml:space="preserve"> a</w:t>
      </w:r>
      <w:r w:rsidR="00067737" w:rsidRPr="0008316B">
        <w:t xml:space="preserve"> inmigrantes que </w:t>
      </w:r>
      <w:r w:rsidR="00753991" w:rsidRPr="0008316B">
        <w:t xml:space="preserve">trabajan </w:t>
      </w:r>
      <w:r w:rsidR="00067737" w:rsidRPr="0008316B">
        <w:t xml:space="preserve">en el </w:t>
      </w:r>
      <w:r w:rsidR="00753991" w:rsidRPr="0008316B">
        <w:t>Estado parte</w:t>
      </w:r>
      <w:r w:rsidR="00067737" w:rsidRPr="0008316B">
        <w:t>. Sin embargo, preocupa</w:t>
      </w:r>
      <w:r w:rsidR="00886907">
        <w:t>n</w:t>
      </w:r>
      <w:r w:rsidR="00067737" w:rsidRPr="0008316B">
        <w:t xml:space="preserve"> al Comité los desafíos financieros y de recursos humanos para coordinar acciones, exacerbados por la pandemia, y la falta de un órgano con el mandato y la autoridad para coordinar, a todos los niveles de gobierno, la aplicación de los derechos protegidos por la Convención.</w:t>
      </w:r>
    </w:p>
    <w:p w14:paraId="3B0776D0" w14:textId="180D5071" w:rsidR="004F5865"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22.</w:t>
      </w:r>
      <w:r w:rsidRPr="0008316B">
        <w:rPr>
          <w:bCs/>
        </w:rPr>
        <w:tab/>
      </w:r>
      <w:r w:rsidR="00067737" w:rsidRPr="0008316B">
        <w:rPr>
          <w:b/>
          <w:bCs/>
        </w:rPr>
        <w:t>El Comité reitera su recomendación</w:t>
      </w:r>
      <w:r w:rsidR="00886907" w:rsidRPr="00A465D3">
        <w:rPr>
          <w:rStyle w:val="Refdenotaalpie"/>
        </w:rPr>
        <w:footnoteReference w:id="8"/>
      </w:r>
      <w:r w:rsidR="00067737" w:rsidRPr="0008316B">
        <w:rPr>
          <w:b/>
          <w:bCs/>
        </w:rPr>
        <w:t xml:space="preserve"> para que el Estado parte fortalezca su marco institucional</w:t>
      </w:r>
      <w:r w:rsidR="00753991" w:rsidRPr="0008316B">
        <w:rPr>
          <w:b/>
          <w:bCs/>
        </w:rPr>
        <w:t>, creando mecanismos y capacidades en las diferentes instancias que coordinan el tema,</w:t>
      </w:r>
      <w:r w:rsidR="00067737" w:rsidRPr="0008316B">
        <w:rPr>
          <w:b/>
          <w:bCs/>
        </w:rPr>
        <w:t xml:space="preserve"> para la gestión de los asuntos migratorios</w:t>
      </w:r>
      <w:r w:rsidR="00CD0463" w:rsidRPr="0008316B">
        <w:rPr>
          <w:b/>
          <w:bCs/>
        </w:rPr>
        <w:t>,</w:t>
      </w:r>
      <w:r w:rsidR="00067737" w:rsidRPr="0008316B">
        <w:rPr>
          <w:b/>
          <w:bCs/>
        </w:rPr>
        <w:t xml:space="preserve"> y recomienda que el Estado parte establezca un órgano apropiado de alto nivel interministerial con un mandato claro y </w:t>
      </w:r>
      <w:r w:rsidR="00CD0463" w:rsidRPr="0008316B">
        <w:rPr>
          <w:b/>
          <w:bCs/>
        </w:rPr>
        <w:t xml:space="preserve">con </w:t>
      </w:r>
      <w:r w:rsidR="00067737" w:rsidRPr="0008316B">
        <w:rPr>
          <w:b/>
          <w:bCs/>
        </w:rPr>
        <w:t>suficiente autoridad para coordinar todas las políticas relativas a los derechos de los trabajadores migratorios</w:t>
      </w:r>
      <w:r w:rsidR="00CD0463" w:rsidRPr="0008316B">
        <w:rPr>
          <w:b/>
          <w:bCs/>
        </w:rPr>
        <w:t xml:space="preserve">, así como las </w:t>
      </w:r>
      <w:r w:rsidR="00067737" w:rsidRPr="0008316B">
        <w:rPr>
          <w:b/>
          <w:bCs/>
        </w:rPr>
        <w:t xml:space="preserve">actividades relacionadas con la aplicación de la Convención. </w:t>
      </w:r>
    </w:p>
    <w:p w14:paraId="66BBBE34" w14:textId="77777777" w:rsidR="00067737" w:rsidRPr="003F5E2C" w:rsidRDefault="00067737" w:rsidP="003F5E2C">
      <w:pPr>
        <w:pStyle w:val="H23G"/>
      </w:pPr>
      <w:bookmarkStart w:id="6" w:name="_Hlk5180366"/>
      <w:r w:rsidRPr="003F5E2C">
        <w:tab/>
      </w:r>
      <w:r w:rsidRPr="003F5E2C">
        <w:tab/>
        <w:t>Recopilación de datos</w:t>
      </w:r>
    </w:p>
    <w:p w14:paraId="4B7CC6FA" w14:textId="74730F51"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23.</w:t>
      </w:r>
      <w:r w:rsidRPr="0008316B">
        <w:tab/>
      </w:r>
      <w:r w:rsidR="00067737" w:rsidRPr="0008316B">
        <w:t xml:space="preserve">El Comité </w:t>
      </w:r>
      <w:r w:rsidR="001A7569" w:rsidRPr="0008316B">
        <w:t>reco</w:t>
      </w:r>
      <w:r w:rsidR="00E47C89" w:rsidRPr="0008316B">
        <w:t>n</w:t>
      </w:r>
      <w:r w:rsidR="001A7569" w:rsidRPr="0008316B">
        <w:t xml:space="preserve">oce </w:t>
      </w:r>
      <w:r w:rsidR="00067737" w:rsidRPr="0008316B">
        <w:t xml:space="preserve">las iniciativas adoptadas por el Estado parte </w:t>
      </w:r>
      <w:r w:rsidR="00E47C89" w:rsidRPr="0008316B">
        <w:t xml:space="preserve">para sistematizar y dar seguimiento a las resoluciones emitidas </w:t>
      </w:r>
      <w:r w:rsidR="00013E8C" w:rsidRPr="0008316B">
        <w:t xml:space="preserve">por los </w:t>
      </w:r>
      <w:r w:rsidR="00886907">
        <w:t>ó</w:t>
      </w:r>
      <w:r w:rsidR="00013E8C" w:rsidRPr="0008316B">
        <w:t xml:space="preserve">rganos </w:t>
      </w:r>
      <w:r w:rsidR="00886907">
        <w:t xml:space="preserve">creados en virtud </w:t>
      </w:r>
      <w:r w:rsidR="00013E8C" w:rsidRPr="0008316B">
        <w:t xml:space="preserve">de </w:t>
      </w:r>
      <w:r w:rsidR="00886907">
        <w:t>t</w:t>
      </w:r>
      <w:r w:rsidR="00013E8C" w:rsidRPr="0008316B">
        <w:t xml:space="preserve">ratados </w:t>
      </w:r>
      <w:r w:rsidR="00BA5106" w:rsidRPr="0008316B">
        <w:t xml:space="preserve">de </w:t>
      </w:r>
      <w:r w:rsidR="00886907">
        <w:t>d</w:t>
      </w:r>
      <w:r w:rsidR="00BA5106" w:rsidRPr="0008316B">
        <w:t xml:space="preserve">erechos </w:t>
      </w:r>
      <w:r w:rsidR="00886907">
        <w:t>h</w:t>
      </w:r>
      <w:r w:rsidR="00BA5106" w:rsidRPr="0008316B">
        <w:t xml:space="preserve">umanos, </w:t>
      </w:r>
      <w:r w:rsidR="00067737" w:rsidRPr="0008316B">
        <w:t xml:space="preserve">como el </w:t>
      </w:r>
      <w:r w:rsidR="00122177">
        <w:t>S</w:t>
      </w:r>
      <w:r w:rsidR="00122177" w:rsidRPr="0008316B">
        <w:t xml:space="preserve">istema </w:t>
      </w:r>
      <w:r w:rsidR="00122177">
        <w:t xml:space="preserve">de Monitoreo de Recomendaciones </w:t>
      </w:r>
      <w:r w:rsidR="00DF2E49">
        <w:t>(</w:t>
      </w:r>
      <w:r w:rsidR="002B4D2B" w:rsidRPr="0008316B">
        <w:t>SIMORE PLUS</w:t>
      </w:r>
      <w:r w:rsidR="00715CB7" w:rsidRPr="0008316B">
        <w:t xml:space="preserve"> y</w:t>
      </w:r>
      <w:r>
        <w:t> </w:t>
      </w:r>
      <w:r w:rsidR="00715CB7" w:rsidRPr="0008316B">
        <w:t>OSC PLUS</w:t>
      </w:r>
      <w:r w:rsidR="007175B3">
        <w:t>)</w:t>
      </w:r>
      <w:r w:rsidR="002B4D2B" w:rsidRPr="0008316B">
        <w:t xml:space="preserve">. </w:t>
      </w:r>
      <w:r w:rsidR="00067737" w:rsidRPr="0008316B">
        <w:t xml:space="preserve">Sin embargo, le preocupan </w:t>
      </w:r>
      <w:r w:rsidR="00867F6D" w:rsidRPr="0008316B">
        <w:t xml:space="preserve">el </w:t>
      </w:r>
      <w:bookmarkStart w:id="7" w:name="_Hlk100230861"/>
      <w:r w:rsidR="00867F6D" w:rsidRPr="0008316B">
        <w:t xml:space="preserve">bajo número de organizaciones </w:t>
      </w:r>
      <w:r w:rsidR="00F84A15" w:rsidRPr="0008316B">
        <w:t xml:space="preserve">de la sociedad </w:t>
      </w:r>
      <w:r w:rsidR="00D35A78" w:rsidRPr="0008316B">
        <w:t xml:space="preserve">civil que </w:t>
      </w:r>
      <w:r w:rsidR="00867F6D" w:rsidRPr="0008316B">
        <w:t>participan</w:t>
      </w:r>
      <w:r w:rsidR="00D35A78" w:rsidRPr="0008316B">
        <w:t xml:space="preserve"> en </w:t>
      </w:r>
      <w:bookmarkEnd w:id="7"/>
      <w:r w:rsidR="007175B3">
        <w:t>el sistema</w:t>
      </w:r>
      <w:r w:rsidR="007175B3" w:rsidRPr="0008316B">
        <w:t xml:space="preserve"> </w:t>
      </w:r>
      <w:r w:rsidR="00F50681" w:rsidRPr="0008316B">
        <w:t>y las barreras tecnológicas para su uso.</w:t>
      </w:r>
    </w:p>
    <w:p w14:paraId="0CEA48DA" w14:textId="11CD1A4E" w:rsidR="00067737" w:rsidRPr="0008316B" w:rsidRDefault="00AC4DDC" w:rsidP="00F73BE7">
      <w:pPr>
        <w:pStyle w:val="SingleTxtG"/>
        <w:keepNext/>
        <w:keepLines/>
        <w:tabs>
          <w:tab w:val="clear" w:pos="1701"/>
          <w:tab w:val="clear" w:pos="2268"/>
          <w:tab w:val="clear" w:pos="2835"/>
        </w:tabs>
        <w:suppressAutoHyphens/>
        <w:kinsoku w:val="0"/>
        <w:overflowPunct w:val="0"/>
        <w:autoSpaceDE w:val="0"/>
        <w:autoSpaceDN w:val="0"/>
        <w:adjustRightInd w:val="0"/>
        <w:snapToGrid w:val="0"/>
      </w:pPr>
      <w:r w:rsidRPr="0008316B">
        <w:lastRenderedPageBreak/>
        <w:t>24.</w:t>
      </w:r>
      <w:r w:rsidRPr="0008316B">
        <w:tab/>
      </w:r>
      <w:r w:rsidR="00067737" w:rsidRPr="0008316B">
        <w:t>El Comité lamenta en particular la falta de información y estadísticas detalladas que permitirían analizar</w:t>
      </w:r>
      <w:r w:rsidR="007D6E38" w:rsidRPr="0008316B">
        <w:t>, de manera histórica y comparable,</w:t>
      </w:r>
      <w:r w:rsidR="00067737" w:rsidRPr="0008316B">
        <w:t xml:space="preserve"> </w:t>
      </w:r>
      <w:r w:rsidR="00382C3C" w:rsidRPr="0008316B">
        <w:t>los</w:t>
      </w:r>
      <w:r w:rsidR="00067737" w:rsidRPr="0008316B">
        <w:t xml:space="preserve"> derechos de la Convención </w:t>
      </w:r>
      <w:r w:rsidR="00E7305A" w:rsidRPr="0008316B">
        <w:t xml:space="preserve">que </w:t>
      </w:r>
      <w:r w:rsidR="00067737" w:rsidRPr="0008316B">
        <w:t>está</w:t>
      </w:r>
      <w:r w:rsidR="00E7305A" w:rsidRPr="0008316B">
        <w:t>n</w:t>
      </w:r>
      <w:r w:rsidR="00067737" w:rsidRPr="0008316B">
        <w:t xml:space="preserve"> siendo implementados por el </w:t>
      </w:r>
      <w:r w:rsidR="00BE76E0" w:rsidRPr="0008316B">
        <w:t>E</w:t>
      </w:r>
      <w:r w:rsidR="00067737" w:rsidRPr="0008316B">
        <w:t>stado parte. El Comité toma nota de la ausencia de información sobre algunas cuestiones relacionadas con la migración, como la situación de paraguayos en el exterior</w:t>
      </w:r>
      <w:r w:rsidR="00E7305A" w:rsidRPr="0008316B">
        <w:t>,</w:t>
      </w:r>
      <w:r w:rsidR="00067737" w:rsidRPr="0008316B">
        <w:t xml:space="preserve"> </w:t>
      </w:r>
      <w:r w:rsidR="002A03CF" w:rsidRPr="0008316B">
        <w:t xml:space="preserve">dado que </w:t>
      </w:r>
      <w:r w:rsidR="00067737" w:rsidRPr="0008316B">
        <w:t xml:space="preserve">no se cuenta con información </w:t>
      </w:r>
      <w:r w:rsidR="00FD46C3" w:rsidRPr="0008316B">
        <w:t xml:space="preserve">concentrada </w:t>
      </w:r>
      <w:r w:rsidR="00067737" w:rsidRPr="0008316B">
        <w:t>sobre su situación laboral</w:t>
      </w:r>
      <w:r w:rsidR="002A03CF" w:rsidRPr="0008316B">
        <w:t xml:space="preserve"> y</w:t>
      </w:r>
      <w:r w:rsidR="00067737" w:rsidRPr="0008316B">
        <w:t xml:space="preserve"> sus condiciones de empleo; los migrantes en tránsito; </w:t>
      </w:r>
      <w:r w:rsidR="00203D25" w:rsidRPr="0008316B">
        <w:t xml:space="preserve">así como el apoyo y </w:t>
      </w:r>
      <w:r w:rsidR="00067737" w:rsidRPr="0008316B">
        <w:t xml:space="preserve">seguimiento de los repatriados después </w:t>
      </w:r>
      <w:r w:rsidR="000E758A" w:rsidRPr="0008316B">
        <w:t xml:space="preserve">de </w:t>
      </w:r>
      <w:r w:rsidR="00067737" w:rsidRPr="0008316B">
        <w:t>su llegada.</w:t>
      </w:r>
      <w:r w:rsidR="006A5D09" w:rsidRPr="0008316B">
        <w:t xml:space="preserve"> </w:t>
      </w:r>
      <w:r w:rsidR="00B90526" w:rsidRPr="0008316B">
        <w:t xml:space="preserve">El Comité lamenta </w:t>
      </w:r>
      <w:r w:rsidR="005D2E35" w:rsidRPr="0008316B">
        <w:t xml:space="preserve">la no inclusión de </w:t>
      </w:r>
      <w:r w:rsidR="00716358" w:rsidRPr="0008316B">
        <w:t xml:space="preserve">preguntas sobre motivos de migración y nacionalidad </w:t>
      </w:r>
      <w:r w:rsidR="005D2E35" w:rsidRPr="0008316B">
        <w:t>en el próximo censo nacional.</w:t>
      </w:r>
    </w:p>
    <w:p w14:paraId="31954B0C" w14:textId="4B68A30E" w:rsidR="005C503D"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25.</w:t>
      </w:r>
      <w:r w:rsidRPr="0008316B">
        <w:tab/>
      </w:r>
      <w:r w:rsidR="00067737" w:rsidRPr="0008316B">
        <w:rPr>
          <w:b/>
          <w:bCs/>
        </w:rPr>
        <w:t>El Comité reitera su recomendación anterior</w:t>
      </w:r>
      <w:r w:rsidR="00F60FE5" w:rsidRPr="00A465D3">
        <w:rPr>
          <w:rStyle w:val="Refdenotaalpie"/>
        </w:rPr>
        <w:footnoteReference w:id="9"/>
      </w:r>
      <w:r w:rsidR="00105503">
        <w:rPr>
          <w:b/>
          <w:bCs/>
        </w:rPr>
        <w:t xml:space="preserve"> </w:t>
      </w:r>
      <w:r w:rsidR="002823E8" w:rsidRPr="0008316B">
        <w:rPr>
          <w:b/>
          <w:bCs/>
        </w:rPr>
        <w:t>y además</w:t>
      </w:r>
      <w:r w:rsidR="00067737" w:rsidRPr="0008316B">
        <w:rPr>
          <w:b/>
          <w:bCs/>
        </w:rPr>
        <w:t xml:space="preserve"> recomienda que el Estado parte, en </w:t>
      </w:r>
      <w:r w:rsidR="00A7282C">
        <w:rPr>
          <w:b/>
          <w:bCs/>
        </w:rPr>
        <w:t>consonancia</w:t>
      </w:r>
      <w:r w:rsidR="00A7282C" w:rsidRPr="0008316B">
        <w:rPr>
          <w:b/>
          <w:bCs/>
        </w:rPr>
        <w:t xml:space="preserve"> </w:t>
      </w:r>
      <w:r w:rsidR="00067737" w:rsidRPr="0008316B">
        <w:rPr>
          <w:b/>
          <w:bCs/>
        </w:rPr>
        <w:t xml:space="preserve">con </w:t>
      </w:r>
      <w:r w:rsidR="00A7282C">
        <w:rPr>
          <w:b/>
          <w:bCs/>
        </w:rPr>
        <w:t xml:space="preserve">la </w:t>
      </w:r>
      <w:r w:rsidR="00A7282C" w:rsidRPr="0008316B">
        <w:rPr>
          <w:b/>
          <w:bCs/>
        </w:rPr>
        <w:t>meta 17.18</w:t>
      </w:r>
      <w:r w:rsidR="00A7282C">
        <w:rPr>
          <w:b/>
          <w:bCs/>
        </w:rPr>
        <w:t xml:space="preserve"> de </w:t>
      </w:r>
      <w:r w:rsidR="00067737" w:rsidRPr="0008316B">
        <w:rPr>
          <w:b/>
          <w:bCs/>
        </w:rPr>
        <w:t>los Objetivos de Desarrollo Sostenible, y desde un enfoque de derechos humanos, igualdad de género y no discriminación, disponga de un sistema que reúna</w:t>
      </w:r>
      <w:r w:rsidR="00D76D4D" w:rsidRPr="0008316B">
        <w:rPr>
          <w:b/>
          <w:bCs/>
        </w:rPr>
        <w:t xml:space="preserve"> de manera sistemática</w:t>
      </w:r>
      <w:r w:rsidR="00067737" w:rsidRPr="0008316B">
        <w:rPr>
          <w:b/>
          <w:bCs/>
        </w:rPr>
        <w:t xml:space="preserve"> datos sobre la situación de los trabajadores migratorios en el Estado parte, que proporcione estadísticas con accesibilidad al público sobre migrantes documentados e indocumentados, trabajadores migratorios en tránsito y nacionales que trabajan en el extranjero; </w:t>
      </w:r>
      <w:r w:rsidR="00DF6909">
        <w:rPr>
          <w:b/>
          <w:bCs/>
        </w:rPr>
        <w:t xml:space="preserve">el </w:t>
      </w:r>
      <w:r w:rsidR="008D6027" w:rsidRPr="0008316B">
        <w:rPr>
          <w:b/>
          <w:bCs/>
        </w:rPr>
        <w:t>perfil de qui</w:t>
      </w:r>
      <w:r w:rsidR="0003156D">
        <w:rPr>
          <w:b/>
          <w:bCs/>
        </w:rPr>
        <w:t>é</w:t>
      </w:r>
      <w:r w:rsidR="008D6027" w:rsidRPr="0008316B">
        <w:rPr>
          <w:b/>
          <w:bCs/>
        </w:rPr>
        <w:t xml:space="preserve">n retorna al país; </w:t>
      </w:r>
      <w:r w:rsidR="008F1C08">
        <w:rPr>
          <w:b/>
          <w:bCs/>
        </w:rPr>
        <w:t xml:space="preserve">así como </w:t>
      </w:r>
      <w:r w:rsidR="009E4AE7" w:rsidRPr="0008316B">
        <w:rPr>
          <w:b/>
          <w:bCs/>
        </w:rPr>
        <w:t xml:space="preserve">estadísticas </w:t>
      </w:r>
      <w:r w:rsidR="00D32B08" w:rsidRPr="0008316B">
        <w:rPr>
          <w:b/>
          <w:bCs/>
        </w:rPr>
        <w:t xml:space="preserve">desglosadas </w:t>
      </w:r>
      <w:r w:rsidR="009E4AE7" w:rsidRPr="0008316B">
        <w:rPr>
          <w:b/>
          <w:bCs/>
        </w:rPr>
        <w:t xml:space="preserve">sobre trabajadores migrantes que sufrieron violencia, trata o explotación; </w:t>
      </w:r>
      <w:r w:rsidR="0090357B">
        <w:rPr>
          <w:b/>
          <w:bCs/>
        </w:rPr>
        <w:t xml:space="preserve">y un </w:t>
      </w:r>
      <w:r w:rsidR="009E4AE7" w:rsidRPr="0008316B">
        <w:rPr>
          <w:b/>
          <w:bCs/>
        </w:rPr>
        <w:t>registro de trabajadores migratorio</w:t>
      </w:r>
      <w:r w:rsidR="00D32B08" w:rsidRPr="0008316B">
        <w:rPr>
          <w:b/>
          <w:bCs/>
        </w:rPr>
        <w:t>s</w:t>
      </w:r>
      <w:r w:rsidR="009E4AE7" w:rsidRPr="0008316B">
        <w:rPr>
          <w:b/>
          <w:bCs/>
        </w:rPr>
        <w:t xml:space="preserve"> en el Estado parte y los sectores </w:t>
      </w:r>
      <w:r w:rsidR="00244F21" w:rsidRPr="0008316B">
        <w:rPr>
          <w:b/>
          <w:bCs/>
        </w:rPr>
        <w:t xml:space="preserve">en </w:t>
      </w:r>
      <w:r w:rsidR="009E4AE7" w:rsidRPr="0008316B">
        <w:rPr>
          <w:b/>
          <w:bCs/>
        </w:rPr>
        <w:t>que trabajan</w:t>
      </w:r>
      <w:r w:rsidR="00604687" w:rsidRPr="0008316B">
        <w:rPr>
          <w:b/>
          <w:bCs/>
        </w:rPr>
        <w:t>.</w:t>
      </w:r>
      <w:r w:rsidR="00F3506D" w:rsidRPr="0008316B">
        <w:rPr>
          <w:b/>
          <w:bCs/>
        </w:rPr>
        <w:t xml:space="preserve"> </w:t>
      </w:r>
      <w:r w:rsidR="00604687" w:rsidRPr="0008316B">
        <w:rPr>
          <w:b/>
          <w:bCs/>
        </w:rPr>
        <w:t>El Comité recomienda que se</w:t>
      </w:r>
      <w:r w:rsidR="009E4AE7" w:rsidRPr="0008316B">
        <w:rPr>
          <w:b/>
          <w:bCs/>
        </w:rPr>
        <w:t xml:space="preserve"> </w:t>
      </w:r>
      <w:r w:rsidR="00810A87" w:rsidRPr="0008316B">
        <w:rPr>
          <w:b/>
          <w:bCs/>
        </w:rPr>
        <w:t>g</w:t>
      </w:r>
      <w:r w:rsidR="00067737" w:rsidRPr="0008316B">
        <w:rPr>
          <w:b/>
          <w:bCs/>
        </w:rPr>
        <w:t>arantice la protección de la información personal de los trabajadores migratorios y sus familias con el fin de que los datos personales no sean utilizados para fines de control migratorio o discriminación en los servicios públicos y privados.</w:t>
      </w:r>
      <w:r w:rsidR="00AD61F4" w:rsidRPr="0008316B">
        <w:rPr>
          <w:b/>
          <w:bCs/>
        </w:rPr>
        <w:t xml:space="preserve"> </w:t>
      </w:r>
      <w:r w:rsidR="00C16103" w:rsidRPr="0008316B">
        <w:rPr>
          <w:b/>
          <w:bCs/>
        </w:rPr>
        <w:t>Además,</w:t>
      </w:r>
      <w:r w:rsidR="00AD61F4" w:rsidRPr="0008316B">
        <w:rPr>
          <w:b/>
          <w:bCs/>
        </w:rPr>
        <w:t xml:space="preserve"> el Comité recomienda que el Estado parte proporcione información del estatus migratorio desglosad</w:t>
      </w:r>
      <w:r w:rsidR="008A1A57" w:rsidRPr="0008316B">
        <w:rPr>
          <w:b/>
          <w:bCs/>
        </w:rPr>
        <w:t>o</w:t>
      </w:r>
      <w:r w:rsidR="00AD61F4" w:rsidRPr="0008316B">
        <w:rPr>
          <w:b/>
          <w:bCs/>
        </w:rPr>
        <w:t xml:space="preserve"> por nacionalidad y país de </w:t>
      </w:r>
      <w:r w:rsidR="00F4239F" w:rsidRPr="0008316B">
        <w:rPr>
          <w:b/>
          <w:bCs/>
        </w:rPr>
        <w:t>proce</w:t>
      </w:r>
      <w:r w:rsidR="00AD61F4" w:rsidRPr="0008316B">
        <w:rPr>
          <w:b/>
          <w:bCs/>
        </w:rPr>
        <w:t>dencia</w:t>
      </w:r>
      <w:r w:rsidR="00EF6777" w:rsidRPr="0008316B">
        <w:rPr>
          <w:b/>
          <w:bCs/>
        </w:rPr>
        <w:t>.</w:t>
      </w:r>
    </w:p>
    <w:p w14:paraId="698A187A" w14:textId="08441F4A" w:rsidR="00067737" w:rsidRPr="003F5E2C" w:rsidRDefault="00067737" w:rsidP="003F5E2C">
      <w:pPr>
        <w:pStyle w:val="H23G"/>
      </w:pPr>
      <w:r w:rsidRPr="003F5E2C">
        <w:tab/>
      </w:r>
      <w:r w:rsidR="00233165" w:rsidRPr="003F5E2C">
        <w:tab/>
      </w:r>
      <w:r w:rsidR="00233165" w:rsidRPr="003F5E2C">
        <w:tab/>
      </w:r>
      <w:r w:rsidR="00621A43">
        <w:t>Supervisión</w:t>
      </w:r>
      <w:r w:rsidR="00621A43" w:rsidRPr="003F5E2C">
        <w:t xml:space="preserve"> </w:t>
      </w:r>
      <w:r w:rsidRPr="003F5E2C">
        <w:t>independiente</w:t>
      </w:r>
    </w:p>
    <w:p w14:paraId="219B9CB7" w14:textId="504F19E4" w:rsidR="00097ED1"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26.</w:t>
      </w:r>
      <w:r w:rsidRPr="0008316B">
        <w:tab/>
      </w:r>
      <w:r w:rsidR="00BE7551" w:rsidRPr="0008316B">
        <w:t xml:space="preserve">En la protección de derechos humanos </w:t>
      </w:r>
      <w:r w:rsidR="00DC3B91" w:rsidRPr="0008316B">
        <w:t xml:space="preserve">a </w:t>
      </w:r>
      <w:r w:rsidR="00656D8D" w:rsidRPr="0008316B">
        <w:t>n</w:t>
      </w:r>
      <w:r w:rsidR="00DC3B91" w:rsidRPr="0008316B">
        <w:t xml:space="preserve">ivel nacional </w:t>
      </w:r>
      <w:r w:rsidR="00BE7551" w:rsidRPr="0008316B">
        <w:t xml:space="preserve">es de crucial importancia la labor que realizan las </w:t>
      </w:r>
      <w:r w:rsidR="0002751B">
        <w:t>i</w:t>
      </w:r>
      <w:r w:rsidR="00BE7551" w:rsidRPr="0008316B">
        <w:t xml:space="preserve">nstituciones </w:t>
      </w:r>
      <w:r w:rsidR="00664C4C">
        <w:t>n</w:t>
      </w:r>
      <w:r w:rsidR="00BE7551" w:rsidRPr="0008316B">
        <w:t>acionale</w:t>
      </w:r>
      <w:r w:rsidR="007E4F21" w:rsidRPr="0008316B">
        <w:t>s</w:t>
      </w:r>
      <w:r w:rsidR="00BE7551" w:rsidRPr="0008316B">
        <w:t xml:space="preserve"> de </w:t>
      </w:r>
      <w:r w:rsidR="00664C4C">
        <w:t>d</w:t>
      </w:r>
      <w:r w:rsidR="00BE7551" w:rsidRPr="0008316B">
        <w:t xml:space="preserve">erechos </w:t>
      </w:r>
      <w:r w:rsidR="00664C4C">
        <w:t>h</w:t>
      </w:r>
      <w:r w:rsidR="00BE7551" w:rsidRPr="0008316B">
        <w:t xml:space="preserve">umanos. </w:t>
      </w:r>
      <w:r w:rsidR="00A51D28" w:rsidRPr="0008316B">
        <w:t xml:space="preserve">Preocupa al Comité que la Defensoría del Pueblo cumpla parcialmente con los </w:t>
      </w:r>
      <w:r w:rsidR="00E9519F">
        <w:t>principios relativos al estatuto de las instituciones nacionales de promoción y protección de los derechos humanos</w:t>
      </w:r>
      <w:r w:rsidR="00E83A0B">
        <w:t xml:space="preserve"> (Principios de París)</w:t>
      </w:r>
      <w:r w:rsidR="00A51D28" w:rsidRPr="0008316B">
        <w:t xml:space="preserve"> y todavía no haya implementado las recomendaciones del Subcomité de Acreditación.</w:t>
      </w:r>
    </w:p>
    <w:p w14:paraId="4AC0874E" w14:textId="05A1152D" w:rsidR="00867F6D"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27.</w:t>
      </w:r>
      <w:r w:rsidRPr="0008316B">
        <w:rPr>
          <w:bCs/>
        </w:rPr>
        <w:tab/>
      </w:r>
      <w:r w:rsidR="00867F6D" w:rsidRPr="0008316B">
        <w:rPr>
          <w:b/>
          <w:bCs/>
        </w:rPr>
        <w:t xml:space="preserve">El Comité recomienda el </w:t>
      </w:r>
      <w:r w:rsidR="00083763" w:rsidRPr="0008316B">
        <w:rPr>
          <w:b/>
          <w:bCs/>
        </w:rPr>
        <w:t>fortale</w:t>
      </w:r>
      <w:r w:rsidR="00867F6D" w:rsidRPr="0008316B">
        <w:rPr>
          <w:b/>
          <w:bCs/>
        </w:rPr>
        <w:t>cimiento</w:t>
      </w:r>
      <w:r w:rsidR="007921E4" w:rsidRPr="0008316B">
        <w:rPr>
          <w:b/>
          <w:bCs/>
        </w:rPr>
        <w:t xml:space="preserve"> </w:t>
      </w:r>
      <w:r w:rsidR="00867F6D" w:rsidRPr="0008316B">
        <w:rPr>
          <w:b/>
          <w:bCs/>
        </w:rPr>
        <w:t>de</w:t>
      </w:r>
      <w:r w:rsidR="00083763" w:rsidRPr="0008316B">
        <w:rPr>
          <w:b/>
          <w:bCs/>
        </w:rPr>
        <w:t xml:space="preserve"> la Defensoría del Pueblo </w:t>
      </w:r>
      <w:r w:rsidR="007D2EB3" w:rsidRPr="0008316B">
        <w:rPr>
          <w:b/>
          <w:bCs/>
        </w:rPr>
        <w:t xml:space="preserve">en cuanto a su independencia y funcionamiento, </w:t>
      </w:r>
      <w:r w:rsidR="00C16103" w:rsidRPr="0008316B">
        <w:rPr>
          <w:b/>
          <w:bCs/>
        </w:rPr>
        <w:t>incluido</w:t>
      </w:r>
      <w:r w:rsidR="007D2EB3" w:rsidRPr="0008316B">
        <w:rPr>
          <w:b/>
          <w:bCs/>
        </w:rPr>
        <w:t xml:space="preserve"> </w:t>
      </w:r>
      <w:r w:rsidR="007921E4" w:rsidRPr="0008316B">
        <w:rPr>
          <w:b/>
          <w:bCs/>
        </w:rPr>
        <w:t xml:space="preserve">el aspecto presupuestario, </w:t>
      </w:r>
      <w:r w:rsidR="0091046D" w:rsidRPr="0008316B">
        <w:rPr>
          <w:b/>
          <w:bCs/>
        </w:rPr>
        <w:t>de</w:t>
      </w:r>
      <w:r w:rsidR="007921E4" w:rsidRPr="0008316B">
        <w:rPr>
          <w:b/>
          <w:bCs/>
        </w:rPr>
        <w:t xml:space="preserve"> conformidad con los </w:t>
      </w:r>
      <w:r w:rsidR="001F1FFD" w:rsidRPr="001F1FFD">
        <w:rPr>
          <w:b/>
          <w:bCs/>
        </w:rPr>
        <w:t>principios relativos al estatuto de las instituciones nacionales de promoción y protección de los derechos humanos (Principios de París)</w:t>
      </w:r>
      <w:r w:rsidR="00B57FE0" w:rsidRPr="0008316B">
        <w:rPr>
          <w:b/>
          <w:bCs/>
        </w:rPr>
        <w:t xml:space="preserve">, para estar en </w:t>
      </w:r>
      <w:r w:rsidR="00C37F47" w:rsidRPr="0008316B">
        <w:rPr>
          <w:b/>
          <w:bCs/>
        </w:rPr>
        <w:t xml:space="preserve">mejores </w:t>
      </w:r>
      <w:r w:rsidR="00B57FE0" w:rsidRPr="0008316B">
        <w:rPr>
          <w:b/>
          <w:bCs/>
        </w:rPr>
        <w:t xml:space="preserve">condiciones </w:t>
      </w:r>
      <w:r w:rsidR="00C37F47" w:rsidRPr="0008316B">
        <w:rPr>
          <w:b/>
          <w:bCs/>
        </w:rPr>
        <w:t>para vigilar</w:t>
      </w:r>
      <w:r w:rsidR="00604687" w:rsidRPr="0008316B">
        <w:rPr>
          <w:b/>
          <w:bCs/>
        </w:rPr>
        <w:t xml:space="preserve"> la protección efectiva de</w:t>
      </w:r>
      <w:r w:rsidR="00C37F47" w:rsidRPr="0008316B">
        <w:rPr>
          <w:b/>
          <w:bCs/>
        </w:rPr>
        <w:t xml:space="preserve"> </w:t>
      </w:r>
      <w:r w:rsidR="00867F6D" w:rsidRPr="0008316B">
        <w:rPr>
          <w:b/>
          <w:bCs/>
        </w:rPr>
        <w:t>los derechos humanos de todos los trabajadores migratorios y sus familiares con arreglo a la Convención.</w:t>
      </w:r>
      <w:r w:rsidR="0038692A" w:rsidRPr="0008316B">
        <w:rPr>
          <w:b/>
          <w:bCs/>
        </w:rPr>
        <w:t xml:space="preserve"> </w:t>
      </w:r>
    </w:p>
    <w:p w14:paraId="673E1475" w14:textId="34DAA64F" w:rsidR="00B8365E" w:rsidRPr="003F5E2C" w:rsidRDefault="00067737" w:rsidP="003F5E2C">
      <w:pPr>
        <w:pStyle w:val="H23G"/>
      </w:pPr>
      <w:r w:rsidRPr="003F5E2C">
        <w:tab/>
      </w:r>
      <w:r w:rsidRPr="003F5E2C">
        <w:tab/>
        <w:t xml:space="preserve">Formación y difusión de información acerca de la Convención </w:t>
      </w:r>
    </w:p>
    <w:p w14:paraId="42163DCF" w14:textId="27E6860C" w:rsidR="00B8365E"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28.</w:t>
      </w:r>
      <w:r w:rsidRPr="0008316B">
        <w:tab/>
      </w:r>
      <w:r w:rsidR="00B8365E" w:rsidRPr="0008316B">
        <w:t xml:space="preserve">El Comité toma nota de la </w:t>
      </w:r>
      <w:r w:rsidR="009221F0" w:rsidRPr="0008316B">
        <w:t xml:space="preserve">realización de la </w:t>
      </w:r>
      <w:r w:rsidR="000F1EE8">
        <w:t>segunda</w:t>
      </w:r>
      <w:r w:rsidR="00B8365E" w:rsidRPr="0008316B">
        <w:t xml:space="preserve"> y </w:t>
      </w:r>
      <w:r w:rsidR="000F1EE8">
        <w:t>tercera</w:t>
      </w:r>
      <w:r w:rsidR="00B8365E" w:rsidRPr="0008316B">
        <w:t xml:space="preserve"> </w:t>
      </w:r>
      <w:r w:rsidR="000F1EE8">
        <w:t>e</w:t>
      </w:r>
      <w:r w:rsidR="00B8365E" w:rsidRPr="0008316B">
        <w:t xml:space="preserve">dición del </w:t>
      </w:r>
      <w:r w:rsidR="000F1EE8">
        <w:t>c</w:t>
      </w:r>
      <w:r w:rsidR="00B8365E" w:rsidRPr="0008316B">
        <w:t xml:space="preserve">urso de </w:t>
      </w:r>
      <w:r w:rsidR="00E47A09">
        <w:t>a</w:t>
      </w:r>
      <w:r w:rsidR="00B8365E" w:rsidRPr="0008316B">
        <w:t xml:space="preserve">lto </w:t>
      </w:r>
      <w:r w:rsidR="00E47A09">
        <w:t>n</w:t>
      </w:r>
      <w:r w:rsidR="00B8365E" w:rsidRPr="0008316B">
        <w:t xml:space="preserve">ivel en derechos humanos, </w:t>
      </w:r>
      <w:r w:rsidR="009221F0" w:rsidRPr="0008316B">
        <w:t xml:space="preserve">llevadas a cabo </w:t>
      </w:r>
      <w:r w:rsidR="00B8365E" w:rsidRPr="0008316B">
        <w:t xml:space="preserve">para fortalecer las capacidades de </w:t>
      </w:r>
      <w:r w:rsidR="000718A5" w:rsidRPr="0008316B">
        <w:t xml:space="preserve">los servidores públicos </w:t>
      </w:r>
      <w:r w:rsidR="00B8365E" w:rsidRPr="0008316B">
        <w:t xml:space="preserve">que integran la Red de Puntos Focales del </w:t>
      </w:r>
      <w:r w:rsidR="005B4EC0">
        <w:t>S</w:t>
      </w:r>
      <w:r w:rsidR="005B4EC0" w:rsidRPr="0008316B">
        <w:t xml:space="preserve">istema </w:t>
      </w:r>
      <w:r w:rsidR="005B4EC0">
        <w:t xml:space="preserve">de Monitoreo de </w:t>
      </w:r>
      <w:r w:rsidR="005B4EC0" w:rsidRPr="005B4EC0">
        <w:t>Recomendaciones</w:t>
      </w:r>
      <w:r w:rsidR="00412A31">
        <w:t xml:space="preserve"> (</w:t>
      </w:r>
      <w:r w:rsidR="00B8365E" w:rsidRPr="005B4EC0">
        <w:t>SIMORE</w:t>
      </w:r>
      <w:r w:rsidR="00412A31">
        <w:t>)</w:t>
      </w:r>
      <w:r w:rsidR="00B8365E" w:rsidRPr="005B4EC0">
        <w:t>,</w:t>
      </w:r>
      <w:r w:rsidR="00B8365E" w:rsidRPr="0008316B">
        <w:t xml:space="preserve"> a fin de optimizar el seguimiento e implementación de las recomendaciones recibidas por el Estado parte y toma nota con satisfacción </w:t>
      </w:r>
      <w:r w:rsidR="00722CA2">
        <w:t xml:space="preserve">de </w:t>
      </w:r>
      <w:r w:rsidR="00B8365E" w:rsidRPr="0008316B">
        <w:t xml:space="preserve">que la Convención y el Comité fueron </w:t>
      </w:r>
      <w:r w:rsidR="00B169D3" w:rsidRPr="0008316B">
        <w:t>incluidos</w:t>
      </w:r>
      <w:r w:rsidR="00B8365E" w:rsidRPr="0008316B">
        <w:t xml:space="preserve">. Sin embargo, preocupa al Comité la insuficiente capacitación, comunicación y publicidad sobre la Convención en las diversas instancias del Poder Ejecutivo, del Poder Judicial, en las autoridades de los gobiernos </w:t>
      </w:r>
      <w:r w:rsidR="00D76D4D" w:rsidRPr="0008316B">
        <w:t>departamentales</w:t>
      </w:r>
      <w:r w:rsidR="00B8365E" w:rsidRPr="0008316B">
        <w:t xml:space="preserve">, en las autoridades </w:t>
      </w:r>
      <w:r w:rsidR="006D2FE1" w:rsidRPr="0008316B">
        <w:t xml:space="preserve">locales y </w:t>
      </w:r>
      <w:r w:rsidR="00B8365E" w:rsidRPr="0008316B">
        <w:t xml:space="preserve">policiales y en los funcionarios de los servicios sociales. También preocupa al Comité la falta de difusión de la Convención entre los trabajadores migrantes radicados en </w:t>
      </w:r>
      <w:r w:rsidR="007053F0" w:rsidRPr="0008316B">
        <w:t>el Estado parte</w:t>
      </w:r>
      <w:r w:rsidR="0030743E" w:rsidRPr="0008316B">
        <w:t xml:space="preserve">, de igual manera </w:t>
      </w:r>
      <w:r w:rsidR="00B8365E" w:rsidRPr="0008316B">
        <w:t>que las informaciones relativas a los trámites administrativos migratorios est</w:t>
      </w:r>
      <w:r w:rsidR="00B61C01" w:rsidRPr="0008316B">
        <w:t>é</w:t>
      </w:r>
      <w:r w:rsidR="00B8365E" w:rsidRPr="0008316B">
        <w:t>n disponibles en internet únicamente en español.</w:t>
      </w:r>
      <w:r w:rsidR="006D0909" w:rsidRPr="0008316B">
        <w:t xml:space="preserve"> El Comité </w:t>
      </w:r>
      <w:r w:rsidR="001D38B2">
        <w:t>observa</w:t>
      </w:r>
      <w:r w:rsidR="001D38B2" w:rsidRPr="0008316B">
        <w:t xml:space="preserve"> </w:t>
      </w:r>
      <w:r w:rsidR="006D0909" w:rsidRPr="0008316B">
        <w:t>con satisfacción la voluntad del Estado parte de reforzar la investigación científica y la formación académica en el ámbito de la migración internacional.</w:t>
      </w:r>
    </w:p>
    <w:p w14:paraId="76138654" w14:textId="1B1A78A6" w:rsidR="00067737" w:rsidRPr="0008316B" w:rsidRDefault="00AC4DDC" w:rsidP="00F73BE7">
      <w:pPr>
        <w:pStyle w:val="SingleTxtG"/>
        <w:keepNext/>
        <w:keepLines/>
        <w:tabs>
          <w:tab w:val="clear" w:pos="1701"/>
          <w:tab w:val="clear" w:pos="2268"/>
          <w:tab w:val="clear" w:pos="2835"/>
        </w:tabs>
        <w:suppressAutoHyphens/>
        <w:kinsoku w:val="0"/>
        <w:overflowPunct w:val="0"/>
        <w:autoSpaceDE w:val="0"/>
        <w:autoSpaceDN w:val="0"/>
        <w:adjustRightInd w:val="0"/>
        <w:snapToGrid w:val="0"/>
        <w:rPr>
          <w:b/>
          <w:bCs/>
        </w:rPr>
      </w:pPr>
      <w:r w:rsidRPr="0008316B">
        <w:rPr>
          <w:bCs/>
        </w:rPr>
        <w:lastRenderedPageBreak/>
        <w:t>29.</w:t>
      </w:r>
      <w:r w:rsidRPr="0008316B">
        <w:rPr>
          <w:bCs/>
        </w:rPr>
        <w:tab/>
      </w:r>
      <w:r w:rsidR="00067737" w:rsidRPr="0008316B">
        <w:rPr>
          <w:b/>
          <w:bCs/>
        </w:rPr>
        <w:t xml:space="preserve">El Comité </w:t>
      </w:r>
      <w:r w:rsidR="00C97800" w:rsidRPr="0008316B">
        <w:rPr>
          <w:b/>
          <w:bCs/>
        </w:rPr>
        <w:t xml:space="preserve">reitera su recomendación </w:t>
      </w:r>
      <w:r w:rsidR="005B4EC0">
        <w:rPr>
          <w:b/>
          <w:bCs/>
        </w:rPr>
        <w:t>anterior</w:t>
      </w:r>
      <w:r w:rsidR="00412A31" w:rsidRPr="00A465D3">
        <w:rPr>
          <w:rStyle w:val="Refdenotaalpie"/>
        </w:rPr>
        <w:footnoteReference w:id="10"/>
      </w:r>
      <w:r w:rsidR="005B4EC0">
        <w:rPr>
          <w:b/>
          <w:bCs/>
        </w:rPr>
        <w:t xml:space="preserve"> </w:t>
      </w:r>
      <w:r w:rsidR="00C97800" w:rsidRPr="0008316B">
        <w:rPr>
          <w:b/>
          <w:bCs/>
        </w:rPr>
        <w:t xml:space="preserve">y </w:t>
      </w:r>
      <w:r w:rsidR="005B4EC0">
        <w:rPr>
          <w:b/>
          <w:bCs/>
        </w:rPr>
        <w:t>alienta al</w:t>
      </w:r>
      <w:r w:rsidR="00067737" w:rsidRPr="0008316B">
        <w:rPr>
          <w:b/>
          <w:bCs/>
        </w:rPr>
        <w:t xml:space="preserve"> </w:t>
      </w:r>
      <w:r w:rsidR="00BE76E0" w:rsidRPr="0008316B">
        <w:rPr>
          <w:b/>
          <w:bCs/>
        </w:rPr>
        <w:t>E</w:t>
      </w:r>
      <w:r w:rsidR="00067737" w:rsidRPr="0008316B">
        <w:rPr>
          <w:b/>
          <w:bCs/>
        </w:rPr>
        <w:t>stado parte</w:t>
      </w:r>
      <w:r w:rsidR="005B4EC0">
        <w:rPr>
          <w:b/>
          <w:bCs/>
        </w:rPr>
        <w:t xml:space="preserve"> a que</w:t>
      </w:r>
      <w:r w:rsidR="00067737" w:rsidRPr="0008316B">
        <w:rPr>
          <w:b/>
          <w:bCs/>
        </w:rPr>
        <w:t xml:space="preserve">: </w:t>
      </w:r>
    </w:p>
    <w:p w14:paraId="66154098" w14:textId="6193469A" w:rsidR="00067737" w:rsidRPr="00A465D3" w:rsidRDefault="0060217F" w:rsidP="0060217F">
      <w:pPr>
        <w:pStyle w:val="SingleTxtG"/>
        <w:rPr>
          <w:b/>
          <w:bCs/>
        </w:rPr>
      </w:pPr>
      <w:r w:rsidRPr="00A465D3">
        <w:rPr>
          <w:b/>
          <w:bCs/>
        </w:rPr>
        <w:tab/>
      </w:r>
      <w:r w:rsidR="00067737" w:rsidRPr="00A465D3">
        <w:rPr>
          <w:b/>
          <w:bCs/>
        </w:rPr>
        <w:t>a)</w:t>
      </w:r>
      <w:r w:rsidR="00067737" w:rsidRPr="00A465D3">
        <w:rPr>
          <w:b/>
          <w:bCs/>
        </w:rPr>
        <w:tab/>
      </w:r>
      <w:bookmarkStart w:id="8" w:name="_Hlk100230199"/>
      <w:r w:rsidR="00067737" w:rsidRPr="00A465D3">
        <w:rPr>
          <w:b/>
          <w:bCs/>
        </w:rPr>
        <w:t>Fortalezca y amplíe los programas de formación y capacitación sobre los derechos de la Convención</w:t>
      </w:r>
      <w:bookmarkEnd w:id="8"/>
      <w:r w:rsidR="00067737" w:rsidRPr="00A465D3">
        <w:rPr>
          <w:b/>
          <w:bCs/>
        </w:rPr>
        <w:t xml:space="preserve"> para los funcionarios de instituciones que tienen competencias en asuntos migratorios, inclu</w:t>
      </w:r>
      <w:r w:rsidR="00332676" w:rsidRPr="00A465D3">
        <w:rPr>
          <w:b/>
          <w:bCs/>
        </w:rPr>
        <w:t>idos</w:t>
      </w:r>
      <w:r w:rsidR="00067737" w:rsidRPr="00A465D3">
        <w:rPr>
          <w:b/>
          <w:bCs/>
        </w:rPr>
        <w:t xml:space="preserve"> los agentes del orden y las autoridades fronterizas, los jueces, los fiscales y las autoridades </w:t>
      </w:r>
      <w:r w:rsidR="00D21F9D" w:rsidRPr="00A465D3">
        <w:rPr>
          <w:b/>
          <w:bCs/>
        </w:rPr>
        <w:t>departamentales</w:t>
      </w:r>
      <w:r w:rsidR="00FE73FC" w:rsidRPr="00A465D3">
        <w:rPr>
          <w:b/>
          <w:bCs/>
        </w:rPr>
        <w:t xml:space="preserve"> y locales</w:t>
      </w:r>
      <w:r w:rsidR="00067737" w:rsidRPr="00A465D3">
        <w:rPr>
          <w:b/>
          <w:bCs/>
        </w:rPr>
        <w:t>;</w:t>
      </w:r>
    </w:p>
    <w:p w14:paraId="585BFFA1" w14:textId="77777777" w:rsidR="00067737" w:rsidRPr="00A465D3" w:rsidRDefault="00067737" w:rsidP="0060217F">
      <w:pPr>
        <w:pStyle w:val="SingleTxtG"/>
        <w:rPr>
          <w:b/>
          <w:bCs/>
        </w:rPr>
      </w:pPr>
      <w:r w:rsidRPr="00A465D3">
        <w:rPr>
          <w:b/>
          <w:bCs/>
        </w:rPr>
        <w:tab/>
        <w:t>b)</w:t>
      </w:r>
      <w:r w:rsidRPr="00A465D3">
        <w:rPr>
          <w:b/>
          <w:bCs/>
        </w:rPr>
        <w:tab/>
        <w:t>Vele por que los trabajadores migratorios tengan acceso a información sobre los derechos que les reconoce la Convención;</w:t>
      </w:r>
    </w:p>
    <w:p w14:paraId="5C6A995B" w14:textId="77777777" w:rsidR="00067737" w:rsidRPr="0008316B" w:rsidRDefault="00067737" w:rsidP="0060217F">
      <w:pPr>
        <w:pStyle w:val="SingleTxtG"/>
        <w:rPr>
          <w:b/>
          <w:bCs/>
        </w:rPr>
      </w:pPr>
      <w:r w:rsidRPr="00A465D3">
        <w:rPr>
          <w:b/>
          <w:bCs/>
        </w:rPr>
        <w:tab/>
        <w:t>c)</w:t>
      </w:r>
      <w:r w:rsidRPr="00A465D3">
        <w:rPr>
          <w:b/>
          <w:bCs/>
        </w:rPr>
        <w:tab/>
      </w:r>
      <w:r w:rsidRPr="0008316B">
        <w:rPr>
          <w:b/>
          <w:bCs/>
        </w:rPr>
        <w:t xml:space="preserve">Coopere con las universidades, las organizaciones de la sociedad civil y los medios de comunicación para difundir información sobre la Convención y fomentar su aplicación, especialmente en zonas fronterizas. </w:t>
      </w:r>
    </w:p>
    <w:p w14:paraId="008A180C" w14:textId="77777777" w:rsidR="00067737" w:rsidRPr="003F5E2C" w:rsidRDefault="00067737" w:rsidP="003F5E2C">
      <w:pPr>
        <w:pStyle w:val="H23G"/>
      </w:pPr>
      <w:r w:rsidRPr="003F5E2C">
        <w:tab/>
      </w:r>
      <w:r w:rsidRPr="003F5E2C">
        <w:tab/>
        <w:t xml:space="preserve">Participación de la sociedad civil </w:t>
      </w:r>
    </w:p>
    <w:p w14:paraId="5C9B537E" w14:textId="413B1B2F"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30.</w:t>
      </w:r>
      <w:r w:rsidRPr="0008316B">
        <w:tab/>
      </w:r>
      <w:r w:rsidR="00067737" w:rsidRPr="0008316B">
        <w:t xml:space="preserve">El Comité toma nota </w:t>
      </w:r>
      <w:r w:rsidR="00D7734C" w:rsidRPr="0008316B">
        <w:t xml:space="preserve">de </w:t>
      </w:r>
      <w:r w:rsidR="00067737" w:rsidRPr="0008316B">
        <w:t xml:space="preserve">los nuevos espacios de coordinación con la sociedad civil proporcionados por </w:t>
      </w:r>
      <w:r w:rsidR="00210145">
        <w:t xml:space="preserve">el </w:t>
      </w:r>
      <w:r w:rsidR="00210145" w:rsidRPr="00210145">
        <w:t xml:space="preserve">sistema </w:t>
      </w:r>
      <w:r w:rsidR="00067737" w:rsidRPr="00210145">
        <w:t>SIMORE PLUS</w:t>
      </w:r>
      <w:bookmarkEnd w:id="6"/>
      <w:r w:rsidR="00067737" w:rsidRPr="00210145">
        <w:t>. Sin</w:t>
      </w:r>
      <w:r w:rsidR="00067737" w:rsidRPr="0008316B">
        <w:t xml:space="preserve"> embargo, el Comité muestra su preocupación por el bajo número de usuarios de la sociedad civil </w:t>
      </w:r>
      <w:r w:rsidR="00E41AF5" w:rsidRPr="0008316B">
        <w:t>de</w:t>
      </w:r>
      <w:r w:rsidR="00067737" w:rsidRPr="0008316B">
        <w:t xml:space="preserve"> esta plataforma</w:t>
      </w:r>
      <w:r w:rsidR="00083763" w:rsidRPr="0008316B">
        <w:t xml:space="preserve"> a la que pueden acceder quienes tengan las herramientas tecnológicas suficientes.</w:t>
      </w:r>
      <w:r w:rsidR="00067737" w:rsidRPr="0008316B">
        <w:t xml:space="preserve"> El Comité </w:t>
      </w:r>
      <w:bookmarkStart w:id="9" w:name="_Hlk100230930"/>
      <w:r w:rsidR="00067737" w:rsidRPr="0008316B">
        <w:t>sigue preocupado con la limitada participación de la sociedad civil en la aplicación de la Convención</w:t>
      </w:r>
      <w:bookmarkEnd w:id="9"/>
      <w:r w:rsidR="00067737" w:rsidRPr="0008316B">
        <w:t xml:space="preserve">, así como el limitado diálogo y coordinación sobre las resoluciones y normativas que involucran a los trabajadores migratorios y sus familias. </w:t>
      </w:r>
    </w:p>
    <w:p w14:paraId="7F3D3DF0" w14:textId="63B01427"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31.</w:t>
      </w:r>
      <w:r w:rsidRPr="0008316B">
        <w:rPr>
          <w:bCs/>
        </w:rPr>
        <w:tab/>
      </w:r>
      <w:r w:rsidR="00067737" w:rsidRPr="0008316B">
        <w:rPr>
          <w:b/>
          <w:bCs/>
        </w:rPr>
        <w:t>El Comité reitera su recomendación</w:t>
      </w:r>
      <w:r w:rsidR="00146CF1" w:rsidRPr="00A465D3">
        <w:rPr>
          <w:rStyle w:val="Refdenotaalpie"/>
        </w:rPr>
        <w:footnoteReference w:id="11"/>
      </w:r>
      <w:r w:rsidR="00067737" w:rsidRPr="0008316B">
        <w:rPr>
          <w:b/>
          <w:bCs/>
        </w:rPr>
        <w:t xml:space="preserve"> de </w:t>
      </w:r>
      <w:bookmarkStart w:id="10" w:name="_Hlk100230965"/>
      <w:r w:rsidR="00067737" w:rsidRPr="0008316B">
        <w:rPr>
          <w:b/>
          <w:bCs/>
        </w:rPr>
        <w:t>que el Estado parte fortalezca el diálogo con las organizaciones de la sociedad civil en la preparación de sus informes periódicos, y recomienda que este di</w:t>
      </w:r>
      <w:r w:rsidR="00016888" w:rsidRPr="0008316B">
        <w:rPr>
          <w:b/>
          <w:bCs/>
        </w:rPr>
        <w:t>á</w:t>
      </w:r>
      <w:r w:rsidR="00067737" w:rsidRPr="0008316B">
        <w:rPr>
          <w:b/>
          <w:bCs/>
        </w:rPr>
        <w:t xml:space="preserve">logo sea </w:t>
      </w:r>
      <w:r w:rsidR="00A32D64" w:rsidRPr="0008316B">
        <w:rPr>
          <w:b/>
          <w:bCs/>
        </w:rPr>
        <w:t xml:space="preserve">inclusivo y </w:t>
      </w:r>
      <w:r w:rsidR="00067737" w:rsidRPr="0008316B">
        <w:rPr>
          <w:b/>
          <w:bCs/>
        </w:rPr>
        <w:t>constante</w:t>
      </w:r>
      <w:r w:rsidR="00083763" w:rsidRPr="0008316B">
        <w:rPr>
          <w:b/>
          <w:bCs/>
        </w:rPr>
        <w:t xml:space="preserve"> y no solo a través de herramientas online</w:t>
      </w:r>
      <w:r w:rsidR="00715CB7" w:rsidRPr="0008316B">
        <w:rPr>
          <w:b/>
          <w:bCs/>
        </w:rPr>
        <w:t xml:space="preserve"> o </w:t>
      </w:r>
      <w:r w:rsidR="00146CF1">
        <w:rPr>
          <w:b/>
          <w:bCs/>
        </w:rPr>
        <w:t>dando a conocer</w:t>
      </w:r>
      <w:r w:rsidR="002656FE" w:rsidRPr="0008316B">
        <w:rPr>
          <w:b/>
          <w:bCs/>
        </w:rPr>
        <w:t xml:space="preserve"> los </w:t>
      </w:r>
      <w:r w:rsidR="00715CB7" w:rsidRPr="0008316B">
        <w:rPr>
          <w:b/>
          <w:bCs/>
        </w:rPr>
        <w:t>informes</w:t>
      </w:r>
      <w:r w:rsidR="00067737" w:rsidRPr="0008316B">
        <w:rPr>
          <w:b/>
          <w:bCs/>
        </w:rPr>
        <w:t xml:space="preserve">. Además, el Comité recomienda que el Estado ponga en vigencia medidas concretas para que la sociedad civil participe de manera constante </w:t>
      </w:r>
      <w:r w:rsidR="00210309" w:rsidRPr="0008316B">
        <w:rPr>
          <w:b/>
          <w:bCs/>
        </w:rPr>
        <w:t xml:space="preserve">y </w:t>
      </w:r>
      <w:r w:rsidR="00A236F3" w:rsidRPr="0008316B">
        <w:rPr>
          <w:b/>
          <w:bCs/>
        </w:rPr>
        <w:t xml:space="preserve">contundente </w:t>
      </w:r>
      <w:r w:rsidR="00067737" w:rsidRPr="0008316B">
        <w:rPr>
          <w:b/>
          <w:bCs/>
        </w:rPr>
        <w:t>en la aplicación de la Convención y en la implementación de la normativa migratoria</w:t>
      </w:r>
      <w:bookmarkEnd w:id="10"/>
      <w:r w:rsidR="00A236F3" w:rsidRPr="0008316B">
        <w:rPr>
          <w:b/>
          <w:bCs/>
        </w:rPr>
        <w:t>.</w:t>
      </w:r>
      <w:r w:rsidR="00A040B5" w:rsidRPr="0008316B">
        <w:rPr>
          <w:b/>
          <w:bCs/>
        </w:rPr>
        <w:t xml:space="preserve"> </w:t>
      </w:r>
      <w:r w:rsidR="00067737" w:rsidRPr="0008316B">
        <w:rPr>
          <w:b/>
          <w:bCs/>
        </w:rPr>
        <w:t xml:space="preserve">Insta a utilizar mecanismos permanentes para abordar tanto la preparación del informe como el seguimiento de las recomendaciones del Comité. </w:t>
      </w:r>
    </w:p>
    <w:p w14:paraId="6B7E2688" w14:textId="77777777" w:rsidR="00067737" w:rsidRPr="003F5E2C" w:rsidRDefault="00067737" w:rsidP="003F5E2C">
      <w:pPr>
        <w:pStyle w:val="H23G"/>
      </w:pPr>
      <w:r w:rsidRPr="003F5E2C">
        <w:tab/>
        <w:t>2.</w:t>
      </w:r>
      <w:r w:rsidRPr="003F5E2C">
        <w:tab/>
        <w:t>Principios generales (arts. 7 y 83)</w:t>
      </w:r>
    </w:p>
    <w:p w14:paraId="61992378" w14:textId="77777777" w:rsidR="00067737" w:rsidRPr="003F5E2C" w:rsidRDefault="00067737" w:rsidP="003F5E2C">
      <w:pPr>
        <w:pStyle w:val="H23G"/>
      </w:pPr>
      <w:r w:rsidRPr="003F5E2C">
        <w:tab/>
      </w:r>
      <w:r w:rsidRPr="003F5E2C">
        <w:tab/>
        <w:t>No discriminación</w:t>
      </w:r>
    </w:p>
    <w:p w14:paraId="31D9F6A1" w14:textId="3B4054C1" w:rsidR="000762FD"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32.</w:t>
      </w:r>
      <w:r w:rsidRPr="0008316B">
        <w:tab/>
      </w:r>
      <w:r w:rsidR="000762FD" w:rsidRPr="0008316B">
        <w:t xml:space="preserve">El Comité toma nota </w:t>
      </w:r>
      <w:r w:rsidR="00722CA2">
        <w:t xml:space="preserve">de </w:t>
      </w:r>
      <w:r w:rsidR="000762FD" w:rsidRPr="0008316B">
        <w:t>que el Estado parte aceptó íntegramente las 16</w:t>
      </w:r>
      <w:r w:rsidR="00411057">
        <w:t> </w:t>
      </w:r>
      <w:r w:rsidR="000762FD" w:rsidRPr="0008316B">
        <w:t xml:space="preserve">recomendaciones del </w:t>
      </w:r>
      <w:r w:rsidR="00411057">
        <w:t>tercer</w:t>
      </w:r>
      <w:r w:rsidR="000762FD" w:rsidRPr="0008316B">
        <w:t xml:space="preserve"> ciclo del </w:t>
      </w:r>
      <w:r w:rsidR="00411057">
        <w:t>e</w:t>
      </w:r>
      <w:r w:rsidR="000762FD" w:rsidRPr="0008316B">
        <w:t xml:space="preserve">xamen </w:t>
      </w:r>
      <w:r w:rsidR="00411057">
        <w:t>p</w:t>
      </w:r>
      <w:r w:rsidR="000762FD" w:rsidRPr="0008316B">
        <w:t xml:space="preserve">eriódico </w:t>
      </w:r>
      <w:r w:rsidR="00411057">
        <w:t>u</w:t>
      </w:r>
      <w:r w:rsidR="000762FD" w:rsidRPr="0008316B">
        <w:t>niversal en lo que se refier</w:t>
      </w:r>
      <w:r w:rsidR="00096534" w:rsidRPr="0008316B">
        <w:t>e</w:t>
      </w:r>
      <w:r w:rsidR="000762FD" w:rsidRPr="0008316B">
        <w:t xml:space="preserve"> a no discriminación. Sin embargo, preocupa al Comité que el </w:t>
      </w:r>
      <w:bookmarkStart w:id="11" w:name="_Hlk99540206"/>
      <w:r w:rsidR="000762FD" w:rsidRPr="0008316B">
        <w:t xml:space="preserve">Estado parte sigue sin contar con una ley contra toda forma de discriminación, a pesar de las numerosas recomendaciones internacionales en esta línea. </w:t>
      </w:r>
      <w:bookmarkEnd w:id="11"/>
      <w:r w:rsidR="000762FD" w:rsidRPr="0008316B">
        <w:t>Además, le preocupa al Comité que personas con enfermedad</w:t>
      </w:r>
      <w:r w:rsidR="00411057">
        <w:t>es</w:t>
      </w:r>
      <w:r w:rsidR="000762FD" w:rsidRPr="0008316B">
        <w:t xml:space="preserve"> transmisibles pueden no ser admitidas en el Estado parte. </w:t>
      </w:r>
      <w:r w:rsidR="006E22C0" w:rsidRPr="0008316B">
        <w:t xml:space="preserve">El Comité </w:t>
      </w:r>
      <w:r w:rsidR="00411057">
        <w:t xml:space="preserve">toma </w:t>
      </w:r>
      <w:r w:rsidR="006E22C0" w:rsidRPr="0008316B">
        <w:t>nota con satisfacción</w:t>
      </w:r>
      <w:r w:rsidR="00D22B51" w:rsidRPr="0008316B">
        <w:t xml:space="preserve"> de</w:t>
      </w:r>
      <w:r w:rsidR="006E22C0" w:rsidRPr="0008316B">
        <w:t xml:space="preserve"> que </w:t>
      </w:r>
      <w:r w:rsidR="00D22B51" w:rsidRPr="0008316B">
        <w:t>la</w:t>
      </w:r>
      <w:r w:rsidR="006E22C0" w:rsidRPr="0008316B">
        <w:t xml:space="preserve"> Secretar</w:t>
      </w:r>
      <w:r w:rsidR="00D22B51" w:rsidRPr="0008316B">
        <w:t>í</w:t>
      </w:r>
      <w:r w:rsidR="006E22C0" w:rsidRPr="0008316B">
        <w:t xml:space="preserve">a Nacional de Cultura del Estado </w:t>
      </w:r>
      <w:r w:rsidR="00AA1E17" w:rsidRPr="0008316B">
        <w:t>parte</w:t>
      </w:r>
      <w:r w:rsidR="00411057">
        <w:t xml:space="preserve"> y</w:t>
      </w:r>
      <w:r w:rsidR="006E22C0" w:rsidRPr="0008316B">
        <w:t xml:space="preserve"> el </w:t>
      </w:r>
      <w:r w:rsidR="00411057">
        <w:t>Plan</w:t>
      </w:r>
      <w:r w:rsidR="00411057" w:rsidRPr="0008316B">
        <w:t xml:space="preserve"> </w:t>
      </w:r>
      <w:r w:rsidR="006E22C0" w:rsidRPr="0008316B">
        <w:t>Nacional de Transformación Educativa 2030 incluyen a la sociedad civil en la promoción de la convivencia en comunidad. Sin embargo, al Comité le preocupa el lugar que se deja a los nuevos migrantes en estos programas, por lo que invita al Estado parte a incluirlos en la realización de esta convivencia en comunidad y</w:t>
      </w:r>
      <w:r w:rsidR="00D22B51" w:rsidRPr="0008316B">
        <w:t xml:space="preserve"> a</w:t>
      </w:r>
      <w:r w:rsidR="006E22C0" w:rsidRPr="0008316B">
        <w:t xml:space="preserve"> </w:t>
      </w:r>
      <w:r w:rsidR="00D22B51" w:rsidRPr="0008316B">
        <w:t>proporcionar información al respecto.</w:t>
      </w:r>
    </w:p>
    <w:p w14:paraId="79ADA6A3" w14:textId="27D7C87A" w:rsidR="00B37C94"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33.</w:t>
      </w:r>
      <w:r w:rsidRPr="0008316B">
        <w:tab/>
      </w:r>
      <w:r w:rsidR="00B37C94" w:rsidRPr="0008316B">
        <w:t xml:space="preserve">Preocupa al Comité que para aprovechar el goce de todos los derechos laborales y de los servicios sociales básicos para los trabajadores migratorios y sus familiares, los extranjeros tienen que cumplir con las obligaciones administrativas relativas a las autorizaciones de visado de trabajo y, según el caso, a los requisitos específicos fijados por los convenios bilaterales (como aquellos relativos a la </w:t>
      </w:r>
      <w:r w:rsidR="0090050D">
        <w:t>s</w:t>
      </w:r>
      <w:r w:rsidR="00B37C94" w:rsidRPr="0008316B">
        <w:t xml:space="preserve">eguridad </w:t>
      </w:r>
      <w:r w:rsidR="0090050D">
        <w:t>s</w:t>
      </w:r>
      <w:r w:rsidR="00B37C94" w:rsidRPr="0008316B">
        <w:t>ocial) o multilaterales (MERCOSUR). El Comité nota con preocupación que, en la práctica, el acceso al mercado laboral sin documentación de radicación permanente o con la constancia de solicitud de refugio en trámite resulta complicado en términos de costo y duración del trámite.</w:t>
      </w:r>
    </w:p>
    <w:p w14:paraId="667BCB6D" w14:textId="1364ABCE" w:rsidR="00FC5989"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lastRenderedPageBreak/>
        <w:t>34.</w:t>
      </w:r>
      <w:r w:rsidRPr="0008316B">
        <w:tab/>
      </w:r>
      <w:r w:rsidR="00FC5989" w:rsidRPr="0008316B">
        <w:t xml:space="preserve">El Comité toma nota de las nuevas normas y acuerdos emitidos por las autoridades </w:t>
      </w:r>
      <w:r w:rsidR="004840D1" w:rsidRPr="0008316B">
        <w:t>n</w:t>
      </w:r>
      <w:r w:rsidR="00FC5989" w:rsidRPr="0008316B">
        <w:t xml:space="preserve">acionales que </w:t>
      </w:r>
      <w:r w:rsidR="00DB74D2" w:rsidRPr="0008316B">
        <w:t>posibilitan</w:t>
      </w:r>
      <w:r w:rsidR="00FC5989" w:rsidRPr="0008316B">
        <w:t xml:space="preserve"> a las personas solicitantes de asilo y refugiados abrir cuentas de ahorro</w:t>
      </w:r>
      <w:r w:rsidR="0038308F" w:rsidRPr="0008316B">
        <w:t xml:space="preserve"> y</w:t>
      </w:r>
      <w:r w:rsidR="00FC5989" w:rsidRPr="0008316B">
        <w:t xml:space="preserve"> obtener licencias de conducir, </w:t>
      </w:r>
      <w:r w:rsidR="0038308F" w:rsidRPr="0008316B">
        <w:t xml:space="preserve">lo que constituye </w:t>
      </w:r>
      <w:r w:rsidR="00FC5989" w:rsidRPr="0008316B">
        <w:t>un gran paso hacia la inclusión de las personas solicitantes de asilo y su acceso a derechos y servicios públicos sin discriminación.</w:t>
      </w:r>
    </w:p>
    <w:p w14:paraId="3449E04C" w14:textId="69425618" w:rsidR="000762FD" w:rsidRPr="00564B42"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564B42">
        <w:t>35.</w:t>
      </w:r>
      <w:r w:rsidRPr="00564B42">
        <w:tab/>
      </w:r>
      <w:r w:rsidR="00067737" w:rsidRPr="0008316B">
        <w:t>El Comité toma no</w:t>
      </w:r>
      <w:r w:rsidR="002E1A8E" w:rsidRPr="0008316B">
        <w:t xml:space="preserve">ta con gran preocupación </w:t>
      </w:r>
      <w:r w:rsidR="00894D5C" w:rsidRPr="0008316B">
        <w:t>d</w:t>
      </w:r>
      <w:r w:rsidR="002E1A8E" w:rsidRPr="0008316B">
        <w:t xml:space="preserve">el </w:t>
      </w:r>
      <w:r w:rsidR="005737C1" w:rsidRPr="0008316B">
        <w:t xml:space="preserve">contenido </w:t>
      </w:r>
      <w:r w:rsidR="002E1A8E" w:rsidRPr="0008316B">
        <w:t xml:space="preserve">de la Ley de Emergencia </w:t>
      </w:r>
      <w:r w:rsidR="0090050D">
        <w:t>núm. </w:t>
      </w:r>
      <w:r w:rsidR="002E1A8E" w:rsidRPr="0008316B">
        <w:t xml:space="preserve">6524/2020 (Decreto </w:t>
      </w:r>
      <w:r w:rsidR="0090050D">
        <w:t>núm. </w:t>
      </w:r>
      <w:r w:rsidR="002E1A8E" w:rsidRPr="0008316B">
        <w:t xml:space="preserve">3506) que excluye </w:t>
      </w:r>
      <w:r w:rsidR="00B547B3" w:rsidRPr="0008316B">
        <w:t xml:space="preserve">a </w:t>
      </w:r>
      <w:r w:rsidR="002E1A8E" w:rsidRPr="0008316B">
        <w:t>la población migrante y refugiada de la posibilidad de obtener el subsidio para personas trabajadoras en</w:t>
      </w:r>
      <w:r w:rsidR="00C370DF" w:rsidRPr="0008316B">
        <w:t xml:space="preserve"> el sector informal</w:t>
      </w:r>
      <w:r w:rsidR="00921760" w:rsidRPr="0008316B">
        <w:t xml:space="preserve">, ya que estableció como beneficiarias únicamente a personas de nacionalidad </w:t>
      </w:r>
      <w:r w:rsidR="00921760" w:rsidRPr="00564B42">
        <w:t>paraguaya por nacimiento o por naturalización.</w:t>
      </w:r>
    </w:p>
    <w:p w14:paraId="3B3503EB" w14:textId="2AA6F3A1" w:rsidR="00C16103" w:rsidRPr="00564B42"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bookmarkStart w:id="12" w:name="_Hlk100230234"/>
      <w:r w:rsidRPr="00564B42">
        <w:t>36.</w:t>
      </w:r>
      <w:r w:rsidRPr="00564B42">
        <w:tab/>
      </w:r>
      <w:r w:rsidR="00C16103" w:rsidRPr="00564B42">
        <w:rPr>
          <w:b/>
          <w:bCs/>
        </w:rPr>
        <w:t xml:space="preserve">El Comité recomienda que el Estado parte apruebe </w:t>
      </w:r>
      <w:r w:rsidR="009D51B7" w:rsidRPr="00564B42">
        <w:rPr>
          <w:b/>
          <w:bCs/>
        </w:rPr>
        <w:t xml:space="preserve">y publique </w:t>
      </w:r>
      <w:r w:rsidR="00C16103" w:rsidRPr="00564B42">
        <w:rPr>
          <w:b/>
          <w:bCs/>
        </w:rPr>
        <w:t xml:space="preserve">lo antes posible una ley contra todas las formas de discriminación. </w:t>
      </w:r>
    </w:p>
    <w:p w14:paraId="62E2914F" w14:textId="722C5ADE" w:rsidR="00C370DF"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37.</w:t>
      </w:r>
      <w:r w:rsidRPr="0008316B">
        <w:rPr>
          <w:bCs/>
        </w:rPr>
        <w:tab/>
      </w:r>
      <w:r w:rsidR="00C370DF" w:rsidRPr="0008316B">
        <w:rPr>
          <w:b/>
          <w:bCs/>
        </w:rPr>
        <w:t xml:space="preserve">El Comité recomienda al Estado parte adoptar las medidas necesarias para garantizar que las enfermedades infectocontagiosas no constituyan una barrera para que los trabajadores migratorios y sus familiares sean admitidos en el Estado parte. </w:t>
      </w:r>
    </w:p>
    <w:bookmarkEnd w:id="12"/>
    <w:p w14:paraId="14D0D2F4" w14:textId="24628245" w:rsidR="00086B85"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38.</w:t>
      </w:r>
      <w:r w:rsidRPr="0008316B">
        <w:rPr>
          <w:bCs/>
        </w:rPr>
        <w:tab/>
      </w:r>
      <w:r w:rsidR="00086B85" w:rsidRPr="0008316B">
        <w:rPr>
          <w:b/>
          <w:bCs/>
        </w:rPr>
        <w:t>El Comité recomienda que el Estado parte facilite recursos y procesos para romper el círculo vicioso en el que se encuentran los migrantes, toda vez que para trabajar necesitan la documentación de su residencia permanente, y para acceder a la documentación necesitan contar con ingresos obtenidos a partir de sus tareas laborales.</w:t>
      </w:r>
    </w:p>
    <w:p w14:paraId="238FF77C" w14:textId="7884D1F5"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39.</w:t>
      </w:r>
      <w:r w:rsidRPr="0008316B">
        <w:rPr>
          <w:bCs/>
        </w:rPr>
        <w:tab/>
      </w:r>
      <w:r w:rsidR="00067737" w:rsidRPr="0008316B">
        <w:rPr>
          <w:b/>
          <w:bCs/>
        </w:rPr>
        <w:t xml:space="preserve">El Comité recomienda que el </w:t>
      </w:r>
      <w:r w:rsidR="00BE76E0" w:rsidRPr="0008316B">
        <w:rPr>
          <w:b/>
          <w:bCs/>
        </w:rPr>
        <w:t>E</w:t>
      </w:r>
      <w:r w:rsidR="00067737" w:rsidRPr="0008316B">
        <w:rPr>
          <w:b/>
          <w:bCs/>
        </w:rPr>
        <w:t xml:space="preserve">stado parte </w:t>
      </w:r>
      <w:r w:rsidR="005A2043" w:rsidRPr="0008316B">
        <w:rPr>
          <w:b/>
          <w:bCs/>
        </w:rPr>
        <w:t xml:space="preserve">analice </w:t>
      </w:r>
      <w:r w:rsidR="00067737" w:rsidRPr="0008316B">
        <w:rPr>
          <w:b/>
          <w:bCs/>
        </w:rPr>
        <w:t xml:space="preserve">los motivos de la falta de registros de casos de discriminación, </w:t>
      </w:r>
      <w:r w:rsidR="00921C74">
        <w:rPr>
          <w:b/>
          <w:bCs/>
        </w:rPr>
        <w:t>llevando a cabo</w:t>
      </w:r>
      <w:r w:rsidR="00921C74" w:rsidRPr="0008316B">
        <w:rPr>
          <w:b/>
          <w:bCs/>
        </w:rPr>
        <w:t xml:space="preserve"> </w:t>
      </w:r>
      <w:r w:rsidR="00067737" w:rsidRPr="0008316B">
        <w:rPr>
          <w:b/>
          <w:bCs/>
        </w:rPr>
        <w:t xml:space="preserve">acciones y programas para incrementar </w:t>
      </w:r>
      <w:r w:rsidR="000E2550">
        <w:rPr>
          <w:b/>
          <w:bCs/>
        </w:rPr>
        <w:t xml:space="preserve">el </w:t>
      </w:r>
      <w:r w:rsidR="00067737" w:rsidRPr="0008316B">
        <w:rPr>
          <w:b/>
          <w:bCs/>
        </w:rPr>
        <w:t xml:space="preserve">acceso a </w:t>
      </w:r>
      <w:r w:rsidR="000E2550">
        <w:rPr>
          <w:b/>
          <w:bCs/>
        </w:rPr>
        <w:t xml:space="preserve">la </w:t>
      </w:r>
      <w:r w:rsidR="00067737" w:rsidRPr="0008316B">
        <w:rPr>
          <w:b/>
          <w:bCs/>
        </w:rPr>
        <w:t xml:space="preserve">información, facilitar </w:t>
      </w:r>
      <w:r w:rsidR="00C777F7">
        <w:rPr>
          <w:b/>
          <w:bCs/>
        </w:rPr>
        <w:t xml:space="preserve">el </w:t>
      </w:r>
      <w:r w:rsidR="00067737" w:rsidRPr="0008316B">
        <w:rPr>
          <w:b/>
          <w:bCs/>
        </w:rPr>
        <w:t xml:space="preserve">acceso a los mecanismos de denuncia y a la justicia, </w:t>
      </w:r>
      <w:r w:rsidR="00C777F7">
        <w:rPr>
          <w:b/>
          <w:bCs/>
        </w:rPr>
        <w:t>y</w:t>
      </w:r>
      <w:r w:rsidR="00067737" w:rsidRPr="0008316B">
        <w:rPr>
          <w:b/>
          <w:bCs/>
        </w:rPr>
        <w:t xml:space="preserve"> </w:t>
      </w:r>
      <w:r w:rsidR="00C777F7">
        <w:rPr>
          <w:b/>
          <w:bCs/>
        </w:rPr>
        <w:t>aumentar</w:t>
      </w:r>
      <w:r w:rsidR="00C777F7" w:rsidRPr="0008316B">
        <w:rPr>
          <w:b/>
          <w:bCs/>
        </w:rPr>
        <w:t xml:space="preserve"> </w:t>
      </w:r>
      <w:r w:rsidR="00F029D9" w:rsidRPr="0008316B">
        <w:rPr>
          <w:b/>
          <w:bCs/>
        </w:rPr>
        <w:t xml:space="preserve">la </w:t>
      </w:r>
      <w:r w:rsidR="00067737" w:rsidRPr="0008316B">
        <w:rPr>
          <w:b/>
          <w:bCs/>
        </w:rPr>
        <w:t xml:space="preserve">transparencia y </w:t>
      </w:r>
      <w:r w:rsidR="00F029D9" w:rsidRPr="0008316B">
        <w:rPr>
          <w:b/>
          <w:bCs/>
        </w:rPr>
        <w:t xml:space="preserve">la </w:t>
      </w:r>
      <w:r w:rsidR="00067737" w:rsidRPr="0008316B">
        <w:rPr>
          <w:b/>
          <w:bCs/>
        </w:rPr>
        <w:t>confianza en las instituciones para que las personas migrantes acudan a la justicia por su situación migratoria</w:t>
      </w:r>
      <w:r w:rsidR="000C0EFF" w:rsidRPr="0008316B">
        <w:rPr>
          <w:b/>
          <w:bCs/>
        </w:rPr>
        <w:t>.</w:t>
      </w:r>
    </w:p>
    <w:p w14:paraId="528390E5" w14:textId="1A77AB2D" w:rsidR="00AC32BF"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40.</w:t>
      </w:r>
      <w:r w:rsidRPr="0008316B">
        <w:rPr>
          <w:bCs/>
        </w:rPr>
        <w:tab/>
      </w:r>
      <w:r w:rsidR="00AC32BF" w:rsidRPr="0008316B">
        <w:rPr>
          <w:b/>
          <w:bCs/>
        </w:rPr>
        <w:t>El Comité recomienda que las representaciones diplomáticas o consulares del Estado parte desarrollen programas y campañas de sensibilización para prevenir casos de discriminación y xenofobia sufrid</w:t>
      </w:r>
      <w:r w:rsidR="004A77D3">
        <w:rPr>
          <w:b/>
          <w:bCs/>
        </w:rPr>
        <w:t>o</w:t>
      </w:r>
      <w:r w:rsidR="00AC32BF" w:rsidRPr="0008316B">
        <w:rPr>
          <w:b/>
          <w:bCs/>
        </w:rPr>
        <w:t>s por paraguayos en otros países.</w:t>
      </w:r>
    </w:p>
    <w:p w14:paraId="04580169" w14:textId="33F715EE" w:rsidR="00067737" w:rsidRPr="003F5E2C" w:rsidRDefault="0030114B" w:rsidP="003F5E2C">
      <w:pPr>
        <w:pStyle w:val="H23G"/>
      </w:pPr>
      <w:r w:rsidRPr="003F5E2C">
        <w:tab/>
      </w:r>
      <w:r w:rsidRPr="003F5E2C">
        <w:tab/>
      </w:r>
      <w:r w:rsidR="00067737" w:rsidRPr="003F5E2C">
        <w:t>Derecho a una reparación efectiva</w:t>
      </w:r>
    </w:p>
    <w:p w14:paraId="4CC60D13" w14:textId="60A6AE06"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41.</w:t>
      </w:r>
      <w:r w:rsidRPr="0008316B">
        <w:tab/>
      </w:r>
      <w:r w:rsidR="00067737" w:rsidRPr="0008316B">
        <w:t xml:space="preserve">El Comité toma nota </w:t>
      </w:r>
      <w:r w:rsidR="00722CA2">
        <w:t xml:space="preserve">de </w:t>
      </w:r>
      <w:r w:rsidR="00067737" w:rsidRPr="0008316B">
        <w:t>que la Constitución y las leyes paraguayas otorgan el derecho a cualquier persona</w:t>
      </w:r>
      <w:r w:rsidR="003104D2" w:rsidRPr="0008316B">
        <w:t>,</w:t>
      </w:r>
      <w:r w:rsidR="00067737" w:rsidRPr="0008316B">
        <w:t xml:space="preserve"> sin consideración de su estatuto de nacional o extranjeros</w:t>
      </w:r>
      <w:r w:rsidR="003104D2" w:rsidRPr="0008316B">
        <w:t>,</w:t>
      </w:r>
      <w:r w:rsidR="00067737" w:rsidRPr="0008316B">
        <w:t xml:space="preserve"> de recurrir ante las jurisdicciones para obtener reparaciones en caso de pe</w:t>
      </w:r>
      <w:r w:rsidR="00C370DF" w:rsidRPr="0008316B">
        <w:t>r</w:t>
      </w:r>
      <w:r w:rsidR="00067737" w:rsidRPr="0008316B">
        <w:t xml:space="preserve">juicio derivado de la violación </w:t>
      </w:r>
      <w:r w:rsidR="001B4891">
        <w:t>de</w:t>
      </w:r>
      <w:r w:rsidR="00067737" w:rsidRPr="0008316B">
        <w:t xml:space="preserve"> sus derechos. El Comité sigue preocupado por el limitado acceso a la justicia y reparación para las víctimas de abusos y violaciones de derechos establecidos por la Convención</w:t>
      </w:r>
      <w:r w:rsidR="002A1540" w:rsidRPr="0008316B">
        <w:t>, así como</w:t>
      </w:r>
      <w:r w:rsidR="00D82250">
        <w:t xml:space="preserve"> por el hecho de que</w:t>
      </w:r>
      <w:r w:rsidR="002A1540" w:rsidRPr="0008316B">
        <w:t xml:space="preserve"> la información sobre su condición migratoria pued</w:t>
      </w:r>
      <w:r w:rsidR="00D82250">
        <w:t>a</w:t>
      </w:r>
      <w:r w:rsidR="002A1540" w:rsidRPr="0008316B">
        <w:t xml:space="preserve"> ser dada a otras autoridades</w:t>
      </w:r>
      <w:r w:rsidR="00340E85" w:rsidRPr="0008316B">
        <w:t>.</w:t>
      </w:r>
      <w:r w:rsidR="002A1540" w:rsidRPr="0008316B">
        <w:t xml:space="preserve"> </w:t>
      </w:r>
    </w:p>
    <w:p w14:paraId="76BD233A" w14:textId="2412C314" w:rsidR="0099213E"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42.</w:t>
      </w:r>
      <w:r w:rsidRPr="0008316B">
        <w:tab/>
      </w:r>
      <w:r w:rsidR="001010D0" w:rsidRPr="0008316B">
        <w:t>E</w:t>
      </w:r>
      <w:r w:rsidR="00067737" w:rsidRPr="0008316B">
        <w:t xml:space="preserve">l Comité toma nota de las Jornadas de Regularización Migratorias que sirven para reducir </w:t>
      </w:r>
      <w:r w:rsidR="004C1440">
        <w:t xml:space="preserve">los </w:t>
      </w:r>
      <w:r w:rsidR="00067737" w:rsidRPr="0008316B">
        <w:t xml:space="preserve">casos de limitación de acceso a derechos por falta de documentación y también sirven de espacio para informar a los extranjeros de sus derechos en general. Sin embargo, el Comité expresa su preocupación </w:t>
      </w:r>
      <w:r w:rsidR="00DD76FB" w:rsidRPr="0008316B">
        <w:t>sobre</w:t>
      </w:r>
      <w:r w:rsidR="00067737" w:rsidRPr="0008316B">
        <w:t xml:space="preserve"> </w:t>
      </w:r>
      <w:r w:rsidR="002344FA" w:rsidRPr="0008316B">
        <w:t xml:space="preserve">aquellas personas que habiendo solicitado ingreso a las jornadas hayan sido rechazadas y no tengan una posterior posibilidad de volver a </w:t>
      </w:r>
      <w:r w:rsidR="0066039F">
        <w:t>solicitarlo</w:t>
      </w:r>
      <w:r w:rsidR="002344FA" w:rsidRPr="0008316B">
        <w:t>. De igual manera</w:t>
      </w:r>
      <w:r w:rsidR="00AA1E17" w:rsidRPr="0008316B">
        <w:t>,</w:t>
      </w:r>
      <w:r w:rsidR="002344FA" w:rsidRPr="0008316B">
        <w:t xml:space="preserve"> </w:t>
      </w:r>
      <w:r w:rsidR="00AA1E17" w:rsidRPr="0008316B">
        <w:t>e</w:t>
      </w:r>
      <w:r w:rsidR="002344FA" w:rsidRPr="0008316B">
        <w:t xml:space="preserve">l Comité muestra su preocupación por </w:t>
      </w:r>
      <w:r w:rsidR="00067737" w:rsidRPr="0008316B">
        <w:t>la situación de los migrantes en situación irregular a quien</w:t>
      </w:r>
      <w:r w:rsidR="00B07B3D" w:rsidRPr="0008316B">
        <w:t>es</w:t>
      </w:r>
      <w:r w:rsidR="00067737" w:rsidRPr="0008316B">
        <w:t xml:space="preserve"> dichas regularizaciones no se aplican</w:t>
      </w:r>
      <w:r w:rsidR="00242570" w:rsidRPr="0008316B">
        <w:t xml:space="preserve"> en la práctica</w:t>
      </w:r>
      <w:r w:rsidR="00B07B3D" w:rsidRPr="0008316B">
        <w:t>,</w:t>
      </w:r>
      <w:r w:rsidR="00067737" w:rsidRPr="0008316B">
        <w:t xml:space="preserve"> pues se dirigen únicamente a aquellos que </w:t>
      </w:r>
      <w:r w:rsidR="002238D7">
        <w:t>cuentan con</w:t>
      </w:r>
      <w:r w:rsidR="002238D7" w:rsidRPr="0008316B">
        <w:t xml:space="preserve"> </w:t>
      </w:r>
      <w:r w:rsidR="00067737" w:rsidRPr="0008316B">
        <w:t>al menos un año de estancia en el territorio</w:t>
      </w:r>
      <w:r w:rsidR="005E3B91">
        <w:t>,</w:t>
      </w:r>
      <w:r w:rsidR="00067737" w:rsidRPr="0008316B">
        <w:t xml:space="preserve"> y </w:t>
      </w:r>
      <w:r w:rsidR="005E3B91">
        <w:t>por</w:t>
      </w:r>
      <w:r w:rsidR="00067737" w:rsidRPr="0008316B">
        <w:t xml:space="preserve"> la falta de</w:t>
      </w:r>
      <w:r w:rsidR="00471113">
        <w:t xml:space="preserve"> difusión de los contenidos </w:t>
      </w:r>
      <w:r w:rsidR="00067737" w:rsidRPr="0008316B">
        <w:t>de la Convención</w:t>
      </w:r>
      <w:r w:rsidR="00471113">
        <w:t xml:space="preserve"> y de programas de capacitación sobre esta</w:t>
      </w:r>
      <w:r w:rsidR="00067737" w:rsidRPr="0008316B">
        <w:t xml:space="preserve">, lo que limita que </w:t>
      </w:r>
      <w:r w:rsidR="00471113">
        <w:t xml:space="preserve">los </w:t>
      </w:r>
      <w:r w:rsidR="00067737" w:rsidRPr="0008316B">
        <w:t xml:space="preserve">migrantes irregulares sepan que pueden acudir a la justicia </w:t>
      </w:r>
      <w:r w:rsidR="00B33F47" w:rsidRPr="0008316B">
        <w:t xml:space="preserve">aun cuando no tengan </w:t>
      </w:r>
      <w:r w:rsidR="00067737" w:rsidRPr="0008316B">
        <w:t xml:space="preserve">toda </w:t>
      </w:r>
      <w:r w:rsidR="00471113">
        <w:t>la</w:t>
      </w:r>
      <w:r w:rsidR="00471113" w:rsidRPr="0008316B">
        <w:t xml:space="preserve"> </w:t>
      </w:r>
      <w:r w:rsidR="00067737" w:rsidRPr="0008316B">
        <w:t>documentación</w:t>
      </w:r>
      <w:r w:rsidR="001010D0" w:rsidRPr="0008316B">
        <w:t xml:space="preserve">. </w:t>
      </w:r>
      <w:r w:rsidR="001A65F1" w:rsidRPr="0008316B">
        <w:t xml:space="preserve">Además, </w:t>
      </w:r>
      <w:r w:rsidR="00067737" w:rsidRPr="0008316B">
        <w:t xml:space="preserve">sigue preocupando al Comité que los trabajadores migratorios, independientemente de su condición jurídica, </w:t>
      </w:r>
      <w:r w:rsidR="00AF5814" w:rsidRPr="0008316B">
        <w:t xml:space="preserve">no </w:t>
      </w:r>
      <w:r w:rsidR="004A4CCC" w:rsidRPr="0008316B">
        <w:t xml:space="preserve">conozcan que pueden acceder a la justicia para </w:t>
      </w:r>
      <w:r w:rsidR="00C601C6" w:rsidRPr="0008316B">
        <w:t xml:space="preserve">ejercer su </w:t>
      </w:r>
      <w:r w:rsidR="00D1548B" w:rsidRPr="0008316B">
        <w:t xml:space="preserve">derecho a </w:t>
      </w:r>
      <w:r w:rsidR="00067737" w:rsidRPr="0008316B">
        <w:t>las reparaciones</w:t>
      </w:r>
      <w:r w:rsidR="00113C75" w:rsidRPr="0008316B">
        <w:t>.</w:t>
      </w:r>
    </w:p>
    <w:p w14:paraId="73818970" w14:textId="71C6A3FB" w:rsidR="00625D1B"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43.</w:t>
      </w:r>
      <w:r w:rsidRPr="0008316B">
        <w:rPr>
          <w:bCs/>
        </w:rPr>
        <w:tab/>
      </w:r>
      <w:r w:rsidR="0099213E" w:rsidRPr="0008316B">
        <w:rPr>
          <w:b/>
          <w:bCs/>
        </w:rPr>
        <w:t xml:space="preserve">El Comité reitera su recomendación </w:t>
      </w:r>
      <w:r w:rsidR="00210145">
        <w:rPr>
          <w:b/>
          <w:bCs/>
        </w:rPr>
        <w:t>anterior</w:t>
      </w:r>
      <w:r w:rsidR="00F60FE5" w:rsidRPr="00A465D3">
        <w:rPr>
          <w:rStyle w:val="Refdenotaalpie"/>
        </w:rPr>
        <w:footnoteReference w:id="12"/>
      </w:r>
      <w:r w:rsidR="00210145">
        <w:rPr>
          <w:b/>
          <w:bCs/>
        </w:rPr>
        <w:t xml:space="preserve"> </w:t>
      </w:r>
      <w:r w:rsidR="0099213E" w:rsidRPr="0008316B">
        <w:rPr>
          <w:b/>
          <w:bCs/>
        </w:rPr>
        <w:t xml:space="preserve">y recomienda que el Estado parte redoble sus esfuerzos para que en la práctica los trabajadores migratorios y sus familiares, incluidos los que se encuentran en situación irregular, estén informados </w:t>
      </w:r>
      <w:r w:rsidR="0099213E" w:rsidRPr="0008316B">
        <w:rPr>
          <w:b/>
          <w:bCs/>
        </w:rPr>
        <w:lastRenderedPageBreak/>
        <w:t>sobre los procedimientos migratorios y la documentación necesaria,</w:t>
      </w:r>
      <w:r w:rsidR="002344FA" w:rsidRPr="0008316B">
        <w:rPr>
          <w:b/>
          <w:bCs/>
        </w:rPr>
        <w:t xml:space="preserve"> así como la posibilidad que tienen para solicitar su regularización incluso en caso de rechazo,</w:t>
      </w:r>
      <w:r w:rsidR="0099213E" w:rsidRPr="0008316B">
        <w:rPr>
          <w:b/>
          <w:bCs/>
        </w:rPr>
        <w:t xml:space="preserve"> y sobre sus derechos a la llegada y durante el tránsito, así como </w:t>
      </w:r>
      <w:r w:rsidR="00267A7C" w:rsidRPr="0008316B">
        <w:rPr>
          <w:b/>
          <w:bCs/>
        </w:rPr>
        <w:t xml:space="preserve">que </w:t>
      </w:r>
      <w:r w:rsidR="00625D1B" w:rsidRPr="0008316B">
        <w:rPr>
          <w:b/>
          <w:bCs/>
        </w:rPr>
        <w:t xml:space="preserve">tengan acceso </w:t>
      </w:r>
      <w:r w:rsidR="00196F99" w:rsidRPr="0008316B">
        <w:rPr>
          <w:b/>
          <w:bCs/>
        </w:rPr>
        <w:t>a las reparaciones</w:t>
      </w:r>
      <w:r w:rsidR="00DE4CF5" w:rsidRPr="0008316B">
        <w:rPr>
          <w:b/>
          <w:bCs/>
        </w:rPr>
        <w:t>,</w:t>
      </w:r>
      <w:r w:rsidR="00625D1B" w:rsidRPr="0008316B">
        <w:rPr>
          <w:b/>
          <w:bCs/>
        </w:rPr>
        <w:t xml:space="preserve"> mecanismos de denuncia y otros recursos. </w:t>
      </w:r>
      <w:r w:rsidR="002A1540" w:rsidRPr="0008316B">
        <w:rPr>
          <w:b/>
          <w:bCs/>
        </w:rPr>
        <w:t xml:space="preserve">El Comité recomienda </w:t>
      </w:r>
      <w:r w:rsidR="0023645B" w:rsidRPr="0008316B">
        <w:rPr>
          <w:b/>
          <w:bCs/>
        </w:rPr>
        <w:t xml:space="preserve">mantener la privacidad de la información sobre la condición migratoria de las personas que acceden a la justicia </w:t>
      </w:r>
      <w:r w:rsidR="0023645B" w:rsidRPr="00A465D3">
        <w:rPr>
          <w:b/>
          <w:bCs/>
          <w:i/>
        </w:rPr>
        <w:t>(</w:t>
      </w:r>
      <w:r w:rsidR="0023645B" w:rsidRPr="00A465D3">
        <w:rPr>
          <w:b/>
          <w:bCs/>
          <w:i/>
          <w:iCs/>
        </w:rPr>
        <w:t>firewall</w:t>
      </w:r>
      <w:r w:rsidR="0023645B" w:rsidRPr="00A465D3">
        <w:rPr>
          <w:b/>
          <w:bCs/>
          <w:i/>
        </w:rPr>
        <w:t>)</w:t>
      </w:r>
      <w:r w:rsidR="0023645B" w:rsidRPr="0008316B">
        <w:rPr>
          <w:b/>
          <w:bCs/>
        </w:rPr>
        <w:t>.</w:t>
      </w:r>
    </w:p>
    <w:p w14:paraId="50E6BC9D" w14:textId="265D9614" w:rsidR="00067737" w:rsidRPr="003F5E2C" w:rsidRDefault="00067737" w:rsidP="003F5E2C">
      <w:pPr>
        <w:pStyle w:val="H23G"/>
      </w:pPr>
      <w:r w:rsidRPr="003F5E2C">
        <w:tab/>
        <w:t>3.</w:t>
      </w:r>
      <w:r w:rsidRPr="003F5E2C">
        <w:tab/>
      </w:r>
      <w:r w:rsidRPr="004C742B">
        <w:t>Derechos humanos de todos los trabajadores migratorios y de sus familiares (arts. 8 a 35</w:t>
      </w:r>
      <w:r w:rsidR="00E96C7E" w:rsidRPr="004C742B">
        <w:t>)</w:t>
      </w:r>
    </w:p>
    <w:p w14:paraId="032CF5ED" w14:textId="18950A62" w:rsidR="00067737" w:rsidRPr="003F5E2C" w:rsidRDefault="0060217F" w:rsidP="003F5E2C">
      <w:pPr>
        <w:pStyle w:val="H23G"/>
      </w:pPr>
      <w:r w:rsidRPr="003F5E2C">
        <w:tab/>
      </w:r>
      <w:r w:rsidRPr="003F5E2C">
        <w:tab/>
      </w:r>
      <w:r w:rsidR="00067737" w:rsidRPr="003F5E2C">
        <w:t>Detención</w:t>
      </w:r>
    </w:p>
    <w:p w14:paraId="59A66947" w14:textId="25293DD1" w:rsidR="00CA2896"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44.</w:t>
      </w:r>
      <w:r w:rsidRPr="0008316B">
        <w:tab/>
      </w:r>
      <w:r w:rsidR="00455441" w:rsidRPr="0008316B">
        <w:t xml:space="preserve">El Comité toma nota de la información brindada por el Estado parte sobre la no aplicación de medidas de detención por razones migratorias. Preocupa al Comité la falta de información precisa sobre </w:t>
      </w:r>
      <w:r w:rsidR="007642C2" w:rsidRPr="0008316B">
        <w:t xml:space="preserve">el número de personas migrantes detenidas, </w:t>
      </w:r>
      <w:r w:rsidR="00455441" w:rsidRPr="0008316B">
        <w:t xml:space="preserve">las condiciones y duración en que se realiza la “demora administrativa” en los procedimientos de ingreso al país. </w:t>
      </w:r>
    </w:p>
    <w:p w14:paraId="6EE331FA" w14:textId="6C8DC818"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45.</w:t>
      </w:r>
      <w:r w:rsidRPr="0008316B">
        <w:rPr>
          <w:bCs/>
        </w:rPr>
        <w:tab/>
      </w:r>
      <w:r w:rsidR="00067737" w:rsidRPr="0008316B">
        <w:rPr>
          <w:b/>
          <w:bCs/>
        </w:rPr>
        <w:t xml:space="preserve">A la luz de su observación general núm. </w:t>
      </w:r>
      <w:r w:rsidR="00A327BF" w:rsidRPr="0008316B">
        <w:rPr>
          <w:b/>
          <w:bCs/>
        </w:rPr>
        <w:t>5</w:t>
      </w:r>
      <w:r w:rsidR="00067737" w:rsidRPr="0008316B">
        <w:rPr>
          <w:b/>
          <w:bCs/>
        </w:rPr>
        <w:t xml:space="preserve"> (20</w:t>
      </w:r>
      <w:r w:rsidR="00A327BF" w:rsidRPr="0008316B">
        <w:rPr>
          <w:b/>
          <w:bCs/>
        </w:rPr>
        <w:t>21</w:t>
      </w:r>
      <w:bookmarkStart w:id="13" w:name="_Hlk100230273"/>
      <w:r w:rsidR="00067737" w:rsidRPr="0008316B">
        <w:rPr>
          <w:b/>
          <w:bCs/>
        </w:rPr>
        <w:t xml:space="preserve">) </w:t>
      </w:r>
      <w:r w:rsidR="000E22B2" w:rsidRPr="0008316B">
        <w:rPr>
          <w:b/>
          <w:bCs/>
        </w:rPr>
        <w:t xml:space="preserve">sobre los derechos de los migrantes a la libertad y a no ser detenidos arbitrariamente, </w:t>
      </w:r>
      <w:r w:rsidR="00067737" w:rsidRPr="0008316B">
        <w:rPr>
          <w:b/>
          <w:bCs/>
        </w:rPr>
        <w:t>el Comité insta el Estado parte a:</w:t>
      </w:r>
    </w:p>
    <w:p w14:paraId="1D013C76" w14:textId="5158633E" w:rsidR="00067737" w:rsidRPr="00A465D3" w:rsidRDefault="00067737" w:rsidP="0060217F">
      <w:pPr>
        <w:pStyle w:val="SingleTxtG"/>
        <w:rPr>
          <w:b/>
          <w:bCs/>
        </w:rPr>
      </w:pPr>
      <w:r w:rsidRPr="00A465D3">
        <w:rPr>
          <w:b/>
          <w:bCs/>
        </w:rPr>
        <w:tab/>
        <w:t>a)</w:t>
      </w:r>
      <w:r w:rsidRPr="00A465D3">
        <w:rPr>
          <w:b/>
          <w:bCs/>
        </w:rPr>
        <w:tab/>
        <w:t>Asegurarse de que la detención de migrantes sea una medida excepcional de último recurso, que los motivos se especifiquen en cada caso dando las razones por las cuales no se pueden implementar medidas alternativas, y que la medida sea revisada en menos de 24 horas por una autoridad judicial independiente e imparcial;</w:t>
      </w:r>
    </w:p>
    <w:p w14:paraId="53792FFE" w14:textId="12732D25" w:rsidR="00067737" w:rsidRPr="00A465D3" w:rsidRDefault="00067737" w:rsidP="0060217F">
      <w:pPr>
        <w:pStyle w:val="SingleTxtG"/>
        <w:rPr>
          <w:b/>
          <w:bCs/>
        </w:rPr>
      </w:pPr>
      <w:r w:rsidRPr="00A465D3">
        <w:rPr>
          <w:b/>
          <w:bCs/>
        </w:rPr>
        <w:tab/>
        <w:t>b)</w:t>
      </w:r>
      <w:r w:rsidRPr="00A465D3">
        <w:rPr>
          <w:b/>
          <w:bCs/>
        </w:rPr>
        <w:tab/>
        <w:t xml:space="preserve">Adoptar alternativas a la detención administrativa </w:t>
      </w:r>
      <w:r w:rsidR="001A42FC" w:rsidRPr="00A465D3">
        <w:rPr>
          <w:b/>
          <w:bCs/>
        </w:rPr>
        <w:t xml:space="preserve">en beneficio de </w:t>
      </w:r>
      <w:r w:rsidRPr="00A465D3">
        <w:rPr>
          <w:b/>
          <w:bCs/>
        </w:rPr>
        <w:t xml:space="preserve">los trabajadores migrantes y los miembros de sus familias </w:t>
      </w:r>
      <w:r w:rsidR="007642C2" w:rsidRPr="00A465D3">
        <w:rPr>
          <w:b/>
          <w:bCs/>
        </w:rPr>
        <w:t>en el marco del procedimiento de ingreso al país o de</w:t>
      </w:r>
      <w:r w:rsidRPr="00A465D3">
        <w:rPr>
          <w:b/>
          <w:bCs/>
        </w:rPr>
        <w:t xml:space="preserve"> expulsión del territorio nacional;</w:t>
      </w:r>
    </w:p>
    <w:p w14:paraId="1CE60191" w14:textId="164240ED" w:rsidR="00067737" w:rsidRPr="00A465D3" w:rsidRDefault="00067737" w:rsidP="0060217F">
      <w:pPr>
        <w:pStyle w:val="SingleTxtG"/>
        <w:rPr>
          <w:b/>
          <w:bCs/>
        </w:rPr>
      </w:pPr>
      <w:r w:rsidRPr="00A465D3">
        <w:rPr>
          <w:b/>
          <w:bCs/>
        </w:rPr>
        <w:tab/>
        <w:t>c)</w:t>
      </w:r>
      <w:r w:rsidRPr="00A465D3">
        <w:rPr>
          <w:b/>
          <w:bCs/>
        </w:rPr>
        <w:tab/>
        <w:t>Garantizar condiciones adecuadas y decentes en los</w:t>
      </w:r>
      <w:r w:rsidR="00EB2C96" w:rsidRPr="00A465D3">
        <w:rPr>
          <w:b/>
          <w:bCs/>
        </w:rPr>
        <w:t xml:space="preserve"> lugares </w:t>
      </w:r>
      <w:r w:rsidR="00517A9F" w:rsidRPr="00A465D3">
        <w:rPr>
          <w:b/>
          <w:bCs/>
        </w:rPr>
        <w:t xml:space="preserve">en los </w:t>
      </w:r>
      <w:r w:rsidR="00EB2C96" w:rsidRPr="00A465D3">
        <w:rPr>
          <w:b/>
          <w:bCs/>
        </w:rPr>
        <w:t>que se realiza restricción a la libertad</w:t>
      </w:r>
      <w:r w:rsidR="00C307B8" w:rsidRPr="00A465D3">
        <w:rPr>
          <w:b/>
          <w:bCs/>
        </w:rPr>
        <w:t>, así como</w:t>
      </w:r>
      <w:r w:rsidR="00EB2C96" w:rsidRPr="00A465D3">
        <w:rPr>
          <w:b/>
          <w:bCs/>
        </w:rPr>
        <w:t>, en su caso,</w:t>
      </w:r>
      <w:r w:rsidR="00C307B8" w:rsidRPr="00A465D3">
        <w:rPr>
          <w:b/>
          <w:bCs/>
        </w:rPr>
        <w:t xml:space="preserve"> </w:t>
      </w:r>
      <w:r w:rsidR="00EE2809" w:rsidRPr="00A465D3">
        <w:rPr>
          <w:b/>
          <w:bCs/>
        </w:rPr>
        <w:t xml:space="preserve">la </w:t>
      </w:r>
      <w:r w:rsidR="00C307B8" w:rsidRPr="00A465D3">
        <w:rPr>
          <w:b/>
          <w:bCs/>
        </w:rPr>
        <w:t>sep</w:t>
      </w:r>
      <w:r w:rsidR="00875CF5" w:rsidRPr="00A465D3">
        <w:rPr>
          <w:b/>
          <w:bCs/>
        </w:rPr>
        <w:t>a</w:t>
      </w:r>
      <w:r w:rsidR="00C307B8" w:rsidRPr="00A465D3">
        <w:rPr>
          <w:b/>
          <w:bCs/>
        </w:rPr>
        <w:t xml:space="preserve">ración efectiva </w:t>
      </w:r>
      <w:r w:rsidR="00A833A1" w:rsidRPr="00A465D3">
        <w:rPr>
          <w:b/>
          <w:bCs/>
        </w:rPr>
        <w:t xml:space="preserve">de los trabajadores migrantes y los miembros de sus familias </w:t>
      </w:r>
      <w:r w:rsidR="00C307B8" w:rsidRPr="00A465D3">
        <w:rPr>
          <w:b/>
          <w:bCs/>
        </w:rPr>
        <w:t xml:space="preserve">de quienes </w:t>
      </w:r>
      <w:r w:rsidR="00F4692D" w:rsidRPr="00A465D3">
        <w:rPr>
          <w:b/>
          <w:bCs/>
        </w:rPr>
        <w:t>están siendo investigados penalmente;</w:t>
      </w:r>
    </w:p>
    <w:p w14:paraId="72CB5503" w14:textId="6B87BD1C" w:rsidR="000223B0" w:rsidRPr="0008316B" w:rsidRDefault="00067737" w:rsidP="00F3506D">
      <w:pPr>
        <w:pStyle w:val="SingleTxtG"/>
      </w:pPr>
      <w:r w:rsidRPr="00A465D3">
        <w:rPr>
          <w:b/>
          <w:bCs/>
        </w:rPr>
        <w:tab/>
      </w:r>
      <w:r w:rsidR="00B46A6E" w:rsidRPr="00A465D3">
        <w:rPr>
          <w:b/>
          <w:bCs/>
        </w:rPr>
        <w:t>d</w:t>
      </w:r>
      <w:r w:rsidRPr="00A465D3">
        <w:rPr>
          <w:b/>
          <w:bCs/>
        </w:rPr>
        <w:t>)</w:t>
      </w:r>
      <w:r w:rsidRPr="00A465D3">
        <w:rPr>
          <w:b/>
          <w:bCs/>
        </w:rPr>
        <w:tab/>
      </w:r>
      <w:r w:rsidRPr="0008316B">
        <w:rPr>
          <w:b/>
          <w:bCs/>
        </w:rPr>
        <w:t>Recolectar y proporcionar datos actualizados desglosados por edad, sexo, nacionalidad, establecimiento de detención y razón de detención sobre los migrantes y sus familiares detenidos</w:t>
      </w:r>
      <w:r w:rsidRPr="0008316B">
        <w:t>.</w:t>
      </w:r>
    </w:p>
    <w:bookmarkEnd w:id="13"/>
    <w:p w14:paraId="48E75690" w14:textId="456AD332" w:rsidR="00067737" w:rsidRPr="003F5E2C" w:rsidRDefault="0060217F" w:rsidP="003F5E2C">
      <w:pPr>
        <w:pStyle w:val="H23G"/>
      </w:pPr>
      <w:r w:rsidRPr="003F5E2C">
        <w:tab/>
      </w:r>
      <w:r w:rsidRPr="003F5E2C">
        <w:tab/>
      </w:r>
      <w:r w:rsidR="00067737" w:rsidRPr="003F5E2C">
        <w:t>Asistencia consular</w:t>
      </w:r>
    </w:p>
    <w:p w14:paraId="506FA23F" w14:textId="6469FDBF" w:rsidR="00E06D2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46.</w:t>
      </w:r>
      <w:r w:rsidRPr="0008316B">
        <w:tab/>
      </w:r>
      <w:r w:rsidR="00067737" w:rsidRPr="0008316B">
        <w:t xml:space="preserve">El Comité </w:t>
      </w:r>
      <w:r w:rsidR="00CC0263" w:rsidRPr="0008316B">
        <w:t>advierte</w:t>
      </w:r>
      <w:r w:rsidR="00067737" w:rsidRPr="0008316B">
        <w:t xml:space="preserve"> los avances realizados por el Estado parte para mejorar y ampliar los servicios consulares para los trabajadores migrantes paraguayos y sus familiares</w:t>
      </w:r>
      <w:r w:rsidR="00A94AFF" w:rsidRPr="0008316B">
        <w:t xml:space="preserve">, en particular las </w:t>
      </w:r>
      <w:r w:rsidR="00867F6D" w:rsidRPr="0008316B">
        <w:t>Jornadas de Atención Integral al Migrante</w:t>
      </w:r>
      <w:r w:rsidR="00A94AFF" w:rsidRPr="0008316B">
        <w:t>.</w:t>
      </w:r>
      <w:r w:rsidR="00E06D27" w:rsidRPr="0008316B">
        <w:t xml:space="preserve"> El Comité toma nota </w:t>
      </w:r>
      <w:r w:rsidR="00212B0E" w:rsidRPr="0008316B">
        <w:t>positivamente de</w:t>
      </w:r>
      <w:r w:rsidR="00E06D27" w:rsidRPr="0008316B">
        <w:t xml:space="preserve"> que durante la pandemia los servicios consulares priorizar</w:t>
      </w:r>
      <w:r w:rsidR="00951B73" w:rsidRPr="0008316B">
        <w:t>o</w:t>
      </w:r>
      <w:r w:rsidR="00E06D27" w:rsidRPr="0008316B">
        <w:t>n las necesidades de las poblaciones en funci</w:t>
      </w:r>
      <w:r w:rsidR="00A13426" w:rsidRPr="0008316B">
        <w:t xml:space="preserve">ón </w:t>
      </w:r>
      <w:r w:rsidR="00E06D27" w:rsidRPr="0008316B">
        <w:t>de las mayores vulnerabilidades</w:t>
      </w:r>
      <w:r w:rsidR="00345078" w:rsidRPr="0008316B">
        <w:t>.</w:t>
      </w:r>
      <w:r w:rsidR="00E06D27" w:rsidRPr="0008316B">
        <w:t xml:space="preserve"> </w:t>
      </w:r>
      <w:r w:rsidR="00242570" w:rsidRPr="0008316B">
        <w:t xml:space="preserve">Preocupa al Comité que los servicios y apoyo prestados a migrantes paraguayos en el exterior no se </w:t>
      </w:r>
      <w:r w:rsidR="00210145">
        <w:t>traduzcan</w:t>
      </w:r>
      <w:r w:rsidR="00210145" w:rsidRPr="0008316B">
        <w:t xml:space="preserve"> </w:t>
      </w:r>
      <w:r w:rsidR="00242570" w:rsidRPr="0008316B">
        <w:t xml:space="preserve">en más protección a migrantes que viven en el Estado parte. </w:t>
      </w:r>
    </w:p>
    <w:p w14:paraId="44DE1EC8" w14:textId="40135B9E"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47.</w:t>
      </w:r>
      <w:r w:rsidRPr="0008316B">
        <w:rPr>
          <w:bCs/>
        </w:rPr>
        <w:tab/>
      </w:r>
      <w:r w:rsidR="00067737" w:rsidRPr="0008316B">
        <w:rPr>
          <w:b/>
          <w:bCs/>
        </w:rPr>
        <w:t>El Comité recomienda al Estado parte que:</w:t>
      </w:r>
    </w:p>
    <w:p w14:paraId="184FC696" w14:textId="47D073A5" w:rsidR="00067737" w:rsidRPr="00A465D3" w:rsidRDefault="00067737" w:rsidP="0060217F">
      <w:pPr>
        <w:pStyle w:val="SingleTxtG"/>
        <w:rPr>
          <w:b/>
          <w:bCs/>
        </w:rPr>
      </w:pPr>
      <w:r w:rsidRPr="00A465D3">
        <w:rPr>
          <w:b/>
          <w:bCs/>
        </w:rPr>
        <w:tab/>
        <w:t>a)</w:t>
      </w:r>
      <w:r w:rsidRPr="00A465D3">
        <w:rPr>
          <w:b/>
          <w:bCs/>
        </w:rPr>
        <w:tab/>
        <w:t>Siga fortaleciendo las capacidades de sus consulados y embajadas para brindar asesoría, asistencia y protección a los trabajadores migrantes paraguayos y sus familiares que residan en el extranjero</w:t>
      </w:r>
      <w:r w:rsidR="00242570" w:rsidRPr="00A465D3">
        <w:rPr>
          <w:b/>
          <w:bCs/>
        </w:rPr>
        <w:t>, incluso a través de mayor presupuesto</w:t>
      </w:r>
      <w:r w:rsidR="009E4AE7" w:rsidRPr="00A465D3">
        <w:rPr>
          <w:b/>
          <w:bCs/>
        </w:rPr>
        <w:t xml:space="preserve"> y </w:t>
      </w:r>
      <w:r w:rsidR="00503DFA" w:rsidRPr="00A465D3">
        <w:rPr>
          <w:b/>
          <w:bCs/>
        </w:rPr>
        <w:t>generando</w:t>
      </w:r>
      <w:r w:rsidR="009E4AE7" w:rsidRPr="00A465D3">
        <w:rPr>
          <w:b/>
          <w:bCs/>
        </w:rPr>
        <w:t xml:space="preserve"> </w:t>
      </w:r>
      <w:r w:rsidR="00345078" w:rsidRPr="00A465D3">
        <w:rPr>
          <w:b/>
          <w:bCs/>
        </w:rPr>
        <w:t>estadísticas</w:t>
      </w:r>
      <w:r w:rsidRPr="00A465D3">
        <w:rPr>
          <w:b/>
          <w:bCs/>
        </w:rPr>
        <w:t>;</w:t>
      </w:r>
    </w:p>
    <w:p w14:paraId="4782197F" w14:textId="26D4960E" w:rsidR="00067737" w:rsidRPr="00A465D3" w:rsidRDefault="00067737" w:rsidP="0060217F">
      <w:pPr>
        <w:pStyle w:val="SingleTxtG"/>
        <w:rPr>
          <w:b/>
          <w:bCs/>
        </w:rPr>
      </w:pPr>
      <w:r w:rsidRPr="00A465D3">
        <w:rPr>
          <w:b/>
          <w:bCs/>
        </w:rPr>
        <w:tab/>
        <w:t>b)</w:t>
      </w:r>
      <w:r w:rsidRPr="00A465D3">
        <w:rPr>
          <w:b/>
          <w:bCs/>
        </w:rPr>
        <w:tab/>
        <w:t xml:space="preserve">Desarrolle medidas para brindar asesoramiento jurídico gratuito a </w:t>
      </w:r>
      <w:r w:rsidR="00242570" w:rsidRPr="00A465D3">
        <w:rPr>
          <w:b/>
          <w:bCs/>
        </w:rPr>
        <w:t xml:space="preserve">todos </w:t>
      </w:r>
      <w:r w:rsidRPr="00A465D3">
        <w:rPr>
          <w:b/>
          <w:bCs/>
        </w:rPr>
        <w:t>los ciudadanos paraguayos privados de libertad en el extranjero</w:t>
      </w:r>
      <w:r w:rsidR="005B7AEA" w:rsidRPr="00A465D3">
        <w:rPr>
          <w:b/>
          <w:bCs/>
        </w:rPr>
        <w:t xml:space="preserve"> y en procedimientos de expulsión</w:t>
      </w:r>
      <w:r w:rsidRPr="00A465D3">
        <w:rPr>
          <w:b/>
          <w:bCs/>
        </w:rPr>
        <w:t>;</w:t>
      </w:r>
    </w:p>
    <w:p w14:paraId="7955D8FE" w14:textId="513886A4" w:rsidR="00345078" w:rsidRPr="00A465D3" w:rsidRDefault="00067737" w:rsidP="00345078">
      <w:pPr>
        <w:pStyle w:val="SingleTxtG"/>
        <w:rPr>
          <w:b/>
          <w:bCs/>
        </w:rPr>
      </w:pPr>
      <w:r w:rsidRPr="00A465D3">
        <w:rPr>
          <w:b/>
          <w:bCs/>
        </w:rPr>
        <w:tab/>
        <w:t>c)</w:t>
      </w:r>
      <w:r w:rsidRPr="00A465D3">
        <w:rPr>
          <w:b/>
          <w:bCs/>
        </w:rPr>
        <w:tab/>
        <w:t>Incluya a las organizaciones de la sociedad civil, asociaciones y voluntariados en la gestión y atención a migrantes, sea en el país de origen o en el país de destino, para contar con apoyo y con la solidaridad de sus propios nacionales</w:t>
      </w:r>
      <w:r w:rsidR="00345078" w:rsidRPr="00A465D3">
        <w:rPr>
          <w:b/>
          <w:bCs/>
        </w:rPr>
        <w:t>;</w:t>
      </w:r>
    </w:p>
    <w:p w14:paraId="4A9C5517" w14:textId="6D72730B" w:rsidR="00FF16BF" w:rsidRPr="0008316B" w:rsidRDefault="00345078" w:rsidP="00345078">
      <w:pPr>
        <w:pStyle w:val="SingleTxtG"/>
        <w:rPr>
          <w:b/>
          <w:bCs/>
        </w:rPr>
      </w:pPr>
      <w:r w:rsidRPr="00A465D3">
        <w:rPr>
          <w:b/>
          <w:bCs/>
        </w:rPr>
        <w:lastRenderedPageBreak/>
        <w:tab/>
      </w:r>
      <w:r w:rsidR="00FF16BF" w:rsidRPr="00A465D3">
        <w:rPr>
          <w:b/>
          <w:bCs/>
        </w:rPr>
        <w:t>d)</w:t>
      </w:r>
      <w:r w:rsidR="00FF16BF" w:rsidRPr="0008316B">
        <w:rPr>
          <w:b/>
          <w:bCs/>
        </w:rPr>
        <w:tab/>
        <w:t>Facilite que paraguayos en el exterior puedan votar en cualquier representación en el exterior;</w:t>
      </w:r>
    </w:p>
    <w:p w14:paraId="45EAAA19" w14:textId="408504DE" w:rsidR="005B7AEA" w:rsidRPr="0008316B" w:rsidRDefault="00FF16BF" w:rsidP="00F3506D">
      <w:pPr>
        <w:pStyle w:val="SingleTxtG"/>
      </w:pPr>
      <w:r w:rsidRPr="0008316B">
        <w:tab/>
      </w:r>
      <w:r w:rsidRPr="00A465D3">
        <w:rPr>
          <w:b/>
          <w:bCs/>
        </w:rPr>
        <w:t>e)</w:t>
      </w:r>
      <w:r w:rsidRPr="0008316B">
        <w:tab/>
      </w:r>
      <w:r w:rsidR="00C43DE6" w:rsidRPr="0008316B">
        <w:rPr>
          <w:b/>
          <w:bCs/>
        </w:rPr>
        <w:t>Haga posible</w:t>
      </w:r>
      <w:r w:rsidRPr="0008316B">
        <w:rPr>
          <w:b/>
          <w:bCs/>
        </w:rPr>
        <w:t xml:space="preserve"> que paraguayos soliciten </w:t>
      </w:r>
      <w:r w:rsidR="00E5011D">
        <w:rPr>
          <w:b/>
          <w:bCs/>
        </w:rPr>
        <w:t xml:space="preserve">la </w:t>
      </w:r>
      <w:r w:rsidRPr="0008316B">
        <w:rPr>
          <w:b/>
          <w:bCs/>
        </w:rPr>
        <w:t xml:space="preserve">nacionalidad </w:t>
      </w:r>
      <w:r w:rsidR="00E5011D">
        <w:rPr>
          <w:b/>
          <w:bCs/>
        </w:rPr>
        <w:t>par</w:t>
      </w:r>
      <w:r w:rsidRPr="0008316B">
        <w:rPr>
          <w:b/>
          <w:bCs/>
        </w:rPr>
        <w:t>a sus hijos</w:t>
      </w:r>
      <w:r w:rsidR="00E3071E" w:rsidRPr="0008316B">
        <w:rPr>
          <w:b/>
          <w:bCs/>
        </w:rPr>
        <w:t xml:space="preserve">, así como diferentes documentos que se requieran </w:t>
      </w:r>
      <w:r w:rsidR="000037FF" w:rsidRPr="0008316B">
        <w:rPr>
          <w:b/>
          <w:bCs/>
        </w:rPr>
        <w:t>sobre su estado civil, incluidos los relacionados con su residencia</w:t>
      </w:r>
      <w:r w:rsidR="00E3071E" w:rsidRPr="0008316B">
        <w:rPr>
          <w:b/>
          <w:bCs/>
        </w:rPr>
        <w:t>,</w:t>
      </w:r>
      <w:r w:rsidR="000037FF" w:rsidRPr="0008316B">
        <w:rPr>
          <w:b/>
          <w:bCs/>
        </w:rPr>
        <w:t xml:space="preserve"> en el territorio en que se encuentran</w:t>
      </w:r>
      <w:r w:rsidR="00E3071E" w:rsidRPr="0008316B">
        <w:rPr>
          <w:b/>
          <w:bCs/>
        </w:rPr>
        <w:t xml:space="preserve"> </w:t>
      </w:r>
      <w:r w:rsidRPr="0008316B">
        <w:rPr>
          <w:b/>
          <w:bCs/>
        </w:rPr>
        <w:t>desde un consulado</w:t>
      </w:r>
      <w:r w:rsidR="007D6E38" w:rsidRPr="0008316B">
        <w:rPr>
          <w:b/>
          <w:bCs/>
        </w:rPr>
        <w:t xml:space="preserve"> o embajada</w:t>
      </w:r>
      <w:r w:rsidRPr="0008316B">
        <w:rPr>
          <w:b/>
          <w:bCs/>
        </w:rPr>
        <w:t xml:space="preserve"> y que el trámite sea ágil</w:t>
      </w:r>
      <w:r w:rsidR="00C3147F" w:rsidRPr="0008316B">
        <w:rPr>
          <w:b/>
          <w:bCs/>
        </w:rPr>
        <w:t xml:space="preserve"> y </w:t>
      </w:r>
      <w:r w:rsidRPr="0008316B">
        <w:rPr>
          <w:b/>
          <w:bCs/>
        </w:rPr>
        <w:t>eficaz</w:t>
      </w:r>
      <w:r w:rsidR="00C3147F" w:rsidRPr="0008316B">
        <w:rPr>
          <w:b/>
          <w:bCs/>
        </w:rPr>
        <w:t xml:space="preserve">, </w:t>
      </w:r>
      <w:r w:rsidR="005211A5" w:rsidRPr="0008316B">
        <w:rPr>
          <w:b/>
          <w:bCs/>
        </w:rPr>
        <w:t xml:space="preserve">facultando al </w:t>
      </w:r>
      <w:r w:rsidR="00716358" w:rsidRPr="0008316B">
        <w:rPr>
          <w:b/>
          <w:bCs/>
        </w:rPr>
        <w:t xml:space="preserve">cónsul </w:t>
      </w:r>
      <w:r w:rsidR="005211A5" w:rsidRPr="0008316B">
        <w:rPr>
          <w:b/>
          <w:bCs/>
        </w:rPr>
        <w:t xml:space="preserve">para que </w:t>
      </w:r>
      <w:r w:rsidR="00345078" w:rsidRPr="0008316B">
        <w:rPr>
          <w:b/>
          <w:bCs/>
        </w:rPr>
        <w:t>exp</w:t>
      </w:r>
      <w:r w:rsidR="00ED7242" w:rsidRPr="0008316B">
        <w:rPr>
          <w:b/>
          <w:bCs/>
        </w:rPr>
        <w:t>ida</w:t>
      </w:r>
      <w:r w:rsidR="005211A5" w:rsidRPr="0008316B">
        <w:rPr>
          <w:b/>
          <w:bCs/>
        </w:rPr>
        <w:t xml:space="preserve"> los</w:t>
      </w:r>
      <w:r w:rsidR="00716358" w:rsidRPr="0008316B">
        <w:rPr>
          <w:b/>
          <w:bCs/>
        </w:rPr>
        <w:t xml:space="preserve"> documentos</w:t>
      </w:r>
      <w:r w:rsidR="0057564A" w:rsidRPr="0008316B">
        <w:rPr>
          <w:b/>
          <w:bCs/>
        </w:rPr>
        <w:t xml:space="preserve"> necesarios</w:t>
      </w:r>
      <w:r w:rsidR="0057564A" w:rsidRPr="00A465D3">
        <w:rPr>
          <w:b/>
          <w:bCs/>
        </w:rPr>
        <w:t>.</w:t>
      </w:r>
      <w:r w:rsidR="0057564A" w:rsidRPr="0008316B">
        <w:t xml:space="preserve"> </w:t>
      </w:r>
    </w:p>
    <w:p w14:paraId="6DB6B59C" w14:textId="291111E5" w:rsidR="00C94479" w:rsidRPr="003F5E2C" w:rsidRDefault="00067737" w:rsidP="003F5E2C">
      <w:pPr>
        <w:pStyle w:val="H23G"/>
      </w:pPr>
      <w:r w:rsidRPr="003F5E2C">
        <w:tab/>
      </w:r>
      <w:r w:rsidRPr="003F5E2C">
        <w:tab/>
        <w:t>Remuneración y condiciones de trabajo</w:t>
      </w:r>
    </w:p>
    <w:p w14:paraId="6BA191C1" w14:textId="00921DE5" w:rsidR="00E4305A"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48.</w:t>
      </w:r>
      <w:r w:rsidRPr="0008316B">
        <w:tab/>
      </w:r>
      <w:r w:rsidR="00067737" w:rsidRPr="0008316B">
        <w:t>El Comité toma nota</w:t>
      </w:r>
      <w:r w:rsidR="00836D0E" w:rsidRPr="0008316B">
        <w:t xml:space="preserve"> </w:t>
      </w:r>
      <w:r w:rsidR="00067737" w:rsidRPr="0008316B">
        <w:t>de la adopción de la Ley núm.</w:t>
      </w:r>
      <w:r w:rsidR="00AE7617">
        <w:t> </w:t>
      </w:r>
      <w:r w:rsidR="00067737" w:rsidRPr="0008316B">
        <w:t>6338/19, por la que se reconoce a las trabajadoras y</w:t>
      </w:r>
      <w:r w:rsidR="00067B36" w:rsidRPr="0008316B">
        <w:t xml:space="preserve"> los</w:t>
      </w:r>
      <w:r w:rsidR="00067737" w:rsidRPr="0008316B">
        <w:t xml:space="preserve"> trabajadores domésticos, nacionales o extranjeros, el derecho al régimen de salario mínimo legal común.</w:t>
      </w:r>
      <w:r w:rsidR="00E4305A" w:rsidRPr="0008316B">
        <w:t xml:space="preserve"> Sin embargo, preocupa al Comité que solamente </w:t>
      </w:r>
      <w:r w:rsidR="009F7C78">
        <w:t>el</w:t>
      </w:r>
      <w:r w:rsidR="0068416A">
        <w:t> </w:t>
      </w:r>
      <w:r w:rsidR="00E4305A" w:rsidRPr="0008316B">
        <w:t>5,3</w:t>
      </w:r>
      <w:r w:rsidR="009F7C78">
        <w:t> </w:t>
      </w:r>
      <w:r w:rsidR="00E4305A" w:rsidRPr="0008316B">
        <w:t>% de las personas trabajadoras domésticas se encuentran inscritas en el Instituto de Previsión Social</w:t>
      </w:r>
      <w:r w:rsidR="00C0257D" w:rsidRPr="0008316B">
        <w:t xml:space="preserve">, así como </w:t>
      </w:r>
      <w:r w:rsidR="00067737" w:rsidRPr="0008316B">
        <w:t>la persistencia de altos niveles de informalidad en el sector del trabajo en casas particulares y la falta de conocimiento por parte de los trabajadores migrantes en este sector de sus derechos y obligaciones.</w:t>
      </w:r>
      <w:r w:rsidR="00AA7950" w:rsidRPr="0008316B">
        <w:t xml:space="preserve"> Además, preocupa al Comité que no haya </w:t>
      </w:r>
      <w:r w:rsidR="00242570" w:rsidRPr="0008316B">
        <w:t xml:space="preserve">políticas y procedimientos para prevenir </w:t>
      </w:r>
      <w:r w:rsidR="000A42CE" w:rsidRPr="0008316B">
        <w:t xml:space="preserve">el </w:t>
      </w:r>
      <w:r w:rsidR="00242570" w:rsidRPr="0008316B">
        <w:t>trabajo forzoso entre los trabajadores domésticos.</w:t>
      </w:r>
    </w:p>
    <w:p w14:paraId="6538B649" w14:textId="0D76144F"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49.</w:t>
      </w:r>
      <w:r w:rsidRPr="0008316B">
        <w:rPr>
          <w:bCs/>
        </w:rPr>
        <w:tab/>
      </w:r>
      <w:r w:rsidR="00067737" w:rsidRPr="0008316B">
        <w:rPr>
          <w:b/>
          <w:bCs/>
        </w:rPr>
        <w:t>A la luz de su observación general núm. 1 (2011) sobre los trabajadores domésticos migratorios y en consonancia con la meta 8.8 de los Objetivos de Desarrollo Sostenible, el Comité recomienda que el Estado parte</w:t>
      </w:r>
      <w:r w:rsidR="00625D1B" w:rsidRPr="0008316B">
        <w:rPr>
          <w:b/>
          <w:bCs/>
        </w:rPr>
        <w:t xml:space="preserve"> redoble esfuerzos para difundir </w:t>
      </w:r>
      <w:r w:rsidR="00171C06" w:rsidRPr="0008316B">
        <w:rPr>
          <w:b/>
          <w:bCs/>
        </w:rPr>
        <w:t>l</w:t>
      </w:r>
      <w:r w:rsidR="00625D1B" w:rsidRPr="0008316B">
        <w:rPr>
          <w:b/>
          <w:bCs/>
        </w:rPr>
        <w:t xml:space="preserve">a Ley </w:t>
      </w:r>
      <w:r w:rsidR="00D24B81" w:rsidRPr="0008316B">
        <w:rPr>
          <w:b/>
          <w:bCs/>
        </w:rPr>
        <w:t xml:space="preserve">núm. 6338/19 </w:t>
      </w:r>
      <w:r w:rsidR="00625D1B" w:rsidRPr="0008316B">
        <w:rPr>
          <w:b/>
          <w:bCs/>
        </w:rPr>
        <w:t>y v</w:t>
      </w:r>
      <w:r w:rsidR="00067737" w:rsidRPr="0008316B">
        <w:rPr>
          <w:b/>
          <w:bCs/>
        </w:rPr>
        <w:t xml:space="preserve">ele por que los trabajadores domésticos migratorios tengan </w:t>
      </w:r>
      <w:r w:rsidR="00625D1B" w:rsidRPr="0008316B">
        <w:rPr>
          <w:b/>
          <w:bCs/>
        </w:rPr>
        <w:t xml:space="preserve">por escrito sus </w:t>
      </w:r>
      <w:r w:rsidR="00067737" w:rsidRPr="0008316B">
        <w:rPr>
          <w:b/>
          <w:bCs/>
        </w:rPr>
        <w:t>condiciones de empleo</w:t>
      </w:r>
      <w:r w:rsidR="00625D1B" w:rsidRPr="0008316B">
        <w:rPr>
          <w:b/>
          <w:bCs/>
        </w:rPr>
        <w:t xml:space="preserve"> y</w:t>
      </w:r>
      <w:r w:rsidR="00067737" w:rsidRPr="0008316B">
        <w:rPr>
          <w:b/>
          <w:bCs/>
        </w:rPr>
        <w:t xml:space="preserve"> en un idioma que comprendan, en las que se indiquen sus deberes específicos, horarios, remuneración, días de descanso y otras condiciones de trabajo, </w:t>
      </w:r>
      <w:r w:rsidR="00EF1386">
        <w:rPr>
          <w:b/>
          <w:bCs/>
        </w:rPr>
        <w:t xml:space="preserve">y </w:t>
      </w:r>
      <w:r w:rsidR="00067737" w:rsidRPr="0008316B">
        <w:rPr>
          <w:b/>
          <w:bCs/>
        </w:rPr>
        <w:t>en contratos que sean libres, justos y plenamente consentidos</w:t>
      </w:r>
      <w:r w:rsidR="00625D1B" w:rsidRPr="0008316B">
        <w:rPr>
          <w:b/>
          <w:bCs/>
        </w:rPr>
        <w:t>.</w:t>
      </w:r>
    </w:p>
    <w:p w14:paraId="36FE5E92" w14:textId="63939F9C" w:rsidR="00067737" w:rsidRPr="003F5E2C" w:rsidRDefault="00067737" w:rsidP="003F5E2C">
      <w:pPr>
        <w:pStyle w:val="H23G"/>
      </w:pPr>
      <w:r w:rsidRPr="003F5E2C">
        <w:tab/>
      </w:r>
      <w:r w:rsidRPr="003F5E2C">
        <w:tab/>
      </w:r>
      <w:r w:rsidRPr="007E081F">
        <w:t>Atención médica</w:t>
      </w:r>
    </w:p>
    <w:p w14:paraId="577EE1DA" w14:textId="487AD9B7"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50.</w:t>
      </w:r>
      <w:r w:rsidRPr="0008316B">
        <w:tab/>
      </w:r>
      <w:r w:rsidR="00067737" w:rsidRPr="0008316B">
        <w:t>El Comité toma not</w:t>
      </w:r>
      <w:r w:rsidR="00CF01F9" w:rsidRPr="0008316B">
        <w:t>a</w:t>
      </w:r>
      <w:r w:rsidR="00067737" w:rsidRPr="0008316B">
        <w:t xml:space="preserve"> </w:t>
      </w:r>
      <w:r w:rsidR="00CF01F9" w:rsidRPr="0008316B">
        <w:t xml:space="preserve">de la Política Nacional de Salud 2015-2030 (Decreto </w:t>
      </w:r>
      <w:r w:rsidR="00622392">
        <w:t>núm. </w:t>
      </w:r>
      <w:r w:rsidR="00CF01F9" w:rsidRPr="0008316B">
        <w:t xml:space="preserve">4541/2015) </w:t>
      </w:r>
      <w:r w:rsidR="003013D8" w:rsidRPr="0008316B">
        <w:t xml:space="preserve">y del desarrollo de programas con el </w:t>
      </w:r>
      <w:r w:rsidR="00CF01F9" w:rsidRPr="0008316B">
        <w:t xml:space="preserve">objetivo de avanzar hacia el acceso universal a la salud. El </w:t>
      </w:r>
      <w:r w:rsidR="00CF01F9" w:rsidRPr="00210145">
        <w:t xml:space="preserve">Comité </w:t>
      </w:r>
      <w:r w:rsidR="00B31DD8" w:rsidRPr="00210145">
        <w:t>advierte</w:t>
      </w:r>
      <w:r w:rsidR="00CF01F9" w:rsidRPr="00210145">
        <w:t xml:space="preserve"> </w:t>
      </w:r>
      <w:r w:rsidR="00067737" w:rsidRPr="00210145">
        <w:t>que los trabajadores extranjeros en el sector privado</w:t>
      </w:r>
      <w:r w:rsidR="002F06A2" w:rsidRPr="00210145">
        <w:t xml:space="preserve"> </w:t>
      </w:r>
      <w:r w:rsidR="00067737" w:rsidRPr="00210145">
        <w:t>pueden ser inscrito</w:t>
      </w:r>
      <w:r w:rsidR="000C25D5" w:rsidRPr="00210145">
        <w:t>s</w:t>
      </w:r>
      <w:r w:rsidR="00067737" w:rsidRPr="00210145">
        <w:t xml:space="preserve"> </w:t>
      </w:r>
      <w:r w:rsidR="00BF61D4" w:rsidRPr="00210145">
        <w:t xml:space="preserve">en el </w:t>
      </w:r>
      <w:r w:rsidR="00067737" w:rsidRPr="00210145">
        <w:t xml:space="preserve">sistema nacional de </w:t>
      </w:r>
      <w:r w:rsidR="00BD4E19" w:rsidRPr="00210145">
        <w:t>s</w:t>
      </w:r>
      <w:r w:rsidR="00067737" w:rsidRPr="00210145">
        <w:t xml:space="preserve">eguridad </w:t>
      </w:r>
      <w:r w:rsidR="00BD4E19" w:rsidRPr="00210145">
        <w:t>s</w:t>
      </w:r>
      <w:r w:rsidR="00067737" w:rsidRPr="00210145">
        <w:t>ocial</w:t>
      </w:r>
      <w:r w:rsidR="00BF61D4" w:rsidRPr="00210145">
        <w:t xml:space="preserve"> y contribuir a este</w:t>
      </w:r>
      <w:r w:rsidR="00067737" w:rsidRPr="00210145">
        <w:t xml:space="preserve">, teniendo derecho a prestaciones sociales y a la pensión de jubilación. Sin embargo, preocupa al Comité que los trabajadores extranjeros en situación irregular no tengan acceso al sistema de </w:t>
      </w:r>
      <w:r w:rsidR="00520EEA" w:rsidRPr="00210145">
        <w:t>s</w:t>
      </w:r>
      <w:r w:rsidR="00067737" w:rsidRPr="00210145">
        <w:t xml:space="preserve">eguridad </w:t>
      </w:r>
      <w:r w:rsidR="00520EEA" w:rsidRPr="00210145">
        <w:t>s</w:t>
      </w:r>
      <w:r w:rsidR="00067737" w:rsidRPr="00210145">
        <w:t>ocial</w:t>
      </w:r>
      <w:r w:rsidR="0079532E" w:rsidRPr="00210145">
        <w:t>,</w:t>
      </w:r>
      <w:r w:rsidR="00067737" w:rsidRPr="00210145">
        <w:t xml:space="preserve"> ya que </w:t>
      </w:r>
      <w:r w:rsidR="00517F4C" w:rsidRPr="00210145">
        <w:t xml:space="preserve">se condiciona </w:t>
      </w:r>
      <w:r w:rsidR="00B007EC" w:rsidRPr="00210145">
        <w:t xml:space="preserve">este </w:t>
      </w:r>
      <w:r w:rsidR="00517F4C" w:rsidRPr="00210145">
        <w:t xml:space="preserve">acceso a la regularización de su situación </w:t>
      </w:r>
      <w:r w:rsidR="00AD385C" w:rsidRPr="00210145">
        <w:t xml:space="preserve">mediante </w:t>
      </w:r>
      <w:r w:rsidR="00067737" w:rsidRPr="00210145">
        <w:t>la documentación que</w:t>
      </w:r>
      <w:r w:rsidR="00067737" w:rsidRPr="0008316B">
        <w:t xml:space="preserve"> prueba su presencia legal en el </w:t>
      </w:r>
      <w:r w:rsidR="00BE76E0" w:rsidRPr="0008316B">
        <w:t>E</w:t>
      </w:r>
      <w:r w:rsidR="00067737" w:rsidRPr="0008316B">
        <w:t>stado part</w:t>
      </w:r>
      <w:r w:rsidR="00AD385C" w:rsidRPr="0008316B">
        <w:t>e</w:t>
      </w:r>
      <w:r w:rsidR="00067737" w:rsidRPr="0008316B">
        <w:t xml:space="preserve">. </w:t>
      </w:r>
    </w:p>
    <w:p w14:paraId="162F5D44" w14:textId="2BFF0D76"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51.</w:t>
      </w:r>
      <w:r w:rsidRPr="0008316B">
        <w:rPr>
          <w:bCs/>
        </w:rPr>
        <w:tab/>
      </w:r>
      <w:r w:rsidR="00067737" w:rsidRPr="0008316B">
        <w:rPr>
          <w:b/>
          <w:bCs/>
        </w:rPr>
        <w:t>El Comité reitera su recomendación</w:t>
      </w:r>
      <w:r w:rsidR="00DF2E49">
        <w:rPr>
          <w:b/>
          <w:bCs/>
        </w:rPr>
        <w:t xml:space="preserve"> anterior</w:t>
      </w:r>
      <w:r w:rsidR="0059014F" w:rsidRPr="00A465D3">
        <w:rPr>
          <w:rStyle w:val="Refdenotaalpie"/>
        </w:rPr>
        <w:footnoteReference w:id="13"/>
      </w:r>
      <w:r w:rsidR="00067737" w:rsidRPr="0008316B">
        <w:rPr>
          <w:b/>
          <w:bCs/>
        </w:rPr>
        <w:t xml:space="preserve"> y recomienda que, de conformidad con el artículo 28 de la Convención, el Estado parte adopte medidas concretas para el acceso a su sistema de atención de la salud a todos los trabajadores migratorios y sus familiares</w:t>
      </w:r>
      <w:r w:rsidR="008E47A6" w:rsidRPr="0008316B">
        <w:rPr>
          <w:b/>
          <w:bCs/>
        </w:rPr>
        <w:t>,</w:t>
      </w:r>
      <w:r w:rsidR="004D23D7" w:rsidRPr="0008316B">
        <w:rPr>
          <w:b/>
          <w:bCs/>
        </w:rPr>
        <w:t xml:space="preserve"> la cual no puede negarse por motivos de irregularidad, </w:t>
      </w:r>
      <w:r w:rsidR="00067737" w:rsidRPr="0008316B">
        <w:rPr>
          <w:b/>
          <w:bCs/>
        </w:rPr>
        <w:t xml:space="preserve">de manera que la equidad social motive </w:t>
      </w:r>
      <w:r w:rsidR="006521A8" w:rsidRPr="0008316B">
        <w:rPr>
          <w:b/>
          <w:bCs/>
        </w:rPr>
        <w:t>e</w:t>
      </w:r>
      <w:r w:rsidR="00067737" w:rsidRPr="0008316B">
        <w:rPr>
          <w:b/>
          <w:bCs/>
        </w:rPr>
        <w:t>l acceso igualitario, digno y sin discriminación.</w:t>
      </w:r>
      <w:r w:rsidR="00716358" w:rsidRPr="0008316B">
        <w:rPr>
          <w:b/>
          <w:bCs/>
        </w:rPr>
        <w:t xml:space="preserve"> El Comité recomienda que en la pr</w:t>
      </w:r>
      <w:r w:rsidR="00E00FCB" w:rsidRPr="0008316B">
        <w:rPr>
          <w:b/>
          <w:bCs/>
        </w:rPr>
        <w:t>á</w:t>
      </w:r>
      <w:r w:rsidR="00716358" w:rsidRPr="0008316B">
        <w:rPr>
          <w:b/>
          <w:bCs/>
        </w:rPr>
        <w:t xml:space="preserve">ctica el control de la ley migratoria no interfiera con el derecho a la salud. </w:t>
      </w:r>
    </w:p>
    <w:p w14:paraId="3219A6F6" w14:textId="77777777" w:rsidR="00067737" w:rsidRPr="003F5E2C" w:rsidRDefault="00067737" w:rsidP="003F5E2C">
      <w:pPr>
        <w:pStyle w:val="H23G"/>
      </w:pPr>
      <w:r w:rsidRPr="003F5E2C">
        <w:tab/>
      </w:r>
      <w:r w:rsidRPr="003F5E2C">
        <w:tab/>
        <w:t>Inscripción de los nacimientos y nacionalidad</w:t>
      </w:r>
    </w:p>
    <w:p w14:paraId="1D26FA1F" w14:textId="72B42262"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52.</w:t>
      </w:r>
      <w:r w:rsidRPr="0008316B">
        <w:tab/>
      </w:r>
      <w:r w:rsidR="00067737" w:rsidRPr="0008316B">
        <w:t xml:space="preserve">El Comité nota que hijos de nacionales del </w:t>
      </w:r>
      <w:r w:rsidR="00BE76E0" w:rsidRPr="0008316B">
        <w:t>E</w:t>
      </w:r>
      <w:r w:rsidR="00067737" w:rsidRPr="0008316B">
        <w:t xml:space="preserve">stado parte que nazcan en países terceros pueden obtener la nacionalidad paraguaya natural por </w:t>
      </w:r>
      <w:r w:rsidR="00067737" w:rsidRPr="0008316B">
        <w:rPr>
          <w:i/>
          <w:iCs/>
        </w:rPr>
        <w:t>jus sanguini</w:t>
      </w:r>
      <w:r w:rsidR="00652F29">
        <w:rPr>
          <w:i/>
          <w:iCs/>
        </w:rPr>
        <w:t>s</w:t>
      </w:r>
      <w:r w:rsidR="00067737" w:rsidRPr="0008316B">
        <w:t xml:space="preserve"> </w:t>
      </w:r>
      <w:r w:rsidR="00111DBC" w:rsidRPr="0008316B">
        <w:t xml:space="preserve">con la condición de que cumplan ciertos requisitos </w:t>
      </w:r>
      <w:r w:rsidR="00067737" w:rsidRPr="0008316B">
        <w:t xml:space="preserve">y que a los </w:t>
      </w:r>
      <w:r w:rsidR="00652F29">
        <w:t>hijos</w:t>
      </w:r>
      <w:r w:rsidR="00652F29" w:rsidRPr="0008316B">
        <w:t xml:space="preserve"> </w:t>
      </w:r>
      <w:r w:rsidR="00067737" w:rsidRPr="0008316B">
        <w:t xml:space="preserve">de extranjeros nacidos en el </w:t>
      </w:r>
      <w:r w:rsidR="00BE76E0" w:rsidRPr="0008316B">
        <w:t>E</w:t>
      </w:r>
      <w:r w:rsidR="00067737" w:rsidRPr="0008316B">
        <w:t xml:space="preserve">stado parte les otorgan la nacionalidad por </w:t>
      </w:r>
      <w:r w:rsidR="00067737" w:rsidRPr="0008316B">
        <w:rPr>
          <w:i/>
          <w:iCs/>
        </w:rPr>
        <w:t>jus soli.</w:t>
      </w:r>
      <w:r w:rsidR="00067737" w:rsidRPr="0008316B">
        <w:t xml:space="preserve"> Sin embargo, preocupa al Comité que haya condiciones para </w:t>
      </w:r>
      <w:r w:rsidR="00502F85" w:rsidRPr="0008316B">
        <w:t>el otorgamiento</w:t>
      </w:r>
      <w:r w:rsidR="00067737" w:rsidRPr="0008316B">
        <w:t xml:space="preserve"> de la nacionalidad</w:t>
      </w:r>
      <w:r w:rsidR="00BB061B" w:rsidRPr="0008316B">
        <w:t>, como</w:t>
      </w:r>
      <w:r w:rsidR="00067737" w:rsidRPr="0008316B">
        <w:t xml:space="preserve"> radicar en el </w:t>
      </w:r>
      <w:r w:rsidR="00BE76E0" w:rsidRPr="0008316B">
        <w:t>E</w:t>
      </w:r>
      <w:r w:rsidR="00067737" w:rsidRPr="0008316B">
        <w:t>stado parte en forma permanente, confirmar su deseo de mantener la nacionalidad con 18 años</w:t>
      </w:r>
      <w:r w:rsidR="00BB061B" w:rsidRPr="0008316B">
        <w:t xml:space="preserve"> y</w:t>
      </w:r>
      <w:r w:rsidR="00067737" w:rsidRPr="0008316B">
        <w:t xml:space="preserve"> </w:t>
      </w:r>
      <w:r w:rsidR="00652F29">
        <w:t xml:space="preserve">no sobrepasar el </w:t>
      </w:r>
      <w:r w:rsidR="00067737" w:rsidRPr="0008316B">
        <w:t>límit</w:t>
      </w:r>
      <w:r w:rsidR="00AA7950" w:rsidRPr="0008316B">
        <w:t>e</w:t>
      </w:r>
      <w:r w:rsidR="00067737" w:rsidRPr="0008316B">
        <w:t xml:space="preserve"> </w:t>
      </w:r>
      <w:r w:rsidR="00652F29">
        <w:t>d</w:t>
      </w:r>
      <w:r w:rsidR="00BB061B" w:rsidRPr="0008316B">
        <w:t>el</w:t>
      </w:r>
      <w:r w:rsidR="00067737" w:rsidRPr="0008316B">
        <w:t xml:space="preserve"> </w:t>
      </w:r>
      <w:r w:rsidR="00BB061B" w:rsidRPr="0008316B">
        <w:t>nú</w:t>
      </w:r>
      <w:r w:rsidR="00067737" w:rsidRPr="0008316B">
        <w:t xml:space="preserve">mero de nacionalidades. El no cumplimiento </w:t>
      </w:r>
      <w:r w:rsidR="00652F29">
        <w:t xml:space="preserve">de estos requisitos </w:t>
      </w:r>
      <w:r w:rsidR="00067737" w:rsidRPr="0008316B">
        <w:t xml:space="preserve">implica </w:t>
      </w:r>
      <w:r w:rsidR="0097482D" w:rsidRPr="0008316B">
        <w:t>la pérdida</w:t>
      </w:r>
      <w:r w:rsidR="00067737" w:rsidRPr="0008316B">
        <w:t xml:space="preserve"> de importantes derechos, como el de </w:t>
      </w:r>
      <w:r w:rsidR="00652F29">
        <w:t xml:space="preserve">la </w:t>
      </w:r>
      <w:r w:rsidR="00067737" w:rsidRPr="0008316B">
        <w:t>ciudadanía</w:t>
      </w:r>
      <w:r w:rsidR="0097482D" w:rsidRPr="0008316B">
        <w:t xml:space="preserve"> e</w:t>
      </w:r>
      <w:r w:rsidR="00067737" w:rsidRPr="0008316B">
        <w:t xml:space="preserve"> inclus</w:t>
      </w:r>
      <w:r w:rsidR="0097482D" w:rsidRPr="0008316B">
        <w:t>ive</w:t>
      </w:r>
      <w:r w:rsidR="00067737" w:rsidRPr="0008316B">
        <w:t xml:space="preserve"> el derecho al voto. </w:t>
      </w:r>
    </w:p>
    <w:p w14:paraId="6AEAC007" w14:textId="4E86350D" w:rsidR="00860B96" w:rsidRPr="0008316B" w:rsidRDefault="00AC4DDC" w:rsidP="00F73BE7">
      <w:pPr>
        <w:pStyle w:val="SingleTxtG"/>
        <w:keepNext/>
        <w:keepLines/>
        <w:tabs>
          <w:tab w:val="clear" w:pos="1701"/>
          <w:tab w:val="clear" w:pos="2268"/>
          <w:tab w:val="clear" w:pos="2835"/>
        </w:tabs>
        <w:suppressAutoHyphens/>
        <w:kinsoku w:val="0"/>
        <w:overflowPunct w:val="0"/>
        <w:autoSpaceDE w:val="0"/>
        <w:autoSpaceDN w:val="0"/>
        <w:adjustRightInd w:val="0"/>
        <w:snapToGrid w:val="0"/>
      </w:pPr>
      <w:bookmarkStart w:id="14" w:name="_Hlk105059047"/>
      <w:r w:rsidRPr="0008316B">
        <w:lastRenderedPageBreak/>
        <w:t>53.</w:t>
      </w:r>
      <w:r w:rsidRPr="0008316B">
        <w:tab/>
      </w:r>
      <w:r w:rsidR="00854813" w:rsidRPr="0008316B">
        <w:t xml:space="preserve">El Comité </w:t>
      </w:r>
      <w:r w:rsidR="00A80A3B" w:rsidRPr="0008316B">
        <w:t xml:space="preserve">advierte positivamente </w:t>
      </w:r>
      <w:r w:rsidR="00854813" w:rsidRPr="0008316B">
        <w:t>que en 2018 el Estado parte aprob</w:t>
      </w:r>
      <w:r w:rsidR="00450B0F">
        <w:t>ó</w:t>
      </w:r>
      <w:r w:rsidR="00854813" w:rsidRPr="0008316B">
        <w:t xml:space="preserve"> una ley específica para la protección de </w:t>
      </w:r>
      <w:r w:rsidR="00070C0C" w:rsidRPr="0008316B">
        <w:t>apá</w:t>
      </w:r>
      <w:bookmarkStart w:id="15" w:name="_GoBack"/>
      <w:bookmarkEnd w:id="15"/>
      <w:r w:rsidR="00070C0C" w:rsidRPr="0008316B">
        <w:t>tridas</w:t>
      </w:r>
      <w:r w:rsidR="00854813" w:rsidRPr="0008316B">
        <w:t xml:space="preserve"> </w:t>
      </w:r>
      <w:r w:rsidR="00064FEC" w:rsidRPr="0008316B">
        <w:t>y para</w:t>
      </w:r>
      <w:r w:rsidR="00854813" w:rsidRPr="0008316B">
        <w:t xml:space="preserve"> facilitar su naturalización (Le</w:t>
      </w:r>
      <w:r w:rsidR="00070C0C" w:rsidRPr="0008316B">
        <w:t>y</w:t>
      </w:r>
      <w:r w:rsidR="00854813" w:rsidRPr="0008316B">
        <w:t xml:space="preserve"> </w:t>
      </w:r>
      <w:r w:rsidR="007B48CC">
        <w:t>núm.</w:t>
      </w:r>
      <w:r w:rsidR="00450B0F">
        <w:t> </w:t>
      </w:r>
      <w:r w:rsidR="00854813" w:rsidRPr="0008316B">
        <w:t>6149)</w:t>
      </w:r>
      <w:r w:rsidR="00BF5203" w:rsidRPr="0008316B">
        <w:t>,</w:t>
      </w:r>
      <w:r w:rsidR="00854813" w:rsidRPr="0008316B">
        <w:t xml:space="preserve"> de acuerdo con estándares internacionales. </w:t>
      </w:r>
      <w:bookmarkEnd w:id="14"/>
      <w:r w:rsidR="00854813" w:rsidRPr="0008316B">
        <w:t>Sin embargo, preocupa al Comité que</w:t>
      </w:r>
      <w:r w:rsidR="00C20142" w:rsidRPr="0008316B">
        <w:t xml:space="preserve"> no </w:t>
      </w:r>
      <w:r w:rsidR="00BF5203" w:rsidRPr="0008316B">
        <w:t>ha</w:t>
      </w:r>
      <w:r w:rsidR="008D5AC8">
        <w:t>ya</w:t>
      </w:r>
      <w:r w:rsidR="00BF5203" w:rsidRPr="0008316B">
        <w:t xml:space="preserve">n sido </w:t>
      </w:r>
      <w:r w:rsidR="00C20142" w:rsidRPr="0008316B">
        <w:t>tomadas</w:t>
      </w:r>
      <w:r w:rsidR="00854813" w:rsidRPr="0008316B">
        <w:t xml:space="preserve"> las medidas necesarias para s</w:t>
      </w:r>
      <w:r w:rsidR="00C20142" w:rsidRPr="0008316B">
        <w:t xml:space="preserve">u </w:t>
      </w:r>
      <w:r w:rsidR="00854813" w:rsidRPr="0008316B">
        <w:t>implementación</w:t>
      </w:r>
      <w:r w:rsidR="00C20142" w:rsidRPr="0008316B">
        <w:t xml:space="preserve"> y </w:t>
      </w:r>
      <w:r w:rsidR="00C94479" w:rsidRPr="0008316B">
        <w:t>aplicación</w:t>
      </w:r>
      <w:r w:rsidR="00854813" w:rsidRPr="0008316B">
        <w:t xml:space="preserve">, </w:t>
      </w:r>
      <w:r w:rsidR="00D92CD8" w:rsidRPr="0008316B">
        <w:t xml:space="preserve">mediante </w:t>
      </w:r>
      <w:r w:rsidR="00854813" w:rsidRPr="0008316B">
        <w:t xml:space="preserve">decretos </w:t>
      </w:r>
      <w:r w:rsidR="00C20142" w:rsidRPr="0008316B">
        <w:t>y</w:t>
      </w:r>
      <w:r w:rsidR="00854813" w:rsidRPr="0008316B">
        <w:t xml:space="preserve"> procedimientos administrativos, </w:t>
      </w:r>
      <w:r w:rsidR="00C20142" w:rsidRPr="0008316B">
        <w:t>y que esta demora sigue impactando de manera negativa a niños y niñas de padres paraguayos.</w:t>
      </w:r>
    </w:p>
    <w:p w14:paraId="5758BBAF" w14:textId="78DAE234" w:rsidR="00860B96"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54.</w:t>
      </w:r>
      <w:r w:rsidRPr="0008316B">
        <w:tab/>
      </w:r>
      <w:r w:rsidR="00C94479" w:rsidRPr="0008316B">
        <w:rPr>
          <w:b/>
          <w:bCs/>
        </w:rPr>
        <w:t>El Comité reitera su recomendación</w:t>
      </w:r>
      <w:r w:rsidR="00057FE1">
        <w:rPr>
          <w:b/>
          <w:bCs/>
        </w:rPr>
        <w:t xml:space="preserve"> anterior</w:t>
      </w:r>
      <w:r w:rsidR="008D5AC8" w:rsidRPr="00A465D3">
        <w:rPr>
          <w:rStyle w:val="Refdenotaalpie"/>
        </w:rPr>
        <w:footnoteReference w:id="14"/>
      </w:r>
      <w:r w:rsidR="00AF18EF" w:rsidRPr="0008316B">
        <w:rPr>
          <w:b/>
          <w:bCs/>
        </w:rPr>
        <w:t xml:space="preserve"> y además </w:t>
      </w:r>
      <w:r w:rsidR="00057FE1">
        <w:rPr>
          <w:b/>
          <w:bCs/>
        </w:rPr>
        <w:t>alienta</w:t>
      </w:r>
      <w:r w:rsidR="00057FE1" w:rsidRPr="0008316B">
        <w:rPr>
          <w:b/>
          <w:bCs/>
        </w:rPr>
        <w:t xml:space="preserve"> </w:t>
      </w:r>
      <w:r w:rsidR="00AF18EF" w:rsidRPr="0008316B">
        <w:rPr>
          <w:b/>
          <w:bCs/>
        </w:rPr>
        <w:t xml:space="preserve">la creación de un mecanismo de coordinación operacional entre los consulados, </w:t>
      </w:r>
      <w:r w:rsidR="00DF2E49">
        <w:rPr>
          <w:b/>
          <w:bCs/>
        </w:rPr>
        <w:t xml:space="preserve">la </w:t>
      </w:r>
      <w:r w:rsidR="008137B8">
        <w:rPr>
          <w:b/>
          <w:bCs/>
        </w:rPr>
        <w:t>Comisión Nacional de Refugiados</w:t>
      </w:r>
      <w:r w:rsidR="00AF18EF" w:rsidRPr="0008316B">
        <w:rPr>
          <w:b/>
          <w:bCs/>
        </w:rPr>
        <w:t xml:space="preserve">, </w:t>
      </w:r>
      <w:r w:rsidR="00A75654">
        <w:rPr>
          <w:b/>
          <w:bCs/>
        </w:rPr>
        <w:t>los j</w:t>
      </w:r>
      <w:r w:rsidR="00AF18EF" w:rsidRPr="0008316B">
        <w:rPr>
          <w:b/>
          <w:bCs/>
        </w:rPr>
        <w:t xml:space="preserve">uzgados </w:t>
      </w:r>
      <w:r w:rsidR="00A75654">
        <w:rPr>
          <w:b/>
          <w:bCs/>
        </w:rPr>
        <w:t>n</w:t>
      </w:r>
      <w:r w:rsidR="00AF18EF" w:rsidRPr="0008316B">
        <w:rPr>
          <w:b/>
          <w:bCs/>
        </w:rPr>
        <w:t xml:space="preserve">acionales </w:t>
      </w:r>
      <w:r w:rsidR="00A75654">
        <w:rPr>
          <w:b/>
          <w:bCs/>
        </w:rPr>
        <w:t>c</w:t>
      </w:r>
      <w:r w:rsidR="00AF18EF" w:rsidRPr="0008316B">
        <w:rPr>
          <w:b/>
          <w:bCs/>
        </w:rPr>
        <w:t xml:space="preserve">ivil y </w:t>
      </w:r>
      <w:r w:rsidR="00A75654">
        <w:rPr>
          <w:b/>
          <w:bCs/>
        </w:rPr>
        <w:t>c</w:t>
      </w:r>
      <w:r w:rsidR="00AF18EF" w:rsidRPr="0008316B">
        <w:rPr>
          <w:b/>
          <w:bCs/>
        </w:rPr>
        <w:t xml:space="preserve">omercial, y </w:t>
      </w:r>
      <w:r w:rsidR="000501C2" w:rsidRPr="0008316B">
        <w:rPr>
          <w:b/>
          <w:bCs/>
        </w:rPr>
        <w:t>el</w:t>
      </w:r>
      <w:r w:rsidR="00AF18EF" w:rsidRPr="0008316B">
        <w:rPr>
          <w:b/>
          <w:bCs/>
        </w:rPr>
        <w:t xml:space="preserve"> D</w:t>
      </w:r>
      <w:r w:rsidR="000501C2" w:rsidRPr="0008316B">
        <w:rPr>
          <w:b/>
          <w:bCs/>
        </w:rPr>
        <w:t>epartamento</w:t>
      </w:r>
      <w:r w:rsidR="00AF18EF" w:rsidRPr="0008316B">
        <w:rPr>
          <w:b/>
          <w:bCs/>
        </w:rPr>
        <w:t xml:space="preserve"> de Identidad Civil</w:t>
      </w:r>
      <w:r w:rsidR="00860B96" w:rsidRPr="0008316B">
        <w:rPr>
          <w:b/>
          <w:bCs/>
        </w:rPr>
        <w:t xml:space="preserve"> para que sean cumplidas las disposiciones de la Ley de </w:t>
      </w:r>
      <w:r w:rsidR="00433453">
        <w:rPr>
          <w:b/>
          <w:bCs/>
        </w:rPr>
        <w:t>A</w:t>
      </w:r>
      <w:r w:rsidR="00860B96" w:rsidRPr="0008316B">
        <w:rPr>
          <w:b/>
          <w:bCs/>
        </w:rPr>
        <w:t xml:space="preserve">patridia y las obligaciones del Estado parte </w:t>
      </w:r>
      <w:r w:rsidR="002D5907">
        <w:rPr>
          <w:b/>
          <w:bCs/>
        </w:rPr>
        <w:t>de conformidad con</w:t>
      </w:r>
      <w:r w:rsidR="002D5907" w:rsidRPr="0008316B">
        <w:rPr>
          <w:b/>
          <w:bCs/>
        </w:rPr>
        <w:t xml:space="preserve"> </w:t>
      </w:r>
      <w:r w:rsidR="00111DBC" w:rsidRPr="0008316B">
        <w:rPr>
          <w:b/>
          <w:bCs/>
        </w:rPr>
        <w:t>el artículo</w:t>
      </w:r>
      <w:r w:rsidR="00860B96" w:rsidRPr="0008316B">
        <w:rPr>
          <w:b/>
          <w:bCs/>
        </w:rPr>
        <w:t xml:space="preserve"> 29 de la Convención</w:t>
      </w:r>
      <w:r w:rsidR="00803A0B" w:rsidRPr="0008316B">
        <w:rPr>
          <w:b/>
          <w:bCs/>
        </w:rPr>
        <w:t>.</w:t>
      </w:r>
    </w:p>
    <w:p w14:paraId="1F0D8DBC" w14:textId="2133A9F4" w:rsidR="00070C0C"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55.</w:t>
      </w:r>
      <w:r w:rsidRPr="0008316B">
        <w:tab/>
      </w:r>
      <w:r w:rsidR="00070C0C" w:rsidRPr="0008316B">
        <w:rPr>
          <w:b/>
          <w:bCs/>
        </w:rPr>
        <w:t xml:space="preserve">El </w:t>
      </w:r>
      <w:r w:rsidR="00C43C00" w:rsidRPr="0008316B">
        <w:rPr>
          <w:b/>
          <w:bCs/>
        </w:rPr>
        <w:t>Comité</w:t>
      </w:r>
      <w:r w:rsidR="00070C0C" w:rsidRPr="0008316B">
        <w:rPr>
          <w:b/>
          <w:bCs/>
        </w:rPr>
        <w:t xml:space="preserve"> recomienda que el Estado part</w:t>
      </w:r>
      <w:r w:rsidR="00C43C00" w:rsidRPr="0008316B">
        <w:rPr>
          <w:b/>
          <w:bCs/>
        </w:rPr>
        <w:t>e</w:t>
      </w:r>
      <w:r w:rsidR="007D6E38" w:rsidRPr="0008316B">
        <w:rPr>
          <w:b/>
          <w:bCs/>
        </w:rPr>
        <w:t xml:space="preserve"> reg</w:t>
      </w:r>
      <w:r w:rsidR="00345078" w:rsidRPr="0008316B">
        <w:rPr>
          <w:b/>
          <w:bCs/>
        </w:rPr>
        <w:t>la</w:t>
      </w:r>
      <w:r w:rsidR="007D6E38" w:rsidRPr="0008316B">
        <w:rPr>
          <w:b/>
          <w:bCs/>
        </w:rPr>
        <w:t xml:space="preserve">mente la Ley </w:t>
      </w:r>
      <w:r w:rsidR="006F0F22">
        <w:rPr>
          <w:b/>
          <w:bCs/>
        </w:rPr>
        <w:t>núm. </w:t>
      </w:r>
      <w:r w:rsidR="007D6E38" w:rsidRPr="0008316B">
        <w:rPr>
          <w:b/>
          <w:bCs/>
        </w:rPr>
        <w:t xml:space="preserve">6149 </w:t>
      </w:r>
      <w:r w:rsidR="007E7FB5" w:rsidRPr="0008316B">
        <w:rPr>
          <w:b/>
          <w:bCs/>
        </w:rPr>
        <w:t>e</w:t>
      </w:r>
      <w:r w:rsidR="00C43C00" w:rsidRPr="0008316B">
        <w:rPr>
          <w:b/>
          <w:bCs/>
        </w:rPr>
        <w:t xml:space="preserve"> </w:t>
      </w:r>
      <w:r w:rsidR="00836CBF" w:rsidRPr="0008316B">
        <w:rPr>
          <w:b/>
          <w:bCs/>
        </w:rPr>
        <w:t xml:space="preserve">informe sobre </w:t>
      </w:r>
      <w:r w:rsidR="007D6E38" w:rsidRPr="0008316B">
        <w:rPr>
          <w:b/>
          <w:bCs/>
        </w:rPr>
        <w:t>su</w:t>
      </w:r>
      <w:r w:rsidR="00C43C00" w:rsidRPr="0008316B">
        <w:rPr>
          <w:b/>
          <w:bCs/>
        </w:rPr>
        <w:t xml:space="preserve"> implementación, inclu</w:t>
      </w:r>
      <w:r w:rsidR="00457ED8" w:rsidRPr="0008316B">
        <w:rPr>
          <w:b/>
          <w:bCs/>
        </w:rPr>
        <w:t>yendo las</w:t>
      </w:r>
      <w:r w:rsidR="00C43C00" w:rsidRPr="0008316B">
        <w:rPr>
          <w:b/>
          <w:bCs/>
        </w:rPr>
        <w:t xml:space="preserve"> acciones </w:t>
      </w:r>
      <w:r w:rsidR="00064FEC" w:rsidRPr="0008316B">
        <w:rPr>
          <w:b/>
          <w:bCs/>
        </w:rPr>
        <w:t xml:space="preserve">tomadas </w:t>
      </w:r>
      <w:r w:rsidR="00C43C00" w:rsidRPr="0008316B">
        <w:rPr>
          <w:b/>
          <w:bCs/>
        </w:rPr>
        <w:t>para que migrantes que vivan en el extranjero sepan de su existencia</w:t>
      </w:r>
      <w:r w:rsidR="007D6E38" w:rsidRPr="0008316B">
        <w:rPr>
          <w:b/>
          <w:bCs/>
        </w:rPr>
        <w:t>,</w:t>
      </w:r>
      <w:r w:rsidR="00C43C00" w:rsidRPr="0008316B">
        <w:rPr>
          <w:b/>
          <w:bCs/>
        </w:rPr>
        <w:t xml:space="preserve"> funcionamiento</w:t>
      </w:r>
      <w:r w:rsidR="007D6E38" w:rsidRPr="0008316B">
        <w:rPr>
          <w:b/>
          <w:bCs/>
        </w:rPr>
        <w:t xml:space="preserve"> y puedan solicitar la nacionalidad del Estado parte desde el exterior</w:t>
      </w:r>
      <w:r w:rsidR="00C43C00" w:rsidRPr="0008316B">
        <w:rPr>
          <w:b/>
          <w:bCs/>
        </w:rPr>
        <w:t xml:space="preserve">. </w:t>
      </w:r>
      <w:r w:rsidR="00064FEC" w:rsidRPr="0008316B">
        <w:rPr>
          <w:b/>
          <w:bCs/>
        </w:rPr>
        <w:t>Además,</w:t>
      </w:r>
      <w:r w:rsidR="00C43C00" w:rsidRPr="0008316B">
        <w:rPr>
          <w:b/>
          <w:bCs/>
        </w:rPr>
        <w:t xml:space="preserve"> el Comité recomienda la </w:t>
      </w:r>
      <w:r w:rsidR="00457ED8" w:rsidRPr="0008316B">
        <w:rPr>
          <w:b/>
          <w:bCs/>
        </w:rPr>
        <w:t>re</w:t>
      </w:r>
      <w:r w:rsidR="00C43C00" w:rsidRPr="0008316B">
        <w:rPr>
          <w:b/>
          <w:bCs/>
        </w:rPr>
        <w:t>colección y la publicación de datos e</w:t>
      </w:r>
      <w:r w:rsidR="00457ED8" w:rsidRPr="0008316B">
        <w:rPr>
          <w:b/>
          <w:bCs/>
        </w:rPr>
        <w:t>n</w:t>
      </w:r>
      <w:r w:rsidR="00C43C00" w:rsidRPr="0008316B">
        <w:rPr>
          <w:b/>
          <w:bCs/>
        </w:rPr>
        <w:t xml:space="preserve"> relación </w:t>
      </w:r>
      <w:r w:rsidR="00457ED8" w:rsidRPr="0008316B">
        <w:rPr>
          <w:b/>
          <w:bCs/>
        </w:rPr>
        <w:t>con el</w:t>
      </w:r>
      <w:r w:rsidR="00C43C00" w:rsidRPr="0008316B">
        <w:rPr>
          <w:b/>
          <w:bCs/>
        </w:rPr>
        <w:t xml:space="preserve"> </w:t>
      </w:r>
      <w:r w:rsidR="00663399" w:rsidRPr="0008316B">
        <w:rPr>
          <w:b/>
          <w:bCs/>
        </w:rPr>
        <w:t>número</w:t>
      </w:r>
      <w:r w:rsidR="00C43C00" w:rsidRPr="0008316B">
        <w:rPr>
          <w:b/>
          <w:bCs/>
        </w:rPr>
        <w:t xml:space="preserve"> de apátridas, incluso su </w:t>
      </w:r>
      <w:r w:rsidR="007A5347" w:rsidRPr="00A465D3">
        <w:rPr>
          <w:b/>
          <w:bCs/>
        </w:rPr>
        <w:t>estatus</w:t>
      </w:r>
      <w:r w:rsidR="007A5347">
        <w:rPr>
          <w:b/>
          <w:bCs/>
          <w:i/>
          <w:iCs/>
        </w:rPr>
        <w:t xml:space="preserve"> </w:t>
      </w:r>
      <w:r w:rsidR="00C43C00" w:rsidRPr="0008316B">
        <w:rPr>
          <w:b/>
          <w:bCs/>
        </w:rPr>
        <w:t xml:space="preserve">y naturalización. </w:t>
      </w:r>
    </w:p>
    <w:p w14:paraId="29F75FED" w14:textId="24B5FD57" w:rsidR="00AA7950"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56.</w:t>
      </w:r>
      <w:r w:rsidRPr="0008316B">
        <w:rPr>
          <w:bCs/>
        </w:rPr>
        <w:tab/>
      </w:r>
      <w:r w:rsidR="00AA7950" w:rsidRPr="0008316B">
        <w:rPr>
          <w:b/>
          <w:bCs/>
        </w:rPr>
        <w:t xml:space="preserve">El Comité recomienda que el Estado parte considere la posibilidad de aceptar </w:t>
      </w:r>
      <w:r w:rsidR="007E7FB5" w:rsidRPr="0008316B">
        <w:rPr>
          <w:b/>
          <w:bCs/>
        </w:rPr>
        <w:t xml:space="preserve">la </w:t>
      </w:r>
      <w:r w:rsidR="00AA7950" w:rsidRPr="0008316B">
        <w:rPr>
          <w:b/>
          <w:bCs/>
        </w:rPr>
        <w:t>doble nacionalidad</w:t>
      </w:r>
      <w:r w:rsidR="00FF16BF" w:rsidRPr="0008316B">
        <w:rPr>
          <w:b/>
          <w:bCs/>
        </w:rPr>
        <w:t xml:space="preserve"> y que </w:t>
      </w:r>
      <w:r w:rsidR="00CE5304">
        <w:rPr>
          <w:b/>
          <w:bCs/>
        </w:rPr>
        <w:t>esta</w:t>
      </w:r>
      <w:r w:rsidR="00FF16BF" w:rsidRPr="0008316B">
        <w:rPr>
          <w:b/>
          <w:bCs/>
        </w:rPr>
        <w:t xml:space="preserve"> </w:t>
      </w:r>
      <w:r w:rsidR="008D6027" w:rsidRPr="0008316B">
        <w:rPr>
          <w:b/>
          <w:bCs/>
        </w:rPr>
        <w:t>pueda ser</w:t>
      </w:r>
      <w:r w:rsidR="00FF16BF" w:rsidRPr="0008316B">
        <w:rPr>
          <w:b/>
          <w:bCs/>
        </w:rPr>
        <w:t xml:space="preserve"> solicitada </w:t>
      </w:r>
      <w:r w:rsidR="00471113">
        <w:rPr>
          <w:b/>
          <w:bCs/>
        </w:rPr>
        <w:t>desde</w:t>
      </w:r>
      <w:r w:rsidR="00FF16BF" w:rsidRPr="0008316B">
        <w:rPr>
          <w:b/>
          <w:bCs/>
        </w:rPr>
        <w:t xml:space="preserve"> un consulado</w:t>
      </w:r>
      <w:r w:rsidR="00AA7950" w:rsidRPr="0008316B">
        <w:rPr>
          <w:b/>
          <w:bCs/>
        </w:rPr>
        <w:t xml:space="preserve">. </w:t>
      </w:r>
      <w:r w:rsidR="00345078" w:rsidRPr="0008316B">
        <w:rPr>
          <w:b/>
          <w:bCs/>
        </w:rPr>
        <w:t>Además,</w:t>
      </w:r>
      <w:r w:rsidR="008D6027" w:rsidRPr="0008316B">
        <w:rPr>
          <w:b/>
          <w:bCs/>
        </w:rPr>
        <w:t xml:space="preserve"> el Comité recomienda que en los casos donde haya riesgo de apatridia, la nacionalidad paraguaya sea expedida lo m</w:t>
      </w:r>
      <w:r w:rsidR="00557907">
        <w:rPr>
          <w:b/>
          <w:bCs/>
        </w:rPr>
        <w:t>á</w:t>
      </w:r>
      <w:r w:rsidR="008D6027" w:rsidRPr="0008316B">
        <w:rPr>
          <w:b/>
          <w:bCs/>
        </w:rPr>
        <w:t xml:space="preserve">s pronto posible y con la posibilidad </w:t>
      </w:r>
      <w:r w:rsidR="00557907">
        <w:rPr>
          <w:b/>
          <w:bCs/>
        </w:rPr>
        <w:t xml:space="preserve">de </w:t>
      </w:r>
      <w:r w:rsidR="008D6027" w:rsidRPr="0008316B">
        <w:rPr>
          <w:b/>
          <w:bCs/>
        </w:rPr>
        <w:t xml:space="preserve">que sea desde un consulado. </w:t>
      </w:r>
    </w:p>
    <w:p w14:paraId="776E0B97" w14:textId="77777777" w:rsidR="00067737" w:rsidRPr="003F5E2C" w:rsidRDefault="00067737" w:rsidP="003F5E2C">
      <w:pPr>
        <w:pStyle w:val="H23G"/>
      </w:pPr>
      <w:r w:rsidRPr="003F5E2C">
        <w:tab/>
      </w:r>
      <w:r w:rsidRPr="003F5E2C">
        <w:tab/>
        <w:t>Educación</w:t>
      </w:r>
    </w:p>
    <w:p w14:paraId="79F1A859" w14:textId="790FB3DB" w:rsidR="00B803D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57.</w:t>
      </w:r>
      <w:r w:rsidRPr="0008316B">
        <w:tab/>
      </w:r>
      <w:r w:rsidR="00067737" w:rsidRPr="0008316B">
        <w:t>El Comité toma nota de que la educación es un derecho al que tienen acceso todos los migrantes, independientemente de su condición migratoria.</w:t>
      </w:r>
      <w:r w:rsidR="00C20142" w:rsidRPr="0008316B">
        <w:t xml:space="preserve"> </w:t>
      </w:r>
      <w:r w:rsidR="00B803D7" w:rsidRPr="0008316B">
        <w:t xml:space="preserve">Sin embargo, preocupa al comité que en la práctica </w:t>
      </w:r>
      <w:r w:rsidR="005209D7" w:rsidRPr="0008316B">
        <w:t xml:space="preserve">el estado de residencia </w:t>
      </w:r>
      <w:r w:rsidR="00875CF5" w:rsidRPr="0008316B">
        <w:t>migratorio,</w:t>
      </w:r>
      <w:r w:rsidR="005209D7" w:rsidRPr="0008316B">
        <w:t xml:space="preserve"> así como la presentación de </w:t>
      </w:r>
      <w:r w:rsidR="000501C2" w:rsidRPr="0008316B">
        <w:t>documentos de identidad</w:t>
      </w:r>
      <w:r w:rsidR="00552330" w:rsidRPr="0008316B">
        <w:t>,</w:t>
      </w:r>
      <w:r w:rsidR="000501C2" w:rsidRPr="0008316B">
        <w:t xml:space="preserve"> </w:t>
      </w:r>
      <w:r w:rsidR="00B803D7" w:rsidRPr="0008316B">
        <w:t>sea</w:t>
      </w:r>
      <w:r w:rsidR="000501C2" w:rsidRPr="0008316B">
        <w:t>n</w:t>
      </w:r>
      <w:r w:rsidR="00B803D7" w:rsidRPr="0008316B">
        <w:t xml:space="preserve"> un requerimiento para a</w:t>
      </w:r>
      <w:r w:rsidR="00BD67FC" w:rsidRPr="0008316B">
        <w:t>cceder a la</w:t>
      </w:r>
      <w:r w:rsidR="00B803D7" w:rsidRPr="0008316B">
        <w:t xml:space="preserve"> educación. </w:t>
      </w:r>
    </w:p>
    <w:p w14:paraId="45E9E868" w14:textId="74C4A913" w:rsidR="00731E04"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58.</w:t>
      </w:r>
      <w:r w:rsidRPr="0008316B">
        <w:tab/>
      </w:r>
      <w:r w:rsidR="00731E04" w:rsidRPr="0008316B">
        <w:t xml:space="preserve">El Comité sigue preocupado </w:t>
      </w:r>
      <w:r w:rsidR="006C13ED" w:rsidRPr="0008316B">
        <w:t xml:space="preserve">por la falta de información </w:t>
      </w:r>
      <w:r w:rsidR="00AD6844" w:rsidRPr="0008316B">
        <w:t>d</w:t>
      </w:r>
      <w:r w:rsidR="00731E04" w:rsidRPr="0008316B">
        <w:t>el Estado parte de las tasas de escolaridad de niñ</w:t>
      </w:r>
      <w:r w:rsidR="006B344E" w:rsidRPr="0008316B">
        <w:t>a</w:t>
      </w:r>
      <w:r w:rsidR="00731E04" w:rsidRPr="0008316B">
        <w:t>s y niñ</w:t>
      </w:r>
      <w:r w:rsidR="006B344E" w:rsidRPr="0008316B">
        <w:t>o</w:t>
      </w:r>
      <w:r w:rsidR="00731E04" w:rsidRPr="0008316B">
        <w:t>s migrantes, inclu</w:t>
      </w:r>
      <w:r w:rsidR="005848B2">
        <w:t>idos</w:t>
      </w:r>
      <w:r w:rsidR="00731E04" w:rsidRPr="0008316B">
        <w:t xml:space="preserve"> los que se encuentran en situación migratoria irregular. </w:t>
      </w:r>
    </w:p>
    <w:p w14:paraId="5EAB91FA" w14:textId="37974021" w:rsidR="008E094C"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59.</w:t>
      </w:r>
      <w:r w:rsidRPr="0008316B">
        <w:rPr>
          <w:bCs/>
        </w:rPr>
        <w:tab/>
      </w:r>
      <w:r w:rsidR="008E094C" w:rsidRPr="0008316B">
        <w:rPr>
          <w:b/>
          <w:bCs/>
        </w:rPr>
        <w:t>El Comité reitera su recomendación</w:t>
      </w:r>
      <w:r w:rsidR="005848B2" w:rsidRPr="00A465D3">
        <w:rPr>
          <w:rStyle w:val="Refdenotaalpie"/>
        </w:rPr>
        <w:footnoteReference w:id="15"/>
      </w:r>
      <w:r w:rsidR="008E094C" w:rsidRPr="0008316B">
        <w:rPr>
          <w:b/>
          <w:bCs/>
        </w:rPr>
        <w:t xml:space="preserve"> sobre la importancia de</w:t>
      </w:r>
      <w:r w:rsidR="000654BB" w:rsidRPr="0008316B">
        <w:rPr>
          <w:b/>
          <w:bCs/>
        </w:rPr>
        <w:t xml:space="preserve"> que e</w:t>
      </w:r>
      <w:r w:rsidR="008E094C" w:rsidRPr="0008316B">
        <w:rPr>
          <w:b/>
          <w:bCs/>
        </w:rPr>
        <w:t>l Estado parte dispon</w:t>
      </w:r>
      <w:r w:rsidR="000654BB" w:rsidRPr="0008316B">
        <w:rPr>
          <w:b/>
          <w:bCs/>
        </w:rPr>
        <w:t>ga</w:t>
      </w:r>
      <w:r w:rsidR="008E094C" w:rsidRPr="0008316B">
        <w:rPr>
          <w:b/>
          <w:bCs/>
        </w:rPr>
        <w:t xml:space="preserve"> de información sobre </w:t>
      </w:r>
      <w:r w:rsidR="000654BB" w:rsidRPr="0008316B">
        <w:rPr>
          <w:b/>
          <w:bCs/>
        </w:rPr>
        <w:t xml:space="preserve">las </w:t>
      </w:r>
      <w:r w:rsidR="008E094C" w:rsidRPr="0008316B">
        <w:rPr>
          <w:b/>
          <w:bCs/>
        </w:rPr>
        <w:t>tasas de escolaridad de niñ</w:t>
      </w:r>
      <w:r w:rsidR="006B344E" w:rsidRPr="0008316B">
        <w:rPr>
          <w:b/>
          <w:bCs/>
        </w:rPr>
        <w:t>a</w:t>
      </w:r>
      <w:r w:rsidR="008E094C" w:rsidRPr="0008316B">
        <w:rPr>
          <w:b/>
          <w:bCs/>
        </w:rPr>
        <w:t>s y niñ</w:t>
      </w:r>
      <w:r w:rsidR="006B344E" w:rsidRPr="0008316B">
        <w:rPr>
          <w:b/>
          <w:bCs/>
        </w:rPr>
        <w:t>o</w:t>
      </w:r>
      <w:r w:rsidR="008E094C" w:rsidRPr="0008316B">
        <w:rPr>
          <w:b/>
          <w:bCs/>
        </w:rPr>
        <w:t xml:space="preserve">s migrantes, incluso en situación irregular. </w:t>
      </w:r>
      <w:r w:rsidR="00716358" w:rsidRPr="0008316B">
        <w:rPr>
          <w:b/>
          <w:bCs/>
        </w:rPr>
        <w:t xml:space="preserve">El Comité recomienda que el control de la ley migratoria no interfiera en la educación. </w:t>
      </w:r>
    </w:p>
    <w:p w14:paraId="3A153395" w14:textId="56D637B9"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60.</w:t>
      </w:r>
      <w:r w:rsidRPr="0008316B">
        <w:rPr>
          <w:bCs/>
        </w:rPr>
        <w:tab/>
      </w:r>
      <w:r w:rsidR="00067737" w:rsidRPr="0008316B">
        <w:rPr>
          <w:b/>
          <w:bCs/>
        </w:rPr>
        <w:t xml:space="preserve">De conformidad con las observaciones generales conjuntas núm. 3 y </w:t>
      </w:r>
      <w:r w:rsidR="008C0DE1">
        <w:rPr>
          <w:b/>
          <w:bCs/>
        </w:rPr>
        <w:t>núm. </w:t>
      </w:r>
      <w:r w:rsidR="00067737" w:rsidRPr="0008316B">
        <w:rPr>
          <w:b/>
          <w:bCs/>
        </w:rPr>
        <w:t>4 del Comité</w:t>
      </w:r>
      <w:r w:rsidR="00D75DBA">
        <w:rPr>
          <w:b/>
          <w:bCs/>
        </w:rPr>
        <w:t>/</w:t>
      </w:r>
      <w:r w:rsidR="00067737" w:rsidRPr="0008316B">
        <w:rPr>
          <w:b/>
          <w:bCs/>
        </w:rPr>
        <w:t xml:space="preserve">núm. 22 y </w:t>
      </w:r>
      <w:r w:rsidR="008C0DE1">
        <w:rPr>
          <w:b/>
          <w:bCs/>
        </w:rPr>
        <w:t>núm. </w:t>
      </w:r>
      <w:r w:rsidR="00067737" w:rsidRPr="0008316B">
        <w:rPr>
          <w:b/>
          <w:bCs/>
        </w:rPr>
        <w:t>23 del Comité de los Derechos del Niño</w:t>
      </w:r>
      <w:r w:rsidR="00542D04">
        <w:rPr>
          <w:b/>
          <w:bCs/>
        </w:rPr>
        <w:t xml:space="preserve"> (2017)</w:t>
      </w:r>
      <w:r w:rsidR="00067737" w:rsidRPr="0008316B">
        <w:rPr>
          <w:b/>
          <w:bCs/>
        </w:rPr>
        <w:t>, y con el artículo 30 de la Convención, se recomienda que el Estado parte:</w:t>
      </w:r>
    </w:p>
    <w:p w14:paraId="76DAA49B" w14:textId="77777777" w:rsidR="00BE33DA" w:rsidRPr="00A465D3" w:rsidRDefault="00067737" w:rsidP="004D66C4">
      <w:pPr>
        <w:pStyle w:val="SingleTxtG"/>
        <w:rPr>
          <w:b/>
          <w:bCs/>
        </w:rPr>
      </w:pPr>
      <w:r w:rsidRPr="00A465D3">
        <w:rPr>
          <w:b/>
          <w:bCs/>
        </w:rPr>
        <w:tab/>
        <w:t>a)</w:t>
      </w:r>
      <w:r w:rsidRPr="00A465D3">
        <w:rPr>
          <w:b/>
          <w:bCs/>
        </w:rPr>
        <w:tab/>
        <w:t>Adopte medidas concretas y eficaces para garantizar el acceso efectivo a la educación de los hijos de los trabajadores migratorios, independientemente de la situación migratoria de sus padres;</w:t>
      </w:r>
      <w:r w:rsidRPr="00A465D3">
        <w:rPr>
          <w:b/>
          <w:bCs/>
        </w:rPr>
        <w:tab/>
      </w:r>
    </w:p>
    <w:p w14:paraId="459A1533" w14:textId="0D3BAD59" w:rsidR="00067737" w:rsidRPr="0008316B" w:rsidRDefault="00BE33DA" w:rsidP="004D66C4">
      <w:pPr>
        <w:pStyle w:val="SingleTxtG"/>
      </w:pPr>
      <w:r w:rsidRPr="00A465D3">
        <w:rPr>
          <w:b/>
          <w:bCs/>
        </w:rPr>
        <w:tab/>
      </w:r>
      <w:r w:rsidR="00716358" w:rsidRPr="00A465D3">
        <w:rPr>
          <w:b/>
          <w:bCs/>
        </w:rPr>
        <w:t>b</w:t>
      </w:r>
      <w:r w:rsidR="00067737" w:rsidRPr="00A465D3">
        <w:rPr>
          <w:b/>
          <w:bCs/>
        </w:rPr>
        <w:t>)</w:t>
      </w:r>
      <w:r w:rsidR="00067737" w:rsidRPr="00A465D3">
        <w:rPr>
          <w:b/>
          <w:bCs/>
        </w:rPr>
        <w:tab/>
        <w:t>Promueva</w:t>
      </w:r>
      <w:r w:rsidR="00067737" w:rsidRPr="0008316B">
        <w:rPr>
          <w:b/>
          <w:bCs/>
        </w:rPr>
        <w:t xml:space="preserve"> el fortalecimiento de las capacidades de los servicios de protección de niñ</w:t>
      </w:r>
      <w:r w:rsidR="0061466A" w:rsidRPr="0008316B">
        <w:rPr>
          <w:b/>
          <w:bCs/>
        </w:rPr>
        <w:t>a</w:t>
      </w:r>
      <w:r w:rsidR="00067737" w:rsidRPr="0008316B">
        <w:rPr>
          <w:b/>
          <w:bCs/>
        </w:rPr>
        <w:t>s, niñ</w:t>
      </w:r>
      <w:r w:rsidR="0061466A" w:rsidRPr="0008316B">
        <w:rPr>
          <w:b/>
          <w:bCs/>
        </w:rPr>
        <w:t>o</w:t>
      </w:r>
      <w:r w:rsidR="00067737" w:rsidRPr="0008316B">
        <w:rPr>
          <w:b/>
          <w:bCs/>
        </w:rPr>
        <w:t xml:space="preserve">s y adolescentes a nivel nacional, </w:t>
      </w:r>
      <w:r w:rsidR="0061466A" w:rsidRPr="0008316B">
        <w:rPr>
          <w:b/>
          <w:bCs/>
        </w:rPr>
        <w:t xml:space="preserve">departamental </w:t>
      </w:r>
      <w:r w:rsidR="00067737" w:rsidRPr="0008316B">
        <w:rPr>
          <w:b/>
          <w:bCs/>
        </w:rPr>
        <w:t>y municipal, a fin de asegurar políticas y programas de atención y protección coordinada.</w:t>
      </w:r>
    </w:p>
    <w:p w14:paraId="432C2DC1" w14:textId="77777777" w:rsidR="00067737" w:rsidRPr="003F5E2C" w:rsidRDefault="00067737" w:rsidP="003F5E2C">
      <w:pPr>
        <w:pStyle w:val="H23G"/>
      </w:pPr>
      <w:r w:rsidRPr="003F5E2C">
        <w:tab/>
      </w:r>
      <w:r w:rsidRPr="003F5E2C">
        <w:tab/>
        <w:t>Transferencia de ganancias y ahorros al terminar la estadía</w:t>
      </w:r>
    </w:p>
    <w:p w14:paraId="10E411FE" w14:textId="73E87613"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61.</w:t>
      </w:r>
      <w:r w:rsidRPr="0008316B">
        <w:tab/>
      </w:r>
      <w:r w:rsidR="00C20142" w:rsidRPr="0008316B">
        <w:t xml:space="preserve">El Comité toma nota con preocupación </w:t>
      </w:r>
      <w:r w:rsidR="00722CA2">
        <w:t xml:space="preserve">de </w:t>
      </w:r>
      <w:r w:rsidR="00C20142" w:rsidRPr="0008316B">
        <w:t>que el Estado parte n</w:t>
      </w:r>
      <w:r w:rsidR="00067737" w:rsidRPr="0008316B">
        <w:t>o cuent</w:t>
      </w:r>
      <w:r w:rsidR="000501C2" w:rsidRPr="0008316B">
        <w:t>a</w:t>
      </w:r>
      <w:r w:rsidR="00067737" w:rsidRPr="0008316B">
        <w:t xml:space="preserve"> con medidas específicas para facilitar las remesas </w:t>
      </w:r>
      <w:r w:rsidR="00A3469C" w:rsidRPr="0008316B">
        <w:t xml:space="preserve">enviadas por </w:t>
      </w:r>
      <w:r w:rsidR="00067737" w:rsidRPr="0008316B">
        <w:t>los paraguayos de</w:t>
      </w:r>
      <w:r w:rsidR="00A3469C" w:rsidRPr="0008316B">
        <w:t>sde el</w:t>
      </w:r>
      <w:r w:rsidR="00067737" w:rsidRPr="0008316B">
        <w:t xml:space="preserve"> exterior.</w:t>
      </w:r>
    </w:p>
    <w:p w14:paraId="2B0AAEF8" w14:textId="5E755C7E" w:rsidR="00441EDC"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lastRenderedPageBreak/>
        <w:t>62.</w:t>
      </w:r>
      <w:r w:rsidRPr="0008316B">
        <w:rPr>
          <w:bCs/>
        </w:rPr>
        <w:tab/>
      </w:r>
      <w:r w:rsidR="00067737" w:rsidRPr="0008316B">
        <w:rPr>
          <w:b/>
          <w:bCs/>
        </w:rPr>
        <w:t xml:space="preserve">El Comité </w:t>
      </w:r>
      <w:r w:rsidR="00A81E70" w:rsidRPr="0008316B">
        <w:rPr>
          <w:b/>
          <w:bCs/>
        </w:rPr>
        <w:t>reitera su recomendación</w:t>
      </w:r>
      <w:r w:rsidR="00415415">
        <w:rPr>
          <w:b/>
          <w:bCs/>
        </w:rPr>
        <w:t xml:space="preserve"> anterior</w:t>
      </w:r>
      <w:r w:rsidR="00F60FE5" w:rsidRPr="00A465D3">
        <w:rPr>
          <w:rStyle w:val="Refdenotaalpie"/>
        </w:rPr>
        <w:footnoteReference w:id="16"/>
      </w:r>
      <w:r w:rsidR="00A81E70" w:rsidRPr="0008316B">
        <w:rPr>
          <w:b/>
          <w:bCs/>
        </w:rPr>
        <w:t xml:space="preserve"> y </w:t>
      </w:r>
      <w:r w:rsidR="00067737" w:rsidRPr="0008316B">
        <w:rPr>
          <w:b/>
          <w:bCs/>
        </w:rPr>
        <w:t xml:space="preserve">recomienda que el </w:t>
      </w:r>
      <w:r w:rsidR="00BE76E0" w:rsidRPr="0008316B">
        <w:rPr>
          <w:b/>
          <w:bCs/>
        </w:rPr>
        <w:t>E</w:t>
      </w:r>
      <w:r w:rsidR="00067737" w:rsidRPr="0008316B">
        <w:rPr>
          <w:b/>
          <w:bCs/>
        </w:rPr>
        <w:t xml:space="preserve">stado parte adopte las medidas necesarias para facilitar la transferencia de </w:t>
      </w:r>
      <w:r w:rsidR="00DB7180" w:rsidRPr="0008316B">
        <w:rPr>
          <w:b/>
          <w:bCs/>
        </w:rPr>
        <w:t>remesas</w:t>
      </w:r>
      <w:r w:rsidR="00067737" w:rsidRPr="0008316B">
        <w:rPr>
          <w:b/>
          <w:bCs/>
        </w:rPr>
        <w:t xml:space="preserve"> de los paraguayos en el exterior y</w:t>
      </w:r>
      <w:r w:rsidR="00A51D28" w:rsidRPr="0008316B">
        <w:rPr>
          <w:b/>
          <w:bCs/>
        </w:rPr>
        <w:t xml:space="preserve"> para que los extranjeros en el territorio hagan envíos a sus países de origen</w:t>
      </w:r>
      <w:r w:rsidR="00067737" w:rsidRPr="0008316B">
        <w:rPr>
          <w:b/>
          <w:bCs/>
        </w:rPr>
        <w:t>.</w:t>
      </w:r>
    </w:p>
    <w:p w14:paraId="5D8B2A31" w14:textId="18B8F2DA" w:rsidR="00441EDC" w:rsidRPr="003F5E2C" w:rsidRDefault="00F3506D" w:rsidP="003F5E2C">
      <w:pPr>
        <w:pStyle w:val="H23G"/>
      </w:pPr>
      <w:r w:rsidRPr="003F5E2C">
        <w:tab/>
      </w:r>
      <w:r w:rsidR="00441EDC" w:rsidRPr="003F5E2C">
        <w:t>4.</w:t>
      </w:r>
      <w:r w:rsidR="00441EDC" w:rsidRPr="003F5E2C">
        <w:tab/>
        <w:t>Otros derechos de los trabajadores migratorios y de sus familiares que estén documentados o se encuentren en situación regular (arts. 36 a 56)</w:t>
      </w:r>
    </w:p>
    <w:p w14:paraId="6E49719F" w14:textId="53C581D6" w:rsidR="00067737" w:rsidRPr="003F5E2C" w:rsidRDefault="00441EDC" w:rsidP="003F5E2C">
      <w:pPr>
        <w:pStyle w:val="H23G"/>
      </w:pPr>
      <w:r w:rsidRPr="003F5E2C">
        <w:tab/>
      </w:r>
      <w:r w:rsidRPr="003F5E2C">
        <w:tab/>
      </w:r>
      <w:r w:rsidR="00625D1B" w:rsidRPr="003F5E2C">
        <w:t>Permiso de trabajo y residencia</w:t>
      </w:r>
    </w:p>
    <w:p w14:paraId="1298E11E" w14:textId="210266BD"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63.</w:t>
      </w:r>
      <w:r w:rsidRPr="0008316B">
        <w:tab/>
      </w:r>
      <w:r w:rsidR="00A6249B" w:rsidRPr="0008316B">
        <w:t xml:space="preserve">El Comité </w:t>
      </w:r>
      <w:r w:rsidR="00A92B9D" w:rsidRPr="0008316B">
        <w:t>advierte</w:t>
      </w:r>
      <w:r w:rsidR="00A6249B" w:rsidRPr="0008316B">
        <w:t xml:space="preserve"> de que en el Estado parte</w:t>
      </w:r>
      <w:r w:rsidR="00067737" w:rsidRPr="0008316B">
        <w:t xml:space="preserve"> la autorización de trabajo está vinculada al tipo de radicación que posee el extranjero </w:t>
      </w:r>
      <w:r w:rsidR="00A6249B" w:rsidRPr="0008316B">
        <w:t xml:space="preserve">y </w:t>
      </w:r>
      <w:r w:rsidR="00067737" w:rsidRPr="0008316B">
        <w:t xml:space="preserve">que no hay un trámite específico y separado para conseguir una autorización de trabajo. </w:t>
      </w:r>
      <w:r w:rsidR="00263B0B" w:rsidRPr="0008316B">
        <w:t>Al</w:t>
      </w:r>
      <w:r w:rsidR="00B671AE" w:rsidRPr="0008316B">
        <w:t xml:space="preserve"> Comité </w:t>
      </w:r>
      <w:r w:rsidR="00263B0B" w:rsidRPr="0008316B">
        <w:t xml:space="preserve">le preocupa la información de que </w:t>
      </w:r>
      <w:r w:rsidR="00B671AE" w:rsidRPr="0008316B">
        <w:t xml:space="preserve">empleadores, incluso oficiales del </w:t>
      </w:r>
      <w:r w:rsidR="00240ACC">
        <w:t>G</w:t>
      </w:r>
      <w:r w:rsidR="00B671AE" w:rsidRPr="0008316B">
        <w:t xml:space="preserve">obierno, no tienen conocimiento del documento provisional, expedido por </w:t>
      </w:r>
      <w:r w:rsidR="006F0F22">
        <w:t>la Comisión Nacional de Refugiados</w:t>
      </w:r>
      <w:r w:rsidR="006F0F22" w:rsidRPr="0008316B">
        <w:t xml:space="preserve"> </w:t>
      </w:r>
      <w:r w:rsidR="00B671AE" w:rsidRPr="0008316B">
        <w:t>a solicitantes de asilo y a refugiados,</w:t>
      </w:r>
      <w:r w:rsidR="00A70197" w:rsidRPr="0008316B">
        <w:t xml:space="preserve"> con el cual</w:t>
      </w:r>
      <w:r w:rsidR="00F0171E" w:rsidRPr="0008316B">
        <w:t xml:space="preserve"> podrían tener </w:t>
      </w:r>
      <w:r w:rsidR="00B671AE" w:rsidRPr="0008316B">
        <w:t>acceso a</w:t>
      </w:r>
      <w:r w:rsidR="00F0171E" w:rsidRPr="0008316B">
        <w:t>l</w:t>
      </w:r>
      <w:r w:rsidR="00B671AE" w:rsidRPr="0008316B">
        <w:t xml:space="preserve"> trabajo </w:t>
      </w:r>
      <w:r w:rsidR="00F0171E" w:rsidRPr="0008316B">
        <w:t>y a los</w:t>
      </w:r>
      <w:r w:rsidR="00B671AE" w:rsidRPr="0008316B">
        <w:t xml:space="preserve"> servicios públicos.</w:t>
      </w:r>
    </w:p>
    <w:p w14:paraId="1D001A0F" w14:textId="742C37A6"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64.</w:t>
      </w:r>
      <w:r w:rsidRPr="0008316B">
        <w:rPr>
          <w:bCs/>
        </w:rPr>
        <w:tab/>
      </w:r>
      <w:r w:rsidR="00B671AE" w:rsidRPr="0008316B">
        <w:rPr>
          <w:b/>
          <w:bCs/>
        </w:rPr>
        <w:t xml:space="preserve">El </w:t>
      </w:r>
      <w:r w:rsidR="00D32B08" w:rsidRPr="0008316B">
        <w:rPr>
          <w:b/>
          <w:bCs/>
        </w:rPr>
        <w:t>C</w:t>
      </w:r>
      <w:r w:rsidR="00B671AE" w:rsidRPr="0008316B">
        <w:rPr>
          <w:b/>
          <w:bCs/>
        </w:rPr>
        <w:t xml:space="preserve">omité recomienda la adopción de todas </w:t>
      </w:r>
      <w:r w:rsidR="007F32FB" w:rsidRPr="0008316B">
        <w:rPr>
          <w:b/>
          <w:bCs/>
        </w:rPr>
        <w:t xml:space="preserve">las </w:t>
      </w:r>
      <w:r w:rsidR="00B671AE" w:rsidRPr="0008316B">
        <w:rPr>
          <w:b/>
          <w:bCs/>
        </w:rPr>
        <w:t xml:space="preserve">medidas y </w:t>
      </w:r>
      <w:r w:rsidR="007F32FB" w:rsidRPr="0008316B">
        <w:rPr>
          <w:b/>
          <w:bCs/>
        </w:rPr>
        <w:t xml:space="preserve">regulaciones </w:t>
      </w:r>
      <w:r w:rsidR="00B671AE" w:rsidRPr="0008316B">
        <w:rPr>
          <w:b/>
          <w:bCs/>
        </w:rPr>
        <w:t xml:space="preserve">necesarias para facilitar la plena y efectiva implementación de la Ley General sobre Refugiados </w:t>
      </w:r>
      <w:r w:rsidR="00240ACC">
        <w:rPr>
          <w:b/>
          <w:bCs/>
        </w:rPr>
        <w:t>núm. </w:t>
      </w:r>
      <w:r w:rsidR="00B671AE" w:rsidRPr="0008316B">
        <w:rPr>
          <w:b/>
          <w:bCs/>
        </w:rPr>
        <w:t xml:space="preserve">1938, en particular la </w:t>
      </w:r>
      <w:r w:rsidR="00B57DB5" w:rsidRPr="0008316B">
        <w:rPr>
          <w:b/>
          <w:bCs/>
        </w:rPr>
        <w:t xml:space="preserve">que corresponde al </w:t>
      </w:r>
      <w:r w:rsidR="00B671AE" w:rsidRPr="0008316B">
        <w:rPr>
          <w:b/>
          <w:bCs/>
        </w:rPr>
        <w:t>documento provisional dado a los solicitantes de asilo.</w:t>
      </w:r>
    </w:p>
    <w:p w14:paraId="27F47D34" w14:textId="77777777" w:rsidR="00067737" w:rsidRPr="003F5E2C" w:rsidRDefault="00067737" w:rsidP="003F5E2C">
      <w:pPr>
        <w:pStyle w:val="H23G"/>
      </w:pPr>
      <w:r w:rsidRPr="003F5E2C">
        <w:tab/>
        <w:t>5.</w:t>
      </w:r>
      <w:r w:rsidRPr="003F5E2C">
        <w:tab/>
        <w:t>Promoción de condiciones satisfactorias, equitativas, dignas y lícitas en relación con la migración internacional de trabajadores y sus familiares (arts. 64 a 71)</w:t>
      </w:r>
    </w:p>
    <w:p w14:paraId="6458FA90" w14:textId="06A63912" w:rsidR="00642432" w:rsidRPr="003F5E2C" w:rsidRDefault="0060217F" w:rsidP="003F5E2C">
      <w:pPr>
        <w:pStyle w:val="H23G"/>
      </w:pPr>
      <w:r w:rsidRPr="003F5E2C">
        <w:tab/>
      </w:r>
      <w:r w:rsidRPr="003F5E2C">
        <w:tab/>
      </w:r>
      <w:r w:rsidR="002554D1" w:rsidRPr="003F5E2C">
        <w:t>Niñas</w:t>
      </w:r>
      <w:r w:rsidR="00642432" w:rsidRPr="003F5E2C">
        <w:t>, niños y adolescentes migrantes</w:t>
      </w:r>
    </w:p>
    <w:p w14:paraId="4326A2BE" w14:textId="62EA7865"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65.</w:t>
      </w:r>
      <w:r w:rsidRPr="0008316B">
        <w:tab/>
      </w:r>
      <w:r w:rsidR="00067737" w:rsidRPr="0008316B">
        <w:t>Respecto a l</w:t>
      </w:r>
      <w:r w:rsidR="00A151B5" w:rsidRPr="0008316B">
        <w:t>a niñez</w:t>
      </w:r>
      <w:r w:rsidR="00067737" w:rsidRPr="0008316B">
        <w:t xml:space="preserve"> en situación de migración internacional, el Comité toma nota del mecanismo de </w:t>
      </w:r>
      <w:r w:rsidR="00240ACC">
        <w:t>r</w:t>
      </w:r>
      <w:r w:rsidR="00067737" w:rsidRPr="0008316B">
        <w:t xml:space="preserve">estitución a </w:t>
      </w:r>
      <w:r w:rsidR="00415415">
        <w:t>los</w:t>
      </w:r>
      <w:r w:rsidR="00415415" w:rsidRPr="0008316B">
        <w:t xml:space="preserve"> </w:t>
      </w:r>
      <w:r w:rsidR="00067737" w:rsidRPr="0008316B">
        <w:t>familiares coordinado por la Dirección de Atención a las Comunidades Paraguayas en el Extranjero y del programa de reintegración y apoyo a repatriados emprendedores, que permite a quienes retornan contar con medios económicos a través de actividades generadoras de ingreso</w:t>
      </w:r>
      <w:r w:rsidR="00240ACC">
        <w:t>s</w:t>
      </w:r>
      <w:r w:rsidR="00067737" w:rsidRPr="0008316B">
        <w:t xml:space="preserve"> para atender las necesidades de su familia, inclu</w:t>
      </w:r>
      <w:r w:rsidR="00B71022" w:rsidRPr="0008316B">
        <w:t>idos</w:t>
      </w:r>
      <w:r w:rsidR="00067737" w:rsidRPr="0008316B">
        <w:t xml:space="preserve"> los niños</w:t>
      </w:r>
      <w:r w:rsidR="00B71022" w:rsidRPr="0008316B">
        <w:t>.</w:t>
      </w:r>
    </w:p>
    <w:p w14:paraId="29A7076B" w14:textId="58199953" w:rsidR="008C61B4"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66.</w:t>
      </w:r>
      <w:r w:rsidRPr="0008316B">
        <w:tab/>
      </w:r>
      <w:r w:rsidR="00067737" w:rsidRPr="0008316B">
        <w:rPr>
          <w:b/>
          <w:bCs/>
        </w:rPr>
        <w:t>El Comité</w:t>
      </w:r>
      <w:r w:rsidR="00A81E70" w:rsidRPr="0008316B">
        <w:rPr>
          <w:b/>
          <w:bCs/>
        </w:rPr>
        <w:t xml:space="preserve"> reitera su recomendación </w:t>
      </w:r>
      <w:r w:rsidR="00240ACC">
        <w:rPr>
          <w:b/>
          <w:bCs/>
        </w:rPr>
        <w:t>anterior</w:t>
      </w:r>
      <w:r w:rsidR="00F60FE5" w:rsidRPr="00A465D3">
        <w:rPr>
          <w:rStyle w:val="Refdenotaalpie"/>
        </w:rPr>
        <w:footnoteReference w:id="17"/>
      </w:r>
      <w:r w:rsidR="00240ACC">
        <w:rPr>
          <w:b/>
          <w:bCs/>
        </w:rPr>
        <w:t xml:space="preserve"> </w:t>
      </w:r>
      <w:r w:rsidR="00A81E70" w:rsidRPr="0008316B">
        <w:rPr>
          <w:b/>
          <w:bCs/>
        </w:rPr>
        <w:t>y</w:t>
      </w:r>
      <w:r w:rsidR="008C61B4" w:rsidRPr="0008316B">
        <w:rPr>
          <w:b/>
          <w:bCs/>
        </w:rPr>
        <w:t xml:space="preserve"> además</w:t>
      </w:r>
      <w:r w:rsidR="00A81E70" w:rsidRPr="0008316B">
        <w:rPr>
          <w:b/>
          <w:bCs/>
        </w:rPr>
        <w:t xml:space="preserve"> </w:t>
      </w:r>
      <w:r w:rsidR="00067737" w:rsidRPr="0008316B">
        <w:rPr>
          <w:b/>
          <w:bCs/>
        </w:rPr>
        <w:t xml:space="preserve">recomienda que el </w:t>
      </w:r>
      <w:r w:rsidR="00BE76E0" w:rsidRPr="0008316B">
        <w:rPr>
          <w:b/>
          <w:bCs/>
        </w:rPr>
        <w:t>E</w:t>
      </w:r>
      <w:r w:rsidR="00067737" w:rsidRPr="0008316B">
        <w:rPr>
          <w:b/>
          <w:bCs/>
        </w:rPr>
        <w:t xml:space="preserve">stado parte </w:t>
      </w:r>
      <w:r w:rsidR="00642432" w:rsidRPr="0008316B">
        <w:rPr>
          <w:b/>
          <w:bCs/>
        </w:rPr>
        <w:t>avance</w:t>
      </w:r>
      <w:r w:rsidR="00067737" w:rsidRPr="0008316B">
        <w:rPr>
          <w:b/>
          <w:bCs/>
        </w:rPr>
        <w:t xml:space="preserve"> en </w:t>
      </w:r>
      <w:r w:rsidR="00D72410" w:rsidRPr="0008316B">
        <w:rPr>
          <w:b/>
          <w:bCs/>
        </w:rPr>
        <w:t xml:space="preserve">la elaboración de </w:t>
      </w:r>
      <w:r w:rsidR="00067737" w:rsidRPr="0008316B">
        <w:rPr>
          <w:b/>
          <w:bCs/>
        </w:rPr>
        <w:t xml:space="preserve">mecanismos interinstitucionales </w:t>
      </w:r>
      <w:r w:rsidR="008C61B4" w:rsidRPr="0008316B">
        <w:rPr>
          <w:b/>
          <w:bCs/>
        </w:rPr>
        <w:t>de seguimiento de los repatriados paraguayos</w:t>
      </w:r>
      <w:r w:rsidR="00641207" w:rsidRPr="0008316B">
        <w:rPr>
          <w:b/>
          <w:bCs/>
        </w:rPr>
        <w:t>.</w:t>
      </w:r>
    </w:p>
    <w:p w14:paraId="6BD41572" w14:textId="3A24ECC2" w:rsidR="00F17DD3" w:rsidRPr="003F5E2C" w:rsidRDefault="00F3506D" w:rsidP="003F5E2C">
      <w:pPr>
        <w:pStyle w:val="H23G"/>
      </w:pPr>
      <w:r w:rsidRPr="003F5E2C">
        <w:tab/>
      </w:r>
      <w:r w:rsidRPr="003F5E2C">
        <w:tab/>
      </w:r>
      <w:r w:rsidR="00067737" w:rsidRPr="003F5E2C">
        <w:t>Trata de personas</w:t>
      </w:r>
    </w:p>
    <w:p w14:paraId="19FD01F9" w14:textId="1A6B713A" w:rsidR="00A72324"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67.</w:t>
      </w:r>
      <w:r w:rsidRPr="0008316B">
        <w:tab/>
      </w:r>
      <w:r w:rsidR="00F17DD3" w:rsidRPr="0008316B">
        <w:t xml:space="preserve">El Comité </w:t>
      </w:r>
      <w:r w:rsidR="00736D5A" w:rsidRPr="0008316B">
        <w:t>advierte</w:t>
      </w:r>
      <w:r w:rsidR="000F68CE" w:rsidRPr="0008316B">
        <w:t xml:space="preserve"> </w:t>
      </w:r>
      <w:r w:rsidR="00F17DD3" w:rsidRPr="0008316B">
        <w:t>que existen en el Estado parte estrategias y políticas relevantes para los trabajadores migratorios sobre trata de personas, pero no tiene conocimiento de que existan informes reportando la implementación de dichas estrategias.</w:t>
      </w:r>
      <w:r w:rsidR="00A72324" w:rsidRPr="0008316B">
        <w:t xml:space="preserve"> </w:t>
      </w:r>
      <w:r w:rsidR="00835077" w:rsidRPr="0008316B">
        <w:t>E</w:t>
      </w:r>
      <w:r w:rsidR="00067737" w:rsidRPr="0008316B">
        <w:t xml:space="preserve">l Comité expresa </w:t>
      </w:r>
      <w:r w:rsidR="00835077" w:rsidRPr="0008316B">
        <w:t xml:space="preserve">su </w:t>
      </w:r>
      <w:r w:rsidR="00067737" w:rsidRPr="0008316B">
        <w:t xml:space="preserve">preocupación </w:t>
      </w:r>
      <w:r w:rsidR="009A2E1A" w:rsidRPr="0008316B">
        <w:t xml:space="preserve">de </w:t>
      </w:r>
      <w:r w:rsidR="00067737" w:rsidRPr="0008316B">
        <w:t xml:space="preserve">que el </w:t>
      </w:r>
      <w:r w:rsidR="00BE76E0" w:rsidRPr="0008316B">
        <w:t>E</w:t>
      </w:r>
      <w:r w:rsidR="00067737" w:rsidRPr="0008316B">
        <w:t xml:space="preserve">stado parte aún no </w:t>
      </w:r>
      <w:r w:rsidR="009A2E1A" w:rsidRPr="0008316B">
        <w:t xml:space="preserve">haya </w:t>
      </w:r>
      <w:r w:rsidR="00067737" w:rsidRPr="0008316B">
        <w:t>logr</w:t>
      </w:r>
      <w:r w:rsidR="009A2E1A" w:rsidRPr="0008316B">
        <w:t>ado</w:t>
      </w:r>
      <w:r w:rsidR="00067737" w:rsidRPr="0008316B">
        <w:t xml:space="preserve"> estándares suficientes en el combate a la trata de personas y que la práctica de explotación infantil intrafronteriza sigue afectando especialmente a niñ</w:t>
      </w:r>
      <w:r w:rsidR="00CB58DC" w:rsidRPr="0008316B">
        <w:t>a</w:t>
      </w:r>
      <w:r w:rsidR="00067737" w:rsidRPr="0008316B">
        <w:t>s y niñ</w:t>
      </w:r>
      <w:r w:rsidR="00CB58DC" w:rsidRPr="0008316B">
        <w:t>o</w:t>
      </w:r>
      <w:r w:rsidR="00067737" w:rsidRPr="0008316B">
        <w:t xml:space="preserve">s que viven en la calle en </w:t>
      </w:r>
      <w:r w:rsidR="006C2064">
        <w:t xml:space="preserve">la zona de la </w:t>
      </w:r>
      <w:r w:rsidR="00067737" w:rsidRPr="0008316B">
        <w:t xml:space="preserve">Triple Frontera. </w:t>
      </w:r>
      <w:r w:rsidR="00A72324" w:rsidRPr="0008316B">
        <w:t xml:space="preserve">El Comité sigue preocupado por el escaso número de </w:t>
      </w:r>
      <w:r w:rsidR="00F72BB0" w:rsidRPr="0008316B">
        <w:t xml:space="preserve">resoluciones </w:t>
      </w:r>
      <w:r w:rsidR="00A72324" w:rsidRPr="0008316B">
        <w:t>condena</w:t>
      </w:r>
      <w:r w:rsidR="00F72BB0" w:rsidRPr="0008316B">
        <w:t>torias de</w:t>
      </w:r>
      <w:r w:rsidR="00A72324" w:rsidRPr="0008316B">
        <w:t xml:space="preserve"> trata de personas, en particular con fines de explotación sexual.</w:t>
      </w:r>
    </w:p>
    <w:p w14:paraId="1296BB33" w14:textId="0B93BA64"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68.</w:t>
      </w:r>
      <w:r w:rsidRPr="0008316B">
        <w:rPr>
          <w:bCs/>
        </w:rPr>
        <w:tab/>
      </w:r>
      <w:r w:rsidR="00067737" w:rsidRPr="0008316B">
        <w:rPr>
          <w:b/>
          <w:bCs/>
        </w:rPr>
        <w:t xml:space="preserve">El Comité </w:t>
      </w:r>
      <w:r w:rsidR="00B75893" w:rsidRPr="0008316B">
        <w:rPr>
          <w:b/>
          <w:bCs/>
        </w:rPr>
        <w:t xml:space="preserve">reitera su recomendación </w:t>
      </w:r>
      <w:r w:rsidR="006C2064">
        <w:rPr>
          <w:b/>
          <w:bCs/>
        </w:rPr>
        <w:t>anterior</w:t>
      </w:r>
      <w:r w:rsidR="00F60FE5" w:rsidRPr="00A465D3">
        <w:rPr>
          <w:rStyle w:val="Refdenotaalpie"/>
        </w:rPr>
        <w:footnoteReference w:id="18"/>
      </w:r>
      <w:r w:rsidR="006C2064">
        <w:rPr>
          <w:b/>
          <w:bCs/>
        </w:rPr>
        <w:t xml:space="preserve"> </w:t>
      </w:r>
      <w:r w:rsidR="00B75893" w:rsidRPr="0008316B">
        <w:rPr>
          <w:b/>
          <w:bCs/>
        </w:rPr>
        <w:t xml:space="preserve">y además </w:t>
      </w:r>
      <w:r w:rsidR="00067737" w:rsidRPr="0008316B">
        <w:rPr>
          <w:b/>
          <w:bCs/>
        </w:rPr>
        <w:t xml:space="preserve">recomienda la integración en el </w:t>
      </w:r>
      <w:r w:rsidR="00DF2E49">
        <w:rPr>
          <w:b/>
          <w:bCs/>
        </w:rPr>
        <w:t>C</w:t>
      </w:r>
      <w:r w:rsidR="00067737" w:rsidRPr="0008316B">
        <w:rPr>
          <w:b/>
          <w:bCs/>
        </w:rPr>
        <w:t xml:space="preserve">ódigo </w:t>
      </w:r>
      <w:r w:rsidR="00DF2E49">
        <w:rPr>
          <w:b/>
          <w:bCs/>
        </w:rPr>
        <w:t>P</w:t>
      </w:r>
      <w:r w:rsidR="00067737" w:rsidRPr="0008316B">
        <w:rPr>
          <w:b/>
          <w:bCs/>
        </w:rPr>
        <w:t xml:space="preserve">enal de artículos especialmente dedicados a sancionar la trata de personas y el tráfico de migrantes, </w:t>
      </w:r>
      <w:r w:rsidR="0080006D" w:rsidRPr="0008316B">
        <w:rPr>
          <w:b/>
          <w:bCs/>
        </w:rPr>
        <w:t>de</w:t>
      </w:r>
      <w:r w:rsidR="00067737" w:rsidRPr="0008316B">
        <w:rPr>
          <w:b/>
          <w:bCs/>
        </w:rPr>
        <w:t xml:space="preserve"> conformidad con </w:t>
      </w:r>
      <w:r w:rsidR="00450B0F">
        <w:rPr>
          <w:b/>
          <w:bCs/>
        </w:rPr>
        <w:t>el</w:t>
      </w:r>
      <w:r w:rsidR="00450B0F" w:rsidRPr="0008316B">
        <w:rPr>
          <w:b/>
          <w:bCs/>
        </w:rPr>
        <w:t xml:space="preserve"> </w:t>
      </w:r>
      <w:r w:rsidR="00450B0F" w:rsidRPr="00E702C3">
        <w:rPr>
          <w:b/>
          <w:bCs/>
        </w:rPr>
        <w:t xml:space="preserve">Protocolo para Prevenir, Reprimir y Sancionar la Trata de Personas, Especialmente Mujeres y Niños, </w:t>
      </w:r>
      <w:r w:rsidR="00450B0F">
        <w:rPr>
          <w:b/>
          <w:bCs/>
        </w:rPr>
        <w:t>y el</w:t>
      </w:r>
      <w:r w:rsidR="00450B0F" w:rsidRPr="00E702C3">
        <w:t xml:space="preserve"> </w:t>
      </w:r>
      <w:r w:rsidR="00450B0F" w:rsidRPr="00E702C3">
        <w:rPr>
          <w:b/>
          <w:bCs/>
        </w:rPr>
        <w:t>Protocolo contra el Tráfico Ilícito de Migrantes por Tierra, Mar y Aire, que complementa</w:t>
      </w:r>
      <w:r w:rsidR="00450B0F">
        <w:rPr>
          <w:b/>
          <w:bCs/>
        </w:rPr>
        <w:t>n</w:t>
      </w:r>
      <w:r w:rsidR="00450B0F" w:rsidRPr="00E702C3">
        <w:rPr>
          <w:b/>
          <w:bCs/>
        </w:rPr>
        <w:t xml:space="preserve"> la Convención de las Naciones Unidas contra la Delincuencia Organizada Transnacional</w:t>
      </w:r>
      <w:r w:rsidR="0080006D" w:rsidRPr="0008316B">
        <w:rPr>
          <w:b/>
          <w:bCs/>
        </w:rPr>
        <w:t>,</w:t>
      </w:r>
      <w:r w:rsidR="0009250D" w:rsidRPr="0008316B">
        <w:rPr>
          <w:b/>
          <w:bCs/>
        </w:rPr>
        <w:t xml:space="preserve"> y la adopción de un plan de acción para combatir </w:t>
      </w:r>
      <w:r w:rsidR="0080006D" w:rsidRPr="0008316B">
        <w:rPr>
          <w:b/>
          <w:bCs/>
        </w:rPr>
        <w:t xml:space="preserve">la </w:t>
      </w:r>
      <w:r w:rsidR="0009250D" w:rsidRPr="0008316B">
        <w:rPr>
          <w:b/>
          <w:bCs/>
        </w:rPr>
        <w:t>trata y disponer de</w:t>
      </w:r>
      <w:r w:rsidR="009D0385" w:rsidRPr="0008316B">
        <w:rPr>
          <w:b/>
          <w:bCs/>
        </w:rPr>
        <w:t xml:space="preserve"> suficiente</w:t>
      </w:r>
      <w:r w:rsidR="0009250D" w:rsidRPr="0008316B">
        <w:rPr>
          <w:b/>
          <w:bCs/>
        </w:rPr>
        <w:t xml:space="preserve"> información </w:t>
      </w:r>
      <w:r w:rsidR="009D0385" w:rsidRPr="0008316B">
        <w:rPr>
          <w:b/>
          <w:bCs/>
        </w:rPr>
        <w:t>sobre la</w:t>
      </w:r>
      <w:r w:rsidR="0009250D" w:rsidRPr="0008316B">
        <w:rPr>
          <w:b/>
          <w:bCs/>
        </w:rPr>
        <w:t xml:space="preserve"> protección </w:t>
      </w:r>
      <w:r w:rsidR="009D0385" w:rsidRPr="0008316B">
        <w:rPr>
          <w:b/>
          <w:bCs/>
        </w:rPr>
        <w:t>de</w:t>
      </w:r>
      <w:r w:rsidR="0009250D" w:rsidRPr="0008316B">
        <w:rPr>
          <w:b/>
          <w:bCs/>
        </w:rPr>
        <w:t xml:space="preserve"> las </w:t>
      </w:r>
      <w:r w:rsidR="001568EA" w:rsidRPr="0008316B">
        <w:rPr>
          <w:b/>
          <w:bCs/>
        </w:rPr>
        <w:t xml:space="preserve">personas </w:t>
      </w:r>
      <w:r w:rsidR="00B16D4A" w:rsidRPr="0008316B">
        <w:rPr>
          <w:b/>
          <w:bCs/>
        </w:rPr>
        <w:t>s</w:t>
      </w:r>
      <w:r w:rsidR="00D40329" w:rsidRPr="0008316B">
        <w:rPr>
          <w:b/>
          <w:bCs/>
        </w:rPr>
        <w:t>obre</w:t>
      </w:r>
      <w:r w:rsidR="00B16D4A" w:rsidRPr="0008316B">
        <w:rPr>
          <w:b/>
          <w:bCs/>
        </w:rPr>
        <w:t>vivientes</w:t>
      </w:r>
      <w:r w:rsidR="007E6FFF">
        <w:rPr>
          <w:b/>
          <w:bCs/>
        </w:rPr>
        <w:t>.</w:t>
      </w:r>
      <w:r w:rsidR="00067737" w:rsidRPr="0008316B">
        <w:rPr>
          <w:b/>
          <w:bCs/>
        </w:rPr>
        <w:t xml:space="preserve"> </w:t>
      </w:r>
      <w:r w:rsidR="007E6FFF">
        <w:rPr>
          <w:b/>
          <w:bCs/>
        </w:rPr>
        <w:t>A</w:t>
      </w:r>
      <w:r w:rsidR="00067737" w:rsidRPr="0008316B">
        <w:rPr>
          <w:b/>
          <w:bCs/>
        </w:rPr>
        <w:t xml:space="preserve">simismo, </w:t>
      </w:r>
      <w:r w:rsidR="007E6FFF">
        <w:rPr>
          <w:b/>
          <w:bCs/>
        </w:rPr>
        <w:t xml:space="preserve">el Comité alienta las </w:t>
      </w:r>
      <w:r w:rsidR="00067737" w:rsidRPr="0008316B">
        <w:rPr>
          <w:b/>
          <w:bCs/>
        </w:rPr>
        <w:t xml:space="preserve">investigaciones relacionadas </w:t>
      </w:r>
      <w:r w:rsidR="00B16D4A" w:rsidRPr="0008316B">
        <w:rPr>
          <w:b/>
          <w:bCs/>
        </w:rPr>
        <w:t>con el</w:t>
      </w:r>
      <w:r w:rsidR="00067737" w:rsidRPr="0008316B">
        <w:rPr>
          <w:b/>
          <w:bCs/>
        </w:rPr>
        <w:t xml:space="preserve"> delito </w:t>
      </w:r>
      <w:r w:rsidR="007E6FFF">
        <w:rPr>
          <w:b/>
          <w:bCs/>
        </w:rPr>
        <w:t xml:space="preserve">de trata de </w:t>
      </w:r>
      <w:r w:rsidR="007E6FFF">
        <w:rPr>
          <w:b/>
          <w:bCs/>
        </w:rPr>
        <w:lastRenderedPageBreak/>
        <w:t xml:space="preserve">personas </w:t>
      </w:r>
      <w:r w:rsidR="00067737" w:rsidRPr="0008316B">
        <w:rPr>
          <w:b/>
          <w:bCs/>
        </w:rPr>
        <w:t xml:space="preserve">en el país y la capacitación de agentes fiscales y jueces que colaboren en </w:t>
      </w:r>
      <w:r w:rsidR="00DC5C47" w:rsidRPr="0008316B">
        <w:rPr>
          <w:b/>
          <w:bCs/>
        </w:rPr>
        <w:t xml:space="preserve">la </w:t>
      </w:r>
      <w:r w:rsidR="00067737" w:rsidRPr="0008316B">
        <w:rPr>
          <w:b/>
          <w:bCs/>
        </w:rPr>
        <w:t xml:space="preserve">prevención, </w:t>
      </w:r>
      <w:r w:rsidR="00DC5C47" w:rsidRPr="0008316B">
        <w:rPr>
          <w:b/>
          <w:bCs/>
        </w:rPr>
        <w:t xml:space="preserve">la </w:t>
      </w:r>
      <w:r w:rsidR="00067737" w:rsidRPr="0008316B">
        <w:rPr>
          <w:b/>
          <w:bCs/>
        </w:rPr>
        <w:t xml:space="preserve">sanción y </w:t>
      </w:r>
      <w:r w:rsidR="00DC5C47" w:rsidRPr="0008316B">
        <w:rPr>
          <w:b/>
          <w:bCs/>
        </w:rPr>
        <w:t xml:space="preserve">la </w:t>
      </w:r>
      <w:r w:rsidR="00067737" w:rsidRPr="0008316B">
        <w:rPr>
          <w:b/>
          <w:bCs/>
        </w:rPr>
        <w:t>erradicación de est</w:t>
      </w:r>
      <w:r w:rsidR="00DC5C47" w:rsidRPr="0008316B">
        <w:rPr>
          <w:b/>
          <w:bCs/>
        </w:rPr>
        <w:t>e</w:t>
      </w:r>
      <w:r w:rsidR="00067737" w:rsidRPr="0008316B">
        <w:rPr>
          <w:b/>
          <w:bCs/>
        </w:rPr>
        <w:t xml:space="preserve"> delito.</w:t>
      </w:r>
      <w:r w:rsidR="00BB4833" w:rsidRPr="0008316B">
        <w:rPr>
          <w:b/>
          <w:bCs/>
        </w:rPr>
        <w:t xml:space="preserve"> El Comité recomienda que haya un debido proceso para evitar que niñ</w:t>
      </w:r>
      <w:r w:rsidR="00063C51" w:rsidRPr="0008316B">
        <w:rPr>
          <w:b/>
          <w:bCs/>
        </w:rPr>
        <w:t>a</w:t>
      </w:r>
      <w:r w:rsidR="00BB4833" w:rsidRPr="0008316B">
        <w:rPr>
          <w:b/>
          <w:bCs/>
        </w:rPr>
        <w:t>s y niñ</w:t>
      </w:r>
      <w:r w:rsidR="00063C51" w:rsidRPr="0008316B">
        <w:rPr>
          <w:b/>
          <w:bCs/>
        </w:rPr>
        <w:t>o</w:t>
      </w:r>
      <w:r w:rsidR="00BB4833" w:rsidRPr="0008316B">
        <w:rPr>
          <w:b/>
          <w:bCs/>
        </w:rPr>
        <w:t xml:space="preserve">s no acompañados en el </w:t>
      </w:r>
      <w:r w:rsidR="007E6FFF">
        <w:rPr>
          <w:b/>
          <w:bCs/>
        </w:rPr>
        <w:t>E</w:t>
      </w:r>
      <w:r w:rsidR="00BB4833" w:rsidRPr="0008316B">
        <w:rPr>
          <w:b/>
          <w:bCs/>
        </w:rPr>
        <w:t>stado parte no sea</w:t>
      </w:r>
      <w:r w:rsidR="00D96578" w:rsidRPr="0008316B">
        <w:rPr>
          <w:b/>
          <w:bCs/>
        </w:rPr>
        <w:t>n</w:t>
      </w:r>
      <w:r w:rsidR="00BB4833" w:rsidRPr="0008316B">
        <w:rPr>
          <w:b/>
          <w:bCs/>
        </w:rPr>
        <w:t xml:space="preserve"> </w:t>
      </w:r>
      <w:r w:rsidR="00BF186F" w:rsidRPr="0008316B">
        <w:rPr>
          <w:b/>
          <w:bCs/>
        </w:rPr>
        <w:t xml:space="preserve">víctimas de trata </w:t>
      </w:r>
      <w:r w:rsidR="005C1F63" w:rsidRPr="0008316B">
        <w:rPr>
          <w:b/>
          <w:bCs/>
        </w:rPr>
        <w:t xml:space="preserve">de personas </w:t>
      </w:r>
      <w:r w:rsidR="00BB4833" w:rsidRPr="0008316B">
        <w:rPr>
          <w:b/>
          <w:bCs/>
        </w:rPr>
        <w:t>en caso de retorno</w:t>
      </w:r>
      <w:r w:rsidR="007853D2" w:rsidRPr="0008316B">
        <w:rPr>
          <w:b/>
          <w:bCs/>
        </w:rPr>
        <w:t xml:space="preserve"> o expulsión</w:t>
      </w:r>
      <w:r w:rsidR="00BB4833" w:rsidRPr="0008316B">
        <w:rPr>
          <w:b/>
          <w:bCs/>
        </w:rPr>
        <w:t xml:space="preserve">. </w:t>
      </w:r>
    </w:p>
    <w:p w14:paraId="5A8A12D0" w14:textId="66E554B9"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69.</w:t>
      </w:r>
      <w:r w:rsidRPr="0008316B">
        <w:rPr>
          <w:bCs/>
        </w:rPr>
        <w:tab/>
      </w:r>
      <w:r w:rsidR="00067737" w:rsidRPr="0008316B">
        <w:rPr>
          <w:b/>
          <w:bCs/>
        </w:rPr>
        <w:t xml:space="preserve">De conformidad con la Convención y los Principios y Directrices </w:t>
      </w:r>
      <w:r w:rsidR="007E6FFF">
        <w:rPr>
          <w:b/>
          <w:bCs/>
        </w:rPr>
        <w:t>R</w:t>
      </w:r>
      <w:r w:rsidR="00067737" w:rsidRPr="0008316B">
        <w:rPr>
          <w:b/>
          <w:bCs/>
        </w:rPr>
        <w:t xml:space="preserve">ecomendados sobre </w:t>
      </w:r>
      <w:r w:rsidR="007E6FFF">
        <w:rPr>
          <w:b/>
          <w:bCs/>
        </w:rPr>
        <w:t>los D</w:t>
      </w:r>
      <w:r w:rsidR="00067737" w:rsidRPr="0008316B">
        <w:rPr>
          <w:b/>
          <w:bCs/>
        </w:rPr>
        <w:t xml:space="preserve">erechos </w:t>
      </w:r>
      <w:r w:rsidR="007E6FFF">
        <w:rPr>
          <w:b/>
          <w:bCs/>
        </w:rPr>
        <w:t>H</w:t>
      </w:r>
      <w:r w:rsidR="00067737" w:rsidRPr="0008316B">
        <w:rPr>
          <w:b/>
          <w:bCs/>
        </w:rPr>
        <w:t xml:space="preserve">umanos y </w:t>
      </w:r>
      <w:r w:rsidR="007E6FFF">
        <w:rPr>
          <w:b/>
          <w:bCs/>
        </w:rPr>
        <w:t>la T</w:t>
      </w:r>
      <w:r w:rsidR="00067737" w:rsidRPr="0008316B">
        <w:rPr>
          <w:b/>
          <w:bCs/>
        </w:rPr>
        <w:t xml:space="preserve">rata de </w:t>
      </w:r>
      <w:r w:rsidR="007E6FFF">
        <w:rPr>
          <w:b/>
          <w:bCs/>
        </w:rPr>
        <w:t>P</w:t>
      </w:r>
      <w:r w:rsidR="00067737" w:rsidRPr="0008316B">
        <w:rPr>
          <w:b/>
          <w:bCs/>
        </w:rPr>
        <w:t xml:space="preserve">ersonas, el Comité recomienda que el Estado parte: </w:t>
      </w:r>
    </w:p>
    <w:p w14:paraId="7E0092FF" w14:textId="6E336716" w:rsidR="00067737" w:rsidRPr="00A465D3" w:rsidRDefault="0038692A" w:rsidP="0038692A">
      <w:pPr>
        <w:pStyle w:val="SingleTxtG"/>
        <w:rPr>
          <w:b/>
          <w:bCs/>
        </w:rPr>
      </w:pPr>
      <w:r w:rsidRPr="0008316B">
        <w:tab/>
      </w:r>
      <w:r w:rsidR="00067737" w:rsidRPr="00A465D3">
        <w:rPr>
          <w:b/>
          <w:bCs/>
        </w:rPr>
        <w:t>a)</w:t>
      </w:r>
      <w:r w:rsidR="00067737" w:rsidRPr="00A465D3">
        <w:rPr>
          <w:b/>
          <w:bCs/>
        </w:rPr>
        <w:tab/>
        <w:t>Vele por que se investiguen, enjuicien y sancionen con prontitud, eficacia e imparcialidad todos los actos de trata de personas, en particular los relacionados con la explotación sexual y los casos en que los funcionarios públicos sean cómplices;</w:t>
      </w:r>
    </w:p>
    <w:p w14:paraId="77142DE1" w14:textId="5A844B9B" w:rsidR="00067737" w:rsidRPr="00A465D3" w:rsidRDefault="0038692A" w:rsidP="0038692A">
      <w:pPr>
        <w:pStyle w:val="SingleTxtG"/>
        <w:rPr>
          <w:b/>
          <w:bCs/>
        </w:rPr>
      </w:pPr>
      <w:r w:rsidRPr="00A465D3">
        <w:rPr>
          <w:b/>
          <w:bCs/>
        </w:rPr>
        <w:tab/>
      </w:r>
      <w:r w:rsidR="00067737" w:rsidRPr="00A465D3">
        <w:rPr>
          <w:b/>
          <w:bCs/>
        </w:rPr>
        <w:t>b)</w:t>
      </w:r>
      <w:r w:rsidR="00067737" w:rsidRPr="00A465D3">
        <w:rPr>
          <w:b/>
          <w:bCs/>
        </w:rPr>
        <w:tab/>
        <w:t>Refuerce la capacitación, que tenga en cuenta las cuestiones de género y las necesidades de l</w:t>
      </w:r>
      <w:r w:rsidR="0037436A" w:rsidRPr="00A465D3">
        <w:rPr>
          <w:b/>
          <w:bCs/>
        </w:rPr>
        <w:t>a niñez</w:t>
      </w:r>
      <w:r w:rsidR="00067737" w:rsidRPr="00A465D3">
        <w:rPr>
          <w:b/>
          <w:bCs/>
        </w:rPr>
        <w:t xml:space="preserve">, para los funcionarios encargados de hacer cumplir la ley, los jueces, los fiscales, los inspectores del trabajo, los maestros, los trabajadores de la salud y el personal de las embajadas y los consulados del Estado parte, y difunda más ampliamente la información sobre la trata de personas y la asistencia a las </w:t>
      </w:r>
      <w:r w:rsidR="00A57C0A" w:rsidRPr="00A465D3">
        <w:rPr>
          <w:b/>
          <w:bCs/>
        </w:rPr>
        <w:t>víctimas</w:t>
      </w:r>
      <w:r w:rsidR="00067737" w:rsidRPr="00A465D3">
        <w:rPr>
          <w:b/>
          <w:bCs/>
        </w:rPr>
        <w:t xml:space="preserve">; </w:t>
      </w:r>
    </w:p>
    <w:p w14:paraId="60724A29" w14:textId="1FEC2617" w:rsidR="00067737" w:rsidRPr="00A465D3" w:rsidRDefault="0038692A" w:rsidP="0009250D">
      <w:pPr>
        <w:pStyle w:val="SingleTxtG"/>
        <w:rPr>
          <w:b/>
          <w:bCs/>
        </w:rPr>
      </w:pPr>
      <w:r w:rsidRPr="00A465D3">
        <w:rPr>
          <w:b/>
          <w:bCs/>
        </w:rPr>
        <w:tab/>
      </w:r>
      <w:r w:rsidR="00067737" w:rsidRPr="00A465D3">
        <w:rPr>
          <w:b/>
          <w:bCs/>
        </w:rPr>
        <w:t>c)</w:t>
      </w:r>
      <w:r w:rsidR="00067737" w:rsidRPr="00A465D3">
        <w:rPr>
          <w:b/>
          <w:bCs/>
        </w:rPr>
        <w:tab/>
        <w:t xml:space="preserve">Asigne recursos suficientes para la asistencia psicológica, jurídica y médica a las víctimas, así como refugios o casas de acogida especializadas, tanto para </w:t>
      </w:r>
      <w:r w:rsidR="00E11C35" w:rsidRPr="00A465D3">
        <w:rPr>
          <w:b/>
          <w:bCs/>
        </w:rPr>
        <w:t xml:space="preserve">niñas, </w:t>
      </w:r>
      <w:r w:rsidR="00067737" w:rsidRPr="00A465D3">
        <w:rPr>
          <w:b/>
          <w:bCs/>
        </w:rPr>
        <w:t xml:space="preserve">niños y adolescentes como para mujeres </w:t>
      </w:r>
      <w:r w:rsidR="00E11C35" w:rsidRPr="00A465D3">
        <w:rPr>
          <w:b/>
          <w:bCs/>
        </w:rPr>
        <w:t>sobrevivientes</w:t>
      </w:r>
      <w:r w:rsidR="00067737" w:rsidRPr="00A465D3">
        <w:rPr>
          <w:b/>
          <w:bCs/>
        </w:rPr>
        <w:t xml:space="preserve"> de la trata de personas</w:t>
      </w:r>
      <w:r w:rsidR="00313503" w:rsidRPr="00A465D3">
        <w:rPr>
          <w:b/>
          <w:bCs/>
        </w:rPr>
        <w:t>;</w:t>
      </w:r>
    </w:p>
    <w:p w14:paraId="2759BFA9" w14:textId="1E130138" w:rsidR="00067737" w:rsidRPr="00A465D3" w:rsidRDefault="0038692A" w:rsidP="0039722A">
      <w:pPr>
        <w:pStyle w:val="SingleTxtG"/>
        <w:rPr>
          <w:b/>
          <w:bCs/>
        </w:rPr>
      </w:pPr>
      <w:r w:rsidRPr="00A465D3">
        <w:rPr>
          <w:b/>
          <w:bCs/>
        </w:rPr>
        <w:tab/>
      </w:r>
      <w:r w:rsidR="00F30FDF" w:rsidRPr="00A465D3">
        <w:rPr>
          <w:b/>
          <w:bCs/>
        </w:rPr>
        <w:t>d</w:t>
      </w:r>
      <w:r w:rsidR="00067737" w:rsidRPr="00A465D3">
        <w:rPr>
          <w:b/>
          <w:bCs/>
        </w:rPr>
        <w:t>)</w:t>
      </w:r>
      <w:r w:rsidR="00067737" w:rsidRPr="00A465D3">
        <w:rPr>
          <w:b/>
          <w:bCs/>
        </w:rPr>
        <w:tab/>
        <w:t>Potencie la cooperación internacional, regional y bilateral desarrollando planes de acci</w:t>
      </w:r>
      <w:r w:rsidR="008C60B2" w:rsidRPr="00A465D3">
        <w:rPr>
          <w:b/>
          <w:bCs/>
        </w:rPr>
        <w:t>ón</w:t>
      </w:r>
      <w:r w:rsidR="00067737" w:rsidRPr="00A465D3">
        <w:rPr>
          <w:b/>
          <w:bCs/>
        </w:rPr>
        <w:t xml:space="preserve"> conjunt</w:t>
      </w:r>
      <w:r w:rsidR="008C60B2" w:rsidRPr="00A465D3">
        <w:rPr>
          <w:b/>
          <w:bCs/>
        </w:rPr>
        <w:t>o</w:t>
      </w:r>
      <w:r w:rsidR="00067737" w:rsidRPr="00A465D3">
        <w:rPr>
          <w:b/>
          <w:bCs/>
        </w:rPr>
        <w:t>s con los países de origen, tránsito y destino sobre la prevención de la trata de personas</w:t>
      </w:r>
      <w:r w:rsidR="008C60B2" w:rsidRPr="00A465D3">
        <w:rPr>
          <w:b/>
          <w:bCs/>
        </w:rPr>
        <w:t xml:space="preserve"> y la</w:t>
      </w:r>
      <w:r w:rsidR="00067737" w:rsidRPr="00A465D3">
        <w:rPr>
          <w:b/>
          <w:bCs/>
        </w:rPr>
        <w:t xml:space="preserve"> detección de redes de crimen organizado</w:t>
      </w:r>
      <w:r w:rsidR="008C60B2" w:rsidRPr="00A465D3">
        <w:rPr>
          <w:b/>
          <w:bCs/>
        </w:rPr>
        <w:t>,</w:t>
      </w:r>
      <w:r w:rsidR="00067737" w:rsidRPr="00A465D3">
        <w:rPr>
          <w:b/>
          <w:bCs/>
        </w:rPr>
        <w:t xml:space="preserve"> y coopere con las fiscalías o procuradurías para detener, juzgar y sancionar a los criminales;</w:t>
      </w:r>
    </w:p>
    <w:p w14:paraId="391A8359" w14:textId="37088907" w:rsidR="00067737" w:rsidRPr="0008316B" w:rsidRDefault="0038692A" w:rsidP="0038692A">
      <w:pPr>
        <w:pStyle w:val="SingleTxtG"/>
      </w:pPr>
      <w:r w:rsidRPr="00A465D3">
        <w:rPr>
          <w:b/>
          <w:bCs/>
        </w:rPr>
        <w:tab/>
      </w:r>
      <w:r w:rsidR="00F30FDF" w:rsidRPr="00A465D3">
        <w:rPr>
          <w:b/>
          <w:bCs/>
        </w:rPr>
        <w:t>e</w:t>
      </w:r>
      <w:r w:rsidR="00067737" w:rsidRPr="00A465D3">
        <w:rPr>
          <w:b/>
          <w:bCs/>
        </w:rPr>
        <w:t>)</w:t>
      </w:r>
      <w:r w:rsidR="00067737" w:rsidRPr="00A465D3">
        <w:rPr>
          <w:b/>
          <w:bCs/>
        </w:rPr>
        <w:tab/>
      </w:r>
      <w:r w:rsidR="00067737" w:rsidRPr="0008316B">
        <w:rPr>
          <w:b/>
        </w:rPr>
        <w:t xml:space="preserve">Institucionalice los mecanismos de reunificación familiar e identificación de migrantes carentes de documentos de identidad como una medida preventiva de la trata </w:t>
      </w:r>
      <w:r w:rsidR="00CE5DCD" w:rsidRPr="0008316B">
        <w:rPr>
          <w:b/>
        </w:rPr>
        <w:t xml:space="preserve">de personas </w:t>
      </w:r>
      <w:r w:rsidR="00067737" w:rsidRPr="0008316B">
        <w:rPr>
          <w:b/>
        </w:rPr>
        <w:t>y de prevención a las separaciones indefinidas de los migrantes y sus familias</w:t>
      </w:r>
      <w:r w:rsidR="00313503" w:rsidRPr="0008316B">
        <w:rPr>
          <w:b/>
        </w:rPr>
        <w:t>.</w:t>
      </w:r>
    </w:p>
    <w:p w14:paraId="5CDCBD87" w14:textId="5A2271BF" w:rsidR="00067737" w:rsidRPr="003F5E2C" w:rsidRDefault="0038692A" w:rsidP="003F5E2C">
      <w:pPr>
        <w:pStyle w:val="H23G"/>
      </w:pPr>
      <w:r w:rsidRPr="003F5E2C">
        <w:tab/>
      </w:r>
      <w:r w:rsidRPr="003F5E2C">
        <w:tab/>
      </w:r>
      <w:r w:rsidR="00D46121" w:rsidRPr="003F5E2C">
        <w:t>Tr</w:t>
      </w:r>
      <w:r w:rsidR="008C60B2">
        <w:t>á</w:t>
      </w:r>
      <w:r w:rsidR="00D46121" w:rsidRPr="003F5E2C">
        <w:t>fico de migrante</w:t>
      </w:r>
      <w:r w:rsidR="008C60B2">
        <w:t>s</w:t>
      </w:r>
      <w:r w:rsidR="00D46121" w:rsidRPr="003F5E2C">
        <w:t xml:space="preserve"> y migración irregular</w:t>
      </w:r>
      <w:r w:rsidR="00067737" w:rsidRPr="003F5E2C">
        <w:t xml:space="preserve"> </w:t>
      </w:r>
    </w:p>
    <w:p w14:paraId="42FBB929" w14:textId="76729343"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pPr>
      <w:r w:rsidRPr="0008316B">
        <w:t>70.</w:t>
      </w:r>
      <w:r w:rsidRPr="0008316B">
        <w:tab/>
      </w:r>
      <w:r w:rsidR="00A7292E" w:rsidRPr="0008316B">
        <w:t xml:space="preserve">El Comité está preocupado </w:t>
      </w:r>
      <w:r w:rsidR="008C60B2">
        <w:t xml:space="preserve">de </w:t>
      </w:r>
      <w:r w:rsidR="00A7292E" w:rsidRPr="0008316B">
        <w:t>que e</w:t>
      </w:r>
      <w:r w:rsidR="00067737" w:rsidRPr="0008316B">
        <w:t>l delito de tráfico de personas no se encuentr</w:t>
      </w:r>
      <w:r w:rsidR="008C60B2">
        <w:t>e</w:t>
      </w:r>
      <w:r w:rsidR="00067737" w:rsidRPr="0008316B">
        <w:t xml:space="preserve"> tipificado en las leyes penales del </w:t>
      </w:r>
      <w:r w:rsidR="00A7292E" w:rsidRPr="0008316B">
        <w:t xml:space="preserve">Estado parte </w:t>
      </w:r>
      <w:r w:rsidR="00067737" w:rsidRPr="0008316B">
        <w:t xml:space="preserve">por lo que no </w:t>
      </w:r>
      <w:r w:rsidR="00444893" w:rsidRPr="0008316B">
        <w:t xml:space="preserve">es posible llevar a cabo una defensa contundente en contra de las conductas ilícitas que </w:t>
      </w:r>
      <w:r w:rsidR="0092103A" w:rsidRPr="0008316B">
        <w:t xml:space="preserve">impactan negativamente en las personas que se encuentran en contexto de migración. </w:t>
      </w:r>
    </w:p>
    <w:p w14:paraId="44AF4A6B" w14:textId="1BE714AF" w:rsidR="00A7570B"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71.</w:t>
      </w:r>
      <w:r w:rsidRPr="0008316B">
        <w:rPr>
          <w:bCs/>
        </w:rPr>
        <w:tab/>
      </w:r>
      <w:r w:rsidR="00A7570B" w:rsidRPr="0008316B">
        <w:rPr>
          <w:b/>
          <w:bCs/>
        </w:rPr>
        <w:t xml:space="preserve">El Comité recomienda que el Estado parte </w:t>
      </w:r>
      <w:r w:rsidR="000A111A" w:rsidRPr="0008316B">
        <w:rPr>
          <w:b/>
          <w:bCs/>
        </w:rPr>
        <w:t xml:space="preserve">reforme la legislación penal con el objetivo de </w:t>
      </w:r>
      <w:r w:rsidR="00F70159" w:rsidRPr="0008316B">
        <w:rPr>
          <w:b/>
          <w:bCs/>
        </w:rPr>
        <w:t xml:space="preserve">tipificar el </w:t>
      </w:r>
      <w:r w:rsidR="009A6A81" w:rsidRPr="0008316B">
        <w:rPr>
          <w:b/>
          <w:bCs/>
        </w:rPr>
        <w:t>tráfico</w:t>
      </w:r>
      <w:r w:rsidR="00A7570B" w:rsidRPr="0008316B">
        <w:rPr>
          <w:b/>
          <w:bCs/>
        </w:rPr>
        <w:t xml:space="preserve"> de personas.</w:t>
      </w:r>
    </w:p>
    <w:p w14:paraId="3D021168" w14:textId="6C00E352" w:rsidR="00067737" w:rsidRPr="003F5E2C" w:rsidRDefault="0038692A" w:rsidP="003F5E2C">
      <w:pPr>
        <w:pStyle w:val="H23G"/>
      </w:pPr>
      <w:r w:rsidRPr="003F5E2C">
        <w:tab/>
      </w:r>
      <w:r w:rsidR="00490CA7" w:rsidRPr="003F5E2C">
        <w:t>6.</w:t>
      </w:r>
      <w:r w:rsidRPr="003F5E2C">
        <w:tab/>
      </w:r>
      <w:r w:rsidR="00067737" w:rsidRPr="003F5E2C">
        <w:t>Difusión y seguimiento</w:t>
      </w:r>
    </w:p>
    <w:p w14:paraId="48106DCD" w14:textId="6160685C" w:rsidR="00E821AC" w:rsidRPr="0008316B" w:rsidRDefault="0068416A"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A465D3">
        <w:rPr>
          <w:bCs/>
        </w:rPr>
        <w:t>72.</w:t>
      </w:r>
      <w:r w:rsidRPr="00A465D3">
        <w:rPr>
          <w:bCs/>
        </w:rPr>
        <w:tab/>
      </w:r>
      <w:r w:rsidR="00E821AC" w:rsidRPr="00E113BF">
        <w:rPr>
          <w:b/>
        </w:rPr>
        <w:t xml:space="preserve">El Comité solicita al Estado parte que </w:t>
      </w:r>
      <w:r w:rsidR="00E821AC">
        <w:rPr>
          <w:b/>
        </w:rPr>
        <w:t xml:space="preserve">se asegure de que se </w:t>
      </w:r>
      <w:r w:rsidR="00E821AC" w:rsidRPr="00E113BF">
        <w:rPr>
          <w:b/>
        </w:rPr>
        <w:t>difunda</w:t>
      </w:r>
      <w:r w:rsidR="00E821AC">
        <w:rPr>
          <w:b/>
        </w:rPr>
        <w:t>n</w:t>
      </w:r>
      <w:r w:rsidR="00E821AC" w:rsidRPr="00E113BF">
        <w:rPr>
          <w:b/>
        </w:rPr>
        <w:t xml:space="preserve"> ampliamente las presentes observaciones finales,</w:t>
      </w:r>
      <w:r w:rsidR="00E821AC">
        <w:rPr>
          <w:b/>
        </w:rPr>
        <w:t xml:space="preserve"> en los idiomas oficiales del Estado parte,</w:t>
      </w:r>
      <w:r w:rsidR="00E821AC" w:rsidRPr="00E113BF">
        <w:rPr>
          <w:b/>
        </w:rPr>
        <w:t xml:space="preserve"> </w:t>
      </w:r>
      <w:r w:rsidR="00E821AC">
        <w:rPr>
          <w:b/>
        </w:rPr>
        <w:t>entre</w:t>
      </w:r>
      <w:r w:rsidR="00E821AC" w:rsidRPr="00E113BF">
        <w:rPr>
          <w:b/>
        </w:rPr>
        <w:t xml:space="preserve"> </w:t>
      </w:r>
      <w:r w:rsidR="00E821AC">
        <w:rPr>
          <w:b/>
        </w:rPr>
        <w:t>las instituciones</w:t>
      </w:r>
      <w:r w:rsidR="00E821AC" w:rsidRPr="00E113BF">
        <w:rPr>
          <w:b/>
        </w:rPr>
        <w:t xml:space="preserve"> públic</w:t>
      </w:r>
      <w:r w:rsidR="00E821AC">
        <w:rPr>
          <w:b/>
        </w:rPr>
        <w:t>a</w:t>
      </w:r>
      <w:r w:rsidR="00E821AC" w:rsidRPr="00E113BF">
        <w:rPr>
          <w:b/>
        </w:rPr>
        <w:t>s</w:t>
      </w:r>
      <w:r w:rsidR="00E821AC">
        <w:rPr>
          <w:b/>
        </w:rPr>
        <w:t xml:space="preserve"> pertinentes</w:t>
      </w:r>
      <w:r w:rsidR="00E821AC" w:rsidRPr="00E113BF">
        <w:rPr>
          <w:b/>
        </w:rPr>
        <w:t xml:space="preserve">, </w:t>
      </w:r>
      <w:r w:rsidR="00E821AC">
        <w:rPr>
          <w:b/>
        </w:rPr>
        <w:t xml:space="preserve">lo que comprende a los ministerios gubernamentales, </w:t>
      </w:r>
      <w:r w:rsidR="00E821AC" w:rsidRPr="00E113BF">
        <w:rPr>
          <w:b/>
        </w:rPr>
        <w:t xml:space="preserve">el poder </w:t>
      </w:r>
      <w:r w:rsidR="00E821AC">
        <w:rPr>
          <w:b/>
        </w:rPr>
        <w:t>legislativo y el poder judicial y</w:t>
      </w:r>
      <w:r w:rsidR="00E821AC" w:rsidRPr="00E113BF">
        <w:rPr>
          <w:b/>
        </w:rPr>
        <w:t xml:space="preserve"> las autoridades locales competentes, </w:t>
      </w:r>
      <w:r w:rsidR="00E821AC">
        <w:rPr>
          <w:b/>
        </w:rPr>
        <w:t xml:space="preserve">así como a </w:t>
      </w:r>
      <w:r w:rsidR="00E821AC" w:rsidRPr="00E113BF">
        <w:rPr>
          <w:b/>
        </w:rPr>
        <w:t>las organizaciones no gubernamentales</w:t>
      </w:r>
      <w:r w:rsidR="00E821AC">
        <w:rPr>
          <w:b/>
        </w:rPr>
        <w:t xml:space="preserve"> y otros</w:t>
      </w:r>
      <w:r w:rsidR="00E821AC" w:rsidRPr="00E113BF">
        <w:rPr>
          <w:b/>
        </w:rPr>
        <w:t xml:space="preserve"> miembros de la sociedad civil</w:t>
      </w:r>
      <w:r w:rsidR="00E821AC">
        <w:rPr>
          <w:b/>
        </w:rPr>
        <w:t>.</w:t>
      </w:r>
    </w:p>
    <w:p w14:paraId="2D7F78CD" w14:textId="61425D5A" w:rsidR="009A6A81"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73.</w:t>
      </w:r>
      <w:r w:rsidRPr="0008316B">
        <w:rPr>
          <w:bCs/>
        </w:rPr>
        <w:tab/>
      </w:r>
      <w:r w:rsidR="00067737" w:rsidRPr="0008316B">
        <w:rPr>
          <w:b/>
          <w:bCs/>
        </w:rPr>
        <w:t>En concordancia con el artículo 84</w:t>
      </w:r>
      <w:r w:rsidR="00A91840" w:rsidRPr="0008316B">
        <w:rPr>
          <w:b/>
          <w:bCs/>
        </w:rPr>
        <w:t xml:space="preserve"> de la Convención</w:t>
      </w:r>
      <w:r w:rsidR="00067737" w:rsidRPr="0008316B">
        <w:rPr>
          <w:b/>
          <w:bCs/>
        </w:rPr>
        <w:t>, el Comité pide al Estado parte que en su tercer informe periódico incluya información detallada sobre las medidas que haya adoptado para dar cumplimiento a las recomendaciones formuladas en las presentes observaciones finales, transmitiéndolas</w:t>
      </w:r>
      <w:r w:rsidR="009B07B4" w:rsidRPr="0008316B">
        <w:rPr>
          <w:b/>
          <w:bCs/>
        </w:rPr>
        <w:t xml:space="preserve">, entre otros destinatarios, </w:t>
      </w:r>
      <w:r w:rsidR="00067737" w:rsidRPr="0008316B">
        <w:rPr>
          <w:b/>
          <w:bCs/>
        </w:rPr>
        <w:t>a los integrantes del Gobierno, del Congreso y del Poder Judicial, así como a las autoridades locales.</w:t>
      </w:r>
    </w:p>
    <w:p w14:paraId="00B9EC26" w14:textId="22BA4C24" w:rsidR="009A6A81"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08316B">
        <w:rPr>
          <w:bCs/>
        </w:rPr>
        <w:t>74.</w:t>
      </w:r>
      <w:r w:rsidRPr="0008316B">
        <w:rPr>
          <w:bCs/>
        </w:rPr>
        <w:tab/>
      </w:r>
      <w:r w:rsidR="009A6A81" w:rsidRPr="0008316B">
        <w:rPr>
          <w:b/>
          <w:bCs/>
        </w:rPr>
        <w:t>El Comité solicita al Estado parte que le proporcione, en el plazo de</w:t>
      </w:r>
      <w:r w:rsidR="00111DBC" w:rsidRPr="0008316B">
        <w:rPr>
          <w:b/>
          <w:bCs/>
        </w:rPr>
        <w:t xml:space="preserve"> </w:t>
      </w:r>
      <w:r w:rsidR="004D12BA">
        <w:rPr>
          <w:b/>
          <w:bCs/>
        </w:rPr>
        <w:t>dos</w:t>
      </w:r>
      <w:r w:rsidR="00111DBC" w:rsidRPr="0008316B">
        <w:rPr>
          <w:b/>
          <w:bCs/>
        </w:rPr>
        <w:t xml:space="preserve"> años</w:t>
      </w:r>
      <w:r w:rsidR="009A6A81" w:rsidRPr="0008316B">
        <w:rPr>
          <w:b/>
          <w:bCs/>
        </w:rPr>
        <w:t xml:space="preserve">, información por escrito sobre la aplicación de las recomendaciones que figuran en los párrafos </w:t>
      </w:r>
      <w:r w:rsidR="00A559DF" w:rsidRPr="0008316B">
        <w:rPr>
          <w:b/>
          <w:bCs/>
        </w:rPr>
        <w:t>14, 29, 3</w:t>
      </w:r>
      <w:r w:rsidR="00453E68" w:rsidRPr="0008316B">
        <w:rPr>
          <w:b/>
          <w:bCs/>
        </w:rPr>
        <w:t>7</w:t>
      </w:r>
      <w:r w:rsidR="00A559DF" w:rsidRPr="0008316B">
        <w:rPr>
          <w:b/>
          <w:bCs/>
        </w:rPr>
        <w:t>, 4</w:t>
      </w:r>
      <w:r w:rsidR="00453E68" w:rsidRPr="0008316B">
        <w:rPr>
          <w:b/>
          <w:bCs/>
        </w:rPr>
        <w:t>5</w:t>
      </w:r>
      <w:r w:rsidR="00E42D82" w:rsidRPr="0008316B">
        <w:rPr>
          <w:b/>
          <w:bCs/>
        </w:rPr>
        <w:t xml:space="preserve"> y</w:t>
      </w:r>
      <w:r w:rsidR="00A559DF" w:rsidRPr="0008316B">
        <w:rPr>
          <w:b/>
          <w:bCs/>
        </w:rPr>
        <w:t xml:space="preserve"> </w:t>
      </w:r>
      <w:r w:rsidR="00453E68" w:rsidRPr="0008316B">
        <w:rPr>
          <w:b/>
          <w:bCs/>
        </w:rPr>
        <w:t>60</w:t>
      </w:r>
      <w:r w:rsidR="00E42D82" w:rsidRPr="0008316B">
        <w:rPr>
          <w:b/>
          <w:bCs/>
        </w:rPr>
        <w:t xml:space="preserve"> </w:t>
      </w:r>
      <w:r w:rsidR="004D12BA" w:rsidRPr="00A465D3">
        <w:rPr>
          <w:b/>
          <w:bCs/>
        </w:rPr>
        <w:t>del presente documento</w:t>
      </w:r>
      <w:r w:rsidR="009A6A81" w:rsidRPr="005B4EC0">
        <w:rPr>
          <w:b/>
          <w:bCs/>
        </w:rPr>
        <w:t>.</w:t>
      </w:r>
    </w:p>
    <w:p w14:paraId="49ACEC57" w14:textId="3720E143" w:rsidR="00490CA7" w:rsidRPr="003F5E2C" w:rsidRDefault="00A559DF" w:rsidP="003F5E2C">
      <w:pPr>
        <w:pStyle w:val="H23G"/>
      </w:pPr>
      <w:r w:rsidRPr="003F5E2C">
        <w:lastRenderedPageBreak/>
        <w:tab/>
      </w:r>
      <w:r w:rsidRPr="003F5E2C">
        <w:tab/>
      </w:r>
      <w:r w:rsidR="00490CA7" w:rsidRPr="003F5E2C">
        <w:t>Próximo informe periódico</w:t>
      </w:r>
    </w:p>
    <w:p w14:paraId="52748BE9" w14:textId="264CB33B" w:rsidR="00067737" w:rsidRPr="0008316B" w:rsidRDefault="00AC4DDC" w:rsidP="00A465D3">
      <w:pPr>
        <w:pStyle w:val="SingleTxtG"/>
        <w:tabs>
          <w:tab w:val="clear" w:pos="1701"/>
          <w:tab w:val="clear" w:pos="2268"/>
          <w:tab w:val="clear" w:pos="2835"/>
        </w:tabs>
        <w:suppressAutoHyphens/>
        <w:kinsoku w:val="0"/>
        <w:overflowPunct w:val="0"/>
        <w:autoSpaceDE w:val="0"/>
        <w:autoSpaceDN w:val="0"/>
        <w:adjustRightInd w:val="0"/>
        <w:snapToGrid w:val="0"/>
        <w:rPr>
          <w:b/>
          <w:bCs/>
        </w:rPr>
      </w:pPr>
      <w:bookmarkStart w:id="16" w:name="_Hlk98754877"/>
      <w:r w:rsidRPr="0008316B">
        <w:rPr>
          <w:bCs/>
        </w:rPr>
        <w:t>75.</w:t>
      </w:r>
      <w:r w:rsidRPr="0008316B">
        <w:rPr>
          <w:bCs/>
        </w:rPr>
        <w:tab/>
      </w:r>
      <w:r w:rsidR="00067737" w:rsidRPr="0008316B">
        <w:rPr>
          <w:b/>
          <w:bCs/>
        </w:rPr>
        <w:t xml:space="preserve">El Comité pide al Estado parte que presente su siguiente informe periódico a más tardar el </w:t>
      </w:r>
      <w:r w:rsidR="00D9753C" w:rsidRPr="0008316B">
        <w:rPr>
          <w:b/>
          <w:bCs/>
        </w:rPr>
        <w:t>1 mayo de 2027</w:t>
      </w:r>
      <w:r w:rsidR="00067737" w:rsidRPr="0008316B">
        <w:rPr>
          <w:b/>
          <w:bCs/>
        </w:rPr>
        <w:t xml:space="preserve"> y que incluya en est</w:t>
      </w:r>
      <w:r w:rsidR="004D12BA">
        <w:rPr>
          <w:b/>
          <w:bCs/>
        </w:rPr>
        <w:t xml:space="preserve">e </w:t>
      </w:r>
      <w:r w:rsidR="00067737" w:rsidRPr="0008316B">
        <w:rPr>
          <w:b/>
          <w:bCs/>
        </w:rPr>
        <w:t xml:space="preserve">el seguimiento dado a las presentes observaciones finales y los resultados obtenidos. </w:t>
      </w:r>
      <w:r w:rsidR="00F349A4" w:rsidRPr="0008316B">
        <w:rPr>
          <w:b/>
          <w:bCs/>
        </w:rPr>
        <w:t xml:space="preserve">Para ello, el Comité alienta al Estado parte a que continúe con el procedimiento simplificado de presentación de informes. </w:t>
      </w:r>
      <w:r w:rsidR="00067737" w:rsidRPr="0008316B">
        <w:rPr>
          <w:b/>
          <w:bCs/>
        </w:rPr>
        <w:t>El Comité señala a la atención del Estado parte sus directrices armonizadas para la presentación de informes a los órganos de tratados</w:t>
      </w:r>
      <w:r w:rsidR="004D12BA" w:rsidRPr="00A465D3">
        <w:rPr>
          <w:rStyle w:val="Refdenotaalpie"/>
        </w:rPr>
        <w:footnoteReference w:id="19"/>
      </w:r>
      <w:r w:rsidR="00067737" w:rsidRPr="0008316B">
        <w:rPr>
          <w:b/>
          <w:bCs/>
        </w:rPr>
        <w:t>.</w:t>
      </w:r>
    </w:p>
    <w:bookmarkEnd w:id="16"/>
    <w:p w14:paraId="65921772" w14:textId="1AE77104" w:rsidR="004679BE" w:rsidRPr="00A465D3" w:rsidRDefault="004679BE" w:rsidP="00A465D3">
      <w:pPr>
        <w:pStyle w:val="SingleTxtG"/>
        <w:suppressAutoHyphens/>
        <w:spacing w:before="240" w:after="0"/>
        <w:jc w:val="center"/>
        <w:rPr>
          <w:u w:val="single"/>
        </w:rPr>
      </w:pPr>
      <w:r>
        <w:rPr>
          <w:u w:val="single"/>
        </w:rPr>
        <w:tab/>
      </w:r>
      <w:r>
        <w:rPr>
          <w:u w:val="single"/>
        </w:rPr>
        <w:tab/>
      </w:r>
      <w:r>
        <w:rPr>
          <w:u w:val="single"/>
        </w:rPr>
        <w:tab/>
      </w:r>
    </w:p>
    <w:sectPr w:rsidR="004679BE" w:rsidRPr="00A465D3"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AA90" w14:textId="77777777" w:rsidR="005B25E0" w:rsidRDefault="005B25E0">
      <w:pPr>
        <w:spacing w:line="240" w:lineRule="auto"/>
      </w:pPr>
      <w:r>
        <w:separator/>
      </w:r>
    </w:p>
  </w:endnote>
  <w:endnote w:type="continuationSeparator" w:id="0">
    <w:p w14:paraId="45AF403C" w14:textId="77777777" w:rsidR="005B25E0" w:rsidRDefault="005B2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E9F7" w14:textId="77777777" w:rsidR="001A4396" w:rsidRPr="001A4396" w:rsidRDefault="00081C1D"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794179">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D920" w14:textId="77777777" w:rsidR="001A4396" w:rsidRPr="001A4396" w:rsidRDefault="00081C1D"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794179">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93D6" w14:textId="05BD8537" w:rsidR="002732DF" w:rsidRPr="002732DF" w:rsidRDefault="002732DF" w:rsidP="002732DF">
    <w:pPr>
      <w:pStyle w:val="Piedepgina"/>
      <w:tabs>
        <w:tab w:val="left" w:pos="6520"/>
        <w:tab w:val="right" w:pos="9638"/>
      </w:tabs>
      <w:spacing w:before="120" w:line="240" w:lineRule="auto"/>
      <w:rPr>
        <w:sz w:val="20"/>
      </w:rPr>
    </w:pPr>
    <w:proofErr w:type="spellStart"/>
    <w:r>
      <w:rPr>
        <w:sz w:val="20"/>
      </w:rPr>
      <w:t>GE.22</w:t>
    </w:r>
    <w:proofErr w:type="spellEnd"/>
    <w:r>
      <w:rPr>
        <w:sz w:val="20"/>
      </w:rPr>
      <w:t>-08516  (S)</w:t>
    </w:r>
    <w:r>
      <w:rPr>
        <w:sz w:val="20"/>
      </w:rPr>
      <w:tab/>
    </w:r>
    <w:r w:rsidRPr="002732DF">
      <w:rPr>
        <w:noProof/>
        <w:sz w:val="20"/>
        <w:lang w:val="fr-CH" w:eastAsia="zh-CN"/>
      </w:rPr>
      <w:drawing>
        <wp:inline distT="0" distB="0" distL="0" distR="0" wp14:anchorId="6962B2FB" wp14:editId="0A7926CC">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2A3DB055" wp14:editId="23C7BFFB">
          <wp:extent cx="563880" cy="5638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7D89" w14:textId="3BE76DA3" w:rsidR="005B25E0" w:rsidRDefault="004772C5" w:rsidP="00A465D3">
      <w:pPr>
        <w:tabs>
          <w:tab w:val="right" w:pos="2155"/>
        </w:tabs>
        <w:spacing w:after="80" w:line="240" w:lineRule="auto"/>
        <w:ind w:left="680"/>
      </w:pPr>
      <w:r>
        <w:rPr>
          <w:u w:val="single"/>
        </w:rPr>
        <w:tab/>
      </w:r>
    </w:p>
  </w:footnote>
  <w:footnote w:type="continuationSeparator" w:id="0">
    <w:p w14:paraId="2B04583A" w14:textId="77777777" w:rsidR="005B25E0" w:rsidRDefault="005B25E0">
      <w:pPr>
        <w:spacing w:line="240" w:lineRule="auto"/>
      </w:pPr>
      <w:r>
        <w:continuationSeparator/>
      </w:r>
    </w:p>
  </w:footnote>
  <w:footnote w:id="1">
    <w:p w14:paraId="51DCB0ED" w14:textId="2767BABC" w:rsidR="00F3506D" w:rsidRPr="00F3506D" w:rsidRDefault="00F3506D">
      <w:pPr>
        <w:pStyle w:val="Textonotapie"/>
      </w:pPr>
      <w:r>
        <w:rPr>
          <w:rStyle w:val="Refdenotaalpie"/>
        </w:rPr>
        <w:tab/>
      </w:r>
      <w:r w:rsidRPr="00EF63A8">
        <w:rPr>
          <w:rStyle w:val="Refdenotaalpie"/>
          <w:sz w:val="20"/>
          <w:vertAlign w:val="baseline"/>
        </w:rPr>
        <w:t>*</w:t>
      </w:r>
      <w:r>
        <w:rPr>
          <w:rStyle w:val="Refdenotaalpie"/>
          <w:sz w:val="20"/>
          <w:vertAlign w:val="baseline"/>
        </w:rPr>
        <w:tab/>
      </w:r>
      <w:r>
        <w:t>Aprobadas por el Comité en su 34° per</w:t>
      </w:r>
      <w:r w:rsidR="003D48D1">
        <w:t>í</w:t>
      </w:r>
      <w:r>
        <w:t>odo de sesiones (28 de marzo a 8 de abril de 2022).</w:t>
      </w:r>
    </w:p>
  </w:footnote>
  <w:footnote w:id="2">
    <w:p w14:paraId="4AFBCB98" w14:textId="0770BADD" w:rsidR="003D48D1" w:rsidRPr="00A465D3" w:rsidRDefault="00AC4DDC">
      <w:pPr>
        <w:pStyle w:val="Textonotapie"/>
        <w:rPr>
          <w:lang w:val="pt-PT"/>
        </w:rPr>
      </w:pPr>
      <w:r>
        <w:rPr>
          <w:lang w:val="pt-PT"/>
        </w:rPr>
        <w:tab/>
      </w:r>
      <w:r w:rsidR="003D48D1">
        <w:rPr>
          <w:rStyle w:val="Refdenotaalpie"/>
        </w:rPr>
        <w:footnoteRef/>
      </w:r>
      <w:r>
        <w:rPr>
          <w:lang w:val="pt-PT"/>
        </w:rPr>
        <w:tab/>
      </w:r>
      <w:hyperlink r:id="rId1" w:history="1">
        <w:r w:rsidR="003D48D1" w:rsidRPr="00A465D3">
          <w:rPr>
            <w:rStyle w:val="Hipervnculo"/>
            <w:lang w:val="pt-PT"/>
          </w:rPr>
          <w:t>CMW/C/PRY/2</w:t>
        </w:r>
      </w:hyperlink>
      <w:r w:rsidR="003D48D1" w:rsidRPr="00A465D3">
        <w:rPr>
          <w:lang w:val="pt-PT"/>
        </w:rPr>
        <w:t>.</w:t>
      </w:r>
    </w:p>
  </w:footnote>
  <w:footnote w:id="3">
    <w:p w14:paraId="1D222D86" w14:textId="1DC02BFD" w:rsidR="003D48D1" w:rsidRPr="00A465D3" w:rsidRDefault="00AC4DDC">
      <w:pPr>
        <w:pStyle w:val="Textonotapie"/>
        <w:rPr>
          <w:lang w:val="pt-PT"/>
        </w:rPr>
      </w:pPr>
      <w:r>
        <w:rPr>
          <w:lang w:val="pt-PT"/>
        </w:rPr>
        <w:tab/>
      </w:r>
      <w:r w:rsidR="003D48D1">
        <w:rPr>
          <w:rStyle w:val="Refdenotaalpie"/>
        </w:rPr>
        <w:footnoteRef/>
      </w:r>
      <w:r w:rsidR="003D48D1" w:rsidRPr="00A465D3">
        <w:rPr>
          <w:lang w:val="pt-PT"/>
        </w:rPr>
        <w:t xml:space="preserve"> </w:t>
      </w:r>
      <w:r>
        <w:rPr>
          <w:lang w:val="pt-PT"/>
        </w:rPr>
        <w:tab/>
      </w:r>
      <w:hyperlink r:id="rId2" w:history="1">
        <w:r w:rsidR="00D45EE2" w:rsidRPr="00D45EE2">
          <w:rPr>
            <w:rStyle w:val="Hipervnculo"/>
            <w:lang w:val="pt-PT"/>
          </w:rPr>
          <w:t>CMW</w:t>
        </w:r>
        <w:r w:rsidR="003D48D1" w:rsidRPr="00A465D3">
          <w:rPr>
            <w:rStyle w:val="Hipervnculo"/>
            <w:lang w:val="pt-PT"/>
          </w:rPr>
          <w:t>/C/SR.484</w:t>
        </w:r>
      </w:hyperlink>
      <w:r w:rsidR="003D48D1" w:rsidRPr="00A465D3">
        <w:rPr>
          <w:lang w:val="pt-PT"/>
        </w:rPr>
        <w:t xml:space="preserve"> y </w:t>
      </w:r>
      <w:r w:rsidR="009431D2">
        <w:fldChar w:fldCharType="begin"/>
      </w:r>
      <w:r w:rsidR="009431D2">
        <w:instrText xml:space="preserve"> HYPERLINK "https://undocs.org/es/CMW/C/SR.485" </w:instrText>
      </w:r>
      <w:r w:rsidR="009431D2">
        <w:fldChar w:fldCharType="separate"/>
      </w:r>
      <w:r w:rsidR="003D48D1" w:rsidRPr="00A465D3">
        <w:rPr>
          <w:rStyle w:val="Hipervnculo"/>
          <w:lang w:val="pt-PT"/>
        </w:rPr>
        <w:t>CMW/C/SR.485</w:t>
      </w:r>
      <w:r w:rsidR="009431D2">
        <w:rPr>
          <w:rStyle w:val="Hipervnculo"/>
          <w:lang w:val="pt-PT"/>
        </w:rPr>
        <w:fldChar w:fldCharType="end"/>
      </w:r>
      <w:r w:rsidR="003D48D1" w:rsidRPr="00A465D3">
        <w:rPr>
          <w:lang w:val="pt-PT"/>
        </w:rPr>
        <w:t>.</w:t>
      </w:r>
    </w:p>
  </w:footnote>
  <w:footnote w:id="4">
    <w:p w14:paraId="5BAB2D8A" w14:textId="706456D5" w:rsidR="00D3457D" w:rsidRPr="00450B0F" w:rsidRDefault="00AC4DDC">
      <w:pPr>
        <w:pStyle w:val="Textonotapie"/>
        <w:rPr>
          <w:lang w:val="de-CH"/>
        </w:rPr>
      </w:pPr>
      <w:r w:rsidRPr="00450B0F">
        <w:rPr>
          <w:lang w:val="de-CH"/>
        </w:rPr>
        <w:tab/>
      </w:r>
      <w:r w:rsidR="00D3457D">
        <w:rPr>
          <w:rStyle w:val="Refdenotaalpie"/>
        </w:rPr>
        <w:footnoteRef/>
      </w:r>
      <w:r w:rsidR="00D3457D" w:rsidRPr="00450B0F">
        <w:rPr>
          <w:lang w:val="de-CH"/>
        </w:rPr>
        <w:t xml:space="preserve"> </w:t>
      </w:r>
      <w:r w:rsidRPr="00450B0F">
        <w:rPr>
          <w:lang w:val="de-CH"/>
        </w:rPr>
        <w:tab/>
      </w:r>
      <w:hyperlink r:id="rId3" w:history="1">
        <w:proofErr w:type="spellStart"/>
        <w:r w:rsidR="00D45EE2" w:rsidRPr="00450B0F">
          <w:rPr>
            <w:rStyle w:val="Hipervnculo"/>
            <w:lang w:val="de-CH"/>
          </w:rPr>
          <w:t>CMW</w:t>
        </w:r>
        <w:proofErr w:type="spellEnd"/>
        <w:r w:rsidR="00D3457D" w:rsidRPr="00450B0F">
          <w:rPr>
            <w:rStyle w:val="Hipervnculo"/>
            <w:lang w:val="de-CH"/>
          </w:rPr>
          <w:t>/C/</w:t>
        </w:r>
        <w:proofErr w:type="spellStart"/>
        <w:r w:rsidR="00D3457D" w:rsidRPr="00450B0F">
          <w:rPr>
            <w:rStyle w:val="Hipervnculo"/>
            <w:lang w:val="de-CH"/>
          </w:rPr>
          <w:t>PRY</w:t>
        </w:r>
        <w:proofErr w:type="spellEnd"/>
        <w:r w:rsidR="00D3457D" w:rsidRPr="00450B0F">
          <w:rPr>
            <w:rStyle w:val="Hipervnculo"/>
            <w:lang w:val="de-CH"/>
          </w:rPr>
          <w:t>/</w:t>
        </w:r>
        <w:proofErr w:type="spellStart"/>
        <w:r w:rsidR="00D3457D" w:rsidRPr="00450B0F">
          <w:rPr>
            <w:rStyle w:val="Hipervnculo"/>
            <w:lang w:val="de-CH"/>
          </w:rPr>
          <w:t>QPR</w:t>
        </w:r>
        <w:proofErr w:type="spellEnd"/>
        <w:r w:rsidR="00D3457D" w:rsidRPr="00450B0F">
          <w:rPr>
            <w:rStyle w:val="Hipervnculo"/>
            <w:lang w:val="de-CH"/>
          </w:rPr>
          <w:t>/2</w:t>
        </w:r>
      </w:hyperlink>
      <w:r w:rsidR="00D3457D" w:rsidRPr="00450B0F">
        <w:rPr>
          <w:lang w:val="de-CH"/>
        </w:rPr>
        <w:t>.</w:t>
      </w:r>
    </w:p>
  </w:footnote>
  <w:footnote w:id="5">
    <w:p w14:paraId="3A8B317D" w14:textId="546425FC" w:rsidR="00E17573" w:rsidRPr="00450B0F" w:rsidRDefault="00AC4DDC" w:rsidP="0040730E">
      <w:pPr>
        <w:pStyle w:val="Textonotapie"/>
        <w:rPr>
          <w:lang w:val="de-CH"/>
        </w:rPr>
      </w:pPr>
      <w:r w:rsidRPr="00450B0F">
        <w:rPr>
          <w:lang w:val="de-CH"/>
        </w:rPr>
        <w:tab/>
      </w:r>
      <w:r w:rsidR="00E17573">
        <w:rPr>
          <w:rStyle w:val="Refdenotaalpie"/>
        </w:rPr>
        <w:footnoteRef/>
      </w:r>
      <w:r w:rsidRPr="00450B0F">
        <w:rPr>
          <w:lang w:val="de-CH"/>
        </w:rPr>
        <w:tab/>
      </w:r>
      <w:proofErr w:type="spellStart"/>
      <w:r w:rsidR="00E17573" w:rsidRPr="00450B0F">
        <w:rPr>
          <w:lang w:val="de-CH"/>
        </w:rPr>
        <w:t>Véase</w:t>
      </w:r>
      <w:proofErr w:type="spellEnd"/>
      <w:r w:rsidR="00E17573" w:rsidRPr="00450B0F">
        <w:rPr>
          <w:lang w:val="de-CH"/>
        </w:rPr>
        <w:t xml:space="preserve"> </w:t>
      </w:r>
      <w:hyperlink r:id="rId4" w:history="1">
        <w:r w:rsidR="00E17573" w:rsidRPr="00450B0F">
          <w:rPr>
            <w:rStyle w:val="Hipervnculo"/>
            <w:lang w:val="de-CH"/>
          </w:rPr>
          <w:t>https://www.ohchr.org/sites/default/files/Documents/Issues/Migration/</w:t>
        </w:r>
        <w:r w:rsidRPr="00450B0F">
          <w:rPr>
            <w:rStyle w:val="Hipervnculo"/>
            <w:lang w:val="de-CH"/>
          </w:rPr>
          <w:br/>
        </w:r>
        <w:proofErr w:type="spellStart"/>
        <w:r w:rsidR="00E17573" w:rsidRPr="00450B0F">
          <w:rPr>
            <w:rStyle w:val="Hipervnculo"/>
            <w:lang w:val="de-CH"/>
          </w:rPr>
          <w:t>CMWSPMJointGuidanceNoteCOVID-19Migrants_SP.pdf</w:t>
        </w:r>
        <w:proofErr w:type="spellEnd"/>
        <w:r w:rsidRPr="00450B0F">
          <w:rPr>
            <w:rStyle w:val="Hipervnculo"/>
            <w:lang w:val="de-CH"/>
          </w:rPr>
          <w:t>.</w:t>
        </w:r>
      </w:hyperlink>
    </w:p>
  </w:footnote>
  <w:footnote w:id="6">
    <w:p w14:paraId="5C52099D" w14:textId="21121116" w:rsidR="0040730E" w:rsidRPr="000851C3" w:rsidRDefault="00AC4DDC" w:rsidP="0040730E">
      <w:pPr>
        <w:pStyle w:val="Textonotapie"/>
        <w:rPr>
          <w:lang w:val="en-US"/>
        </w:rPr>
      </w:pPr>
      <w:r w:rsidRPr="00450B0F">
        <w:rPr>
          <w:lang w:val="de-CH"/>
        </w:rPr>
        <w:tab/>
      </w:r>
      <w:r w:rsidR="0040730E">
        <w:rPr>
          <w:rStyle w:val="Refdenotaalpie"/>
        </w:rPr>
        <w:footnoteRef/>
      </w:r>
      <w:r>
        <w:rPr>
          <w:lang w:val="en-US"/>
        </w:rPr>
        <w:tab/>
      </w:r>
      <w:hyperlink r:id="rId5" w:history="1">
        <w:proofErr w:type="spellStart"/>
        <w:r w:rsidR="0040730E" w:rsidRPr="00AC4DDC">
          <w:rPr>
            <w:rStyle w:val="Hipervnculo"/>
            <w:lang w:val="en-US"/>
          </w:rPr>
          <w:t>CMW</w:t>
        </w:r>
        <w:proofErr w:type="spellEnd"/>
        <w:r w:rsidR="0040730E" w:rsidRPr="00AC4DDC">
          <w:rPr>
            <w:rStyle w:val="Hipervnculo"/>
            <w:lang w:val="en-US"/>
          </w:rPr>
          <w:t>/C/PRY/CO/1</w:t>
        </w:r>
      </w:hyperlink>
      <w:r w:rsidR="0040730E" w:rsidRPr="00E82325">
        <w:rPr>
          <w:lang w:val="en-US"/>
        </w:rPr>
        <w:t xml:space="preserve">, </w:t>
      </w:r>
      <w:proofErr w:type="spellStart"/>
      <w:r w:rsidR="0040730E" w:rsidRPr="00E82325">
        <w:rPr>
          <w:lang w:val="en-US"/>
        </w:rPr>
        <w:t>párr</w:t>
      </w:r>
      <w:proofErr w:type="spellEnd"/>
      <w:r w:rsidR="0040730E">
        <w:rPr>
          <w:lang w:val="en-US"/>
        </w:rPr>
        <w:t>.</w:t>
      </w:r>
      <w:r w:rsidR="0040730E" w:rsidRPr="00E82325">
        <w:rPr>
          <w:lang w:val="en-US"/>
        </w:rPr>
        <w:t xml:space="preserve"> 13</w:t>
      </w:r>
      <w:r w:rsidR="0040730E">
        <w:rPr>
          <w:lang w:val="en-US"/>
        </w:rPr>
        <w:t>.</w:t>
      </w:r>
    </w:p>
  </w:footnote>
  <w:footnote w:id="7">
    <w:p w14:paraId="35146684" w14:textId="350DB5B3" w:rsidR="0040730E" w:rsidRPr="001843CF" w:rsidRDefault="00AC4DDC" w:rsidP="00A465D3">
      <w:pPr>
        <w:pStyle w:val="Textonotapie"/>
        <w:rPr>
          <w:lang w:val="en-US"/>
        </w:rPr>
      </w:pPr>
      <w:r>
        <w:rPr>
          <w:lang w:val="en-US"/>
        </w:rPr>
        <w:tab/>
      </w:r>
      <w:r w:rsidR="0040730E">
        <w:rPr>
          <w:rStyle w:val="Refdenotaalpie"/>
        </w:rPr>
        <w:footnoteRef/>
      </w:r>
      <w:r>
        <w:rPr>
          <w:i/>
          <w:iCs/>
          <w:lang w:val="en-US"/>
        </w:rPr>
        <w:tab/>
      </w:r>
      <w:r w:rsidR="003E47CC">
        <w:rPr>
          <w:i/>
          <w:iCs/>
          <w:lang w:val="en-US"/>
        </w:rPr>
        <w:t>Ibid</w:t>
      </w:r>
      <w:r w:rsidR="0040730E" w:rsidRPr="001843CF">
        <w:rPr>
          <w:i/>
          <w:iCs/>
          <w:lang w:val="en-US"/>
        </w:rPr>
        <w:t>.</w:t>
      </w:r>
      <w:r w:rsidR="0040730E" w:rsidRPr="00E82325">
        <w:rPr>
          <w:lang w:val="en-US"/>
        </w:rPr>
        <w:t>, párr</w:t>
      </w:r>
      <w:r w:rsidR="0040730E">
        <w:rPr>
          <w:lang w:val="en-US"/>
        </w:rPr>
        <w:t>.</w:t>
      </w:r>
      <w:r w:rsidR="0040730E" w:rsidRPr="00E82325">
        <w:rPr>
          <w:lang w:val="en-US"/>
        </w:rPr>
        <w:t xml:space="preserve"> 15</w:t>
      </w:r>
      <w:r w:rsidR="0040730E">
        <w:rPr>
          <w:lang w:val="en-US"/>
        </w:rPr>
        <w:t>.</w:t>
      </w:r>
    </w:p>
  </w:footnote>
  <w:footnote w:id="8">
    <w:p w14:paraId="637CE1A4" w14:textId="29A6DBCF" w:rsidR="00886907" w:rsidRPr="00A465D3" w:rsidRDefault="00AC4DDC">
      <w:pPr>
        <w:pStyle w:val="Textonotapie"/>
        <w:rPr>
          <w:lang w:val="en-US"/>
        </w:rPr>
      </w:pPr>
      <w:r>
        <w:rPr>
          <w:lang w:val="en-US"/>
        </w:rPr>
        <w:tab/>
      </w:r>
      <w:r w:rsidR="00886907">
        <w:rPr>
          <w:rStyle w:val="Refdenotaalpie"/>
        </w:rPr>
        <w:footnoteRef/>
      </w:r>
      <w:r>
        <w:rPr>
          <w:i/>
          <w:iCs/>
          <w:lang w:val="en-US"/>
        </w:rPr>
        <w:tab/>
      </w:r>
      <w:r w:rsidR="003E47CC">
        <w:rPr>
          <w:i/>
          <w:iCs/>
          <w:lang w:val="en-US"/>
        </w:rPr>
        <w:t>Ibid</w:t>
      </w:r>
      <w:r w:rsidR="00886907" w:rsidRPr="00A465D3">
        <w:rPr>
          <w:i/>
          <w:iCs/>
          <w:lang w:val="en-US"/>
        </w:rPr>
        <w:t>.</w:t>
      </w:r>
      <w:r w:rsidR="00886907" w:rsidRPr="00886907">
        <w:rPr>
          <w:lang w:val="en-US"/>
        </w:rPr>
        <w:t>, párr</w:t>
      </w:r>
      <w:r w:rsidR="00886907">
        <w:rPr>
          <w:lang w:val="en-US"/>
        </w:rPr>
        <w:t>.</w:t>
      </w:r>
      <w:r w:rsidR="00886907" w:rsidRPr="00886907">
        <w:rPr>
          <w:lang w:val="en-US"/>
        </w:rPr>
        <w:t xml:space="preserve"> 17</w:t>
      </w:r>
      <w:r w:rsidR="00886907">
        <w:rPr>
          <w:lang w:val="en-US"/>
        </w:rPr>
        <w:t>.</w:t>
      </w:r>
    </w:p>
  </w:footnote>
  <w:footnote w:id="9">
    <w:p w14:paraId="6178BD78" w14:textId="45730B2F" w:rsidR="00F60FE5" w:rsidRPr="00AA629B" w:rsidRDefault="00AC4DDC" w:rsidP="00F60FE5">
      <w:pPr>
        <w:pStyle w:val="Textonotapie"/>
        <w:rPr>
          <w:lang w:val="en-US"/>
        </w:rPr>
      </w:pPr>
      <w:r>
        <w:rPr>
          <w:lang w:val="en-US"/>
        </w:rPr>
        <w:tab/>
      </w:r>
      <w:r w:rsidR="00F60FE5">
        <w:rPr>
          <w:rStyle w:val="Refdenotaalpie"/>
        </w:rPr>
        <w:footnoteRef/>
      </w:r>
      <w:r>
        <w:rPr>
          <w:i/>
          <w:iCs/>
          <w:lang w:val="en-US"/>
        </w:rPr>
        <w:tab/>
      </w:r>
      <w:r w:rsidR="003E47CC">
        <w:rPr>
          <w:i/>
          <w:iCs/>
          <w:lang w:val="en-US"/>
        </w:rPr>
        <w:t>Ibid</w:t>
      </w:r>
      <w:r w:rsidR="00F60FE5" w:rsidRPr="00305F66">
        <w:rPr>
          <w:i/>
          <w:iCs/>
          <w:lang w:val="en-US"/>
        </w:rPr>
        <w:t>.</w:t>
      </w:r>
      <w:r w:rsidR="00F60FE5" w:rsidRPr="00886907">
        <w:rPr>
          <w:lang w:val="en-US"/>
        </w:rPr>
        <w:t>,</w:t>
      </w:r>
      <w:r w:rsidR="00F60FE5">
        <w:rPr>
          <w:lang w:val="en-US"/>
        </w:rPr>
        <w:t xml:space="preserve"> párr. 21.</w:t>
      </w:r>
    </w:p>
  </w:footnote>
  <w:footnote w:id="10">
    <w:p w14:paraId="54B58847" w14:textId="11EAD72E" w:rsidR="00412A31" w:rsidRPr="00450B0F" w:rsidRDefault="00AC4DDC" w:rsidP="00412A31">
      <w:pPr>
        <w:pStyle w:val="Textonotapie"/>
        <w:rPr>
          <w:lang w:val="en-US"/>
        </w:rPr>
      </w:pPr>
      <w:r>
        <w:rPr>
          <w:lang w:val="en-US"/>
        </w:rPr>
        <w:tab/>
      </w:r>
      <w:r w:rsidR="00412A31">
        <w:rPr>
          <w:rStyle w:val="Refdenotaalpie"/>
        </w:rPr>
        <w:footnoteRef/>
      </w:r>
      <w:r>
        <w:rPr>
          <w:i/>
          <w:iCs/>
          <w:lang w:val="en-US"/>
        </w:rPr>
        <w:tab/>
      </w:r>
      <w:r w:rsidR="003E47CC">
        <w:rPr>
          <w:i/>
          <w:iCs/>
          <w:lang w:val="en-US"/>
        </w:rPr>
        <w:t>Ibid</w:t>
      </w:r>
      <w:r w:rsidR="00412A31" w:rsidRPr="00305F66">
        <w:rPr>
          <w:i/>
          <w:iCs/>
          <w:lang w:val="en-US"/>
        </w:rPr>
        <w:t>.</w:t>
      </w:r>
      <w:r w:rsidR="00412A31" w:rsidRPr="00886907">
        <w:rPr>
          <w:lang w:val="en-US"/>
        </w:rPr>
        <w:t>,</w:t>
      </w:r>
      <w:r w:rsidR="00412A31">
        <w:rPr>
          <w:lang w:val="en-US"/>
        </w:rPr>
        <w:t xml:space="preserve"> párr. </w:t>
      </w:r>
      <w:r w:rsidR="00412A31" w:rsidRPr="00450B0F">
        <w:rPr>
          <w:lang w:val="en-US"/>
        </w:rPr>
        <w:t>23.</w:t>
      </w:r>
    </w:p>
  </w:footnote>
  <w:footnote w:id="11">
    <w:p w14:paraId="69FDE133" w14:textId="794DBA01" w:rsidR="00146CF1" w:rsidRDefault="00AC4DDC">
      <w:pPr>
        <w:pStyle w:val="Textonotapie"/>
      </w:pPr>
      <w:r w:rsidRPr="00450B0F">
        <w:rPr>
          <w:lang w:val="en-US"/>
        </w:rPr>
        <w:tab/>
      </w:r>
      <w:r w:rsidR="00146CF1">
        <w:rPr>
          <w:rStyle w:val="Refdenotaalpie"/>
        </w:rPr>
        <w:footnoteRef/>
      </w:r>
      <w:r w:rsidRPr="00450B0F">
        <w:rPr>
          <w:lang w:val="en-US"/>
        </w:rPr>
        <w:tab/>
      </w:r>
      <w:r w:rsidR="00146CF1" w:rsidRPr="00450B0F">
        <w:rPr>
          <w:i/>
          <w:iCs/>
          <w:lang w:val="en-US"/>
        </w:rPr>
        <w:t>Ibid.</w:t>
      </w:r>
      <w:r w:rsidR="00146CF1" w:rsidRPr="00450B0F">
        <w:rPr>
          <w:lang w:val="en-US"/>
        </w:rPr>
        <w:t xml:space="preserve">, párrs. </w:t>
      </w:r>
      <w:r w:rsidR="00146CF1" w:rsidRPr="00146CF1">
        <w:t>23 y 49</w:t>
      </w:r>
      <w:r w:rsidR="00146CF1">
        <w:t>.</w:t>
      </w:r>
    </w:p>
  </w:footnote>
  <w:footnote w:id="12">
    <w:p w14:paraId="640C79F1" w14:textId="35E59E57" w:rsidR="00F60FE5" w:rsidRDefault="00AC4DDC" w:rsidP="00F60FE5">
      <w:pPr>
        <w:pStyle w:val="Textonotapie"/>
      </w:pPr>
      <w:r>
        <w:tab/>
      </w:r>
      <w:r w:rsidR="00F60FE5">
        <w:rPr>
          <w:rStyle w:val="Refdenotaalpie"/>
        </w:rPr>
        <w:footnoteRef/>
      </w:r>
      <w:r>
        <w:tab/>
      </w:r>
      <w:r w:rsidR="00F60FE5" w:rsidRPr="007126AE">
        <w:rPr>
          <w:i/>
          <w:iCs/>
        </w:rPr>
        <w:t>Ibid</w:t>
      </w:r>
      <w:r w:rsidR="00F60FE5">
        <w:t>., párr. 25.</w:t>
      </w:r>
    </w:p>
  </w:footnote>
  <w:footnote w:id="13">
    <w:p w14:paraId="613DD26D" w14:textId="44F851B0" w:rsidR="0059014F" w:rsidRPr="00777094" w:rsidRDefault="00AC4DDC">
      <w:pPr>
        <w:pStyle w:val="Textonotapie"/>
      </w:pPr>
      <w:r>
        <w:tab/>
      </w:r>
      <w:r w:rsidR="0059014F">
        <w:rPr>
          <w:rStyle w:val="Refdenotaalpie"/>
        </w:rPr>
        <w:footnoteRef/>
      </w:r>
      <w:r>
        <w:tab/>
      </w:r>
      <w:r w:rsidR="005D703F" w:rsidRPr="00A465D3">
        <w:rPr>
          <w:i/>
          <w:iCs/>
        </w:rPr>
        <w:t>Ibid</w:t>
      </w:r>
      <w:r w:rsidR="005D703F" w:rsidRPr="00777094">
        <w:t xml:space="preserve">., </w:t>
      </w:r>
      <w:r w:rsidR="005D703F" w:rsidRPr="00A465D3">
        <w:t>párr. 33.</w:t>
      </w:r>
    </w:p>
  </w:footnote>
  <w:footnote w:id="14">
    <w:p w14:paraId="63489092" w14:textId="05629DDD" w:rsidR="008D5AC8" w:rsidRPr="00777094" w:rsidRDefault="00AC4DDC">
      <w:pPr>
        <w:pStyle w:val="Textonotapie"/>
      </w:pPr>
      <w:r>
        <w:tab/>
      </w:r>
      <w:r w:rsidR="008D5AC8">
        <w:rPr>
          <w:rStyle w:val="Refdenotaalpie"/>
        </w:rPr>
        <w:footnoteRef/>
      </w:r>
      <w:r>
        <w:tab/>
      </w:r>
      <w:r w:rsidR="008D5AC8" w:rsidRPr="00A465D3">
        <w:rPr>
          <w:i/>
          <w:iCs/>
        </w:rPr>
        <w:t>Ibid</w:t>
      </w:r>
      <w:r w:rsidR="008D5AC8" w:rsidRPr="00A465D3">
        <w:t>., párr. 41.</w:t>
      </w:r>
    </w:p>
  </w:footnote>
  <w:footnote w:id="15">
    <w:p w14:paraId="74D149C4" w14:textId="334EE15B" w:rsidR="005848B2" w:rsidRDefault="00AC4DDC">
      <w:pPr>
        <w:pStyle w:val="Textonotapie"/>
      </w:pPr>
      <w:r>
        <w:tab/>
      </w:r>
      <w:r w:rsidR="005848B2">
        <w:rPr>
          <w:rStyle w:val="Refdenotaalpie"/>
        </w:rPr>
        <w:footnoteRef/>
      </w:r>
      <w:r>
        <w:tab/>
      </w:r>
      <w:r w:rsidR="00731714" w:rsidRPr="00A465D3">
        <w:rPr>
          <w:i/>
          <w:iCs/>
        </w:rPr>
        <w:t>Ibid</w:t>
      </w:r>
      <w:r w:rsidR="00731714">
        <w:t>., párr. 35.</w:t>
      </w:r>
    </w:p>
  </w:footnote>
  <w:footnote w:id="16">
    <w:p w14:paraId="0E14D8D9" w14:textId="74283121" w:rsidR="00F60FE5" w:rsidRPr="009434FF" w:rsidRDefault="00AC4DDC" w:rsidP="00F60FE5">
      <w:pPr>
        <w:pStyle w:val="Textonotapie"/>
      </w:pPr>
      <w:r>
        <w:rPr>
          <w:i/>
          <w:iCs/>
        </w:rPr>
        <w:tab/>
      </w:r>
      <w:r w:rsidR="00F60FE5">
        <w:rPr>
          <w:rStyle w:val="Refdenotaalpie"/>
        </w:rPr>
        <w:footnoteRef/>
      </w:r>
      <w:r>
        <w:rPr>
          <w:i/>
          <w:iCs/>
        </w:rPr>
        <w:tab/>
      </w:r>
      <w:r>
        <w:rPr>
          <w:i/>
          <w:iCs/>
        </w:rPr>
        <w:tab/>
      </w:r>
      <w:r w:rsidR="00F60FE5" w:rsidRPr="00305F66">
        <w:rPr>
          <w:i/>
          <w:iCs/>
        </w:rPr>
        <w:t>Ibid</w:t>
      </w:r>
      <w:r w:rsidR="00F60FE5">
        <w:t>.,</w:t>
      </w:r>
      <w:r w:rsidR="00F60FE5" w:rsidRPr="00AF722E">
        <w:t xml:space="preserve"> párr. 37.</w:t>
      </w:r>
    </w:p>
  </w:footnote>
  <w:footnote w:id="17">
    <w:p w14:paraId="76C1123D" w14:textId="44F1AD5C" w:rsidR="00F60FE5" w:rsidRPr="0024316F" w:rsidRDefault="00AC4DDC" w:rsidP="00F60FE5">
      <w:pPr>
        <w:pStyle w:val="Textonotapie"/>
        <w:rPr>
          <w:lang w:val="en-US"/>
        </w:rPr>
      </w:pPr>
      <w:r>
        <w:rPr>
          <w:lang w:val="en-US"/>
        </w:rPr>
        <w:tab/>
      </w:r>
      <w:r w:rsidR="00F60FE5">
        <w:rPr>
          <w:rStyle w:val="Refdenotaalpie"/>
        </w:rPr>
        <w:footnoteRef/>
      </w:r>
      <w:r>
        <w:rPr>
          <w:lang w:val="en-US"/>
        </w:rPr>
        <w:tab/>
      </w:r>
      <w:r w:rsidR="00F60FE5" w:rsidRPr="0024316F">
        <w:rPr>
          <w:i/>
          <w:iCs/>
          <w:lang w:val="en-US"/>
        </w:rPr>
        <w:t>Ibid</w:t>
      </w:r>
      <w:r w:rsidR="00F60FE5">
        <w:rPr>
          <w:lang w:val="en-US"/>
        </w:rPr>
        <w:t>.</w:t>
      </w:r>
      <w:r w:rsidR="00F60FE5" w:rsidRPr="00240ACC">
        <w:rPr>
          <w:lang w:val="en-US"/>
        </w:rPr>
        <w:t>, párr</w:t>
      </w:r>
      <w:r w:rsidR="00F60FE5">
        <w:rPr>
          <w:lang w:val="en-US"/>
        </w:rPr>
        <w:t>. 29.</w:t>
      </w:r>
    </w:p>
  </w:footnote>
  <w:footnote w:id="18">
    <w:p w14:paraId="0D526354" w14:textId="06946B55" w:rsidR="00F60FE5" w:rsidRPr="00DB2476" w:rsidRDefault="00AC4DDC" w:rsidP="00F60FE5">
      <w:pPr>
        <w:pStyle w:val="Textonotapie"/>
        <w:rPr>
          <w:lang w:val="en-US"/>
        </w:rPr>
      </w:pPr>
      <w:r>
        <w:rPr>
          <w:lang w:val="en-US"/>
        </w:rPr>
        <w:tab/>
      </w:r>
      <w:r w:rsidR="00F60FE5">
        <w:rPr>
          <w:rStyle w:val="Refdenotaalpie"/>
        </w:rPr>
        <w:footnoteRef/>
      </w:r>
      <w:r>
        <w:rPr>
          <w:lang w:val="en-US"/>
        </w:rPr>
        <w:tab/>
      </w:r>
      <w:r w:rsidR="00F60FE5" w:rsidRPr="00305F66">
        <w:rPr>
          <w:i/>
          <w:iCs/>
          <w:lang w:val="en-US"/>
        </w:rPr>
        <w:t>Ibid</w:t>
      </w:r>
      <w:r w:rsidR="00F60FE5">
        <w:rPr>
          <w:lang w:val="en-US"/>
        </w:rPr>
        <w:t>.</w:t>
      </w:r>
      <w:r w:rsidR="00F60FE5" w:rsidRPr="00240ACC">
        <w:rPr>
          <w:lang w:val="en-US"/>
        </w:rPr>
        <w:t>,</w:t>
      </w:r>
      <w:r w:rsidR="00F60FE5" w:rsidRPr="006C2064">
        <w:rPr>
          <w:lang w:val="en-US"/>
        </w:rPr>
        <w:t xml:space="preserve"> párr</w:t>
      </w:r>
      <w:r w:rsidR="00F60FE5">
        <w:rPr>
          <w:lang w:val="en-US"/>
        </w:rPr>
        <w:t>.</w:t>
      </w:r>
      <w:r w:rsidR="00F60FE5" w:rsidRPr="006C2064">
        <w:rPr>
          <w:lang w:val="en-US"/>
        </w:rPr>
        <w:t xml:space="preserve"> 45</w:t>
      </w:r>
      <w:r w:rsidR="00F60FE5">
        <w:rPr>
          <w:lang w:val="en-US"/>
        </w:rPr>
        <w:t>.</w:t>
      </w:r>
    </w:p>
  </w:footnote>
  <w:footnote w:id="19">
    <w:p w14:paraId="77C5F782" w14:textId="4D2638FB" w:rsidR="004D12BA" w:rsidRDefault="00AC4DDC">
      <w:pPr>
        <w:pStyle w:val="Textonotapie"/>
      </w:pPr>
      <w:r>
        <w:tab/>
      </w:r>
      <w:r w:rsidR="004D12BA">
        <w:rPr>
          <w:rStyle w:val="Refdenotaalpie"/>
        </w:rPr>
        <w:footnoteRef/>
      </w:r>
      <w:r>
        <w:tab/>
      </w:r>
      <w:hyperlink r:id="rId6" w:history="1">
        <w:proofErr w:type="spellStart"/>
        <w:r w:rsidR="004D12BA" w:rsidRPr="003E47CC">
          <w:rPr>
            <w:rStyle w:val="Hipervnculo"/>
          </w:rPr>
          <w:t>HRI</w:t>
        </w:r>
        <w:proofErr w:type="spellEnd"/>
        <w:r w:rsidR="004D12BA" w:rsidRPr="003E47CC">
          <w:rPr>
            <w:rStyle w:val="Hipervnculo"/>
          </w:rPr>
          <w:t>/GEN/2/</w:t>
        </w:r>
        <w:proofErr w:type="spellStart"/>
        <w:r w:rsidR="004D12BA" w:rsidRPr="003E47CC">
          <w:rPr>
            <w:rStyle w:val="Hipervnculo"/>
          </w:rPr>
          <w:t>Rev.6</w:t>
        </w:r>
        <w:proofErr w:type="spellEnd"/>
      </w:hyperlink>
      <w:r w:rsidR="004D12B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5D7E" w14:textId="4F262F00" w:rsidR="001A4396" w:rsidRPr="00081C1D" w:rsidRDefault="00053EA6">
    <w:pPr>
      <w:pStyle w:val="Encabezado"/>
      <w:rPr>
        <w:lang w:val="en-GB"/>
      </w:rPr>
    </w:pPr>
    <w:r w:rsidRPr="00081C1D">
      <w:rPr>
        <w:lang w:val="en-GB"/>
      </w:rPr>
      <w:t>CMW/C/PRY/CO/2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D8AA" w14:textId="06E60472" w:rsidR="001A4396" w:rsidRPr="00081C1D" w:rsidRDefault="00053EA6" w:rsidP="00935A0B">
    <w:pPr>
      <w:pStyle w:val="Encabezado"/>
      <w:jc w:val="right"/>
      <w:rPr>
        <w:u w:val="double"/>
        <w:lang w:val="en-GB"/>
      </w:rPr>
    </w:pPr>
    <w:r w:rsidRPr="00081C1D">
      <w:rPr>
        <w:lang w:val="en-GB"/>
      </w:rPr>
      <w:t>CMW/C/PRY/CO/2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E151" w14:textId="77777777"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6080A8"/>
    <w:multiLevelType w:val="hybridMultilevel"/>
    <w:tmpl w:val="E2548B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15:restartNumberingAfterBreak="0">
    <w:nsid w:val="06964A1B"/>
    <w:multiLevelType w:val="hybridMultilevel"/>
    <w:tmpl w:val="1662350A"/>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D954887"/>
    <w:multiLevelType w:val="hybridMultilevel"/>
    <w:tmpl w:val="5A48E46A"/>
    <w:lvl w:ilvl="0" w:tplc="AE80E80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3E0AA70" w:tentative="1">
      <w:start w:val="1"/>
      <w:numFmt w:val="lowerLetter"/>
      <w:lvlText w:val="%2."/>
      <w:lvlJc w:val="left"/>
      <w:pPr>
        <w:tabs>
          <w:tab w:val="num" w:pos="1440"/>
        </w:tabs>
        <w:ind w:left="1440" w:hanging="360"/>
      </w:pPr>
    </w:lvl>
    <w:lvl w:ilvl="2" w:tplc="0BF05264" w:tentative="1">
      <w:start w:val="1"/>
      <w:numFmt w:val="lowerRoman"/>
      <w:lvlText w:val="%3."/>
      <w:lvlJc w:val="right"/>
      <w:pPr>
        <w:tabs>
          <w:tab w:val="num" w:pos="2160"/>
        </w:tabs>
        <w:ind w:left="2160" w:hanging="180"/>
      </w:pPr>
    </w:lvl>
    <w:lvl w:ilvl="3" w:tplc="38662A5C" w:tentative="1">
      <w:start w:val="1"/>
      <w:numFmt w:val="decimal"/>
      <w:lvlText w:val="%4."/>
      <w:lvlJc w:val="left"/>
      <w:pPr>
        <w:tabs>
          <w:tab w:val="num" w:pos="2880"/>
        </w:tabs>
        <w:ind w:left="2880" w:hanging="360"/>
      </w:pPr>
    </w:lvl>
    <w:lvl w:ilvl="4" w:tplc="97E8276E" w:tentative="1">
      <w:start w:val="1"/>
      <w:numFmt w:val="lowerLetter"/>
      <w:lvlText w:val="%5."/>
      <w:lvlJc w:val="left"/>
      <w:pPr>
        <w:tabs>
          <w:tab w:val="num" w:pos="3600"/>
        </w:tabs>
        <w:ind w:left="3600" w:hanging="360"/>
      </w:pPr>
    </w:lvl>
    <w:lvl w:ilvl="5" w:tplc="F4FC1DE8" w:tentative="1">
      <w:start w:val="1"/>
      <w:numFmt w:val="lowerRoman"/>
      <w:lvlText w:val="%6."/>
      <w:lvlJc w:val="right"/>
      <w:pPr>
        <w:tabs>
          <w:tab w:val="num" w:pos="4320"/>
        </w:tabs>
        <w:ind w:left="4320" w:hanging="180"/>
      </w:pPr>
    </w:lvl>
    <w:lvl w:ilvl="6" w:tplc="9E9C500C" w:tentative="1">
      <w:start w:val="1"/>
      <w:numFmt w:val="decimal"/>
      <w:lvlText w:val="%7."/>
      <w:lvlJc w:val="left"/>
      <w:pPr>
        <w:tabs>
          <w:tab w:val="num" w:pos="5040"/>
        </w:tabs>
        <w:ind w:left="5040" w:hanging="360"/>
      </w:pPr>
    </w:lvl>
    <w:lvl w:ilvl="7" w:tplc="57302D52" w:tentative="1">
      <w:start w:val="1"/>
      <w:numFmt w:val="lowerLetter"/>
      <w:lvlText w:val="%8."/>
      <w:lvlJc w:val="left"/>
      <w:pPr>
        <w:tabs>
          <w:tab w:val="num" w:pos="5760"/>
        </w:tabs>
        <w:ind w:left="5760" w:hanging="360"/>
      </w:pPr>
    </w:lvl>
    <w:lvl w:ilvl="8" w:tplc="2AF2FC92" w:tentative="1">
      <w:start w:val="1"/>
      <w:numFmt w:val="lowerRoman"/>
      <w:lvlText w:val="%9."/>
      <w:lvlJc w:val="right"/>
      <w:pPr>
        <w:tabs>
          <w:tab w:val="num" w:pos="6480"/>
        </w:tabs>
        <w:ind w:left="6480" w:hanging="180"/>
      </w:pPr>
    </w:lvl>
  </w:abstractNum>
  <w:abstractNum w:abstractNumId="13" w15:restartNumberingAfterBreak="0">
    <w:nsid w:val="1ADF1DA2"/>
    <w:multiLevelType w:val="hybridMultilevel"/>
    <w:tmpl w:val="7E24A9A8"/>
    <w:lvl w:ilvl="0" w:tplc="6468849E">
      <w:start w:val="1"/>
      <w:numFmt w:val="decimal"/>
      <w:lvlText w:val="%1."/>
      <w:lvlJc w:val="left"/>
      <w:pPr>
        <w:ind w:left="502" w:hanging="360"/>
      </w:pPr>
      <w:rPr>
        <w:rFonts w:hint="default"/>
        <w:b w:val="0"/>
        <w:i w:val="0"/>
        <w:color w:val="auto"/>
      </w:rPr>
    </w:lvl>
    <w:lvl w:ilvl="1" w:tplc="08090019">
      <w:start w:val="1"/>
      <w:numFmt w:val="lowerLetter"/>
      <w:lvlText w:val="%2."/>
      <w:lvlJc w:val="left"/>
      <w:pPr>
        <w:ind w:left="3206" w:hanging="360"/>
      </w:pPr>
    </w:lvl>
    <w:lvl w:ilvl="2" w:tplc="0809001B">
      <w:start w:val="1"/>
      <w:numFmt w:val="lowerRoman"/>
      <w:lvlText w:val="%3."/>
      <w:lvlJc w:val="right"/>
      <w:pPr>
        <w:ind w:left="3926" w:hanging="180"/>
      </w:pPr>
    </w:lvl>
    <w:lvl w:ilvl="3" w:tplc="D45A0052">
      <w:start w:val="1"/>
      <w:numFmt w:val="lowerLetter"/>
      <w:lvlText w:val="(%4)"/>
      <w:lvlJc w:val="left"/>
      <w:pPr>
        <w:ind w:left="5126" w:hanging="840"/>
      </w:pPr>
    </w:lvl>
    <w:lvl w:ilvl="4" w:tplc="08090019">
      <w:start w:val="1"/>
      <w:numFmt w:val="lowerLetter"/>
      <w:lvlText w:val="%5."/>
      <w:lvlJc w:val="left"/>
      <w:pPr>
        <w:ind w:left="5366" w:hanging="360"/>
      </w:pPr>
    </w:lvl>
    <w:lvl w:ilvl="5" w:tplc="0809001B">
      <w:start w:val="1"/>
      <w:numFmt w:val="lowerRoman"/>
      <w:lvlText w:val="%6."/>
      <w:lvlJc w:val="right"/>
      <w:pPr>
        <w:ind w:left="6086" w:hanging="180"/>
      </w:pPr>
    </w:lvl>
    <w:lvl w:ilvl="6" w:tplc="0809000F">
      <w:start w:val="1"/>
      <w:numFmt w:val="decimal"/>
      <w:lvlText w:val="%7."/>
      <w:lvlJc w:val="left"/>
      <w:pPr>
        <w:ind w:left="6806" w:hanging="360"/>
      </w:pPr>
    </w:lvl>
    <w:lvl w:ilvl="7" w:tplc="08090019">
      <w:start w:val="1"/>
      <w:numFmt w:val="lowerLetter"/>
      <w:lvlText w:val="%8."/>
      <w:lvlJc w:val="left"/>
      <w:pPr>
        <w:ind w:left="7526" w:hanging="360"/>
      </w:pPr>
    </w:lvl>
    <w:lvl w:ilvl="8" w:tplc="0809001B">
      <w:start w:val="1"/>
      <w:numFmt w:val="lowerRoman"/>
      <w:lvlText w:val="%9."/>
      <w:lvlJc w:val="right"/>
      <w:pPr>
        <w:ind w:left="8246" w:hanging="180"/>
      </w:pPr>
    </w:lvl>
  </w:abstractNum>
  <w:abstractNum w:abstractNumId="14" w15:restartNumberingAfterBreak="0">
    <w:nsid w:val="20D667B2"/>
    <w:multiLevelType w:val="hybridMultilevel"/>
    <w:tmpl w:val="6C78BEE0"/>
    <w:lvl w:ilvl="0" w:tplc="822AFCA2">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5317C93"/>
    <w:multiLevelType w:val="hybridMultilevel"/>
    <w:tmpl w:val="D55A9864"/>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7743B"/>
    <w:multiLevelType w:val="hybridMultilevel"/>
    <w:tmpl w:val="165289D8"/>
    <w:lvl w:ilvl="0" w:tplc="1A08FDAC">
      <w:start w:val="1"/>
      <w:numFmt w:val="bullet"/>
      <w:pStyle w:val="Bullet2G"/>
      <w:lvlText w:val="•"/>
      <w:lvlJc w:val="left"/>
      <w:pPr>
        <w:tabs>
          <w:tab w:val="num" w:pos="2268"/>
        </w:tabs>
        <w:ind w:left="2268" w:hanging="170"/>
      </w:pPr>
      <w:rPr>
        <w:rFonts w:ascii="Times New Roman" w:hAnsi="Times New Roman" w:cs="Times New Roman" w:hint="default"/>
      </w:rPr>
    </w:lvl>
    <w:lvl w:ilvl="1" w:tplc="5046E7B4" w:tentative="1">
      <w:start w:val="1"/>
      <w:numFmt w:val="bullet"/>
      <w:lvlText w:val="o"/>
      <w:lvlJc w:val="left"/>
      <w:pPr>
        <w:tabs>
          <w:tab w:val="num" w:pos="1440"/>
        </w:tabs>
        <w:ind w:left="1440" w:hanging="360"/>
      </w:pPr>
      <w:rPr>
        <w:rFonts w:ascii="Courier New" w:hAnsi="Courier New" w:hint="default"/>
      </w:rPr>
    </w:lvl>
    <w:lvl w:ilvl="2" w:tplc="9F68EFE2" w:tentative="1">
      <w:start w:val="1"/>
      <w:numFmt w:val="bullet"/>
      <w:lvlText w:val=""/>
      <w:lvlJc w:val="left"/>
      <w:pPr>
        <w:tabs>
          <w:tab w:val="num" w:pos="2160"/>
        </w:tabs>
        <w:ind w:left="2160" w:hanging="360"/>
      </w:pPr>
      <w:rPr>
        <w:rFonts w:ascii="Wingdings" w:hAnsi="Wingdings" w:hint="default"/>
      </w:rPr>
    </w:lvl>
    <w:lvl w:ilvl="3" w:tplc="697667EC" w:tentative="1">
      <w:start w:val="1"/>
      <w:numFmt w:val="bullet"/>
      <w:lvlText w:val=""/>
      <w:lvlJc w:val="left"/>
      <w:pPr>
        <w:tabs>
          <w:tab w:val="num" w:pos="2880"/>
        </w:tabs>
        <w:ind w:left="2880" w:hanging="360"/>
      </w:pPr>
      <w:rPr>
        <w:rFonts w:ascii="Symbol" w:hAnsi="Symbol" w:hint="default"/>
      </w:rPr>
    </w:lvl>
    <w:lvl w:ilvl="4" w:tplc="539AB508" w:tentative="1">
      <w:start w:val="1"/>
      <w:numFmt w:val="bullet"/>
      <w:lvlText w:val="o"/>
      <w:lvlJc w:val="left"/>
      <w:pPr>
        <w:tabs>
          <w:tab w:val="num" w:pos="3600"/>
        </w:tabs>
        <w:ind w:left="3600" w:hanging="360"/>
      </w:pPr>
      <w:rPr>
        <w:rFonts w:ascii="Courier New" w:hAnsi="Courier New" w:hint="default"/>
      </w:rPr>
    </w:lvl>
    <w:lvl w:ilvl="5" w:tplc="A94C42D8" w:tentative="1">
      <w:start w:val="1"/>
      <w:numFmt w:val="bullet"/>
      <w:lvlText w:val=""/>
      <w:lvlJc w:val="left"/>
      <w:pPr>
        <w:tabs>
          <w:tab w:val="num" w:pos="4320"/>
        </w:tabs>
        <w:ind w:left="4320" w:hanging="360"/>
      </w:pPr>
      <w:rPr>
        <w:rFonts w:ascii="Wingdings" w:hAnsi="Wingdings" w:hint="default"/>
      </w:rPr>
    </w:lvl>
    <w:lvl w:ilvl="6" w:tplc="CCF8E03A" w:tentative="1">
      <w:start w:val="1"/>
      <w:numFmt w:val="bullet"/>
      <w:lvlText w:val=""/>
      <w:lvlJc w:val="left"/>
      <w:pPr>
        <w:tabs>
          <w:tab w:val="num" w:pos="5040"/>
        </w:tabs>
        <w:ind w:left="5040" w:hanging="360"/>
      </w:pPr>
      <w:rPr>
        <w:rFonts w:ascii="Symbol" w:hAnsi="Symbol" w:hint="default"/>
      </w:rPr>
    </w:lvl>
    <w:lvl w:ilvl="7" w:tplc="910ADA2E" w:tentative="1">
      <w:start w:val="1"/>
      <w:numFmt w:val="bullet"/>
      <w:lvlText w:val="o"/>
      <w:lvlJc w:val="left"/>
      <w:pPr>
        <w:tabs>
          <w:tab w:val="num" w:pos="5760"/>
        </w:tabs>
        <w:ind w:left="5760" w:hanging="360"/>
      </w:pPr>
      <w:rPr>
        <w:rFonts w:ascii="Courier New" w:hAnsi="Courier New" w:hint="default"/>
      </w:rPr>
    </w:lvl>
    <w:lvl w:ilvl="8" w:tplc="C10A33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45AC8"/>
    <w:multiLevelType w:val="hybridMultilevel"/>
    <w:tmpl w:val="7E24A9A8"/>
    <w:lvl w:ilvl="0" w:tplc="6468849E">
      <w:start w:val="1"/>
      <w:numFmt w:val="decimal"/>
      <w:lvlText w:val="%1."/>
      <w:lvlJc w:val="left"/>
      <w:pPr>
        <w:ind w:left="1494" w:hanging="360"/>
      </w:pPr>
      <w:rPr>
        <w:rFonts w:hint="default"/>
        <w:b w:val="0"/>
        <w:i w:val="0"/>
        <w:color w:val="auto"/>
      </w:rPr>
    </w:lvl>
    <w:lvl w:ilvl="1" w:tplc="08090019">
      <w:start w:val="1"/>
      <w:numFmt w:val="lowerLetter"/>
      <w:lvlText w:val="%2."/>
      <w:lvlJc w:val="left"/>
      <w:pPr>
        <w:ind w:left="3206" w:hanging="360"/>
      </w:pPr>
    </w:lvl>
    <w:lvl w:ilvl="2" w:tplc="0809001B">
      <w:start w:val="1"/>
      <w:numFmt w:val="lowerRoman"/>
      <w:lvlText w:val="%3."/>
      <w:lvlJc w:val="right"/>
      <w:pPr>
        <w:ind w:left="3926" w:hanging="180"/>
      </w:pPr>
    </w:lvl>
    <w:lvl w:ilvl="3" w:tplc="D45A0052">
      <w:start w:val="1"/>
      <w:numFmt w:val="lowerLetter"/>
      <w:lvlText w:val="(%4)"/>
      <w:lvlJc w:val="left"/>
      <w:pPr>
        <w:ind w:left="5126" w:hanging="840"/>
      </w:pPr>
    </w:lvl>
    <w:lvl w:ilvl="4" w:tplc="08090019">
      <w:start w:val="1"/>
      <w:numFmt w:val="lowerLetter"/>
      <w:lvlText w:val="%5."/>
      <w:lvlJc w:val="left"/>
      <w:pPr>
        <w:ind w:left="5366" w:hanging="360"/>
      </w:pPr>
    </w:lvl>
    <w:lvl w:ilvl="5" w:tplc="0809001B">
      <w:start w:val="1"/>
      <w:numFmt w:val="lowerRoman"/>
      <w:lvlText w:val="%6."/>
      <w:lvlJc w:val="right"/>
      <w:pPr>
        <w:ind w:left="6086" w:hanging="180"/>
      </w:pPr>
    </w:lvl>
    <w:lvl w:ilvl="6" w:tplc="0809000F">
      <w:start w:val="1"/>
      <w:numFmt w:val="decimal"/>
      <w:lvlText w:val="%7."/>
      <w:lvlJc w:val="left"/>
      <w:pPr>
        <w:ind w:left="6806" w:hanging="360"/>
      </w:pPr>
    </w:lvl>
    <w:lvl w:ilvl="7" w:tplc="08090019">
      <w:start w:val="1"/>
      <w:numFmt w:val="lowerLetter"/>
      <w:lvlText w:val="%8."/>
      <w:lvlJc w:val="left"/>
      <w:pPr>
        <w:ind w:left="7526" w:hanging="360"/>
      </w:pPr>
    </w:lvl>
    <w:lvl w:ilvl="8" w:tplc="0809001B">
      <w:start w:val="1"/>
      <w:numFmt w:val="lowerRoman"/>
      <w:lvlText w:val="%9."/>
      <w:lvlJc w:val="right"/>
      <w:pPr>
        <w:ind w:left="8246" w:hanging="180"/>
      </w:pPr>
    </w:lvl>
  </w:abstractNum>
  <w:abstractNum w:abstractNumId="18" w15:restartNumberingAfterBreak="0">
    <w:nsid w:val="42B01645"/>
    <w:multiLevelType w:val="hybridMultilevel"/>
    <w:tmpl w:val="2E04A2E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2751DA"/>
    <w:multiLevelType w:val="hybridMultilevel"/>
    <w:tmpl w:val="436012B2"/>
    <w:lvl w:ilvl="0" w:tplc="6468849E">
      <w:start w:val="1"/>
      <w:numFmt w:val="decimal"/>
      <w:lvlText w:val="%1."/>
      <w:lvlJc w:val="left"/>
      <w:pPr>
        <w:ind w:left="1494" w:hanging="360"/>
      </w:pPr>
      <w:rPr>
        <w:rFonts w:hint="default"/>
        <w:b w:val="0"/>
        <w:i w:val="0"/>
        <w:color w:val="auto"/>
      </w:rPr>
    </w:lvl>
    <w:lvl w:ilvl="1" w:tplc="08090019">
      <w:start w:val="1"/>
      <w:numFmt w:val="lowerLetter"/>
      <w:lvlText w:val="%2."/>
      <w:lvlJc w:val="left"/>
      <w:pPr>
        <w:ind w:left="3206" w:hanging="360"/>
      </w:pPr>
    </w:lvl>
    <w:lvl w:ilvl="2" w:tplc="0809001B">
      <w:start w:val="1"/>
      <w:numFmt w:val="lowerRoman"/>
      <w:lvlText w:val="%3."/>
      <w:lvlJc w:val="right"/>
      <w:pPr>
        <w:ind w:left="3926" w:hanging="180"/>
      </w:pPr>
    </w:lvl>
    <w:lvl w:ilvl="3" w:tplc="D45A0052">
      <w:start w:val="1"/>
      <w:numFmt w:val="lowerLetter"/>
      <w:lvlText w:val="(%4)"/>
      <w:lvlJc w:val="left"/>
      <w:pPr>
        <w:ind w:left="5126" w:hanging="840"/>
      </w:pPr>
    </w:lvl>
    <w:lvl w:ilvl="4" w:tplc="08090019">
      <w:start w:val="1"/>
      <w:numFmt w:val="lowerLetter"/>
      <w:lvlText w:val="%5."/>
      <w:lvlJc w:val="left"/>
      <w:pPr>
        <w:ind w:left="5366" w:hanging="360"/>
      </w:pPr>
    </w:lvl>
    <w:lvl w:ilvl="5" w:tplc="0809001B">
      <w:start w:val="1"/>
      <w:numFmt w:val="lowerRoman"/>
      <w:lvlText w:val="%6."/>
      <w:lvlJc w:val="right"/>
      <w:pPr>
        <w:ind w:left="6086" w:hanging="180"/>
      </w:pPr>
    </w:lvl>
    <w:lvl w:ilvl="6" w:tplc="0809000F">
      <w:start w:val="1"/>
      <w:numFmt w:val="decimal"/>
      <w:lvlText w:val="%7."/>
      <w:lvlJc w:val="left"/>
      <w:pPr>
        <w:ind w:left="6806" w:hanging="360"/>
      </w:pPr>
    </w:lvl>
    <w:lvl w:ilvl="7" w:tplc="08090019">
      <w:start w:val="1"/>
      <w:numFmt w:val="lowerLetter"/>
      <w:lvlText w:val="%8."/>
      <w:lvlJc w:val="left"/>
      <w:pPr>
        <w:ind w:left="7526" w:hanging="360"/>
      </w:pPr>
    </w:lvl>
    <w:lvl w:ilvl="8" w:tplc="0809001B">
      <w:start w:val="1"/>
      <w:numFmt w:val="lowerRoman"/>
      <w:lvlText w:val="%9."/>
      <w:lvlJc w:val="right"/>
      <w:pPr>
        <w:ind w:left="8246" w:hanging="180"/>
      </w:pPr>
    </w:lvl>
  </w:abstractNum>
  <w:abstractNum w:abstractNumId="20" w15:restartNumberingAfterBreak="0">
    <w:nsid w:val="54E22599"/>
    <w:multiLevelType w:val="hybridMultilevel"/>
    <w:tmpl w:val="64743C2E"/>
    <w:lvl w:ilvl="0" w:tplc="E22C7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05C76B0"/>
    <w:multiLevelType w:val="hybridMultilevel"/>
    <w:tmpl w:val="29B673CA"/>
    <w:lvl w:ilvl="0" w:tplc="9DFEB20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AFD3DE4"/>
    <w:multiLevelType w:val="hybridMultilevel"/>
    <w:tmpl w:val="569E52D4"/>
    <w:lvl w:ilvl="0" w:tplc="50343808">
      <w:start w:val="1"/>
      <w:numFmt w:val="bullet"/>
      <w:pStyle w:val="Bullet1G"/>
      <w:lvlText w:val="•"/>
      <w:lvlJc w:val="left"/>
      <w:pPr>
        <w:tabs>
          <w:tab w:val="num" w:pos="1701"/>
        </w:tabs>
        <w:ind w:left="1701" w:hanging="170"/>
      </w:pPr>
      <w:rPr>
        <w:rFonts w:ascii="Times New Roman" w:hAnsi="Times New Roman" w:cs="Times New Roman" w:hint="default"/>
      </w:rPr>
    </w:lvl>
    <w:lvl w:ilvl="1" w:tplc="F6084CFC" w:tentative="1">
      <w:start w:val="1"/>
      <w:numFmt w:val="bullet"/>
      <w:lvlText w:val="o"/>
      <w:lvlJc w:val="left"/>
      <w:pPr>
        <w:tabs>
          <w:tab w:val="num" w:pos="1440"/>
        </w:tabs>
        <w:ind w:left="1440" w:hanging="360"/>
      </w:pPr>
      <w:rPr>
        <w:rFonts w:ascii="Courier New" w:hAnsi="Courier New" w:hint="default"/>
      </w:rPr>
    </w:lvl>
    <w:lvl w:ilvl="2" w:tplc="BD701ACA" w:tentative="1">
      <w:start w:val="1"/>
      <w:numFmt w:val="bullet"/>
      <w:lvlText w:val=""/>
      <w:lvlJc w:val="left"/>
      <w:pPr>
        <w:tabs>
          <w:tab w:val="num" w:pos="2160"/>
        </w:tabs>
        <w:ind w:left="2160" w:hanging="360"/>
      </w:pPr>
      <w:rPr>
        <w:rFonts w:ascii="Wingdings" w:hAnsi="Wingdings" w:hint="default"/>
      </w:rPr>
    </w:lvl>
    <w:lvl w:ilvl="3" w:tplc="1646E4DC" w:tentative="1">
      <w:start w:val="1"/>
      <w:numFmt w:val="bullet"/>
      <w:lvlText w:val=""/>
      <w:lvlJc w:val="left"/>
      <w:pPr>
        <w:tabs>
          <w:tab w:val="num" w:pos="2880"/>
        </w:tabs>
        <w:ind w:left="2880" w:hanging="360"/>
      </w:pPr>
      <w:rPr>
        <w:rFonts w:ascii="Symbol" w:hAnsi="Symbol" w:hint="default"/>
      </w:rPr>
    </w:lvl>
    <w:lvl w:ilvl="4" w:tplc="8B1409F2" w:tentative="1">
      <w:start w:val="1"/>
      <w:numFmt w:val="bullet"/>
      <w:lvlText w:val="o"/>
      <w:lvlJc w:val="left"/>
      <w:pPr>
        <w:tabs>
          <w:tab w:val="num" w:pos="3600"/>
        </w:tabs>
        <w:ind w:left="3600" w:hanging="360"/>
      </w:pPr>
      <w:rPr>
        <w:rFonts w:ascii="Courier New" w:hAnsi="Courier New" w:hint="default"/>
      </w:rPr>
    </w:lvl>
    <w:lvl w:ilvl="5" w:tplc="C304F0F8" w:tentative="1">
      <w:start w:val="1"/>
      <w:numFmt w:val="bullet"/>
      <w:lvlText w:val=""/>
      <w:lvlJc w:val="left"/>
      <w:pPr>
        <w:tabs>
          <w:tab w:val="num" w:pos="4320"/>
        </w:tabs>
        <w:ind w:left="4320" w:hanging="360"/>
      </w:pPr>
      <w:rPr>
        <w:rFonts w:ascii="Wingdings" w:hAnsi="Wingdings" w:hint="default"/>
      </w:rPr>
    </w:lvl>
    <w:lvl w:ilvl="6" w:tplc="1E7035EC" w:tentative="1">
      <w:start w:val="1"/>
      <w:numFmt w:val="bullet"/>
      <w:lvlText w:val=""/>
      <w:lvlJc w:val="left"/>
      <w:pPr>
        <w:tabs>
          <w:tab w:val="num" w:pos="5040"/>
        </w:tabs>
        <w:ind w:left="5040" w:hanging="360"/>
      </w:pPr>
      <w:rPr>
        <w:rFonts w:ascii="Symbol" w:hAnsi="Symbol" w:hint="default"/>
      </w:rPr>
    </w:lvl>
    <w:lvl w:ilvl="7" w:tplc="1EF05ED0" w:tentative="1">
      <w:start w:val="1"/>
      <w:numFmt w:val="bullet"/>
      <w:lvlText w:val="o"/>
      <w:lvlJc w:val="left"/>
      <w:pPr>
        <w:tabs>
          <w:tab w:val="num" w:pos="5760"/>
        </w:tabs>
        <w:ind w:left="5760" w:hanging="360"/>
      </w:pPr>
      <w:rPr>
        <w:rFonts w:ascii="Courier New" w:hAnsi="Courier New" w:hint="default"/>
      </w:rPr>
    </w:lvl>
    <w:lvl w:ilvl="8" w:tplc="D25462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967234"/>
    <w:multiLevelType w:val="hybridMultilevel"/>
    <w:tmpl w:val="C818F958"/>
    <w:lvl w:ilvl="0" w:tplc="E83289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C7205DD"/>
    <w:multiLevelType w:val="hybridMultilevel"/>
    <w:tmpl w:val="4FB075CE"/>
    <w:lvl w:ilvl="0" w:tplc="F3349DF6">
      <w:start w:val="58"/>
      <w:numFmt w:val="bullet"/>
      <w:lvlText w:val="-"/>
      <w:lvlJc w:val="left"/>
      <w:pPr>
        <w:ind w:left="1440" w:hanging="360"/>
      </w:pPr>
      <w:rPr>
        <w:rFonts w:ascii="Times New Roman" w:eastAsia="Calibri" w:hAnsi="Times New Roman" w:cs="Times New Roman" w:hint="default"/>
        <w:sz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7E45621C"/>
    <w:multiLevelType w:val="hybridMultilevel"/>
    <w:tmpl w:val="80CCB680"/>
    <w:lvl w:ilvl="0" w:tplc="D19E12AA">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1"/>
  </w:num>
  <w:num w:numId="4">
    <w:abstractNumId w:val="12"/>
  </w:num>
  <w:num w:numId="5">
    <w:abstractNumId w:val="23"/>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4"/>
  </w:num>
  <w:num w:numId="18">
    <w:abstractNumId w:val="14"/>
  </w:num>
  <w:num w:numId="19">
    <w:abstractNumId w:val="27"/>
  </w:num>
  <w:num w:numId="20">
    <w:abstractNumId w:val="0"/>
  </w:num>
  <w:num w:numId="21">
    <w:abstractNumId w:val="22"/>
  </w:num>
  <w:num w:numId="22">
    <w:abstractNumId w:val="18"/>
  </w:num>
  <w:num w:numId="23">
    <w:abstractNumId w:val="20"/>
  </w:num>
  <w:num w:numId="24">
    <w:abstractNumId w:val="2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13"/>
  </w:num>
  <w:num w:numId="29">
    <w:abstractNumId w:val="11"/>
  </w:num>
  <w:num w:numId="30">
    <w:abstractNumId w:val="19"/>
  </w:num>
  <w:num w:numId="3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37FF"/>
    <w:rsid w:val="00005225"/>
    <w:rsid w:val="0000526D"/>
    <w:rsid w:val="000107AA"/>
    <w:rsid w:val="00013BE7"/>
    <w:rsid w:val="00013E8C"/>
    <w:rsid w:val="00016888"/>
    <w:rsid w:val="0002126B"/>
    <w:rsid w:val="000223B0"/>
    <w:rsid w:val="00023FD1"/>
    <w:rsid w:val="00025584"/>
    <w:rsid w:val="0002751B"/>
    <w:rsid w:val="0003156D"/>
    <w:rsid w:val="00033EE1"/>
    <w:rsid w:val="00034532"/>
    <w:rsid w:val="0003605A"/>
    <w:rsid w:val="00042B72"/>
    <w:rsid w:val="00043E6F"/>
    <w:rsid w:val="000501C2"/>
    <w:rsid w:val="00051263"/>
    <w:rsid w:val="00053EA6"/>
    <w:rsid w:val="00055804"/>
    <w:rsid w:val="000558BD"/>
    <w:rsid w:val="000567CF"/>
    <w:rsid w:val="00057B53"/>
    <w:rsid w:val="00057FE1"/>
    <w:rsid w:val="000627A5"/>
    <w:rsid w:val="00063C51"/>
    <w:rsid w:val="000642BF"/>
    <w:rsid w:val="00064FEC"/>
    <w:rsid w:val="000654BB"/>
    <w:rsid w:val="00067737"/>
    <w:rsid w:val="00067B36"/>
    <w:rsid w:val="00070C0C"/>
    <w:rsid w:val="000718A5"/>
    <w:rsid w:val="00071B38"/>
    <w:rsid w:val="00075474"/>
    <w:rsid w:val="000762FD"/>
    <w:rsid w:val="0007664E"/>
    <w:rsid w:val="00076DAF"/>
    <w:rsid w:val="00081C1D"/>
    <w:rsid w:val="0008316B"/>
    <w:rsid w:val="00083763"/>
    <w:rsid w:val="00086B85"/>
    <w:rsid w:val="00091CF4"/>
    <w:rsid w:val="0009250D"/>
    <w:rsid w:val="00096534"/>
    <w:rsid w:val="00097ED1"/>
    <w:rsid w:val="000A099F"/>
    <w:rsid w:val="000A111A"/>
    <w:rsid w:val="000A42CE"/>
    <w:rsid w:val="000B05FC"/>
    <w:rsid w:val="000B08CC"/>
    <w:rsid w:val="000B0B1E"/>
    <w:rsid w:val="000B4102"/>
    <w:rsid w:val="000B57E7"/>
    <w:rsid w:val="000B6373"/>
    <w:rsid w:val="000C0EFF"/>
    <w:rsid w:val="000C25D5"/>
    <w:rsid w:val="000C5FF9"/>
    <w:rsid w:val="000D3664"/>
    <w:rsid w:val="000D7395"/>
    <w:rsid w:val="000E010F"/>
    <w:rsid w:val="000E11A7"/>
    <w:rsid w:val="000E22B2"/>
    <w:rsid w:val="000E2550"/>
    <w:rsid w:val="000E2D60"/>
    <w:rsid w:val="000E3389"/>
    <w:rsid w:val="000E5843"/>
    <w:rsid w:val="000E758A"/>
    <w:rsid w:val="000F09DF"/>
    <w:rsid w:val="000F1EE8"/>
    <w:rsid w:val="000F3CA1"/>
    <w:rsid w:val="000F5196"/>
    <w:rsid w:val="000F61B2"/>
    <w:rsid w:val="000F68CE"/>
    <w:rsid w:val="001010D0"/>
    <w:rsid w:val="00105503"/>
    <w:rsid w:val="001058E5"/>
    <w:rsid w:val="001075E9"/>
    <w:rsid w:val="00111DBC"/>
    <w:rsid w:val="00113C75"/>
    <w:rsid w:val="00117018"/>
    <w:rsid w:val="00117132"/>
    <w:rsid w:val="001200B8"/>
    <w:rsid w:val="00121B2E"/>
    <w:rsid w:val="00122177"/>
    <w:rsid w:val="0012277C"/>
    <w:rsid w:val="001231EF"/>
    <w:rsid w:val="001411A7"/>
    <w:rsid w:val="00141A30"/>
    <w:rsid w:val="00146CF1"/>
    <w:rsid w:val="00146DD4"/>
    <w:rsid w:val="00155034"/>
    <w:rsid w:val="001568EA"/>
    <w:rsid w:val="001646DF"/>
    <w:rsid w:val="0017147B"/>
    <w:rsid w:val="00171C06"/>
    <w:rsid w:val="00173970"/>
    <w:rsid w:val="00175839"/>
    <w:rsid w:val="00180183"/>
    <w:rsid w:val="0018024D"/>
    <w:rsid w:val="0018649F"/>
    <w:rsid w:val="00186E45"/>
    <w:rsid w:val="00191E42"/>
    <w:rsid w:val="00196389"/>
    <w:rsid w:val="00196F99"/>
    <w:rsid w:val="001A14C0"/>
    <w:rsid w:val="001A17B2"/>
    <w:rsid w:val="001A42FC"/>
    <w:rsid w:val="001A4396"/>
    <w:rsid w:val="001A4D54"/>
    <w:rsid w:val="001A65F1"/>
    <w:rsid w:val="001A7569"/>
    <w:rsid w:val="001B0E67"/>
    <w:rsid w:val="001B1296"/>
    <w:rsid w:val="001B3391"/>
    <w:rsid w:val="001B3EF6"/>
    <w:rsid w:val="001B4891"/>
    <w:rsid w:val="001B490C"/>
    <w:rsid w:val="001C3E09"/>
    <w:rsid w:val="001C43D9"/>
    <w:rsid w:val="001C7418"/>
    <w:rsid w:val="001C7A89"/>
    <w:rsid w:val="001D137F"/>
    <w:rsid w:val="001D38B2"/>
    <w:rsid w:val="001D3999"/>
    <w:rsid w:val="001E3E4C"/>
    <w:rsid w:val="001F1FFD"/>
    <w:rsid w:val="001F3FDF"/>
    <w:rsid w:val="001F5C20"/>
    <w:rsid w:val="00203010"/>
    <w:rsid w:val="00203D25"/>
    <w:rsid w:val="00205578"/>
    <w:rsid w:val="002055A8"/>
    <w:rsid w:val="00206CEA"/>
    <w:rsid w:val="00210145"/>
    <w:rsid w:val="00210309"/>
    <w:rsid w:val="002123E9"/>
    <w:rsid w:val="00212B0E"/>
    <w:rsid w:val="00215199"/>
    <w:rsid w:val="0021724D"/>
    <w:rsid w:val="00217B38"/>
    <w:rsid w:val="002238D7"/>
    <w:rsid w:val="00230B35"/>
    <w:rsid w:val="00233165"/>
    <w:rsid w:val="002344FA"/>
    <w:rsid w:val="00234523"/>
    <w:rsid w:val="0023645B"/>
    <w:rsid w:val="00237A1A"/>
    <w:rsid w:val="00240ACC"/>
    <w:rsid w:val="00242570"/>
    <w:rsid w:val="002442FE"/>
    <w:rsid w:val="00244F21"/>
    <w:rsid w:val="002554D1"/>
    <w:rsid w:val="00263AA3"/>
    <w:rsid w:val="00263B0B"/>
    <w:rsid w:val="00264C41"/>
    <w:rsid w:val="00265528"/>
    <w:rsid w:val="002656FE"/>
    <w:rsid w:val="0026684B"/>
    <w:rsid w:val="00267A7C"/>
    <w:rsid w:val="00271DB8"/>
    <w:rsid w:val="00272C44"/>
    <w:rsid w:val="002732DF"/>
    <w:rsid w:val="002757B0"/>
    <w:rsid w:val="002813A8"/>
    <w:rsid w:val="002823E8"/>
    <w:rsid w:val="002847C3"/>
    <w:rsid w:val="00287987"/>
    <w:rsid w:val="00295BA6"/>
    <w:rsid w:val="002A02C6"/>
    <w:rsid w:val="002A03CF"/>
    <w:rsid w:val="002A1540"/>
    <w:rsid w:val="002A2EFC"/>
    <w:rsid w:val="002B0DC5"/>
    <w:rsid w:val="002B3677"/>
    <w:rsid w:val="002B4D2B"/>
    <w:rsid w:val="002C0E18"/>
    <w:rsid w:val="002C0F41"/>
    <w:rsid w:val="002C1089"/>
    <w:rsid w:val="002C1BE7"/>
    <w:rsid w:val="002C3864"/>
    <w:rsid w:val="002D4172"/>
    <w:rsid w:val="002D44B0"/>
    <w:rsid w:val="002D5907"/>
    <w:rsid w:val="002D5AAC"/>
    <w:rsid w:val="002D7815"/>
    <w:rsid w:val="002E047B"/>
    <w:rsid w:val="002E1A8E"/>
    <w:rsid w:val="002E3E88"/>
    <w:rsid w:val="002E515B"/>
    <w:rsid w:val="002E71D5"/>
    <w:rsid w:val="002F06A2"/>
    <w:rsid w:val="002F405F"/>
    <w:rsid w:val="0030114B"/>
    <w:rsid w:val="00301299"/>
    <w:rsid w:val="003013D8"/>
    <w:rsid w:val="00302B8D"/>
    <w:rsid w:val="0030743E"/>
    <w:rsid w:val="00307FB6"/>
    <w:rsid w:val="003104D2"/>
    <w:rsid w:val="00310841"/>
    <w:rsid w:val="00310C24"/>
    <w:rsid w:val="00310DF6"/>
    <w:rsid w:val="00313503"/>
    <w:rsid w:val="0031583F"/>
    <w:rsid w:val="00317339"/>
    <w:rsid w:val="00320587"/>
    <w:rsid w:val="00320C07"/>
    <w:rsid w:val="00322004"/>
    <w:rsid w:val="00332676"/>
    <w:rsid w:val="003402C2"/>
    <w:rsid w:val="00340E85"/>
    <w:rsid w:val="00345078"/>
    <w:rsid w:val="00357896"/>
    <w:rsid w:val="00365AAA"/>
    <w:rsid w:val="003666EA"/>
    <w:rsid w:val="00372E72"/>
    <w:rsid w:val="0037436A"/>
    <w:rsid w:val="003756B3"/>
    <w:rsid w:val="00375E10"/>
    <w:rsid w:val="00376E4E"/>
    <w:rsid w:val="00381C24"/>
    <w:rsid w:val="003824EF"/>
    <w:rsid w:val="00382C3C"/>
    <w:rsid w:val="0038308F"/>
    <w:rsid w:val="0038692A"/>
    <w:rsid w:val="00391C7F"/>
    <w:rsid w:val="003949DE"/>
    <w:rsid w:val="003958D0"/>
    <w:rsid w:val="00396D66"/>
    <w:rsid w:val="0039722A"/>
    <w:rsid w:val="003A04FD"/>
    <w:rsid w:val="003A30FF"/>
    <w:rsid w:val="003A3CE4"/>
    <w:rsid w:val="003A4B03"/>
    <w:rsid w:val="003B00E5"/>
    <w:rsid w:val="003B2707"/>
    <w:rsid w:val="003B56FD"/>
    <w:rsid w:val="003C10CD"/>
    <w:rsid w:val="003C5662"/>
    <w:rsid w:val="003C56D5"/>
    <w:rsid w:val="003C5939"/>
    <w:rsid w:val="003C5997"/>
    <w:rsid w:val="003D101E"/>
    <w:rsid w:val="003D2E9B"/>
    <w:rsid w:val="003D3526"/>
    <w:rsid w:val="003D40E7"/>
    <w:rsid w:val="003D42CD"/>
    <w:rsid w:val="003D48D1"/>
    <w:rsid w:val="003E0332"/>
    <w:rsid w:val="003E1960"/>
    <w:rsid w:val="003E47CC"/>
    <w:rsid w:val="003E7276"/>
    <w:rsid w:val="003F031A"/>
    <w:rsid w:val="003F0D63"/>
    <w:rsid w:val="003F43D1"/>
    <w:rsid w:val="003F5E2C"/>
    <w:rsid w:val="003F6FF0"/>
    <w:rsid w:val="004032AA"/>
    <w:rsid w:val="00405518"/>
    <w:rsid w:val="00405A04"/>
    <w:rsid w:val="0040730E"/>
    <w:rsid w:val="00407B78"/>
    <w:rsid w:val="00411057"/>
    <w:rsid w:val="00412A31"/>
    <w:rsid w:val="0041326B"/>
    <w:rsid w:val="00414368"/>
    <w:rsid w:val="00415014"/>
    <w:rsid w:val="00415415"/>
    <w:rsid w:val="004166F5"/>
    <w:rsid w:val="004175AC"/>
    <w:rsid w:val="004175C4"/>
    <w:rsid w:val="00424203"/>
    <w:rsid w:val="004273FF"/>
    <w:rsid w:val="00433453"/>
    <w:rsid w:val="00441EDC"/>
    <w:rsid w:val="00444893"/>
    <w:rsid w:val="004452DE"/>
    <w:rsid w:val="00450B0F"/>
    <w:rsid w:val="00453E68"/>
    <w:rsid w:val="00453FF1"/>
    <w:rsid w:val="00454E07"/>
    <w:rsid w:val="00455441"/>
    <w:rsid w:val="00457EC2"/>
    <w:rsid w:val="00457ED8"/>
    <w:rsid w:val="00461E54"/>
    <w:rsid w:val="00462E92"/>
    <w:rsid w:val="0046308B"/>
    <w:rsid w:val="00463BB7"/>
    <w:rsid w:val="00464E10"/>
    <w:rsid w:val="0046578A"/>
    <w:rsid w:val="004679BE"/>
    <w:rsid w:val="00471113"/>
    <w:rsid w:val="004772C5"/>
    <w:rsid w:val="00477C94"/>
    <w:rsid w:val="00480465"/>
    <w:rsid w:val="004830AB"/>
    <w:rsid w:val="00483811"/>
    <w:rsid w:val="004840D1"/>
    <w:rsid w:val="00490CA7"/>
    <w:rsid w:val="004935D6"/>
    <w:rsid w:val="00494DE8"/>
    <w:rsid w:val="0049544F"/>
    <w:rsid w:val="00495B79"/>
    <w:rsid w:val="00496844"/>
    <w:rsid w:val="004A4CCC"/>
    <w:rsid w:val="004A77D3"/>
    <w:rsid w:val="004B05CE"/>
    <w:rsid w:val="004B2A0A"/>
    <w:rsid w:val="004B2ABF"/>
    <w:rsid w:val="004B3C55"/>
    <w:rsid w:val="004B3E3F"/>
    <w:rsid w:val="004B6CC2"/>
    <w:rsid w:val="004B70C7"/>
    <w:rsid w:val="004C0C17"/>
    <w:rsid w:val="004C1440"/>
    <w:rsid w:val="004C742B"/>
    <w:rsid w:val="004D12BA"/>
    <w:rsid w:val="004D1828"/>
    <w:rsid w:val="004D23D7"/>
    <w:rsid w:val="004D486E"/>
    <w:rsid w:val="004D602F"/>
    <w:rsid w:val="004D66C4"/>
    <w:rsid w:val="004E493B"/>
    <w:rsid w:val="004F5865"/>
    <w:rsid w:val="0050108D"/>
    <w:rsid w:val="00501985"/>
    <w:rsid w:val="00502E23"/>
    <w:rsid w:val="00502F85"/>
    <w:rsid w:val="00503DFA"/>
    <w:rsid w:val="0050682E"/>
    <w:rsid w:val="00511091"/>
    <w:rsid w:val="00513081"/>
    <w:rsid w:val="005172CB"/>
    <w:rsid w:val="00517901"/>
    <w:rsid w:val="00517A9F"/>
    <w:rsid w:val="00517F4C"/>
    <w:rsid w:val="005200B5"/>
    <w:rsid w:val="005209D7"/>
    <w:rsid w:val="00520EEA"/>
    <w:rsid w:val="005211A5"/>
    <w:rsid w:val="00521DC1"/>
    <w:rsid w:val="00526683"/>
    <w:rsid w:val="0053023A"/>
    <w:rsid w:val="00532102"/>
    <w:rsid w:val="00540463"/>
    <w:rsid w:val="00541FE6"/>
    <w:rsid w:val="00542D04"/>
    <w:rsid w:val="00552330"/>
    <w:rsid w:val="005553ED"/>
    <w:rsid w:val="005556D0"/>
    <w:rsid w:val="00557907"/>
    <w:rsid w:val="0056166B"/>
    <w:rsid w:val="005632B1"/>
    <w:rsid w:val="00564B42"/>
    <w:rsid w:val="00567618"/>
    <w:rsid w:val="005709E0"/>
    <w:rsid w:val="00572A62"/>
    <w:rsid w:val="00572E19"/>
    <w:rsid w:val="005737C1"/>
    <w:rsid w:val="005748D2"/>
    <w:rsid w:val="0057564A"/>
    <w:rsid w:val="0057671E"/>
    <w:rsid w:val="00576B90"/>
    <w:rsid w:val="00580EA6"/>
    <w:rsid w:val="005848B2"/>
    <w:rsid w:val="00585214"/>
    <w:rsid w:val="0059014F"/>
    <w:rsid w:val="00590239"/>
    <w:rsid w:val="00593271"/>
    <w:rsid w:val="00595429"/>
    <w:rsid w:val="005961C8"/>
    <w:rsid w:val="00597ECF"/>
    <w:rsid w:val="005A09ED"/>
    <w:rsid w:val="005A1087"/>
    <w:rsid w:val="005A16F5"/>
    <w:rsid w:val="005A2043"/>
    <w:rsid w:val="005B1EA1"/>
    <w:rsid w:val="005B25E0"/>
    <w:rsid w:val="005B43F5"/>
    <w:rsid w:val="005B4EC0"/>
    <w:rsid w:val="005B6BDD"/>
    <w:rsid w:val="005B7AEA"/>
    <w:rsid w:val="005C0CD3"/>
    <w:rsid w:val="005C1F63"/>
    <w:rsid w:val="005C2610"/>
    <w:rsid w:val="005C503D"/>
    <w:rsid w:val="005D2E35"/>
    <w:rsid w:val="005D3F47"/>
    <w:rsid w:val="005D4875"/>
    <w:rsid w:val="005D64AB"/>
    <w:rsid w:val="005D703F"/>
    <w:rsid w:val="005D715A"/>
    <w:rsid w:val="005D7914"/>
    <w:rsid w:val="005E1468"/>
    <w:rsid w:val="005E3B91"/>
    <w:rsid w:val="005E3E0F"/>
    <w:rsid w:val="005F0B42"/>
    <w:rsid w:val="005F0E4C"/>
    <w:rsid w:val="005F1233"/>
    <w:rsid w:val="005F2825"/>
    <w:rsid w:val="005F47CA"/>
    <w:rsid w:val="0060217F"/>
    <w:rsid w:val="00602BC9"/>
    <w:rsid w:val="00604687"/>
    <w:rsid w:val="00605886"/>
    <w:rsid w:val="00605B45"/>
    <w:rsid w:val="00605D0E"/>
    <w:rsid w:val="0061179F"/>
    <w:rsid w:val="00613EED"/>
    <w:rsid w:val="0061466A"/>
    <w:rsid w:val="00615628"/>
    <w:rsid w:val="006218F4"/>
    <w:rsid w:val="00621949"/>
    <w:rsid w:val="00621A43"/>
    <w:rsid w:val="00622392"/>
    <w:rsid w:val="0062406A"/>
    <w:rsid w:val="006243E2"/>
    <w:rsid w:val="00624B16"/>
    <w:rsid w:val="00625D1B"/>
    <w:rsid w:val="00640559"/>
    <w:rsid w:val="00641207"/>
    <w:rsid w:val="00642432"/>
    <w:rsid w:val="0064502B"/>
    <w:rsid w:val="00647E6F"/>
    <w:rsid w:val="006521A8"/>
    <w:rsid w:val="00652221"/>
    <w:rsid w:val="00652F29"/>
    <w:rsid w:val="0065465E"/>
    <w:rsid w:val="006551F6"/>
    <w:rsid w:val="006560D9"/>
    <w:rsid w:val="00656D8D"/>
    <w:rsid w:val="00657949"/>
    <w:rsid w:val="00657ADF"/>
    <w:rsid w:val="0066039F"/>
    <w:rsid w:val="00663399"/>
    <w:rsid w:val="00664C4C"/>
    <w:rsid w:val="00670737"/>
    <w:rsid w:val="00672B52"/>
    <w:rsid w:val="006731CC"/>
    <w:rsid w:val="00681A10"/>
    <w:rsid w:val="00683C1E"/>
    <w:rsid w:val="0068416A"/>
    <w:rsid w:val="0069737B"/>
    <w:rsid w:val="006976E2"/>
    <w:rsid w:val="006A1A8E"/>
    <w:rsid w:val="006A3294"/>
    <w:rsid w:val="006A3A01"/>
    <w:rsid w:val="006A5D09"/>
    <w:rsid w:val="006B1A60"/>
    <w:rsid w:val="006B344E"/>
    <w:rsid w:val="006B3536"/>
    <w:rsid w:val="006B6893"/>
    <w:rsid w:val="006C13ED"/>
    <w:rsid w:val="006C2031"/>
    <w:rsid w:val="006C2064"/>
    <w:rsid w:val="006C36BE"/>
    <w:rsid w:val="006C5ACA"/>
    <w:rsid w:val="006C5AF1"/>
    <w:rsid w:val="006C5E35"/>
    <w:rsid w:val="006C6428"/>
    <w:rsid w:val="006D0909"/>
    <w:rsid w:val="006D2FE1"/>
    <w:rsid w:val="006D317E"/>
    <w:rsid w:val="006D461A"/>
    <w:rsid w:val="006D5BCF"/>
    <w:rsid w:val="006E1C8B"/>
    <w:rsid w:val="006E22C0"/>
    <w:rsid w:val="006E4F3B"/>
    <w:rsid w:val="006F0F22"/>
    <w:rsid w:val="006F35EE"/>
    <w:rsid w:val="0070001D"/>
    <w:rsid w:val="007021FF"/>
    <w:rsid w:val="007053F0"/>
    <w:rsid w:val="00712895"/>
    <w:rsid w:val="00715CB7"/>
    <w:rsid w:val="00716358"/>
    <w:rsid w:val="007175B3"/>
    <w:rsid w:val="00722502"/>
    <w:rsid w:val="00722CA2"/>
    <w:rsid w:val="00726F04"/>
    <w:rsid w:val="00730EF4"/>
    <w:rsid w:val="00731714"/>
    <w:rsid w:val="00731E04"/>
    <w:rsid w:val="00736BA2"/>
    <w:rsid w:val="00736D5A"/>
    <w:rsid w:val="0073766C"/>
    <w:rsid w:val="00745D98"/>
    <w:rsid w:val="0074749B"/>
    <w:rsid w:val="00750571"/>
    <w:rsid w:val="00753991"/>
    <w:rsid w:val="00754B77"/>
    <w:rsid w:val="0075655D"/>
    <w:rsid w:val="0075728C"/>
    <w:rsid w:val="00757357"/>
    <w:rsid w:val="007642C1"/>
    <w:rsid w:val="007642C2"/>
    <w:rsid w:val="00766EC5"/>
    <w:rsid w:val="007670B2"/>
    <w:rsid w:val="00767F0D"/>
    <w:rsid w:val="00777094"/>
    <w:rsid w:val="007839B1"/>
    <w:rsid w:val="007853D2"/>
    <w:rsid w:val="007921E4"/>
    <w:rsid w:val="00794179"/>
    <w:rsid w:val="0079532E"/>
    <w:rsid w:val="00796A97"/>
    <w:rsid w:val="007A40FB"/>
    <w:rsid w:val="007A5059"/>
    <w:rsid w:val="007A5347"/>
    <w:rsid w:val="007A5697"/>
    <w:rsid w:val="007B48CC"/>
    <w:rsid w:val="007B6DEF"/>
    <w:rsid w:val="007B736B"/>
    <w:rsid w:val="007C333F"/>
    <w:rsid w:val="007C7CE4"/>
    <w:rsid w:val="007D1821"/>
    <w:rsid w:val="007D1D7C"/>
    <w:rsid w:val="007D2EB3"/>
    <w:rsid w:val="007D6E38"/>
    <w:rsid w:val="007E072F"/>
    <w:rsid w:val="007E081F"/>
    <w:rsid w:val="007E08B2"/>
    <w:rsid w:val="007E2C6D"/>
    <w:rsid w:val="007E4F21"/>
    <w:rsid w:val="007E5D93"/>
    <w:rsid w:val="007E6D2D"/>
    <w:rsid w:val="007E6F33"/>
    <w:rsid w:val="007E6FFF"/>
    <w:rsid w:val="007E7FB5"/>
    <w:rsid w:val="007F098C"/>
    <w:rsid w:val="007F32FB"/>
    <w:rsid w:val="007F3A09"/>
    <w:rsid w:val="007F4E7D"/>
    <w:rsid w:val="0080006D"/>
    <w:rsid w:val="0080155F"/>
    <w:rsid w:val="00803A0B"/>
    <w:rsid w:val="00805D1C"/>
    <w:rsid w:val="00807216"/>
    <w:rsid w:val="00810A87"/>
    <w:rsid w:val="008137B8"/>
    <w:rsid w:val="00814A98"/>
    <w:rsid w:val="008201E1"/>
    <w:rsid w:val="0082164F"/>
    <w:rsid w:val="00822252"/>
    <w:rsid w:val="00825F8D"/>
    <w:rsid w:val="00827D77"/>
    <w:rsid w:val="008305CD"/>
    <w:rsid w:val="00831F75"/>
    <w:rsid w:val="00834B71"/>
    <w:rsid w:val="00835077"/>
    <w:rsid w:val="00836BC2"/>
    <w:rsid w:val="00836CBF"/>
    <w:rsid w:val="00836D0E"/>
    <w:rsid w:val="00841CBA"/>
    <w:rsid w:val="008469E6"/>
    <w:rsid w:val="00846DEF"/>
    <w:rsid w:val="00850EBA"/>
    <w:rsid w:val="00854813"/>
    <w:rsid w:val="008575DD"/>
    <w:rsid w:val="008576D2"/>
    <w:rsid w:val="00860B96"/>
    <w:rsid w:val="0086445C"/>
    <w:rsid w:val="00864D5C"/>
    <w:rsid w:val="00865668"/>
    <w:rsid w:val="0086686D"/>
    <w:rsid w:val="00867F6D"/>
    <w:rsid w:val="00871240"/>
    <w:rsid w:val="00875CF5"/>
    <w:rsid w:val="008762AD"/>
    <w:rsid w:val="00886907"/>
    <w:rsid w:val="00887AFA"/>
    <w:rsid w:val="008926AA"/>
    <w:rsid w:val="00892EBB"/>
    <w:rsid w:val="00894693"/>
    <w:rsid w:val="00894D5C"/>
    <w:rsid w:val="00897E35"/>
    <w:rsid w:val="008A08D7"/>
    <w:rsid w:val="008A1A57"/>
    <w:rsid w:val="008B6909"/>
    <w:rsid w:val="008B7D68"/>
    <w:rsid w:val="008C0DE1"/>
    <w:rsid w:val="008C218E"/>
    <w:rsid w:val="008C5E16"/>
    <w:rsid w:val="008C60B2"/>
    <w:rsid w:val="008C61B4"/>
    <w:rsid w:val="008D5A7C"/>
    <w:rsid w:val="008D5AC8"/>
    <w:rsid w:val="008D6027"/>
    <w:rsid w:val="008E094C"/>
    <w:rsid w:val="008E47A6"/>
    <w:rsid w:val="008F1C08"/>
    <w:rsid w:val="008F5F1B"/>
    <w:rsid w:val="0090050D"/>
    <w:rsid w:val="0090357B"/>
    <w:rsid w:val="00906890"/>
    <w:rsid w:val="00906CD8"/>
    <w:rsid w:val="0091046D"/>
    <w:rsid w:val="00911AC9"/>
    <w:rsid w:val="00911BE4"/>
    <w:rsid w:val="009149EE"/>
    <w:rsid w:val="0091746F"/>
    <w:rsid w:val="0092072F"/>
    <w:rsid w:val="0092103A"/>
    <w:rsid w:val="00921760"/>
    <w:rsid w:val="00921C74"/>
    <w:rsid w:val="009221F0"/>
    <w:rsid w:val="009259D6"/>
    <w:rsid w:val="00931AAD"/>
    <w:rsid w:val="0093315B"/>
    <w:rsid w:val="00935A0B"/>
    <w:rsid w:val="00936BBC"/>
    <w:rsid w:val="009431D2"/>
    <w:rsid w:val="009434FF"/>
    <w:rsid w:val="00951972"/>
    <w:rsid w:val="00951B73"/>
    <w:rsid w:val="00953B31"/>
    <w:rsid w:val="0095700D"/>
    <w:rsid w:val="00960891"/>
    <w:rsid w:val="009608F3"/>
    <w:rsid w:val="00962C8B"/>
    <w:rsid w:val="0097482D"/>
    <w:rsid w:val="00976016"/>
    <w:rsid w:val="00980D7E"/>
    <w:rsid w:val="00981CD3"/>
    <w:rsid w:val="00981E9A"/>
    <w:rsid w:val="009874BF"/>
    <w:rsid w:val="0099213E"/>
    <w:rsid w:val="00993597"/>
    <w:rsid w:val="009964E3"/>
    <w:rsid w:val="009A2A02"/>
    <w:rsid w:val="009A2E1A"/>
    <w:rsid w:val="009A496E"/>
    <w:rsid w:val="009A6A81"/>
    <w:rsid w:val="009B07B4"/>
    <w:rsid w:val="009B22D9"/>
    <w:rsid w:val="009C2145"/>
    <w:rsid w:val="009C4202"/>
    <w:rsid w:val="009C73FF"/>
    <w:rsid w:val="009D0385"/>
    <w:rsid w:val="009D0F42"/>
    <w:rsid w:val="009D51B7"/>
    <w:rsid w:val="009E0412"/>
    <w:rsid w:val="009E2926"/>
    <w:rsid w:val="009E4AE7"/>
    <w:rsid w:val="009E6659"/>
    <w:rsid w:val="009F7C78"/>
    <w:rsid w:val="00A00AE9"/>
    <w:rsid w:val="00A040B5"/>
    <w:rsid w:val="00A13426"/>
    <w:rsid w:val="00A13D29"/>
    <w:rsid w:val="00A14942"/>
    <w:rsid w:val="00A151B5"/>
    <w:rsid w:val="00A17960"/>
    <w:rsid w:val="00A216E8"/>
    <w:rsid w:val="00A236F3"/>
    <w:rsid w:val="00A23BFB"/>
    <w:rsid w:val="00A32382"/>
    <w:rsid w:val="00A327BF"/>
    <w:rsid w:val="00A32D64"/>
    <w:rsid w:val="00A33BDC"/>
    <w:rsid w:val="00A3469C"/>
    <w:rsid w:val="00A43C5F"/>
    <w:rsid w:val="00A44B2D"/>
    <w:rsid w:val="00A4516D"/>
    <w:rsid w:val="00A45DA6"/>
    <w:rsid w:val="00A465D3"/>
    <w:rsid w:val="00A51D28"/>
    <w:rsid w:val="00A523E5"/>
    <w:rsid w:val="00A559DF"/>
    <w:rsid w:val="00A574D9"/>
    <w:rsid w:val="00A57C0A"/>
    <w:rsid w:val="00A57CC3"/>
    <w:rsid w:val="00A6051C"/>
    <w:rsid w:val="00A6249B"/>
    <w:rsid w:val="00A62BB1"/>
    <w:rsid w:val="00A70197"/>
    <w:rsid w:val="00A711FB"/>
    <w:rsid w:val="00A72324"/>
    <w:rsid w:val="00A7282C"/>
    <w:rsid w:val="00A7292E"/>
    <w:rsid w:val="00A75654"/>
    <w:rsid w:val="00A7570B"/>
    <w:rsid w:val="00A77059"/>
    <w:rsid w:val="00A808C8"/>
    <w:rsid w:val="00A80A3B"/>
    <w:rsid w:val="00A81E70"/>
    <w:rsid w:val="00A82B5C"/>
    <w:rsid w:val="00A833A1"/>
    <w:rsid w:val="00A84021"/>
    <w:rsid w:val="00A86F80"/>
    <w:rsid w:val="00A90C2B"/>
    <w:rsid w:val="00A917B3"/>
    <w:rsid w:val="00A91840"/>
    <w:rsid w:val="00A92B9D"/>
    <w:rsid w:val="00A94AFF"/>
    <w:rsid w:val="00AA1E17"/>
    <w:rsid w:val="00AA4B5D"/>
    <w:rsid w:val="00AA4DAC"/>
    <w:rsid w:val="00AA7950"/>
    <w:rsid w:val="00AB4B51"/>
    <w:rsid w:val="00AC0A0A"/>
    <w:rsid w:val="00AC18F9"/>
    <w:rsid w:val="00AC32BF"/>
    <w:rsid w:val="00AC41C9"/>
    <w:rsid w:val="00AC4DDC"/>
    <w:rsid w:val="00AD1F69"/>
    <w:rsid w:val="00AD385C"/>
    <w:rsid w:val="00AD61F4"/>
    <w:rsid w:val="00AD6844"/>
    <w:rsid w:val="00AE2A6D"/>
    <w:rsid w:val="00AE34FA"/>
    <w:rsid w:val="00AE49EA"/>
    <w:rsid w:val="00AE5F3B"/>
    <w:rsid w:val="00AE709D"/>
    <w:rsid w:val="00AE7617"/>
    <w:rsid w:val="00AE78E5"/>
    <w:rsid w:val="00AF18EF"/>
    <w:rsid w:val="00AF5814"/>
    <w:rsid w:val="00AF6071"/>
    <w:rsid w:val="00AF7C81"/>
    <w:rsid w:val="00B007EC"/>
    <w:rsid w:val="00B042F9"/>
    <w:rsid w:val="00B07129"/>
    <w:rsid w:val="00B07B3D"/>
    <w:rsid w:val="00B10CC7"/>
    <w:rsid w:val="00B169D3"/>
    <w:rsid w:val="00B16D4A"/>
    <w:rsid w:val="00B1726E"/>
    <w:rsid w:val="00B217DA"/>
    <w:rsid w:val="00B22FD3"/>
    <w:rsid w:val="00B234B0"/>
    <w:rsid w:val="00B31DD8"/>
    <w:rsid w:val="00B33F47"/>
    <w:rsid w:val="00B34D19"/>
    <w:rsid w:val="00B34DCC"/>
    <w:rsid w:val="00B369B7"/>
    <w:rsid w:val="00B37C94"/>
    <w:rsid w:val="00B40DB0"/>
    <w:rsid w:val="00B40EFB"/>
    <w:rsid w:val="00B46187"/>
    <w:rsid w:val="00B46A6E"/>
    <w:rsid w:val="00B51B98"/>
    <w:rsid w:val="00B539E7"/>
    <w:rsid w:val="00B539F0"/>
    <w:rsid w:val="00B547B3"/>
    <w:rsid w:val="00B54AD8"/>
    <w:rsid w:val="00B563EB"/>
    <w:rsid w:val="00B572A7"/>
    <w:rsid w:val="00B572D9"/>
    <w:rsid w:val="00B57DB5"/>
    <w:rsid w:val="00B57FE0"/>
    <w:rsid w:val="00B61C01"/>
    <w:rsid w:val="00B62458"/>
    <w:rsid w:val="00B626C9"/>
    <w:rsid w:val="00B65BFA"/>
    <w:rsid w:val="00B66D90"/>
    <w:rsid w:val="00B671AE"/>
    <w:rsid w:val="00B70598"/>
    <w:rsid w:val="00B71022"/>
    <w:rsid w:val="00B71C39"/>
    <w:rsid w:val="00B75893"/>
    <w:rsid w:val="00B75A09"/>
    <w:rsid w:val="00B76516"/>
    <w:rsid w:val="00B803D7"/>
    <w:rsid w:val="00B80A93"/>
    <w:rsid w:val="00B8365E"/>
    <w:rsid w:val="00B83A05"/>
    <w:rsid w:val="00B90526"/>
    <w:rsid w:val="00B9230A"/>
    <w:rsid w:val="00B95085"/>
    <w:rsid w:val="00B962DD"/>
    <w:rsid w:val="00BA2493"/>
    <w:rsid w:val="00BA4ABA"/>
    <w:rsid w:val="00BA5106"/>
    <w:rsid w:val="00BB061B"/>
    <w:rsid w:val="00BB25FD"/>
    <w:rsid w:val="00BB4833"/>
    <w:rsid w:val="00BC6615"/>
    <w:rsid w:val="00BD33EE"/>
    <w:rsid w:val="00BD4E19"/>
    <w:rsid w:val="00BD51A5"/>
    <w:rsid w:val="00BD67FC"/>
    <w:rsid w:val="00BD7B50"/>
    <w:rsid w:val="00BE21E8"/>
    <w:rsid w:val="00BE33DA"/>
    <w:rsid w:val="00BE7551"/>
    <w:rsid w:val="00BE76E0"/>
    <w:rsid w:val="00BE7C7D"/>
    <w:rsid w:val="00BF0B75"/>
    <w:rsid w:val="00BF186F"/>
    <w:rsid w:val="00BF2CFC"/>
    <w:rsid w:val="00BF2E5C"/>
    <w:rsid w:val="00BF4BAE"/>
    <w:rsid w:val="00BF4C1F"/>
    <w:rsid w:val="00BF5203"/>
    <w:rsid w:val="00BF61D4"/>
    <w:rsid w:val="00BF7BDB"/>
    <w:rsid w:val="00C0257D"/>
    <w:rsid w:val="00C05D62"/>
    <w:rsid w:val="00C106D6"/>
    <w:rsid w:val="00C108CD"/>
    <w:rsid w:val="00C12502"/>
    <w:rsid w:val="00C16103"/>
    <w:rsid w:val="00C175F5"/>
    <w:rsid w:val="00C20142"/>
    <w:rsid w:val="00C24BA6"/>
    <w:rsid w:val="00C26D60"/>
    <w:rsid w:val="00C307B8"/>
    <w:rsid w:val="00C3147F"/>
    <w:rsid w:val="00C31EA3"/>
    <w:rsid w:val="00C370DF"/>
    <w:rsid w:val="00C37F47"/>
    <w:rsid w:val="00C423B6"/>
    <w:rsid w:val="00C43C00"/>
    <w:rsid w:val="00C43DE6"/>
    <w:rsid w:val="00C44BA1"/>
    <w:rsid w:val="00C46AD5"/>
    <w:rsid w:val="00C601C6"/>
    <w:rsid w:val="00C60F0C"/>
    <w:rsid w:val="00C61032"/>
    <w:rsid w:val="00C626CC"/>
    <w:rsid w:val="00C72BED"/>
    <w:rsid w:val="00C75031"/>
    <w:rsid w:val="00C777F7"/>
    <w:rsid w:val="00C805C9"/>
    <w:rsid w:val="00C81342"/>
    <w:rsid w:val="00C81697"/>
    <w:rsid w:val="00C83BD2"/>
    <w:rsid w:val="00C91378"/>
    <w:rsid w:val="00C92939"/>
    <w:rsid w:val="00C94479"/>
    <w:rsid w:val="00C974BB"/>
    <w:rsid w:val="00C97800"/>
    <w:rsid w:val="00CA1679"/>
    <w:rsid w:val="00CA179E"/>
    <w:rsid w:val="00CA2896"/>
    <w:rsid w:val="00CA7EFE"/>
    <w:rsid w:val="00CB011B"/>
    <w:rsid w:val="00CB151C"/>
    <w:rsid w:val="00CB242B"/>
    <w:rsid w:val="00CB3075"/>
    <w:rsid w:val="00CB3313"/>
    <w:rsid w:val="00CB55C3"/>
    <w:rsid w:val="00CB58DC"/>
    <w:rsid w:val="00CB64C2"/>
    <w:rsid w:val="00CC0263"/>
    <w:rsid w:val="00CC457A"/>
    <w:rsid w:val="00CD0463"/>
    <w:rsid w:val="00CD3236"/>
    <w:rsid w:val="00CD409F"/>
    <w:rsid w:val="00CD5091"/>
    <w:rsid w:val="00CE0F42"/>
    <w:rsid w:val="00CE357C"/>
    <w:rsid w:val="00CE5304"/>
    <w:rsid w:val="00CE5A1A"/>
    <w:rsid w:val="00CE5DCD"/>
    <w:rsid w:val="00CF01F9"/>
    <w:rsid w:val="00CF08E5"/>
    <w:rsid w:val="00CF490A"/>
    <w:rsid w:val="00CF55F6"/>
    <w:rsid w:val="00D04407"/>
    <w:rsid w:val="00D07A38"/>
    <w:rsid w:val="00D133C8"/>
    <w:rsid w:val="00D1548B"/>
    <w:rsid w:val="00D20A32"/>
    <w:rsid w:val="00D21575"/>
    <w:rsid w:val="00D21F9D"/>
    <w:rsid w:val="00D22B51"/>
    <w:rsid w:val="00D24B81"/>
    <w:rsid w:val="00D24E26"/>
    <w:rsid w:val="00D304EA"/>
    <w:rsid w:val="00D32B08"/>
    <w:rsid w:val="00D33D63"/>
    <w:rsid w:val="00D3457D"/>
    <w:rsid w:val="00D3505B"/>
    <w:rsid w:val="00D35A78"/>
    <w:rsid w:val="00D3772C"/>
    <w:rsid w:val="00D40329"/>
    <w:rsid w:val="00D45EE2"/>
    <w:rsid w:val="00D46121"/>
    <w:rsid w:val="00D4687B"/>
    <w:rsid w:val="00D46FF5"/>
    <w:rsid w:val="00D4778E"/>
    <w:rsid w:val="00D55037"/>
    <w:rsid w:val="00D55117"/>
    <w:rsid w:val="00D62663"/>
    <w:rsid w:val="00D6331D"/>
    <w:rsid w:val="00D700C5"/>
    <w:rsid w:val="00D7028A"/>
    <w:rsid w:val="00D719CB"/>
    <w:rsid w:val="00D72410"/>
    <w:rsid w:val="00D73A70"/>
    <w:rsid w:val="00D7481B"/>
    <w:rsid w:val="00D75DBA"/>
    <w:rsid w:val="00D76D4D"/>
    <w:rsid w:val="00D771B3"/>
    <w:rsid w:val="00D7734C"/>
    <w:rsid w:val="00D807A4"/>
    <w:rsid w:val="00D82250"/>
    <w:rsid w:val="00D82740"/>
    <w:rsid w:val="00D83F6F"/>
    <w:rsid w:val="00D84AA0"/>
    <w:rsid w:val="00D90138"/>
    <w:rsid w:val="00D92CD8"/>
    <w:rsid w:val="00D96578"/>
    <w:rsid w:val="00D9753C"/>
    <w:rsid w:val="00D979BD"/>
    <w:rsid w:val="00DA24B2"/>
    <w:rsid w:val="00DB4E5B"/>
    <w:rsid w:val="00DB7180"/>
    <w:rsid w:val="00DB74D2"/>
    <w:rsid w:val="00DB7CF7"/>
    <w:rsid w:val="00DC30CD"/>
    <w:rsid w:val="00DC3A43"/>
    <w:rsid w:val="00DC3B91"/>
    <w:rsid w:val="00DC5695"/>
    <w:rsid w:val="00DC5C47"/>
    <w:rsid w:val="00DD4513"/>
    <w:rsid w:val="00DD76FB"/>
    <w:rsid w:val="00DE3D06"/>
    <w:rsid w:val="00DE3DB9"/>
    <w:rsid w:val="00DE4CF5"/>
    <w:rsid w:val="00DF2E49"/>
    <w:rsid w:val="00DF6256"/>
    <w:rsid w:val="00DF6909"/>
    <w:rsid w:val="00DF7442"/>
    <w:rsid w:val="00E00FCB"/>
    <w:rsid w:val="00E017B5"/>
    <w:rsid w:val="00E0598E"/>
    <w:rsid w:val="00E06D27"/>
    <w:rsid w:val="00E11C34"/>
    <w:rsid w:val="00E11C35"/>
    <w:rsid w:val="00E16DFE"/>
    <w:rsid w:val="00E17573"/>
    <w:rsid w:val="00E22EC8"/>
    <w:rsid w:val="00E2517B"/>
    <w:rsid w:val="00E3071E"/>
    <w:rsid w:val="00E31CF9"/>
    <w:rsid w:val="00E32C36"/>
    <w:rsid w:val="00E37A58"/>
    <w:rsid w:val="00E41A0E"/>
    <w:rsid w:val="00E41AF5"/>
    <w:rsid w:val="00E42D82"/>
    <w:rsid w:val="00E4305A"/>
    <w:rsid w:val="00E462E6"/>
    <w:rsid w:val="00E47A09"/>
    <w:rsid w:val="00E47C89"/>
    <w:rsid w:val="00E5011D"/>
    <w:rsid w:val="00E51350"/>
    <w:rsid w:val="00E53CA5"/>
    <w:rsid w:val="00E5493B"/>
    <w:rsid w:val="00E55DE2"/>
    <w:rsid w:val="00E56EE3"/>
    <w:rsid w:val="00E604BC"/>
    <w:rsid w:val="00E62BD8"/>
    <w:rsid w:val="00E641D1"/>
    <w:rsid w:val="00E66EE4"/>
    <w:rsid w:val="00E70758"/>
    <w:rsid w:val="00E726F2"/>
    <w:rsid w:val="00E7305A"/>
    <w:rsid w:val="00E73F76"/>
    <w:rsid w:val="00E759F2"/>
    <w:rsid w:val="00E821AC"/>
    <w:rsid w:val="00E82325"/>
    <w:rsid w:val="00E83A0B"/>
    <w:rsid w:val="00E841EE"/>
    <w:rsid w:val="00E86371"/>
    <w:rsid w:val="00E876B3"/>
    <w:rsid w:val="00E9519F"/>
    <w:rsid w:val="00E96C7E"/>
    <w:rsid w:val="00E97941"/>
    <w:rsid w:val="00EA2C9F"/>
    <w:rsid w:val="00EB07A0"/>
    <w:rsid w:val="00EB2C96"/>
    <w:rsid w:val="00EB3C2C"/>
    <w:rsid w:val="00EB4BAD"/>
    <w:rsid w:val="00EC03B0"/>
    <w:rsid w:val="00EC3B45"/>
    <w:rsid w:val="00EC6A13"/>
    <w:rsid w:val="00ED0BDA"/>
    <w:rsid w:val="00ED2BC1"/>
    <w:rsid w:val="00ED3749"/>
    <w:rsid w:val="00ED7242"/>
    <w:rsid w:val="00EE2809"/>
    <w:rsid w:val="00EE3988"/>
    <w:rsid w:val="00EE4800"/>
    <w:rsid w:val="00EE6C30"/>
    <w:rsid w:val="00EE7654"/>
    <w:rsid w:val="00EF125C"/>
    <w:rsid w:val="00EF1360"/>
    <w:rsid w:val="00EF1386"/>
    <w:rsid w:val="00EF1BAA"/>
    <w:rsid w:val="00EF3220"/>
    <w:rsid w:val="00EF63A8"/>
    <w:rsid w:val="00EF6777"/>
    <w:rsid w:val="00F0171E"/>
    <w:rsid w:val="00F029D9"/>
    <w:rsid w:val="00F1078B"/>
    <w:rsid w:val="00F10BEE"/>
    <w:rsid w:val="00F16DF9"/>
    <w:rsid w:val="00F17DD3"/>
    <w:rsid w:val="00F22458"/>
    <w:rsid w:val="00F2375C"/>
    <w:rsid w:val="00F2530B"/>
    <w:rsid w:val="00F30FDF"/>
    <w:rsid w:val="00F349A4"/>
    <w:rsid w:val="00F3506D"/>
    <w:rsid w:val="00F35A0B"/>
    <w:rsid w:val="00F36037"/>
    <w:rsid w:val="00F366CF"/>
    <w:rsid w:val="00F37BF0"/>
    <w:rsid w:val="00F41B97"/>
    <w:rsid w:val="00F4239F"/>
    <w:rsid w:val="00F43810"/>
    <w:rsid w:val="00F439D4"/>
    <w:rsid w:val="00F461B0"/>
    <w:rsid w:val="00F4692D"/>
    <w:rsid w:val="00F50681"/>
    <w:rsid w:val="00F5123D"/>
    <w:rsid w:val="00F51D4F"/>
    <w:rsid w:val="00F60FE5"/>
    <w:rsid w:val="00F63772"/>
    <w:rsid w:val="00F65075"/>
    <w:rsid w:val="00F70159"/>
    <w:rsid w:val="00F70C81"/>
    <w:rsid w:val="00F72BB0"/>
    <w:rsid w:val="00F73BE7"/>
    <w:rsid w:val="00F76A49"/>
    <w:rsid w:val="00F772E2"/>
    <w:rsid w:val="00F7734A"/>
    <w:rsid w:val="00F814C4"/>
    <w:rsid w:val="00F82B2B"/>
    <w:rsid w:val="00F84A15"/>
    <w:rsid w:val="00F87181"/>
    <w:rsid w:val="00F9041B"/>
    <w:rsid w:val="00F91749"/>
    <w:rsid w:val="00F9377E"/>
    <w:rsid w:val="00F94155"/>
    <w:rsid w:val="00F9590D"/>
    <w:rsid w:val="00F95E49"/>
    <w:rsid w:val="00F9799D"/>
    <w:rsid w:val="00FA7E6F"/>
    <w:rsid w:val="00FB1B79"/>
    <w:rsid w:val="00FB77B9"/>
    <w:rsid w:val="00FC137A"/>
    <w:rsid w:val="00FC35F5"/>
    <w:rsid w:val="00FC3745"/>
    <w:rsid w:val="00FC5989"/>
    <w:rsid w:val="00FC6B4D"/>
    <w:rsid w:val="00FD234F"/>
    <w:rsid w:val="00FD2459"/>
    <w:rsid w:val="00FD2EF7"/>
    <w:rsid w:val="00FD3557"/>
    <w:rsid w:val="00FD46C3"/>
    <w:rsid w:val="00FE067F"/>
    <w:rsid w:val="00FE0C24"/>
    <w:rsid w:val="00FE10B1"/>
    <w:rsid w:val="00FE37F8"/>
    <w:rsid w:val="00FE447E"/>
    <w:rsid w:val="00FE5A84"/>
    <w:rsid w:val="00FE73FC"/>
    <w:rsid w:val="00FF16BF"/>
    <w:rsid w:val="00FF61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CE246"/>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16 Point,4_G,BVI fnr,Footnote,Footnote Refernece,Footnote symbol,Fußnotenzeichen_Raxen,Superscript 6 Point,Texto de nota al pie,ftref,referencia nota al pie,4_Footnote text,Footnote text,Appel note de bas de p.,callout"/>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Char,F1,FOOTNOTES,Footnote Text Char Char,Footnote Text Char Char Char,Fußnote,Geneva,fn,fn Cha,footnote text Char,ft,ft Char,ft Char Char,ft Char Char Char,single space,single space Char,single space Char Char Char"/>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uiPriority w:val="20"/>
    <w:qFormat/>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link w:val="HTMLconformatoprevioCar"/>
    <w:uiPriority w:val="99"/>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uiPriority w:val="22"/>
    <w:qFormat/>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uiPriority w:val="9"/>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TextonotapieCar">
    <w:name w:val="Texto nota pie Car"/>
    <w:aliases w:val="5_G Car,Char Car,F1 Car,FOOTNOTES Car,Footnote Text Char Char Car,Footnote Text Char Char Char Car,Fußnote Car,Geneva Car,fn Car,fn Cha Car,footnote text Char Car,ft Car,ft Char Car,ft Char Char Car,ft Char Char Char Car"/>
    <w:basedOn w:val="Fuentedeprrafopredeter"/>
    <w:link w:val="Textonotapie"/>
    <w:rsid w:val="009149EE"/>
    <w:rPr>
      <w:rFonts w:eastAsiaTheme="minorEastAsia"/>
      <w:sz w:val="18"/>
      <w:lang w:val="es-ES" w:eastAsia="es-ES"/>
    </w:rPr>
  </w:style>
  <w:style w:type="character" w:customStyle="1" w:styleId="SingleTxtGChar">
    <w:name w:val="_ Single Txt_G Char"/>
    <w:link w:val="SingleTxtG"/>
    <w:rsid w:val="0017147B"/>
    <w:rPr>
      <w:rFonts w:eastAsiaTheme="minorEastAsia"/>
      <w:lang w:val="es-ES" w:eastAsia="es-ES"/>
    </w:rPr>
  </w:style>
  <w:style w:type="character" w:customStyle="1" w:styleId="H23GChar">
    <w:name w:val="_ H_2/3_G Char"/>
    <w:link w:val="H23G"/>
    <w:locked/>
    <w:rsid w:val="00496844"/>
    <w:rPr>
      <w:rFonts w:eastAsiaTheme="minorEastAsia"/>
      <w:b/>
      <w:lang w:val="es-ES" w:eastAsia="es-ES"/>
    </w:rPr>
  </w:style>
  <w:style w:type="paragraph" w:styleId="Prrafodelista">
    <w:name w:val="List Paragraph"/>
    <w:basedOn w:val="Normal"/>
    <w:uiPriority w:val="34"/>
    <w:qFormat/>
    <w:rsid w:val="00067737"/>
    <w:pPr>
      <w:ind w:left="720"/>
      <w:contextualSpacing/>
    </w:pPr>
  </w:style>
  <w:style w:type="character" w:styleId="Refdecomentario">
    <w:name w:val="annotation reference"/>
    <w:basedOn w:val="Fuentedeprrafopredeter"/>
    <w:uiPriority w:val="99"/>
    <w:unhideWhenUsed/>
    <w:rsid w:val="00067737"/>
    <w:rPr>
      <w:sz w:val="16"/>
      <w:szCs w:val="16"/>
    </w:rPr>
  </w:style>
  <w:style w:type="paragraph" w:styleId="Textocomentario">
    <w:name w:val="annotation text"/>
    <w:basedOn w:val="Normal"/>
    <w:link w:val="TextocomentarioCar"/>
    <w:uiPriority w:val="99"/>
    <w:unhideWhenUsed/>
    <w:rsid w:val="00067737"/>
    <w:pPr>
      <w:spacing w:line="240" w:lineRule="auto"/>
    </w:pPr>
  </w:style>
  <w:style w:type="character" w:customStyle="1" w:styleId="TextocomentarioCar">
    <w:name w:val="Texto comentario Car"/>
    <w:basedOn w:val="Fuentedeprrafopredeter"/>
    <w:link w:val="Textocomentario"/>
    <w:uiPriority w:val="99"/>
    <w:rsid w:val="00067737"/>
    <w:rPr>
      <w:rFonts w:eastAsiaTheme="minorEastAsia"/>
      <w:lang w:val="es-ES" w:eastAsia="es-ES"/>
    </w:rPr>
  </w:style>
  <w:style w:type="paragraph" w:styleId="Asuntodelcomentario">
    <w:name w:val="annotation subject"/>
    <w:basedOn w:val="Textocomentario"/>
    <w:next w:val="Textocomentario"/>
    <w:link w:val="AsuntodelcomentarioCar"/>
    <w:semiHidden/>
    <w:unhideWhenUsed/>
    <w:rsid w:val="00067737"/>
    <w:rPr>
      <w:b/>
      <w:bCs/>
    </w:rPr>
  </w:style>
  <w:style w:type="character" w:customStyle="1" w:styleId="AsuntodelcomentarioCar">
    <w:name w:val="Asunto del comentario Car"/>
    <w:basedOn w:val="TextocomentarioCar"/>
    <w:link w:val="Asuntodelcomentario"/>
    <w:semiHidden/>
    <w:rsid w:val="00067737"/>
    <w:rPr>
      <w:rFonts w:eastAsiaTheme="minorEastAsia"/>
      <w:b/>
      <w:bCs/>
      <w:lang w:val="es-ES" w:eastAsia="es-ES"/>
    </w:rPr>
  </w:style>
  <w:style w:type="paragraph" w:customStyle="1" w:styleId="Default">
    <w:name w:val="Default"/>
    <w:rsid w:val="00067737"/>
    <w:pPr>
      <w:autoSpaceDE w:val="0"/>
      <w:autoSpaceDN w:val="0"/>
      <w:adjustRightInd w:val="0"/>
    </w:pPr>
    <w:rPr>
      <w:color w:val="000000"/>
      <w:sz w:val="24"/>
      <w:szCs w:val="24"/>
      <w:lang w:val="en-GB"/>
    </w:rPr>
  </w:style>
  <w:style w:type="character" w:styleId="Mencinsinresolver">
    <w:name w:val="Unresolved Mention"/>
    <w:basedOn w:val="Fuentedeprrafopredeter"/>
    <w:uiPriority w:val="99"/>
    <w:semiHidden/>
    <w:unhideWhenUsed/>
    <w:rsid w:val="00921760"/>
    <w:rPr>
      <w:color w:val="605E5C"/>
      <w:shd w:val="clear" w:color="auto" w:fill="E1DFDD"/>
    </w:rPr>
  </w:style>
  <w:style w:type="character" w:customStyle="1" w:styleId="HTMLconformatoprevioCar">
    <w:name w:val="HTML con formato previo Car"/>
    <w:basedOn w:val="Fuentedeprrafopredeter"/>
    <w:link w:val="HTMLconformatoprevio"/>
    <w:uiPriority w:val="99"/>
    <w:semiHidden/>
    <w:rsid w:val="00375E10"/>
    <w:rPr>
      <w:rFonts w:ascii="Courier New" w:eastAsiaTheme="minorEastAsia" w:hAnsi="Courier New" w:cs="Courier New"/>
      <w:lang w:val="es-ES" w:eastAsia="es-ES"/>
    </w:rPr>
  </w:style>
  <w:style w:type="character" w:customStyle="1" w:styleId="y2iqfc">
    <w:name w:val="y2iqfc"/>
    <w:basedOn w:val="Fuentedeprrafopredeter"/>
    <w:rsid w:val="00375E10"/>
  </w:style>
  <w:style w:type="paragraph" w:styleId="Revisin">
    <w:name w:val="Revision"/>
    <w:hidden/>
    <w:uiPriority w:val="99"/>
    <w:semiHidden/>
    <w:rsid w:val="005D715A"/>
    <w:rPr>
      <w:rFonts w:eastAsiaTheme="minorEastAsia"/>
      <w:lang w:val="es-ES" w:eastAsia="es-ES"/>
    </w:rPr>
  </w:style>
  <w:style w:type="character" w:customStyle="1" w:styleId="hgkelc">
    <w:name w:val="hgkelc"/>
    <w:basedOn w:val="Fuentedeprrafopredeter"/>
    <w:rsid w:val="007E6D2D"/>
  </w:style>
  <w:style w:type="paragraph" w:customStyle="1" w:styleId="default0">
    <w:name w:val="default"/>
    <w:basedOn w:val="Normal"/>
    <w:rsid w:val="00391C7F"/>
    <w:pPr>
      <w:spacing w:before="100" w:beforeAutospacing="1" w:after="100" w:afterAutospacing="1" w:line="240" w:lineRule="auto"/>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200">
      <w:bodyDiv w:val="1"/>
      <w:marLeft w:val="0"/>
      <w:marRight w:val="0"/>
      <w:marTop w:val="0"/>
      <w:marBottom w:val="0"/>
      <w:divBdr>
        <w:top w:val="none" w:sz="0" w:space="0" w:color="auto"/>
        <w:left w:val="none" w:sz="0" w:space="0" w:color="auto"/>
        <w:bottom w:val="none" w:sz="0" w:space="0" w:color="auto"/>
        <w:right w:val="none" w:sz="0" w:space="0" w:color="auto"/>
      </w:divBdr>
    </w:div>
    <w:div w:id="173303096">
      <w:bodyDiv w:val="1"/>
      <w:marLeft w:val="0"/>
      <w:marRight w:val="0"/>
      <w:marTop w:val="0"/>
      <w:marBottom w:val="0"/>
      <w:divBdr>
        <w:top w:val="none" w:sz="0" w:space="0" w:color="auto"/>
        <w:left w:val="none" w:sz="0" w:space="0" w:color="auto"/>
        <w:bottom w:val="none" w:sz="0" w:space="0" w:color="auto"/>
        <w:right w:val="none" w:sz="0" w:space="0" w:color="auto"/>
      </w:divBdr>
      <w:divsChild>
        <w:div w:id="542253078">
          <w:marLeft w:val="0"/>
          <w:marRight w:val="0"/>
          <w:marTop w:val="0"/>
          <w:marBottom w:val="0"/>
          <w:divBdr>
            <w:top w:val="none" w:sz="0" w:space="0" w:color="auto"/>
            <w:left w:val="none" w:sz="0" w:space="0" w:color="auto"/>
            <w:bottom w:val="none" w:sz="0" w:space="0" w:color="auto"/>
            <w:right w:val="none" w:sz="0" w:space="0" w:color="auto"/>
          </w:divBdr>
          <w:divsChild>
            <w:div w:id="18750777">
              <w:marLeft w:val="0"/>
              <w:marRight w:val="0"/>
              <w:marTop w:val="0"/>
              <w:marBottom w:val="0"/>
              <w:divBdr>
                <w:top w:val="none" w:sz="0" w:space="0" w:color="auto"/>
                <w:left w:val="none" w:sz="0" w:space="0" w:color="auto"/>
                <w:bottom w:val="none" w:sz="0" w:space="0" w:color="auto"/>
                <w:right w:val="none" w:sz="0" w:space="0" w:color="auto"/>
              </w:divBdr>
              <w:divsChild>
                <w:div w:id="290596039">
                  <w:marLeft w:val="0"/>
                  <w:marRight w:val="0"/>
                  <w:marTop w:val="0"/>
                  <w:marBottom w:val="0"/>
                  <w:divBdr>
                    <w:top w:val="none" w:sz="0" w:space="0" w:color="auto"/>
                    <w:left w:val="none" w:sz="0" w:space="0" w:color="auto"/>
                    <w:bottom w:val="none" w:sz="0" w:space="0" w:color="auto"/>
                    <w:right w:val="none" w:sz="0" w:space="0" w:color="auto"/>
                  </w:divBdr>
                  <w:divsChild>
                    <w:div w:id="19311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9222">
      <w:bodyDiv w:val="1"/>
      <w:marLeft w:val="0"/>
      <w:marRight w:val="0"/>
      <w:marTop w:val="0"/>
      <w:marBottom w:val="0"/>
      <w:divBdr>
        <w:top w:val="none" w:sz="0" w:space="0" w:color="auto"/>
        <w:left w:val="none" w:sz="0" w:space="0" w:color="auto"/>
        <w:bottom w:val="none" w:sz="0" w:space="0" w:color="auto"/>
        <w:right w:val="none" w:sz="0" w:space="0" w:color="auto"/>
      </w:divBdr>
    </w:div>
    <w:div w:id="362562500">
      <w:bodyDiv w:val="1"/>
      <w:marLeft w:val="0"/>
      <w:marRight w:val="0"/>
      <w:marTop w:val="0"/>
      <w:marBottom w:val="0"/>
      <w:divBdr>
        <w:top w:val="none" w:sz="0" w:space="0" w:color="auto"/>
        <w:left w:val="none" w:sz="0" w:space="0" w:color="auto"/>
        <w:bottom w:val="none" w:sz="0" w:space="0" w:color="auto"/>
        <w:right w:val="none" w:sz="0" w:space="0" w:color="auto"/>
      </w:divBdr>
    </w:div>
    <w:div w:id="441649634">
      <w:bodyDiv w:val="1"/>
      <w:marLeft w:val="0"/>
      <w:marRight w:val="0"/>
      <w:marTop w:val="0"/>
      <w:marBottom w:val="0"/>
      <w:divBdr>
        <w:top w:val="none" w:sz="0" w:space="0" w:color="auto"/>
        <w:left w:val="none" w:sz="0" w:space="0" w:color="auto"/>
        <w:bottom w:val="none" w:sz="0" w:space="0" w:color="auto"/>
        <w:right w:val="none" w:sz="0" w:space="0" w:color="auto"/>
      </w:divBdr>
    </w:div>
    <w:div w:id="481628291">
      <w:bodyDiv w:val="1"/>
      <w:marLeft w:val="0"/>
      <w:marRight w:val="0"/>
      <w:marTop w:val="0"/>
      <w:marBottom w:val="0"/>
      <w:divBdr>
        <w:top w:val="none" w:sz="0" w:space="0" w:color="auto"/>
        <w:left w:val="none" w:sz="0" w:space="0" w:color="auto"/>
        <w:bottom w:val="none" w:sz="0" w:space="0" w:color="auto"/>
        <w:right w:val="none" w:sz="0" w:space="0" w:color="auto"/>
      </w:divBdr>
    </w:div>
    <w:div w:id="565187746">
      <w:bodyDiv w:val="1"/>
      <w:marLeft w:val="0"/>
      <w:marRight w:val="0"/>
      <w:marTop w:val="0"/>
      <w:marBottom w:val="0"/>
      <w:divBdr>
        <w:top w:val="none" w:sz="0" w:space="0" w:color="auto"/>
        <w:left w:val="none" w:sz="0" w:space="0" w:color="auto"/>
        <w:bottom w:val="none" w:sz="0" w:space="0" w:color="auto"/>
        <w:right w:val="none" w:sz="0" w:space="0" w:color="auto"/>
      </w:divBdr>
    </w:div>
    <w:div w:id="720639091">
      <w:bodyDiv w:val="1"/>
      <w:marLeft w:val="0"/>
      <w:marRight w:val="0"/>
      <w:marTop w:val="0"/>
      <w:marBottom w:val="0"/>
      <w:divBdr>
        <w:top w:val="none" w:sz="0" w:space="0" w:color="auto"/>
        <w:left w:val="none" w:sz="0" w:space="0" w:color="auto"/>
        <w:bottom w:val="none" w:sz="0" w:space="0" w:color="auto"/>
        <w:right w:val="none" w:sz="0" w:space="0" w:color="auto"/>
      </w:divBdr>
    </w:div>
    <w:div w:id="733628789">
      <w:bodyDiv w:val="1"/>
      <w:marLeft w:val="0"/>
      <w:marRight w:val="0"/>
      <w:marTop w:val="0"/>
      <w:marBottom w:val="0"/>
      <w:divBdr>
        <w:top w:val="none" w:sz="0" w:space="0" w:color="auto"/>
        <w:left w:val="none" w:sz="0" w:space="0" w:color="auto"/>
        <w:bottom w:val="none" w:sz="0" w:space="0" w:color="auto"/>
        <w:right w:val="none" w:sz="0" w:space="0" w:color="auto"/>
      </w:divBdr>
    </w:div>
    <w:div w:id="888683362">
      <w:bodyDiv w:val="1"/>
      <w:marLeft w:val="0"/>
      <w:marRight w:val="0"/>
      <w:marTop w:val="0"/>
      <w:marBottom w:val="0"/>
      <w:divBdr>
        <w:top w:val="none" w:sz="0" w:space="0" w:color="auto"/>
        <w:left w:val="none" w:sz="0" w:space="0" w:color="auto"/>
        <w:bottom w:val="none" w:sz="0" w:space="0" w:color="auto"/>
        <w:right w:val="none" w:sz="0" w:space="0" w:color="auto"/>
      </w:divBdr>
      <w:divsChild>
        <w:div w:id="78259661">
          <w:marLeft w:val="0"/>
          <w:marRight w:val="0"/>
          <w:marTop w:val="0"/>
          <w:marBottom w:val="0"/>
          <w:divBdr>
            <w:top w:val="none" w:sz="0" w:space="0" w:color="auto"/>
            <w:left w:val="none" w:sz="0" w:space="0" w:color="auto"/>
            <w:bottom w:val="none" w:sz="0" w:space="0" w:color="auto"/>
            <w:right w:val="none" w:sz="0" w:space="0" w:color="auto"/>
          </w:divBdr>
        </w:div>
      </w:divsChild>
    </w:div>
    <w:div w:id="915700397">
      <w:bodyDiv w:val="1"/>
      <w:marLeft w:val="0"/>
      <w:marRight w:val="0"/>
      <w:marTop w:val="0"/>
      <w:marBottom w:val="0"/>
      <w:divBdr>
        <w:top w:val="none" w:sz="0" w:space="0" w:color="auto"/>
        <w:left w:val="none" w:sz="0" w:space="0" w:color="auto"/>
        <w:bottom w:val="none" w:sz="0" w:space="0" w:color="auto"/>
        <w:right w:val="none" w:sz="0" w:space="0" w:color="auto"/>
      </w:divBdr>
      <w:divsChild>
        <w:div w:id="316300596">
          <w:marLeft w:val="0"/>
          <w:marRight w:val="0"/>
          <w:marTop w:val="0"/>
          <w:marBottom w:val="0"/>
          <w:divBdr>
            <w:top w:val="none" w:sz="0" w:space="0" w:color="auto"/>
            <w:left w:val="none" w:sz="0" w:space="0" w:color="auto"/>
            <w:bottom w:val="none" w:sz="0" w:space="0" w:color="auto"/>
            <w:right w:val="none" w:sz="0" w:space="0" w:color="auto"/>
          </w:divBdr>
        </w:div>
      </w:divsChild>
    </w:div>
    <w:div w:id="930240529">
      <w:bodyDiv w:val="1"/>
      <w:marLeft w:val="0"/>
      <w:marRight w:val="0"/>
      <w:marTop w:val="0"/>
      <w:marBottom w:val="0"/>
      <w:divBdr>
        <w:top w:val="none" w:sz="0" w:space="0" w:color="auto"/>
        <w:left w:val="none" w:sz="0" w:space="0" w:color="auto"/>
        <w:bottom w:val="none" w:sz="0" w:space="0" w:color="auto"/>
        <w:right w:val="none" w:sz="0" w:space="0" w:color="auto"/>
      </w:divBdr>
      <w:divsChild>
        <w:div w:id="1386371423">
          <w:marLeft w:val="0"/>
          <w:marRight w:val="0"/>
          <w:marTop w:val="0"/>
          <w:marBottom w:val="0"/>
          <w:divBdr>
            <w:top w:val="none" w:sz="0" w:space="0" w:color="auto"/>
            <w:left w:val="none" w:sz="0" w:space="0" w:color="auto"/>
            <w:bottom w:val="none" w:sz="0" w:space="0" w:color="auto"/>
            <w:right w:val="none" w:sz="0" w:space="0" w:color="auto"/>
          </w:divBdr>
        </w:div>
      </w:divsChild>
    </w:div>
    <w:div w:id="1049458188">
      <w:bodyDiv w:val="1"/>
      <w:marLeft w:val="0"/>
      <w:marRight w:val="0"/>
      <w:marTop w:val="0"/>
      <w:marBottom w:val="0"/>
      <w:divBdr>
        <w:top w:val="none" w:sz="0" w:space="0" w:color="auto"/>
        <w:left w:val="none" w:sz="0" w:space="0" w:color="auto"/>
        <w:bottom w:val="none" w:sz="0" w:space="0" w:color="auto"/>
        <w:right w:val="none" w:sz="0" w:space="0" w:color="auto"/>
      </w:divBdr>
    </w:div>
    <w:div w:id="1319579995">
      <w:bodyDiv w:val="1"/>
      <w:marLeft w:val="0"/>
      <w:marRight w:val="0"/>
      <w:marTop w:val="0"/>
      <w:marBottom w:val="0"/>
      <w:divBdr>
        <w:top w:val="none" w:sz="0" w:space="0" w:color="auto"/>
        <w:left w:val="none" w:sz="0" w:space="0" w:color="auto"/>
        <w:bottom w:val="none" w:sz="0" w:space="0" w:color="auto"/>
        <w:right w:val="none" w:sz="0" w:space="0" w:color="auto"/>
      </w:divBdr>
      <w:divsChild>
        <w:div w:id="1696231631">
          <w:marLeft w:val="-45"/>
          <w:marRight w:val="0"/>
          <w:marTop w:val="0"/>
          <w:marBottom w:val="0"/>
          <w:divBdr>
            <w:top w:val="none" w:sz="0" w:space="0" w:color="auto"/>
            <w:left w:val="none" w:sz="0" w:space="0" w:color="auto"/>
            <w:bottom w:val="none" w:sz="0" w:space="0" w:color="auto"/>
            <w:right w:val="none" w:sz="0" w:space="0" w:color="auto"/>
          </w:divBdr>
        </w:div>
      </w:divsChild>
    </w:div>
    <w:div w:id="1473717783">
      <w:bodyDiv w:val="1"/>
      <w:marLeft w:val="0"/>
      <w:marRight w:val="0"/>
      <w:marTop w:val="0"/>
      <w:marBottom w:val="0"/>
      <w:divBdr>
        <w:top w:val="none" w:sz="0" w:space="0" w:color="auto"/>
        <w:left w:val="none" w:sz="0" w:space="0" w:color="auto"/>
        <w:bottom w:val="none" w:sz="0" w:space="0" w:color="auto"/>
        <w:right w:val="none" w:sz="0" w:space="0" w:color="auto"/>
      </w:divBdr>
    </w:div>
    <w:div w:id="1585799223">
      <w:bodyDiv w:val="1"/>
      <w:marLeft w:val="0"/>
      <w:marRight w:val="0"/>
      <w:marTop w:val="0"/>
      <w:marBottom w:val="0"/>
      <w:divBdr>
        <w:top w:val="none" w:sz="0" w:space="0" w:color="auto"/>
        <w:left w:val="none" w:sz="0" w:space="0" w:color="auto"/>
        <w:bottom w:val="none" w:sz="0" w:space="0" w:color="auto"/>
        <w:right w:val="none" w:sz="0" w:space="0" w:color="auto"/>
      </w:divBdr>
    </w:div>
    <w:div w:id="1646202092">
      <w:bodyDiv w:val="1"/>
      <w:marLeft w:val="0"/>
      <w:marRight w:val="0"/>
      <w:marTop w:val="0"/>
      <w:marBottom w:val="0"/>
      <w:divBdr>
        <w:top w:val="none" w:sz="0" w:space="0" w:color="auto"/>
        <w:left w:val="none" w:sz="0" w:space="0" w:color="auto"/>
        <w:bottom w:val="none" w:sz="0" w:space="0" w:color="auto"/>
        <w:right w:val="none" w:sz="0" w:space="0" w:color="auto"/>
      </w:divBdr>
    </w:div>
    <w:div w:id="1816213569">
      <w:bodyDiv w:val="1"/>
      <w:marLeft w:val="0"/>
      <w:marRight w:val="0"/>
      <w:marTop w:val="0"/>
      <w:marBottom w:val="0"/>
      <w:divBdr>
        <w:top w:val="none" w:sz="0" w:space="0" w:color="auto"/>
        <w:left w:val="none" w:sz="0" w:space="0" w:color="auto"/>
        <w:bottom w:val="none" w:sz="0" w:space="0" w:color="auto"/>
        <w:right w:val="none" w:sz="0" w:space="0" w:color="auto"/>
      </w:divBdr>
      <w:divsChild>
        <w:div w:id="82335456">
          <w:marLeft w:val="0"/>
          <w:marRight w:val="0"/>
          <w:marTop w:val="0"/>
          <w:marBottom w:val="0"/>
          <w:divBdr>
            <w:top w:val="none" w:sz="0" w:space="0" w:color="auto"/>
            <w:left w:val="none" w:sz="0" w:space="0" w:color="auto"/>
            <w:bottom w:val="none" w:sz="0" w:space="0" w:color="auto"/>
            <w:right w:val="none" w:sz="0" w:space="0" w:color="auto"/>
          </w:divBdr>
        </w:div>
      </w:divsChild>
    </w:div>
    <w:div w:id="1891452400">
      <w:bodyDiv w:val="1"/>
      <w:marLeft w:val="0"/>
      <w:marRight w:val="0"/>
      <w:marTop w:val="0"/>
      <w:marBottom w:val="0"/>
      <w:divBdr>
        <w:top w:val="none" w:sz="0" w:space="0" w:color="auto"/>
        <w:left w:val="none" w:sz="0" w:space="0" w:color="auto"/>
        <w:bottom w:val="none" w:sz="0" w:space="0" w:color="auto"/>
        <w:right w:val="none" w:sz="0" w:space="0" w:color="auto"/>
      </w:divBdr>
    </w:div>
    <w:div w:id="2068920148">
      <w:bodyDiv w:val="1"/>
      <w:marLeft w:val="0"/>
      <w:marRight w:val="0"/>
      <w:marTop w:val="0"/>
      <w:marBottom w:val="0"/>
      <w:divBdr>
        <w:top w:val="none" w:sz="0" w:space="0" w:color="auto"/>
        <w:left w:val="none" w:sz="0" w:space="0" w:color="auto"/>
        <w:bottom w:val="none" w:sz="0" w:space="0" w:color="auto"/>
        <w:right w:val="none" w:sz="0" w:space="0" w:color="auto"/>
      </w:divBdr>
      <w:divsChild>
        <w:div w:id="1692413715">
          <w:marLeft w:val="0"/>
          <w:marRight w:val="0"/>
          <w:marTop w:val="0"/>
          <w:marBottom w:val="0"/>
          <w:divBdr>
            <w:top w:val="none" w:sz="0" w:space="0" w:color="auto"/>
            <w:left w:val="none" w:sz="0" w:space="0" w:color="auto"/>
            <w:bottom w:val="none" w:sz="0" w:space="0" w:color="auto"/>
            <w:right w:val="none" w:sz="0" w:space="0" w:color="auto"/>
          </w:divBdr>
          <w:divsChild>
            <w:div w:id="1638026371">
              <w:marLeft w:val="0"/>
              <w:marRight w:val="0"/>
              <w:marTop w:val="0"/>
              <w:marBottom w:val="0"/>
              <w:divBdr>
                <w:top w:val="none" w:sz="0" w:space="0" w:color="auto"/>
                <w:left w:val="none" w:sz="0" w:space="0" w:color="auto"/>
                <w:bottom w:val="none" w:sz="0" w:space="0" w:color="auto"/>
                <w:right w:val="none" w:sz="0" w:space="0" w:color="auto"/>
              </w:divBdr>
              <w:divsChild>
                <w:div w:id="841966795">
                  <w:marLeft w:val="0"/>
                  <w:marRight w:val="0"/>
                  <w:marTop w:val="0"/>
                  <w:marBottom w:val="0"/>
                  <w:divBdr>
                    <w:top w:val="none" w:sz="0" w:space="0" w:color="auto"/>
                    <w:left w:val="none" w:sz="0" w:space="0" w:color="auto"/>
                    <w:bottom w:val="none" w:sz="0" w:space="0" w:color="auto"/>
                    <w:right w:val="none" w:sz="0" w:space="0" w:color="auto"/>
                  </w:divBdr>
                  <w:divsChild>
                    <w:div w:id="19488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MW/C/PRY/QPR/2" TargetMode="External"/><Relationship Id="rId2" Type="http://schemas.openxmlformats.org/officeDocument/2006/relationships/hyperlink" Target="https://undocs.org/es/CMW/C/SR.484" TargetMode="External"/><Relationship Id="rId1" Type="http://schemas.openxmlformats.org/officeDocument/2006/relationships/hyperlink" Target="https://undocs.org/es/CMW/C/PRY/2" TargetMode="External"/><Relationship Id="rId6" Type="http://schemas.openxmlformats.org/officeDocument/2006/relationships/hyperlink" Target="https://undocs.org/es/HRI/GEN/2/Rev.6" TargetMode="External"/><Relationship Id="rId5" Type="http://schemas.openxmlformats.org/officeDocument/2006/relationships/hyperlink" Target="https://undocs.org/es/CMW/C/PRY/CO/1" TargetMode="External"/><Relationship Id="rId4" Type="http://schemas.openxmlformats.org/officeDocument/2006/relationships/hyperlink" Target="https://www.ohchr.org/sites/default/files/Documents/Issues/Migration/CMWSPMJointGuidanceNoteCOVID-19Migrants_SP.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12" ma:contentTypeDescription="Create a new document." ma:contentTypeScope="" ma:versionID="bdf0cb928d05a72f151acac289a98544">
  <xsd:schema xmlns:xsd="http://www.w3.org/2001/XMLSchema" xmlns:xs="http://www.w3.org/2001/XMLSchema" xmlns:p="http://schemas.microsoft.com/office/2006/metadata/properties" xmlns:ns3="f4ad8cc1-a6e6-4857-9710-b93853386e53" xmlns:ns4="fb8fb6fb-826b-4688-a67e-baccab305db2" targetNamespace="http://schemas.microsoft.com/office/2006/metadata/properties" ma:root="true" ma:fieldsID="c42245cafe4ce41346a0efba442d6cbd" ns3:_="" ns4:_="">
    <xsd:import namespace="f4ad8cc1-a6e6-4857-9710-b93853386e53"/>
    <xsd:import namespace="fb8fb6fb-826b-4688-a67e-baccab305d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fb6fb-826b-4688-a67e-baccab305d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E136-74AA-4D1D-96C5-22A04ECE4D87}">
  <ds:schemaRefs>
    <ds:schemaRef ds:uri="http://schemas.microsoft.com/sharepoint/v3/contenttype/forms"/>
  </ds:schemaRefs>
</ds:datastoreItem>
</file>

<file path=customXml/itemProps2.xml><?xml version="1.0" encoding="utf-8"?>
<ds:datastoreItem xmlns:ds="http://schemas.openxmlformats.org/officeDocument/2006/customXml" ds:itemID="{34170D9E-F1B6-4A00-BCD0-18ACE1131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BCDA9-3FF0-40F7-B12C-78BA8C139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fb8fb6fb-826b-4688-a67e-baccab305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CFD2C-2EC5-462C-BE59-5A04C5C9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6754</Words>
  <Characters>36274</Characters>
  <Application>Microsoft Office Word</Application>
  <DocSecurity>0</DocSecurity>
  <Lines>585</Lines>
  <Paragraphs>174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CMW/C/PRY/CO/R.2</vt:lpstr>
      <vt:lpstr>CMW/C/PRY/CO/R.2</vt:lpstr>
      <vt:lpstr>CAT/C/XXX/Y</vt:lpstr>
    </vt:vector>
  </TitlesOfParts>
  <Company>DCM</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CMW/C/PRY/CO/2</dc:title>
  <dc:subject/>
  <dc:creator>Gloria</dc:creator>
  <cp:keywords/>
  <cp:lastModifiedBy>Juan Korol</cp:lastModifiedBy>
  <cp:revision>3</cp:revision>
  <cp:lastPrinted>2022-06-03T15:30:00Z</cp:lastPrinted>
  <dcterms:created xsi:type="dcterms:W3CDTF">2022-06-03T15:30:00Z</dcterms:created>
  <dcterms:modified xsi:type="dcterms:W3CDTF">2022-06-03T15:30:00Z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XX</vt:lpwstr>
  </property>
  <property fmtid="{D5CDD505-2E9C-101B-9397-08002B2CF9AE}" pid="4" name="Author">
    <vt:lpwstr/>
  </property>
  <property fmtid="{D5CDD505-2E9C-101B-9397-08002B2CF9AE}" pid="5" name="bar">
    <vt:lpwstr/>
  </property>
  <property fmtid="{D5CDD505-2E9C-101B-9397-08002B2CF9AE}" pid="6" name="category">
    <vt:lpwstr>CMW</vt:lpwstr>
  </property>
  <property fmtid="{D5CDD505-2E9C-101B-9397-08002B2CF9AE}" pid="7" name="count">
    <vt:lpwstr>del Paraguay</vt:lpwstr>
  </property>
  <property fmtid="{D5CDD505-2E9C-101B-9397-08002B2CF9AE}" pid="8" name="countw">
    <vt:lpwstr>Paraguay</vt:lpwstr>
  </property>
  <property fmtid="{D5CDD505-2E9C-101B-9397-08002B2CF9AE}" pid="9" name="countwd">
    <vt:lpwstr>el Paraguay</vt:lpwstr>
  </property>
  <property fmtid="{D5CDD505-2E9C-101B-9397-08002B2CF9AE}" pid="10" name="date">
    <vt:lpwstr>4 de noviembre de 2021</vt:lpwstr>
  </property>
  <property fmtid="{D5CDD505-2E9C-101B-9397-08002B2CF9AE}" pid="11" name="Date-Generated">
    <vt:filetime>2021-11-04T15:53:14Z</vt:filetime>
  </property>
  <property fmtid="{D5CDD505-2E9C-101B-9397-08002B2CF9AE}" pid="12" name="dist">
    <vt:lpwstr>reservada</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segundo informe periódico del Paraguay</vt:lpwstr>
  </property>
  <property fmtid="{D5CDD505-2E9C-101B-9397-08002B2CF9AE}" pid="21" name="preps">
    <vt:lpwstr>segundo informe periódico del Paraguay</vt:lpwstr>
  </property>
  <property fmtid="{D5CDD505-2E9C-101B-9397-08002B2CF9AE}" pid="22" name="prepw">
    <vt:lpwstr>al segundo informe periódico </vt:lpwstr>
  </property>
  <property fmtid="{D5CDD505-2E9C-101B-9397-08002B2CF9AE}" pid="23" name="prepwc">
    <vt:lpwstr>Segundo informe periódico </vt:lpwstr>
  </property>
  <property fmtid="{D5CDD505-2E9C-101B-9397-08002B2CF9AE}" pid="24" name="prepws">
    <vt:lpwstr>segundo informe periódico del Paraguay</vt:lpwstr>
  </property>
  <property fmtid="{D5CDD505-2E9C-101B-9397-08002B2CF9AE}" pid="25" name="sdate">
    <vt:lpwstr>28 de marzo a 8 de abril 2022</vt:lpwstr>
  </property>
  <property fmtid="{D5CDD505-2E9C-101B-9397-08002B2CF9AE}" pid="26" name="snum">
    <vt:lpwstr>34ᵒ</vt:lpwstr>
  </property>
  <property fmtid="{D5CDD505-2E9C-101B-9397-08002B2CF9AE}" pid="27" name="stitle">
    <vt:lpwstr>[Title]</vt:lpwstr>
  </property>
  <property fmtid="{D5CDD505-2E9C-101B-9397-08002B2CF9AE}" pid="28" name="sym1">
    <vt:lpwstr>C/PRY/CO/R.2</vt:lpwstr>
  </property>
  <property fmtid="{D5CDD505-2E9C-101B-9397-08002B2CF9AE}" pid="29" name="symh">
    <vt:lpwstr>CMW/C/PRY/CO/R.2</vt:lpwstr>
  </property>
  <property fmtid="{D5CDD505-2E9C-101B-9397-08002B2CF9AE}" pid="30" name="tlang">
    <vt:lpwstr/>
  </property>
  <property fmtid="{D5CDD505-2E9C-101B-9397-08002B2CF9AE}" pid="31" name="virs">
    <vt:lpwstr>Español, francés e inglés únicamente</vt:lpwstr>
  </property>
  <property fmtid="{D5CDD505-2E9C-101B-9397-08002B2CF9AE}" pid="32" name="ContentTypeId">
    <vt:lpwstr>0x01010090485B4FDE2E244A8ABB633E9862E484</vt:lpwstr>
  </property>
</Properties>
</file>