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354E9" w:rsidRPr="00DB58B5" w:rsidRDefault="000354E9" w:rsidP="00C079D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54E9" w:rsidRPr="00DB58B5" w:rsidRDefault="000354E9" w:rsidP="008F3C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3D00FD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354E9" w:rsidRPr="00DB58B5" w:rsidRDefault="00C079DF" w:rsidP="00C079DF">
            <w:pPr>
              <w:jc w:val="right"/>
            </w:pPr>
            <w:r w:rsidRPr="00C079DF">
              <w:rPr>
                <w:sz w:val="40"/>
              </w:rPr>
              <w:t>CRC</w:t>
            </w:r>
            <w:r>
              <w:t>/C/ESP/Q/5-6</w:t>
            </w:r>
          </w:p>
        </w:tc>
      </w:tr>
      <w:tr w:rsidR="000354E9" w:rsidRPr="00DB58B5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Pr="00DB58B5" w:rsidRDefault="000354E9" w:rsidP="008F3C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F9FC98" wp14:editId="1F5C4F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4E9" w:rsidRPr="00740562" w:rsidRDefault="000354E9" w:rsidP="008F3CA0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</w:t>
            </w:r>
            <w:r w:rsidR="003D00FD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relative</w:t>
            </w:r>
            <w:r w:rsidRPr="00262665">
              <w:rPr>
                <w:b/>
                <w:sz w:val="40"/>
                <w:szCs w:val="40"/>
              </w:rPr>
              <w:br/>
              <w:t>aux</w:t>
            </w:r>
            <w:r w:rsidR="003D00FD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droits</w:t>
            </w:r>
            <w:r w:rsidR="003D00FD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de</w:t>
            </w:r>
            <w:r w:rsidR="003D00FD">
              <w:rPr>
                <w:b/>
                <w:sz w:val="40"/>
                <w:szCs w:val="40"/>
              </w:rPr>
              <w:t xml:space="preserve"> </w:t>
            </w:r>
            <w:r w:rsidRPr="00262665">
              <w:rPr>
                <w:b/>
                <w:sz w:val="40"/>
                <w:szCs w:val="40"/>
              </w:rPr>
              <w:t>l</w:t>
            </w:r>
            <w:r w:rsidR="00A5104F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Default="00C079DF" w:rsidP="008F3CA0">
            <w:pPr>
              <w:spacing w:before="240"/>
            </w:pPr>
            <w:r>
              <w:t>Distr.</w:t>
            </w:r>
            <w:r w:rsidR="003D00FD">
              <w:t xml:space="preserve"> </w:t>
            </w:r>
            <w:r>
              <w:t>générale</w:t>
            </w:r>
          </w:p>
          <w:p w:rsidR="00C079DF" w:rsidRDefault="00C079DF" w:rsidP="00C079DF">
            <w:pPr>
              <w:spacing w:line="240" w:lineRule="exact"/>
            </w:pPr>
            <w:r>
              <w:t>11</w:t>
            </w:r>
            <w:r w:rsidR="003D00FD">
              <w:t xml:space="preserve"> </w:t>
            </w:r>
            <w:r>
              <w:t>juillet</w:t>
            </w:r>
            <w:r w:rsidR="003D00FD">
              <w:t xml:space="preserve"> </w:t>
            </w:r>
            <w:r>
              <w:t>2017</w:t>
            </w:r>
          </w:p>
          <w:p w:rsidR="00C079DF" w:rsidRDefault="00C079DF" w:rsidP="00C079DF">
            <w:pPr>
              <w:spacing w:line="240" w:lineRule="exact"/>
            </w:pPr>
            <w:r>
              <w:t>Français</w:t>
            </w:r>
          </w:p>
          <w:p w:rsidR="00C079DF" w:rsidRDefault="00C079DF" w:rsidP="00C079DF">
            <w:pPr>
              <w:spacing w:line="240" w:lineRule="exact"/>
            </w:pPr>
            <w:r>
              <w:t>Original</w:t>
            </w:r>
            <w:r w:rsidR="003D00FD">
              <w:t xml:space="preserve"> : </w:t>
            </w:r>
            <w:r>
              <w:t>espagnol</w:t>
            </w:r>
          </w:p>
          <w:p w:rsidR="00C079DF" w:rsidRPr="00DB58B5" w:rsidRDefault="00C079DF" w:rsidP="00C079DF">
            <w:pPr>
              <w:spacing w:line="240" w:lineRule="exact"/>
            </w:pPr>
            <w:r>
              <w:t>Anglais,</w:t>
            </w:r>
            <w:r w:rsidR="003D00FD">
              <w:t xml:space="preserve"> </w:t>
            </w:r>
            <w:r>
              <w:t>espagnol</w:t>
            </w:r>
            <w:r w:rsidR="003D00FD">
              <w:t xml:space="preserve"> </w:t>
            </w:r>
            <w:r>
              <w:t>et</w:t>
            </w:r>
            <w:r w:rsidR="003D00FD">
              <w:t xml:space="preserve"> </w:t>
            </w:r>
            <w:r>
              <w:t>français</w:t>
            </w:r>
            <w:r w:rsidR="003D00FD">
              <w:t xml:space="preserve"> </w:t>
            </w:r>
            <w:r>
              <w:t>seulement</w:t>
            </w:r>
          </w:p>
        </w:tc>
      </w:tr>
    </w:tbl>
    <w:p w:rsidR="002D14A3" w:rsidRDefault="002D14A3" w:rsidP="002D14A3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</w:t>
      </w:r>
      <w:r w:rsidR="003D00FD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des</w:t>
      </w:r>
      <w:r w:rsidR="003D00FD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droits</w:t>
      </w:r>
      <w:r w:rsidR="003D00FD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de</w:t>
      </w:r>
      <w:r w:rsidR="003D00FD">
        <w:rPr>
          <w:b/>
          <w:sz w:val="24"/>
          <w:szCs w:val="24"/>
        </w:rPr>
        <w:t xml:space="preserve"> </w:t>
      </w:r>
      <w:r w:rsidRPr="00DA3BE9">
        <w:rPr>
          <w:b/>
          <w:sz w:val="24"/>
          <w:szCs w:val="24"/>
        </w:rPr>
        <w:t>l</w:t>
      </w:r>
      <w:r w:rsidR="00A5104F">
        <w:rPr>
          <w:b/>
          <w:sz w:val="24"/>
          <w:szCs w:val="24"/>
        </w:rPr>
        <w:t>’</w:t>
      </w:r>
      <w:r w:rsidRPr="00DA3BE9">
        <w:rPr>
          <w:b/>
          <w:sz w:val="24"/>
          <w:szCs w:val="24"/>
        </w:rPr>
        <w:t>enfant</w:t>
      </w:r>
    </w:p>
    <w:p w:rsidR="007F2355" w:rsidRPr="003C5D93" w:rsidRDefault="007F2355" w:rsidP="003C5D93">
      <w:pPr>
        <w:rPr>
          <w:b/>
        </w:rPr>
      </w:pPr>
      <w:r w:rsidRPr="003C5D93">
        <w:rPr>
          <w:b/>
          <w:lang w:val="fr-FR"/>
        </w:rPr>
        <w:t>Soixante-dix-septième</w:t>
      </w:r>
      <w:r w:rsidR="003D00FD">
        <w:rPr>
          <w:b/>
          <w:lang w:val="fr-FR"/>
        </w:rPr>
        <w:t xml:space="preserve"> </w:t>
      </w:r>
      <w:r w:rsidRPr="003C5D93">
        <w:rPr>
          <w:b/>
          <w:lang w:val="fr-FR"/>
        </w:rPr>
        <w:t>session</w:t>
      </w:r>
    </w:p>
    <w:p w:rsidR="007F2355" w:rsidRPr="009D4EA2" w:rsidRDefault="007F2355" w:rsidP="003C5D93">
      <w:r w:rsidRPr="009D4EA2">
        <w:rPr>
          <w:lang w:val="fr-FR"/>
        </w:rPr>
        <w:t>15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janvier-2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février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2018</w:t>
      </w:r>
    </w:p>
    <w:p w:rsidR="007F2355" w:rsidRPr="009D4EA2" w:rsidRDefault="007F2355" w:rsidP="003C5D93">
      <w:r w:rsidRPr="009D4EA2">
        <w:rPr>
          <w:lang w:val="fr-FR"/>
        </w:rPr>
        <w:t>Point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4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ordre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jour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provisoire</w:t>
      </w:r>
    </w:p>
    <w:p w:rsidR="007F2355" w:rsidRPr="003C5D93" w:rsidRDefault="007F2355" w:rsidP="003C5D93">
      <w:pPr>
        <w:rPr>
          <w:b/>
          <w:bCs/>
        </w:rPr>
      </w:pPr>
      <w:r w:rsidRPr="003C5D93">
        <w:rPr>
          <w:b/>
          <w:lang w:val="fr-FR"/>
        </w:rPr>
        <w:t>Examen</w:t>
      </w:r>
      <w:r w:rsidR="003D00FD">
        <w:rPr>
          <w:b/>
          <w:lang w:val="fr-FR"/>
        </w:rPr>
        <w:t xml:space="preserve"> </w:t>
      </w:r>
      <w:r w:rsidRPr="003C5D93">
        <w:rPr>
          <w:b/>
          <w:lang w:val="fr-FR"/>
        </w:rPr>
        <w:t>des</w:t>
      </w:r>
      <w:r w:rsidR="003D00FD">
        <w:rPr>
          <w:b/>
          <w:lang w:val="fr-FR"/>
        </w:rPr>
        <w:t xml:space="preserve"> </w:t>
      </w:r>
      <w:r w:rsidRPr="003C5D93">
        <w:rPr>
          <w:b/>
          <w:lang w:val="fr-FR"/>
        </w:rPr>
        <w:t>rapports</w:t>
      </w:r>
      <w:r w:rsidR="003D00FD">
        <w:rPr>
          <w:b/>
          <w:lang w:val="fr-FR"/>
        </w:rPr>
        <w:t xml:space="preserve"> </w:t>
      </w:r>
      <w:r w:rsidRPr="003C5D93">
        <w:rPr>
          <w:b/>
          <w:lang w:val="fr-FR"/>
        </w:rPr>
        <w:t>des</w:t>
      </w:r>
      <w:r w:rsidR="003D00FD">
        <w:rPr>
          <w:b/>
          <w:lang w:val="fr-FR"/>
        </w:rPr>
        <w:t xml:space="preserve"> </w:t>
      </w:r>
      <w:r w:rsidRPr="003C5D93">
        <w:rPr>
          <w:b/>
          <w:lang w:val="fr-FR"/>
        </w:rPr>
        <w:t>États</w:t>
      </w:r>
      <w:r w:rsidR="003D00FD">
        <w:rPr>
          <w:b/>
          <w:lang w:val="fr-FR"/>
        </w:rPr>
        <w:t xml:space="preserve"> </w:t>
      </w:r>
      <w:r w:rsidRPr="003C5D93">
        <w:rPr>
          <w:b/>
          <w:lang w:val="fr-FR"/>
        </w:rPr>
        <w:t>parties</w:t>
      </w:r>
    </w:p>
    <w:p w:rsidR="007F2355" w:rsidRPr="009D4EA2" w:rsidRDefault="007F2355" w:rsidP="007E6014">
      <w:pPr>
        <w:pStyle w:val="HChG"/>
      </w:pPr>
      <w:r w:rsidRPr="009D4EA2">
        <w:rPr>
          <w:lang w:val="fr-FR"/>
        </w:rPr>
        <w:tab/>
      </w:r>
      <w:r w:rsidRPr="009D4EA2">
        <w:rPr>
          <w:lang w:val="fr-FR"/>
        </w:rPr>
        <w:tab/>
        <w:t>Liste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points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concernant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Espagne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valant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cinquième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sixième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périodiques</w:t>
      </w:r>
    </w:p>
    <w:p w:rsidR="007F2355" w:rsidRPr="009D4EA2" w:rsidRDefault="007F2355" w:rsidP="003D00FD">
      <w:pPr>
        <w:pStyle w:val="SingleTxtG"/>
        <w:ind w:firstLine="567"/>
        <w:rPr>
          <w:rFonts w:eastAsia="SimSun"/>
        </w:rPr>
      </w:pP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est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invité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soumettre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écrit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complémentaires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actualisées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(10</w:t>
      </w:r>
      <w:r w:rsidR="003D00FD">
        <w:rPr>
          <w:lang w:val="fr-FR"/>
        </w:rPr>
        <w:t> </w:t>
      </w:r>
      <w:r w:rsidRPr="009D4EA2">
        <w:rPr>
          <w:lang w:val="fr-FR"/>
        </w:rPr>
        <w:t>700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mots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maximum),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possible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15</w:t>
      </w:r>
      <w:r w:rsidR="003D00FD">
        <w:rPr>
          <w:lang w:val="fr-FR"/>
        </w:rPr>
        <w:t> </w:t>
      </w:r>
      <w:r w:rsidRPr="009D4EA2">
        <w:rPr>
          <w:lang w:val="fr-FR"/>
        </w:rPr>
        <w:t>octobre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2017.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Comité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pourra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aborder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tous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aspects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droits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énoncés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Convention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dialogue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avec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partie.</w:t>
      </w:r>
    </w:p>
    <w:p w:rsidR="007F2355" w:rsidRPr="009D4EA2" w:rsidRDefault="007F2355" w:rsidP="007E6014">
      <w:pPr>
        <w:pStyle w:val="HChG"/>
      </w:pPr>
      <w:r w:rsidRPr="009D4EA2">
        <w:rPr>
          <w:lang w:val="fr-FR"/>
        </w:rPr>
        <w:tab/>
      </w:r>
      <w:r w:rsidRPr="009D4EA2">
        <w:rPr>
          <w:lang w:val="fr-FR"/>
        </w:rPr>
        <w:tab/>
        <w:t>Première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1.</w:t>
      </w:r>
      <w:r w:rsidRPr="009D4EA2">
        <w:rPr>
          <w:lang w:val="fr-FR"/>
        </w:rPr>
        <w:tab/>
        <w:t>Expliquer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garantit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toutes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application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homogène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lois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règlements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administratifs,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pleinement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conforme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principes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dispositions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Convention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Protocoles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facultatifs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CRC/C/ESP/CO/3-4,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3D00FD">
        <w:rPr>
          <w:lang w:val="fr-FR"/>
        </w:rPr>
        <w:t> </w:t>
      </w:r>
      <w:r w:rsidRPr="009D4EA2">
        <w:rPr>
          <w:lang w:val="fr-FR"/>
        </w:rPr>
        <w:t>10),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notamment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domaines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éducation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protection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où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doivent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encore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procéder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réformes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législatives.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2.</w:t>
      </w:r>
      <w:r w:rsidRPr="009D4EA2">
        <w:rPr>
          <w:lang w:val="fr-FR"/>
        </w:rPr>
        <w:tab/>
        <w:t>Décrire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organes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administration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centrale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chargés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coopération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avec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</w:t>
      </w:r>
      <w:r w:rsidR="00A5104F">
        <w:rPr>
          <w:lang w:val="fr-FR"/>
        </w:rPr>
        <w:t>’</w:t>
      </w:r>
      <w:r w:rsidRPr="009D4EA2">
        <w:rPr>
          <w:lang w:val="fr-FR"/>
        </w:rPr>
        <w:t>y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prennent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assurer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coordination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effective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application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Convention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CRC/C/ESP/5-6,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3D00FD">
        <w:rPr>
          <w:lang w:val="fr-FR"/>
        </w:rPr>
        <w:t> </w:t>
      </w:r>
      <w:r w:rsidRPr="009D4EA2">
        <w:rPr>
          <w:lang w:val="fr-FR"/>
        </w:rPr>
        <w:t>19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20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CRC/C/ESP/CO/3-4,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3D00FD">
        <w:rPr>
          <w:lang w:val="fr-FR"/>
        </w:rPr>
        <w:t> </w:t>
      </w:r>
      <w:r w:rsidRPr="009D4EA2">
        <w:rPr>
          <w:lang w:val="fr-FR"/>
        </w:rPr>
        <w:t>12).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résultats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concrets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Commission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Observatoire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national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est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chargée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promouvoir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coopération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institutionnelle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avec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observatoires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jour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actuelle,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où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deuxième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stratégique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national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adolescence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2013-2016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CRC/C/ESP/5-6,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3D00FD">
        <w:rPr>
          <w:lang w:val="fr-FR"/>
        </w:rPr>
        <w:t> </w:t>
      </w:r>
      <w:r w:rsidRPr="009D4EA2">
        <w:rPr>
          <w:lang w:val="fr-FR"/>
        </w:rPr>
        <w:t>22)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est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arrivé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échéance.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3.</w:t>
      </w:r>
      <w:r w:rsidRPr="009D4EA2">
        <w:rPr>
          <w:lang w:val="fr-FR"/>
        </w:rPr>
        <w:tab/>
        <w:t>Présenter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adoptées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garantir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affectation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moyens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suffisants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application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lois,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politiques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stratégiques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vigueur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échelon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national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CRC/C/ESP/5-6,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3D00FD">
        <w:rPr>
          <w:lang w:val="fr-FR"/>
        </w:rPr>
        <w:t> </w:t>
      </w:r>
      <w:r w:rsidRPr="009D4EA2">
        <w:rPr>
          <w:lang w:val="fr-FR"/>
        </w:rPr>
        <w:t>10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12).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Présenter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également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prises,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particulier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évaluer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crédits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budgétaires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nécessaires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protection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instaurer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mécanismes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spécifiques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permettant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protéger,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même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temps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crise,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ressources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économiques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affectées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CRC/C/ESP/CO/3-4,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3D00FD">
        <w:rPr>
          <w:lang w:val="fr-FR"/>
        </w:rPr>
        <w:t> </w:t>
      </w:r>
      <w:r w:rsidRPr="009D4EA2">
        <w:rPr>
          <w:lang w:val="fr-FR"/>
        </w:rPr>
        <w:t>16).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4.</w:t>
      </w:r>
      <w:r w:rsidRPr="009D4EA2">
        <w:rPr>
          <w:lang w:val="fr-FR"/>
        </w:rPr>
        <w:tab/>
        <w:t>Présenter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mécanismes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coopération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Observatoire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national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Institut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national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statistique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acteurs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contribuant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collecte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statistiques.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Présenter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également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adoptées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renforcer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système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collecte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analyse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systématique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ventilées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fiables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question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lastRenderedPageBreak/>
        <w:t>mettant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accent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moins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visibles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CRC/C/ESP/CO/3-4,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A5104F">
        <w:rPr>
          <w:lang w:val="fr-FR"/>
        </w:rPr>
        <w:t> </w:t>
      </w:r>
      <w:r w:rsidRPr="009D4EA2">
        <w:rPr>
          <w:lang w:val="fr-FR"/>
        </w:rPr>
        <w:t>18).</w:t>
      </w:r>
      <w:r w:rsidR="003D00FD">
        <w:rPr>
          <w:lang w:val="fr-FR"/>
        </w:rPr>
        <w:t xml:space="preserve"> </w:t>
      </w:r>
    </w:p>
    <w:p w:rsidR="007F2355" w:rsidRPr="009D4EA2" w:rsidRDefault="007F2355" w:rsidP="00A5104F">
      <w:pPr>
        <w:pStyle w:val="SingleTxtG"/>
      </w:pPr>
      <w:r w:rsidRPr="009D4EA2">
        <w:rPr>
          <w:lang w:val="fr-FR"/>
        </w:rPr>
        <w:t>5.</w:t>
      </w:r>
      <w:r w:rsidRPr="009D4EA2">
        <w:rPr>
          <w:lang w:val="fr-FR"/>
        </w:rPr>
        <w:tab/>
        <w:t>Présenter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raisons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suppression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institutions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Médiateur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adoptées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renforcer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compétence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Défenseur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peuple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question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niveau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CRC/C/ESP/5</w:t>
      </w:r>
      <w:r w:rsidRPr="009D4EA2">
        <w:rPr>
          <w:lang w:val="fr-FR"/>
        </w:rPr>
        <w:noBreakHyphen/>
        <w:t>6,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A5104F">
        <w:rPr>
          <w:lang w:val="fr-FR"/>
        </w:rPr>
        <w:t> </w:t>
      </w:r>
      <w:r w:rsidRPr="009D4EA2">
        <w:rPr>
          <w:lang w:val="fr-FR"/>
        </w:rPr>
        <w:t>47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48).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6.</w:t>
      </w:r>
      <w:r w:rsidRPr="009D4EA2">
        <w:rPr>
          <w:lang w:val="fr-FR"/>
        </w:rPr>
        <w:tab/>
        <w:t>Indiquer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adoptées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éliminer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discrimination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fait,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particulier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encontre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origine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rom,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étrangers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accompagnés,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migrants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irrégulière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CRC/C/ESP/CO/3-4,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A5104F">
        <w:rPr>
          <w:lang w:val="fr-FR"/>
        </w:rPr>
        <w:t> </w:t>
      </w:r>
      <w:r w:rsidRPr="009D4EA2">
        <w:rPr>
          <w:lang w:val="fr-FR"/>
        </w:rPr>
        <w:t>26).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7.</w:t>
      </w:r>
      <w:r w:rsidRPr="009D4EA2">
        <w:rPr>
          <w:lang w:val="fr-FR"/>
        </w:rPr>
        <w:tab/>
        <w:t>Donner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combattre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violence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sexiste,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familiale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scolaire,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mettre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stratégie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globale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permettant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coordonner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action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différents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niveaux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administration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cas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violences,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mauvais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traitements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sévices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CRC/C/ESP/5-6,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A5104F">
        <w:rPr>
          <w:lang w:val="fr-FR"/>
        </w:rPr>
        <w:t> </w:t>
      </w:r>
      <w:r w:rsidRPr="009D4EA2">
        <w:rPr>
          <w:lang w:val="fr-FR"/>
        </w:rPr>
        <w:t>125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144).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Expliquer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précisément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progrès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réalisés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égard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grâce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formation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campagnes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sensibilisation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sociale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(par.</w:t>
      </w:r>
      <w:r w:rsidR="00A5104F">
        <w:rPr>
          <w:lang w:val="fr-FR"/>
        </w:rPr>
        <w:t> </w:t>
      </w:r>
      <w:r w:rsidRPr="009D4EA2">
        <w:rPr>
          <w:lang w:val="fr-FR"/>
        </w:rPr>
        <w:t>142).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prises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lutter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harcèlement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scolaire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harcèlement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sexuel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</w:t>
      </w:r>
      <w:r w:rsidR="00A5104F">
        <w:rPr>
          <w:lang w:val="fr-FR"/>
        </w:rPr>
        <w:t>’</w:t>
      </w:r>
      <w:r w:rsidRPr="009D4EA2">
        <w:rPr>
          <w:lang w:val="fr-FR"/>
        </w:rPr>
        <w:t>opère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Internet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moyen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nouvelles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technologies.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8.</w:t>
      </w:r>
      <w:r w:rsidRPr="009D4EA2">
        <w:rPr>
          <w:lang w:val="fr-FR"/>
        </w:rPr>
        <w:tab/>
        <w:t>Préciser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figurant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CRC/C/ESP/5-6,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A5104F">
        <w:rPr>
          <w:lang w:val="fr-FR"/>
        </w:rPr>
        <w:t> </w:t>
      </w:r>
      <w:r w:rsidRPr="009D4EA2">
        <w:rPr>
          <w:lang w:val="fr-FR"/>
        </w:rPr>
        <w:t>220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249)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concerne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prises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</w:t>
      </w:r>
      <w:r w:rsidR="00A5104F">
        <w:rPr>
          <w:lang w:val="fr-FR"/>
        </w:rPr>
        <w:t>’</w:t>
      </w:r>
      <w:r w:rsidRPr="009D4EA2">
        <w:rPr>
          <w:lang w:val="fr-FR"/>
        </w:rPr>
        <w:t>attaquer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causes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structurelles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pauvreté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touchant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expressément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adoptées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favoriser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inclusion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sociale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aider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financièrement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familles.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égard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paragraphe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28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décrire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adoptées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suite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recommandation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Commission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européenne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«</w:t>
      </w:r>
      <w:r w:rsidR="00A5104F">
        <w:rPr>
          <w:lang w:val="fr-FR"/>
        </w:rPr>
        <w:t> </w:t>
      </w:r>
      <w:r w:rsidRPr="009D4EA2">
        <w:rPr>
          <w:lang w:val="fr-FR"/>
        </w:rPr>
        <w:t>Investir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briser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cercle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vicieux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inégalité</w:t>
      </w:r>
      <w:r w:rsidR="00A5104F">
        <w:rPr>
          <w:lang w:val="fr-FR"/>
        </w:rPr>
        <w:t> </w:t>
      </w:r>
      <w:r w:rsidRPr="009D4EA2">
        <w:rPr>
          <w:lang w:val="fr-FR"/>
        </w:rPr>
        <w:t>»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servant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feuille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route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(par.</w:t>
      </w:r>
      <w:r w:rsidR="00A5104F">
        <w:rPr>
          <w:lang w:val="fr-FR"/>
        </w:rPr>
        <w:t> </w:t>
      </w:r>
      <w:r w:rsidRPr="009D4EA2">
        <w:rPr>
          <w:lang w:val="fr-FR"/>
        </w:rPr>
        <w:t>220).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9.</w:t>
      </w:r>
      <w:r w:rsidRPr="009D4EA2">
        <w:rPr>
          <w:lang w:val="fr-FR"/>
        </w:rPr>
        <w:tab/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prises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faciliter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inclusion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sociale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mentionner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initiatives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consacrées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élimination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discrimination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fondée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ainsi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répartition,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exprimée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pourcentage,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investissements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correspondants.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complément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paragraphe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198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préciser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prises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afin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harmoniser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lois,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politiques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pratiques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vigueur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ensemble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territoire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concerne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avec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256F6D">
        <w:rPr>
          <w:lang w:val="fr-FR"/>
        </w:rPr>
        <w:t> </w:t>
      </w:r>
      <w:r w:rsidRPr="009D4EA2">
        <w:rPr>
          <w:lang w:val="fr-FR"/>
        </w:rPr>
        <w:t>Convention.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10.</w:t>
      </w:r>
      <w:r w:rsidRPr="009D4EA2">
        <w:rPr>
          <w:lang w:val="fr-FR"/>
        </w:rPr>
        <w:tab/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actualisées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évaluation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santé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général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ainsi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adoption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application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un</w:t>
      </w:r>
      <w:r w:rsidR="003D00FD">
        <w:rPr>
          <w:lang w:val="fr-FR"/>
        </w:rPr>
        <w:t xml:space="preserve"> </w:t>
      </w:r>
      <w:r w:rsidR="00FF4321">
        <w:rPr>
          <w:lang w:val="fr-FR"/>
        </w:rPr>
        <w:t>p</w:t>
      </w:r>
      <w:r w:rsidRPr="009D4EA2">
        <w:rPr>
          <w:lang w:val="fr-FR"/>
        </w:rPr>
        <w:t>lan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santé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mentale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CRC/C/ESP/5-6,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A5104F">
        <w:rPr>
          <w:lang w:val="fr-FR"/>
        </w:rPr>
        <w:t> </w:t>
      </w:r>
      <w:r w:rsidRPr="009D4EA2">
        <w:rPr>
          <w:lang w:val="fr-FR"/>
        </w:rPr>
        <w:t>204).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Présenter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résultats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Stratégie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nationale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lutte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drogue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2009-2016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action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2013-2016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égard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recommandation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Comité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consommation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drogue</w:t>
      </w:r>
      <w:r w:rsidR="00FF4321">
        <w:rPr>
          <w:lang w:val="fr-FR"/>
        </w:rPr>
        <w:t>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chez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CRC/C/ESP/CO/3-4,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A5104F">
        <w:rPr>
          <w:lang w:val="fr-FR"/>
        </w:rPr>
        <w:t> </w:t>
      </w:r>
      <w:r w:rsidRPr="009D4EA2">
        <w:rPr>
          <w:lang w:val="fr-FR"/>
        </w:rPr>
        <w:t>51)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vigueur.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11.</w:t>
      </w:r>
      <w:r w:rsidRPr="009D4EA2">
        <w:rPr>
          <w:lang w:val="fr-FR"/>
        </w:rPr>
        <w:tab/>
        <w:t>Indiquer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prévoit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réformer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système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éducatif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afin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harmoniser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mettre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terme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actuelles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inégalités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accès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éducation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qualité,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lesquelles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fonction,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autres,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laquelle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réside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élève,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</w:t>
      </w:r>
      <w:r w:rsidR="00A5104F">
        <w:rPr>
          <w:lang w:val="fr-FR"/>
        </w:rPr>
        <w:t>’</w:t>
      </w:r>
      <w:r w:rsidRPr="009D4EA2">
        <w:rPr>
          <w:lang w:val="fr-FR"/>
        </w:rPr>
        <w:t>il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habite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zone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urbaine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zone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rurale,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socioéconomique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famille,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origine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Présenter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adoptées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développer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offre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éducative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0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3</w:t>
      </w:r>
      <w:r w:rsidR="0029345C">
        <w:rPr>
          <w:lang w:val="fr-FR"/>
        </w:rPr>
        <w:t> </w:t>
      </w:r>
      <w:r w:rsidRPr="009D4EA2">
        <w:rPr>
          <w:lang w:val="fr-FR"/>
        </w:rPr>
        <w:t>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ensemble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territoire.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prévoit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accroître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investissements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éducation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aligner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moyenne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européenne.</w:t>
      </w:r>
      <w:r w:rsidR="003D00FD">
        <w:rPr>
          <w:lang w:val="fr-FR"/>
        </w:rPr>
        <w:t xml:space="preserve"> </w:t>
      </w:r>
    </w:p>
    <w:p w:rsidR="007F2355" w:rsidRPr="009D4EA2" w:rsidRDefault="007F2355" w:rsidP="0029345C">
      <w:pPr>
        <w:pStyle w:val="SingleTxtG"/>
        <w:keepNext/>
      </w:pPr>
      <w:r w:rsidRPr="009D4EA2">
        <w:rPr>
          <w:lang w:val="fr-FR"/>
        </w:rPr>
        <w:t>12.</w:t>
      </w:r>
      <w:r w:rsidRPr="009D4EA2">
        <w:rPr>
          <w:lang w:val="fr-FR"/>
        </w:rPr>
        <w:tab/>
        <w:t>Donner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> :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a)</w:t>
      </w:r>
      <w:r w:rsidRPr="009D4EA2">
        <w:rPr>
          <w:lang w:val="fr-FR"/>
        </w:rPr>
        <w:tab/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réformes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portant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demandeurs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asile,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réfugiés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migrants</w:t>
      </w:r>
      <w:r w:rsidR="003D00FD">
        <w:rPr>
          <w:lang w:val="fr-FR"/>
        </w:rPr>
        <w:t xml:space="preserve"> ; 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b)</w:t>
      </w:r>
      <w:r w:rsidRPr="009D4EA2">
        <w:rPr>
          <w:lang w:val="fr-FR"/>
        </w:rPr>
        <w:tab/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envisagées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améliorer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information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reçoivent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concerne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droit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demander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asile</w:t>
      </w:r>
      <w:r w:rsidR="003D00FD">
        <w:rPr>
          <w:lang w:val="fr-FR"/>
        </w:rPr>
        <w:t xml:space="preserve"> ; 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c)</w:t>
      </w:r>
      <w:r w:rsidRPr="009D4EA2">
        <w:rPr>
          <w:lang w:val="fr-FR"/>
        </w:rPr>
        <w:tab/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savoir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</w:t>
      </w:r>
      <w:r w:rsidR="00A5104F">
        <w:rPr>
          <w:lang w:val="fr-FR"/>
        </w:rPr>
        <w:t>’</w:t>
      </w:r>
      <w:r w:rsidRPr="009D4EA2">
        <w:rPr>
          <w:lang w:val="fr-FR"/>
        </w:rPr>
        <w:t>il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est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prévu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inscrire</w:t>
      </w:r>
      <w:r w:rsidR="003D00FD"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Règlement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relatif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asile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droit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mineurs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présenter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demande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asile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indépendante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d)</w:t>
      </w:r>
      <w:r w:rsidRPr="009D4EA2">
        <w:rPr>
          <w:lang w:val="fr-FR"/>
        </w:rPr>
        <w:tab/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prévues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garantir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non-refoulement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mineurs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étrangers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accompagnés,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particulier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Ceuta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Melilla,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ainsi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conformité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procédures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règles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avec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condition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mineurs.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13.</w:t>
      </w:r>
      <w:r w:rsidRPr="009D4EA2">
        <w:rPr>
          <w:lang w:val="fr-FR"/>
        </w:rPr>
        <w:tab/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actualisées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résultats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stratégiques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lutte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exploitation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sexuelle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mentionnés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paragraphe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309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global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lutte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traite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femmes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exploitation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sexuelle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2015</w:t>
      </w:r>
      <w:r w:rsidR="0029345C">
        <w:rPr>
          <w:lang w:val="fr-FR"/>
        </w:rPr>
        <w:t>-</w:t>
      </w:r>
      <w:r w:rsidRPr="009D4EA2">
        <w:rPr>
          <w:lang w:val="fr-FR"/>
        </w:rPr>
        <w:t>2018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(voir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CRC/C/ESP/5-6,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par.</w:t>
      </w:r>
      <w:r w:rsidR="0029345C">
        <w:rPr>
          <w:lang w:val="fr-FR"/>
        </w:rPr>
        <w:t> </w:t>
      </w:r>
      <w:r w:rsidRPr="009D4EA2">
        <w:rPr>
          <w:lang w:val="fr-FR"/>
        </w:rPr>
        <w:t>316).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prises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sorte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tous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cas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traite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fassent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objet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enquêtes,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ainsi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</w:t>
      </w:r>
      <w:r w:rsidR="00A5104F">
        <w:rPr>
          <w:lang w:val="fr-FR"/>
        </w:rPr>
        <w:t>’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concerne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protection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aide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victimes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traite,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notamment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papiers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irrégulière.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HChG"/>
      </w:pPr>
      <w:r w:rsidRPr="009D4EA2">
        <w:rPr>
          <w:lang w:val="fr-FR"/>
        </w:rPr>
        <w:tab/>
      </w:r>
      <w:r w:rsidRPr="009D4EA2">
        <w:rPr>
          <w:lang w:val="fr-FR"/>
        </w:rPr>
        <w:tab/>
        <w:t>Deuxième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14.</w:t>
      </w:r>
      <w:r w:rsidRPr="009D4EA2">
        <w:rPr>
          <w:lang w:val="fr-FR"/>
        </w:rPr>
        <w:tab/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est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invité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mettre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jour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brièvement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trois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pages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maximum)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renseignements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concerne</w:t>
      </w:r>
      <w:r w:rsidR="003D00FD">
        <w:rPr>
          <w:lang w:val="fr-FR"/>
        </w:rPr>
        <w:t> :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a)</w:t>
      </w:r>
      <w:r w:rsidRPr="009D4EA2">
        <w:rPr>
          <w:lang w:val="fr-FR"/>
        </w:rPr>
        <w:tab/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nouveaux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projets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textes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loi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règlements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application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respectifs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b)</w:t>
      </w:r>
      <w:r w:rsidRPr="009D4EA2">
        <w:rPr>
          <w:lang w:val="fr-FR"/>
        </w:rPr>
        <w:tab/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nouvelles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institutions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mandat,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financement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réformes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institutionnelles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c)</w:t>
      </w:r>
      <w:r w:rsidRPr="009D4EA2">
        <w:rPr>
          <w:lang w:val="fr-FR"/>
        </w:rPr>
        <w:tab/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politiques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programmes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récemment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adoptés,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ainsi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champ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application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financement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d)</w:t>
      </w:r>
      <w:r w:rsidRPr="009D4EA2">
        <w:rPr>
          <w:lang w:val="fr-FR"/>
        </w:rPr>
        <w:tab/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instruments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relatifs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droits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homme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récemment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ratifiés.</w:t>
      </w:r>
    </w:p>
    <w:p w:rsidR="007F2355" w:rsidRPr="009D4EA2" w:rsidRDefault="007F2355" w:rsidP="007E6014">
      <w:pPr>
        <w:pStyle w:val="HChG"/>
      </w:pPr>
      <w:r w:rsidRPr="009D4EA2">
        <w:rPr>
          <w:lang w:val="fr-FR"/>
        </w:rPr>
        <w:tab/>
      </w:r>
      <w:r w:rsidRPr="009D4EA2">
        <w:rPr>
          <w:lang w:val="fr-FR"/>
        </w:rPr>
        <w:tab/>
        <w:t>Troisième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</w:p>
    <w:p w:rsidR="007F2355" w:rsidRPr="009D4EA2" w:rsidRDefault="007F2355" w:rsidP="007E6014">
      <w:pPr>
        <w:pStyle w:val="H23G"/>
      </w:pPr>
      <w:r w:rsidRPr="009D4EA2">
        <w:rPr>
          <w:lang w:val="fr-FR"/>
        </w:rPr>
        <w:tab/>
      </w:r>
      <w:r w:rsidRPr="009D4EA2">
        <w:rPr>
          <w:lang w:val="fr-FR"/>
        </w:rPr>
        <w:tab/>
        <w:t>Données,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statistiques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disponibles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15.</w:t>
      </w:r>
      <w:r w:rsidRPr="009D4EA2">
        <w:rPr>
          <w:lang w:val="fr-FR"/>
        </w:rPr>
        <w:tab/>
        <w:t>Indiquer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montant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budget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alloué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services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aide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communautés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autonomes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municipalités.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Indiquer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couverture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fonction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âge,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géographique,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regard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migration,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asile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handicap.</w:t>
      </w:r>
      <w:r w:rsidR="003D00FD">
        <w:rPr>
          <w:lang w:val="fr-FR"/>
        </w:rPr>
        <w:t xml:space="preserve"> </w:t>
      </w:r>
    </w:p>
    <w:p w:rsidR="007F2355" w:rsidRPr="009D4EA2" w:rsidRDefault="007F2355" w:rsidP="0029345C">
      <w:pPr>
        <w:pStyle w:val="SingleTxtG"/>
        <w:keepNext/>
      </w:pPr>
      <w:r w:rsidRPr="009D4EA2">
        <w:rPr>
          <w:lang w:val="fr-FR"/>
        </w:rPr>
        <w:t>16.</w:t>
      </w:r>
      <w:r w:rsidRPr="009D4EA2">
        <w:rPr>
          <w:lang w:val="fr-FR"/>
        </w:rPr>
        <w:tab/>
        <w:t>Fournir,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trois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dernières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années,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ventilées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âge,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socioéconomique,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origine,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type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population</w:t>
      </w:r>
      <w:r w:rsidR="003D00FD">
        <w:rPr>
          <w:lang w:val="fr-FR"/>
        </w:rPr>
        <w:t xml:space="preserve"> </w:t>
      </w:r>
      <w:r w:rsidR="00483DDC">
        <w:rPr>
          <w:lang w:val="fr-FR"/>
        </w:rPr>
        <w:t>(</w:t>
      </w:r>
      <w:r w:rsidRPr="009D4EA2">
        <w:rPr>
          <w:lang w:val="fr-FR"/>
        </w:rPr>
        <w:t>rurale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="00483DDC">
        <w:rPr>
          <w:lang w:val="fr-FR"/>
        </w:rPr>
        <w:t>urbaine)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géographique)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indiquant</w:t>
      </w:r>
      <w:r w:rsidR="003D00FD">
        <w:rPr>
          <w:lang w:val="fr-FR"/>
        </w:rPr>
        <w:t> :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a)</w:t>
      </w:r>
      <w:r w:rsidRPr="009D4EA2">
        <w:rPr>
          <w:lang w:val="fr-FR"/>
        </w:rPr>
        <w:tab/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victimes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mauvais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traitements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violences,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apportant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également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complément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information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type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violence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(violences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sexuelles,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violence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familiale,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harcèlement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scolaire,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autres)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aide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dispensée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victimes,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indemnisations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versées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suivi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assuré,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ainsi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poursuites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engagées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encontre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jugements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rendus.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Fournir,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possible,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auteurs,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indiquant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</w:t>
      </w:r>
      <w:r w:rsidR="00A5104F">
        <w:rPr>
          <w:lang w:val="fr-FR"/>
        </w:rPr>
        <w:t>’</w:t>
      </w:r>
      <w:r w:rsidRPr="009D4EA2">
        <w:rPr>
          <w:lang w:val="fr-FR"/>
        </w:rPr>
        <w:t>il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</w:t>
      </w:r>
      <w:r w:rsidR="00A5104F">
        <w:rPr>
          <w:lang w:val="fr-FR"/>
        </w:rPr>
        <w:t>’</w:t>
      </w:r>
      <w:r w:rsidRPr="009D4EA2">
        <w:rPr>
          <w:lang w:val="fr-FR"/>
        </w:rPr>
        <w:t>agissait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proches,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membres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personnel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scolaire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autres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personnes</w:t>
      </w:r>
      <w:r w:rsidR="003D00FD">
        <w:rPr>
          <w:lang w:val="fr-FR"/>
        </w:rPr>
        <w:t xml:space="preserve"> ; 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b)</w:t>
      </w:r>
      <w:r w:rsidRPr="009D4EA2">
        <w:rPr>
          <w:lang w:val="fr-FR"/>
        </w:rPr>
        <w:tab/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enquêtes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condamnations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prononcées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affaires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violence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sexuelle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harcèlement,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auxquelles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particulièrement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exposées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établissements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scolaires,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précisant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nature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sanctions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prononcées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c)</w:t>
      </w:r>
      <w:r w:rsidRPr="009D4EA2">
        <w:rPr>
          <w:lang w:val="fr-FR"/>
        </w:rPr>
        <w:tab/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cas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harcèlement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scolaire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pourcentage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écoles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ayant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système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permettant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enregistrer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cas,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consigner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pertinentes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prendre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mesures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voulues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keepNext/>
      </w:pPr>
      <w:r w:rsidRPr="009D4EA2">
        <w:rPr>
          <w:lang w:val="fr-FR"/>
        </w:rPr>
        <w:t>17.</w:t>
      </w:r>
      <w:r w:rsidRPr="009D4EA2">
        <w:rPr>
          <w:lang w:val="fr-FR"/>
        </w:rPr>
        <w:tab/>
        <w:t>Fournir,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trois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dernières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années,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ventilées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âge,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socioéconomique,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origine,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type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population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(rurale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urbaine)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géographique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> :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a)</w:t>
      </w:r>
      <w:r w:rsidRPr="009D4EA2">
        <w:rPr>
          <w:lang w:val="fr-FR"/>
        </w:rPr>
        <w:tab/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pourcentage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écoles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primaires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secondaires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ayant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inscrit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programmes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obligatoires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droits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homme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b)</w:t>
      </w:r>
      <w:r w:rsidRPr="009D4EA2">
        <w:rPr>
          <w:lang w:val="fr-FR"/>
        </w:rPr>
        <w:tab/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avec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vivant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bidonvilles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autres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installations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fortune</w:t>
      </w:r>
      <w:r w:rsidR="003D00FD">
        <w:rPr>
          <w:lang w:val="fr-FR"/>
        </w:rPr>
        <w:t xml:space="preserve"> ; 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c)</w:t>
      </w:r>
      <w:r w:rsidRPr="009D4EA2">
        <w:rPr>
          <w:lang w:val="fr-FR"/>
        </w:rPr>
        <w:tab/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cas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fait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objet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un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renvoi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est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sorti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système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justice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pénale</w:t>
      </w:r>
      <w:r w:rsidR="003D00FD">
        <w:rPr>
          <w:lang w:val="fr-FR"/>
        </w:rPr>
        <w:t xml:space="preserve"> ; 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d)</w:t>
      </w:r>
      <w:r w:rsidRPr="009D4EA2">
        <w:rPr>
          <w:lang w:val="fr-FR"/>
        </w:rPr>
        <w:tab/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profil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affaire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système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justice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mineurs</w:t>
      </w:r>
      <w:r w:rsidR="003D00FD">
        <w:rPr>
          <w:lang w:val="fr-FR"/>
        </w:rPr>
        <w:t xml:space="preserve"> ; 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e)</w:t>
      </w:r>
      <w:r w:rsidRPr="009D4EA2">
        <w:rPr>
          <w:lang w:val="fr-FR"/>
        </w:rPr>
        <w:tab/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adolescents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consommant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drogue.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18.</w:t>
      </w:r>
      <w:r w:rsidRPr="009D4EA2">
        <w:rPr>
          <w:lang w:val="fr-FR"/>
        </w:rPr>
        <w:tab/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ventilées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âge,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origine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géographique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privés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milieu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familial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séparés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parents.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Indiquer,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trois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dernières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années,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> :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a)</w:t>
      </w:r>
      <w:r w:rsidRPr="009D4EA2">
        <w:rPr>
          <w:lang w:val="fr-FR"/>
        </w:rPr>
        <w:tab/>
        <w:t>Séparés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parents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b)</w:t>
      </w:r>
      <w:r w:rsidRPr="009D4EA2">
        <w:rPr>
          <w:lang w:val="fr-FR"/>
        </w:rPr>
        <w:tab/>
        <w:t>Placés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institutions,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y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compris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ceux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encore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placés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«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centres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traitement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»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c)</w:t>
      </w:r>
      <w:r w:rsidRPr="009D4EA2">
        <w:rPr>
          <w:lang w:val="fr-FR"/>
        </w:rPr>
        <w:tab/>
        <w:t>Placés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accueil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proportion)</w:t>
      </w:r>
      <w:r w:rsidR="003D00FD">
        <w:rPr>
          <w:lang w:val="fr-FR"/>
        </w:rPr>
        <w:t> ;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d)</w:t>
      </w:r>
      <w:r w:rsidRPr="009D4EA2">
        <w:rPr>
          <w:lang w:val="fr-FR"/>
        </w:rPr>
        <w:tab/>
        <w:t>Placés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établissements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accueil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proportion)</w:t>
      </w:r>
      <w:r w:rsidR="003D00FD">
        <w:rPr>
          <w:lang w:val="fr-FR"/>
        </w:rPr>
        <w:t xml:space="preserve"> ; </w:t>
      </w:r>
    </w:p>
    <w:p w:rsidR="007F2355" w:rsidRPr="009D4EA2" w:rsidRDefault="007F2355" w:rsidP="0029345C">
      <w:pPr>
        <w:pStyle w:val="SingleTxtG"/>
        <w:ind w:firstLine="567"/>
      </w:pPr>
      <w:r w:rsidRPr="009D4EA2">
        <w:rPr>
          <w:lang w:val="fr-FR"/>
        </w:rPr>
        <w:t>e)</w:t>
      </w:r>
      <w:r w:rsidRPr="009D4EA2">
        <w:rPr>
          <w:lang w:val="fr-FR"/>
        </w:rPr>
        <w:tab/>
        <w:t>Adoptés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pays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étranger,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informations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pays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origine.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19.</w:t>
      </w:r>
      <w:r w:rsidRPr="009D4EA2">
        <w:rPr>
          <w:lang w:val="fr-FR"/>
        </w:rPr>
        <w:tab/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ventilées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pays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origine,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ayant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bénéficié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asile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protection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humanitaire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ainsi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ayant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renvoyés,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extradés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expulsés.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précisions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motifs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renvoi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fournir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liste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pays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vers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lesquels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renvoyés.</w:t>
      </w:r>
    </w:p>
    <w:p w:rsidR="007F2355" w:rsidRPr="009D4EA2" w:rsidRDefault="007F2355" w:rsidP="00D76BD5">
      <w:pPr>
        <w:pStyle w:val="SingleTxtG"/>
        <w:keepNext/>
      </w:pPr>
      <w:r w:rsidRPr="009D4EA2">
        <w:rPr>
          <w:lang w:val="fr-FR"/>
        </w:rPr>
        <w:t>20.</w:t>
      </w:r>
      <w:r w:rsidRPr="009D4EA2">
        <w:rPr>
          <w:lang w:val="fr-FR"/>
        </w:rPr>
        <w:tab/>
        <w:t>Fournir,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trois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dernières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années,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ventilées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âge,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socioéconomique,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origine,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type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population</w:t>
      </w:r>
      <w:r w:rsidR="003D00FD">
        <w:rPr>
          <w:lang w:val="fr-FR"/>
        </w:rPr>
        <w:t xml:space="preserve"> </w:t>
      </w:r>
      <w:r w:rsidR="00E86798">
        <w:rPr>
          <w:lang w:val="fr-FR"/>
        </w:rPr>
        <w:t>(</w:t>
      </w:r>
      <w:bookmarkStart w:id="0" w:name="_GoBack"/>
      <w:bookmarkEnd w:id="0"/>
      <w:r w:rsidRPr="009D4EA2">
        <w:rPr>
          <w:lang w:val="fr-FR"/>
        </w:rPr>
        <w:t>rurale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urbaine</w:t>
      </w:r>
      <w:r w:rsidR="00E86798">
        <w:rPr>
          <w:lang w:val="fr-FR"/>
        </w:rPr>
        <w:t>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géographique)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indiquant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nombre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handicapés</w:t>
      </w:r>
      <w:r w:rsidR="003D00FD">
        <w:rPr>
          <w:lang w:val="fr-FR"/>
        </w:rPr>
        <w:t> :</w:t>
      </w:r>
    </w:p>
    <w:p w:rsidR="007F2355" w:rsidRPr="009D4EA2" w:rsidRDefault="007F2355" w:rsidP="00D76BD5">
      <w:pPr>
        <w:pStyle w:val="SingleTxtG"/>
        <w:ind w:firstLine="567"/>
      </w:pPr>
      <w:r w:rsidRPr="009D4EA2">
        <w:rPr>
          <w:lang w:val="fr-FR"/>
        </w:rPr>
        <w:t>a)</w:t>
      </w:r>
      <w:r w:rsidRPr="009D4EA2">
        <w:rPr>
          <w:lang w:val="fr-FR"/>
        </w:rPr>
        <w:tab/>
        <w:t>Vivant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avec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famille</w:t>
      </w:r>
      <w:r w:rsidR="003D00FD">
        <w:rPr>
          <w:lang w:val="fr-FR"/>
        </w:rPr>
        <w:t> ;</w:t>
      </w:r>
    </w:p>
    <w:p w:rsidR="007F2355" w:rsidRPr="009D4EA2" w:rsidRDefault="007F2355" w:rsidP="00D76BD5">
      <w:pPr>
        <w:pStyle w:val="SingleTxtG"/>
        <w:ind w:firstLine="567"/>
      </w:pPr>
      <w:r w:rsidRPr="009D4EA2">
        <w:rPr>
          <w:lang w:val="fr-FR"/>
        </w:rPr>
        <w:t>b)</w:t>
      </w:r>
      <w:r w:rsidRPr="009D4EA2">
        <w:rPr>
          <w:lang w:val="fr-FR"/>
        </w:rPr>
        <w:tab/>
        <w:t>Vivant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institution</w:t>
      </w:r>
      <w:r w:rsidR="003D00FD">
        <w:rPr>
          <w:lang w:val="fr-FR"/>
        </w:rPr>
        <w:t> ;</w:t>
      </w:r>
    </w:p>
    <w:p w:rsidR="007F2355" w:rsidRPr="009D4EA2" w:rsidRDefault="007F2355" w:rsidP="00D76BD5">
      <w:pPr>
        <w:pStyle w:val="SingleTxtG"/>
        <w:ind w:firstLine="567"/>
      </w:pPr>
      <w:r w:rsidRPr="009D4EA2">
        <w:rPr>
          <w:lang w:val="fr-FR"/>
        </w:rPr>
        <w:t>c)</w:t>
      </w:r>
      <w:r w:rsidRPr="009D4EA2">
        <w:rPr>
          <w:lang w:val="fr-FR"/>
        </w:rPr>
        <w:tab/>
        <w:t>Fréquentant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école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primaire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ordinaire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bénéficiant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un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soutien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individualisé</w:t>
      </w:r>
      <w:r w:rsidR="003D00FD">
        <w:rPr>
          <w:lang w:val="fr-FR"/>
        </w:rPr>
        <w:t> ;</w:t>
      </w:r>
    </w:p>
    <w:p w:rsidR="007F2355" w:rsidRPr="009D4EA2" w:rsidRDefault="007F2355" w:rsidP="00D76BD5">
      <w:pPr>
        <w:pStyle w:val="SingleTxtG"/>
        <w:ind w:firstLine="567"/>
      </w:pPr>
      <w:r w:rsidRPr="009D4EA2">
        <w:rPr>
          <w:lang w:val="fr-FR"/>
        </w:rPr>
        <w:t>d)</w:t>
      </w:r>
      <w:r w:rsidRPr="009D4EA2">
        <w:rPr>
          <w:lang w:val="fr-FR"/>
        </w:rPr>
        <w:tab/>
        <w:t>Fréquentant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école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secondaire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ordinaire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bénéficiant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un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soutien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individualisé</w:t>
      </w:r>
      <w:r w:rsidR="003D00FD">
        <w:rPr>
          <w:lang w:val="fr-FR"/>
        </w:rPr>
        <w:t> ;</w:t>
      </w:r>
    </w:p>
    <w:p w:rsidR="007F2355" w:rsidRPr="009D4EA2" w:rsidRDefault="007F2355" w:rsidP="00D76BD5">
      <w:pPr>
        <w:pStyle w:val="SingleTxtG"/>
        <w:ind w:firstLine="567"/>
      </w:pPr>
      <w:r w:rsidRPr="009D4EA2">
        <w:rPr>
          <w:lang w:val="fr-FR"/>
        </w:rPr>
        <w:t>e)</w:t>
      </w:r>
      <w:r w:rsidRPr="009D4EA2">
        <w:rPr>
          <w:lang w:val="fr-FR"/>
        </w:rPr>
        <w:tab/>
        <w:t>Fréquentant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école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spécialisée</w:t>
      </w:r>
      <w:r w:rsidR="003D00FD">
        <w:rPr>
          <w:lang w:val="fr-FR"/>
        </w:rPr>
        <w:t> ;</w:t>
      </w:r>
    </w:p>
    <w:p w:rsidR="007F2355" w:rsidRPr="009D4EA2" w:rsidRDefault="007F2355" w:rsidP="00D76BD5">
      <w:pPr>
        <w:pStyle w:val="SingleTxtG"/>
        <w:ind w:firstLine="567"/>
      </w:pPr>
      <w:r w:rsidRPr="009D4EA2">
        <w:rPr>
          <w:lang w:val="fr-FR"/>
        </w:rPr>
        <w:t>f)</w:t>
      </w:r>
      <w:r w:rsidRPr="009D4EA2">
        <w:rPr>
          <w:lang w:val="fr-FR"/>
        </w:rPr>
        <w:tab/>
        <w:t>Non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scolarisés.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21.</w:t>
      </w:r>
      <w:r w:rsidRPr="009D4EA2">
        <w:rPr>
          <w:lang w:val="fr-FR"/>
        </w:rPr>
        <w:tab/>
        <w:t>Fournir,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trois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dernières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années,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ventilées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(par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âge,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sexe,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handicap,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socioéconomique,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origine,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type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population</w:t>
      </w:r>
      <w:r w:rsidR="003D00FD">
        <w:rPr>
          <w:lang w:val="fr-FR"/>
        </w:rPr>
        <w:t xml:space="preserve"> </w:t>
      </w:r>
      <w:r w:rsidR="00E86798">
        <w:rPr>
          <w:lang w:val="fr-FR"/>
        </w:rPr>
        <w:t>(</w:t>
      </w:r>
      <w:r w:rsidRPr="009D4EA2">
        <w:rPr>
          <w:lang w:val="fr-FR"/>
        </w:rPr>
        <w:t>rurale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urbaine</w:t>
      </w:r>
      <w:r w:rsidR="00E86798">
        <w:rPr>
          <w:lang w:val="fr-FR"/>
        </w:rPr>
        <w:t>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situation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géographique)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enquêtes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été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condamnations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prononcées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infractions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visées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Protocole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facultatif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concernant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vente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</w:t>
      </w:r>
      <w:r w:rsidR="00A5104F">
        <w:rPr>
          <w:lang w:val="fr-FR"/>
        </w:rPr>
        <w:t>’</w:t>
      </w:r>
      <w:r w:rsidRPr="009D4EA2">
        <w:rPr>
          <w:lang w:val="fr-FR"/>
        </w:rPr>
        <w:t>enfants,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prostitution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pornographie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mettant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scène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enfants.</w:t>
      </w:r>
      <w:r w:rsidR="003D00FD">
        <w:rPr>
          <w:lang w:val="fr-FR"/>
        </w:rPr>
        <w:t xml:space="preserve"> </w:t>
      </w:r>
    </w:p>
    <w:p w:rsidR="007F2355" w:rsidRPr="009D4EA2" w:rsidRDefault="007F2355" w:rsidP="007E6014">
      <w:pPr>
        <w:pStyle w:val="SingleTxtG"/>
      </w:pPr>
      <w:r w:rsidRPr="009D4EA2">
        <w:rPr>
          <w:lang w:val="fr-FR"/>
        </w:rPr>
        <w:t>22.</w:t>
      </w:r>
      <w:r w:rsidRPr="009D4EA2">
        <w:rPr>
          <w:lang w:val="fr-FR"/>
        </w:rPr>
        <w:tab/>
        <w:t>Mettre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à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jour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toutes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données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figurant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dans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qui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seraient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obsolètes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tiendraient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compte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faits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nouveaux.</w:t>
      </w:r>
    </w:p>
    <w:p w:rsidR="007F2355" w:rsidRPr="0000410B" w:rsidRDefault="007F2355" w:rsidP="007E6014">
      <w:pPr>
        <w:pStyle w:val="SingleTxtG"/>
      </w:pPr>
      <w:r w:rsidRPr="009D4EA2">
        <w:rPr>
          <w:lang w:val="fr-FR"/>
        </w:rPr>
        <w:t>23.</w:t>
      </w:r>
      <w:r w:rsidRPr="009D4EA2">
        <w:rPr>
          <w:lang w:val="fr-FR"/>
        </w:rPr>
        <w:tab/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outre,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État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partie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voudra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peut-être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dresser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liste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domaines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rapport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avec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</w:t>
      </w:r>
      <w:r w:rsidR="00A5104F">
        <w:rPr>
          <w:lang w:val="fr-FR"/>
        </w:rPr>
        <w:t>’</w:t>
      </w:r>
      <w:r w:rsidRPr="009D4EA2">
        <w:rPr>
          <w:lang w:val="fr-FR"/>
        </w:rPr>
        <w:t>enfance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qu</w:t>
      </w:r>
      <w:r w:rsidR="00A5104F">
        <w:rPr>
          <w:lang w:val="fr-FR"/>
        </w:rPr>
        <w:t>’</w:t>
      </w:r>
      <w:r w:rsidRPr="009D4EA2">
        <w:rPr>
          <w:lang w:val="fr-FR"/>
        </w:rPr>
        <w:t>il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estime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prioritaires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au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regard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mise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en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œuvre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de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la</w:t>
      </w:r>
      <w:r w:rsidR="003D00FD">
        <w:rPr>
          <w:lang w:val="fr-FR"/>
        </w:rPr>
        <w:t xml:space="preserve"> </w:t>
      </w:r>
      <w:r w:rsidRPr="009D4EA2">
        <w:rPr>
          <w:lang w:val="fr-FR"/>
        </w:rPr>
        <w:t>Convention.</w:t>
      </w:r>
      <w:r w:rsidR="003D00FD">
        <w:rPr>
          <w:lang w:val="fr-FR"/>
        </w:rPr>
        <w:t xml:space="preserve"> </w:t>
      </w:r>
    </w:p>
    <w:p w:rsidR="007341B7" w:rsidRPr="007F2355" w:rsidRDefault="007F2355" w:rsidP="007F23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1B7" w:rsidRPr="007F2355" w:rsidSect="00C079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FD" w:rsidRDefault="003D00FD" w:rsidP="00F95C08">
      <w:pPr>
        <w:spacing w:line="240" w:lineRule="auto"/>
      </w:pPr>
    </w:p>
  </w:endnote>
  <w:endnote w:type="continuationSeparator" w:id="0">
    <w:p w:rsidR="003D00FD" w:rsidRPr="00AC3823" w:rsidRDefault="003D00FD" w:rsidP="00AC3823">
      <w:pPr>
        <w:pStyle w:val="Pieddepage"/>
      </w:pPr>
    </w:p>
  </w:endnote>
  <w:endnote w:type="continuationNotice" w:id="1">
    <w:p w:rsidR="003D00FD" w:rsidRDefault="003D00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FD" w:rsidRPr="00C079DF" w:rsidRDefault="003D00FD" w:rsidP="00C079DF">
    <w:pPr>
      <w:pStyle w:val="Pieddepage"/>
      <w:tabs>
        <w:tab w:val="right" w:pos="9638"/>
      </w:tabs>
    </w:pPr>
    <w:r w:rsidRPr="00C079DF">
      <w:rPr>
        <w:b/>
        <w:sz w:val="18"/>
      </w:rPr>
      <w:fldChar w:fldCharType="begin"/>
    </w:r>
    <w:r w:rsidRPr="00C079DF">
      <w:rPr>
        <w:b/>
        <w:sz w:val="18"/>
      </w:rPr>
      <w:instrText xml:space="preserve"> PAGE  \* MERGEFORMAT </w:instrText>
    </w:r>
    <w:r w:rsidRPr="00C079DF">
      <w:rPr>
        <w:b/>
        <w:sz w:val="18"/>
      </w:rPr>
      <w:fldChar w:fldCharType="separate"/>
    </w:r>
    <w:r w:rsidR="00D14BD8">
      <w:rPr>
        <w:b/>
        <w:noProof/>
        <w:sz w:val="18"/>
      </w:rPr>
      <w:t>4</w:t>
    </w:r>
    <w:r w:rsidRPr="00C079DF">
      <w:rPr>
        <w:b/>
        <w:sz w:val="18"/>
      </w:rPr>
      <w:fldChar w:fldCharType="end"/>
    </w:r>
    <w:r>
      <w:rPr>
        <w:b/>
        <w:sz w:val="18"/>
      </w:rPr>
      <w:tab/>
    </w:r>
    <w:r>
      <w:t>GE.17-11575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FD" w:rsidRPr="00C079DF" w:rsidRDefault="003D00FD" w:rsidP="00C079DF">
    <w:pPr>
      <w:pStyle w:val="Pieddepage"/>
      <w:tabs>
        <w:tab w:val="right" w:pos="9638"/>
      </w:tabs>
      <w:rPr>
        <w:b/>
        <w:sz w:val="18"/>
      </w:rPr>
    </w:pPr>
    <w:r>
      <w:t>GE.17-11575</w:t>
    </w:r>
    <w:r>
      <w:tab/>
    </w:r>
    <w:r w:rsidRPr="00C079DF">
      <w:rPr>
        <w:b/>
        <w:sz w:val="18"/>
      </w:rPr>
      <w:fldChar w:fldCharType="begin"/>
    </w:r>
    <w:r w:rsidRPr="00C079DF">
      <w:rPr>
        <w:b/>
        <w:sz w:val="18"/>
      </w:rPr>
      <w:instrText xml:space="preserve"> PAGE  \* MERGEFORMAT </w:instrText>
    </w:r>
    <w:r w:rsidRPr="00C079DF">
      <w:rPr>
        <w:b/>
        <w:sz w:val="18"/>
      </w:rPr>
      <w:fldChar w:fldCharType="separate"/>
    </w:r>
    <w:r w:rsidR="00D14BD8">
      <w:rPr>
        <w:b/>
        <w:noProof/>
        <w:sz w:val="18"/>
      </w:rPr>
      <w:t>3</w:t>
    </w:r>
    <w:r w:rsidRPr="00C079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FD" w:rsidRPr="00C079DF" w:rsidRDefault="003D00FD" w:rsidP="00C079DF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59A4C8" wp14:editId="461373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17-11575</w:t>
    </w:r>
    <w:r w:rsidR="00A5104F">
      <w:rPr>
        <w:sz w:val="20"/>
      </w:rPr>
      <w:t xml:space="preserve"> </w:t>
    </w:r>
    <w:r>
      <w:rPr>
        <w:sz w:val="20"/>
      </w:rPr>
      <w:t xml:space="preserve"> (F)</w:t>
    </w:r>
    <w:r w:rsidR="00A5104F">
      <w:rPr>
        <w:sz w:val="20"/>
      </w:rPr>
      <w:t xml:space="preserve">    280717    080817</w:t>
    </w:r>
    <w:r>
      <w:rPr>
        <w:sz w:val="20"/>
      </w:rPr>
      <w:br/>
    </w:r>
    <w:r w:rsidRPr="00C079DF">
      <w:rPr>
        <w:rFonts w:ascii="C39T30Lfz" w:hAnsi="C39T30Lfz"/>
        <w:sz w:val="56"/>
      </w:rPr>
      <w:t></w:t>
    </w:r>
    <w:r w:rsidRPr="00C079DF">
      <w:rPr>
        <w:rFonts w:ascii="C39T30Lfz" w:hAnsi="C39T30Lfz"/>
        <w:sz w:val="56"/>
      </w:rPr>
      <w:t></w:t>
    </w:r>
    <w:r w:rsidRPr="00C079DF">
      <w:rPr>
        <w:rFonts w:ascii="C39T30Lfz" w:hAnsi="C39T30Lfz"/>
        <w:sz w:val="56"/>
      </w:rPr>
      <w:t></w:t>
    </w:r>
    <w:r w:rsidRPr="00C079DF">
      <w:rPr>
        <w:rFonts w:ascii="C39T30Lfz" w:hAnsi="C39T30Lfz"/>
        <w:sz w:val="56"/>
      </w:rPr>
      <w:t></w:t>
    </w:r>
    <w:r w:rsidRPr="00C079DF">
      <w:rPr>
        <w:rFonts w:ascii="C39T30Lfz" w:hAnsi="C39T30Lfz"/>
        <w:sz w:val="56"/>
      </w:rPr>
      <w:t></w:t>
    </w:r>
    <w:r w:rsidRPr="00C079DF">
      <w:rPr>
        <w:rFonts w:ascii="C39T30Lfz" w:hAnsi="C39T30Lfz"/>
        <w:sz w:val="56"/>
      </w:rPr>
      <w:t></w:t>
    </w:r>
    <w:r w:rsidRPr="00C079DF">
      <w:rPr>
        <w:rFonts w:ascii="C39T30Lfz" w:hAnsi="C39T30Lfz"/>
        <w:sz w:val="56"/>
      </w:rPr>
      <w:t></w:t>
    </w:r>
    <w:r w:rsidRPr="00C079DF">
      <w:rPr>
        <w:rFonts w:ascii="C39T30Lfz" w:hAnsi="C39T30Lfz"/>
        <w:sz w:val="56"/>
      </w:rPr>
      <w:t></w:t>
    </w:r>
    <w:r w:rsidRPr="00C079D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C/C/ESP/Q/5-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ESP/Q/5-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FD" w:rsidRPr="00AC3823" w:rsidRDefault="003D00F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00FD" w:rsidRPr="00AC3823" w:rsidRDefault="003D00F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D00FD" w:rsidRPr="00AC3823" w:rsidRDefault="003D00F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FD" w:rsidRPr="00C079DF" w:rsidRDefault="00B06589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256F6D">
      <w:t>CRC/C/ESP/Q/5-6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FD" w:rsidRPr="00C079DF" w:rsidRDefault="00B06589" w:rsidP="00C079D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56F6D">
      <w:t>CRC/C/ESP/Q/5-6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366D8F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5E4D6E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564E745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8"/>
    <w:rsid w:val="00017F94"/>
    <w:rsid w:val="00023842"/>
    <w:rsid w:val="000334F9"/>
    <w:rsid w:val="000354E9"/>
    <w:rsid w:val="0007796D"/>
    <w:rsid w:val="000B7790"/>
    <w:rsid w:val="00111F2F"/>
    <w:rsid w:val="0014365E"/>
    <w:rsid w:val="00176178"/>
    <w:rsid w:val="001F525A"/>
    <w:rsid w:val="00223272"/>
    <w:rsid w:val="0024779E"/>
    <w:rsid w:val="00256F6D"/>
    <w:rsid w:val="0029345C"/>
    <w:rsid w:val="002A2878"/>
    <w:rsid w:val="002D14A3"/>
    <w:rsid w:val="00311E81"/>
    <w:rsid w:val="00340ED0"/>
    <w:rsid w:val="003C5D93"/>
    <w:rsid w:val="003D00FD"/>
    <w:rsid w:val="00446FE5"/>
    <w:rsid w:val="00452396"/>
    <w:rsid w:val="00483DDC"/>
    <w:rsid w:val="00485B35"/>
    <w:rsid w:val="004D7A2C"/>
    <w:rsid w:val="005505B7"/>
    <w:rsid w:val="00573BE5"/>
    <w:rsid w:val="00586ED3"/>
    <w:rsid w:val="00596AA9"/>
    <w:rsid w:val="0071601D"/>
    <w:rsid w:val="007341B7"/>
    <w:rsid w:val="00760CBC"/>
    <w:rsid w:val="007A62E6"/>
    <w:rsid w:val="007E6014"/>
    <w:rsid w:val="007F2355"/>
    <w:rsid w:val="0080684C"/>
    <w:rsid w:val="00840413"/>
    <w:rsid w:val="00871C75"/>
    <w:rsid w:val="008776DC"/>
    <w:rsid w:val="008C54BD"/>
    <w:rsid w:val="008F3CA0"/>
    <w:rsid w:val="009705C8"/>
    <w:rsid w:val="00A30353"/>
    <w:rsid w:val="00A5104F"/>
    <w:rsid w:val="00AC3823"/>
    <w:rsid w:val="00AE323C"/>
    <w:rsid w:val="00B00181"/>
    <w:rsid w:val="00B24A9B"/>
    <w:rsid w:val="00B765F7"/>
    <w:rsid w:val="00BA0CA9"/>
    <w:rsid w:val="00C02897"/>
    <w:rsid w:val="00C079DF"/>
    <w:rsid w:val="00D14BD8"/>
    <w:rsid w:val="00D3439C"/>
    <w:rsid w:val="00D76BD5"/>
    <w:rsid w:val="00DB1831"/>
    <w:rsid w:val="00DD3BFD"/>
    <w:rsid w:val="00DF6678"/>
    <w:rsid w:val="00E20785"/>
    <w:rsid w:val="00E86798"/>
    <w:rsid w:val="00F660DF"/>
    <w:rsid w:val="00F95C08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2DD3DA-2A6A-4382-80CB-0A41B501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8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11E8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11E8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11E8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11E8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11E8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11E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11E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311E8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11E8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11E8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11E8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11E8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11E8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311E8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11E8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11E8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11E8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11E8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1E8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11E81"/>
  </w:style>
  <w:style w:type="character" w:customStyle="1" w:styleId="NotedefinCar">
    <w:name w:val="Note de fin Car"/>
    <w:aliases w:val="2_G Car"/>
    <w:basedOn w:val="Policepardfaut"/>
    <w:link w:val="Notedefin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11E8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11E8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F235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4</Pages>
  <Words>1997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CRC/C/ESP/Q/5-6</vt:lpstr>
    </vt:vector>
  </TitlesOfParts>
  <Company>DCM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CRC/C/ESP/Q/5-6</dc:title>
  <dc:subject/>
  <dc:creator>Nicolas MORIN</dc:creator>
  <cp:keywords/>
  <cp:lastModifiedBy>Nicolas MORIN</cp:lastModifiedBy>
  <cp:revision>2</cp:revision>
  <cp:lastPrinted>2017-08-08T08:45:00Z</cp:lastPrinted>
  <dcterms:created xsi:type="dcterms:W3CDTF">2017-08-08T09:45:00Z</dcterms:created>
  <dcterms:modified xsi:type="dcterms:W3CDTF">2017-08-08T09:45:00Z</dcterms:modified>
</cp:coreProperties>
</file>