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E26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E2664" w:rsidP="009E2664">
            <w:pPr>
              <w:jc w:val="right"/>
            </w:pPr>
            <w:r w:rsidRPr="009E2664">
              <w:rPr>
                <w:sz w:val="40"/>
              </w:rPr>
              <w:t>CERD</w:t>
            </w:r>
            <w:r>
              <w:t>/C/94/D/57/2015</w:t>
            </w:r>
          </w:p>
        </w:tc>
      </w:tr>
      <w:tr w:rsidR="002D5AAC" w:rsidRPr="00B93142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E2664" w:rsidRDefault="009E2664" w:rsidP="008D2AAD">
            <w:pPr>
              <w:spacing w:before="240"/>
              <w:rPr>
                <w:lang w:val="en-US"/>
              </w:rPr>
            </w:pPr>
            <w:r w:rsidRPr="009E2664">
              <w:rPr>
                <w:lang w:val="en-US"/>
              </w:rPr>
              <w:t>Distr.: General</w:t>
            </w:r>
          </w:p>
          <w:p w:rsidR="009E2664" w:rsidRPr="009E2664" w:rsidRDefault="009E2664" w:rsidP="009E2664">
            <w:pPr>
              <w:spacing w:line="240" w:lineRule="exact"/>
              <w:rPr>
                <w:lang w:val="en-US"/>
              </w:rPr>
            </w:pPr>
            <w:r w:rsidRPr="009E2664">
              <w:rPr>
                <w:lang w:val="en-US"/>
              </w:rPr>
              <w:t>26 October 2018</w:t>
            </w:r>
          </w:p>
          <w:p w:rsidR="009E2664" w:rsidRPr="009E2664" w:rsidRDefault="009E2664" w:rsidP="009E2664">
            <w:pPr>
              <w:spacing w:line="240" w:lineRule="exact"/>
              <w:rPr>
                <w:lang w:val="en-US"/>
              </w:rPr>
            </w:pPr>
            <w:r w:rsidRPr="009E2664">
              <w:rPr>
                <w:lang w:val="en-US"/>
              </w:rPr>
              <w:t>Russian</w:t>
            </w:r>
          </w:p>
          <w:p w:rsidR="009E2664" w:rsidRPr="009E2664" w:rsidRDefault="009E2664" w:rsidP="009E2664">
            <w:pPr>
              <w:spacing w:line="240" w:lineRule="exact"/>
              <w:rPr>
                <w:lang w:val="en-US"/>
              </w:rPr>
            </w:pPr>
            <w:r w:rsidRPr="009E2664">
              <w:rPr>
                <w:lang w:val="en-US"/>
              </w:rPr>
              <w:t>Original: English</w:t>
            </w:r>
          </w:p>
        </w:tc>
      </w:tr>
    </w:tbl>
    <w:p w:rsidR="009E2664" w:rsidRPr="009E2664" w:rsidRDefault="009E2664" w:rsidP="009E2664">
      <w:pPr>
        <w:spacing w:before="120"/>
        <w:rPr>
          <w:sz w:val="24"/>
          <w:szCs w:val="24"/>
        </w:rPr>
      </w:pPr>
      <w:r w:rsidRPr="009E2664">
        <w:rPr>
          <w:b/>
          <w:bCs/>
          <w:sz w:val="24"/>
          <w:szCs w:val="24"/>
        </w:rPr>
        <w:t>Комитет по ликвидации расовой дискриминации</w:t>
      </w:r>
    </w:p>
    <w:p w:rsidR="009E2664" w:rsidRPr="0064331C" w:rsidRDefault="009E2664" w:rsidP="009E2664">
      <w:pPr>
        <w:pStyle w:val="HChGR"/>
      </w:pPr>
      <w:r>
        <w:tab/>
      </w:r>
      <w:r>
        <w:tab/>
      </w:r>
      <w:r w:rsidRPr="009E2664">
        <w:t>Мнение, принятое Ком</w:t>
      </w:r>
      <w:r>
        <w:t>итетом по сообщению № 57/2015 в </w:t>
      </w:r>
      <w:r w:rsidRPr="009E2664">
        <w:t>соответствии со статьей 14 Конвенции</w:t>
      </w:r>
      <w:r w:rsidRPr="009E2664">
        <w:rPr>
          <w:b w:val="0"/>
          <w:bCs/>
          <w:sz w:val="20"/>
        </w:rPr>
        <w:footnoteReference w:customMarkFollows="1" w:id="1"/>
        <w:t xml:space="preserve">* </w:t>
      </w:r>
      <w:r w:rsidRPr="009E2664">
        <w:rPr>
          <w:b w:val="0"/>
          <w:bCs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proofErr w:type="spellStart"/>
            <w:r w:rsidRPr="009E2664">
              <w:t>Салифу</w:t>
            </w:r>
            <w:proofErr w:type="spellEnd"/>
            <w:r w:rsidRPr="009E2664">
              <w:t xml:space="preserve"> </w:t>
            </w:r>
            <w:proofErr w:type="spellStart"/>
            <w:r w:rsidRPr="009E2664">
              <w:t>Белемвиром</w:t>
            </w:r>
            <w:proofErr w:type="spellEnd"/>
            <w:r w:rsidRPr="009E2664">
              <w:t xml:space="preserve"> (представлен адвокатом Марселем </w:t>
            </w:r>
            <w:proofErr w:type="spellStart"/>
            <w:r w:rsidRPr="009E2664">
              <w:t>Морару</w:t>
            </w:r>
            <w:proofErr w:type="spellEnd"/>
            <w:r w:rsidRPr="009E2664">
              <w:t>)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>
              <w:t>заявитель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 w:rsidRPr="009E2664">
              <w:t>Республика Молдова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 w:rsidRPr="009E2664">
              <w:t>21 апреля 2015 года (первоначальное представление)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 w:rsidP="009E266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</w:t>
            </w:r>
            <w:r>
              <w:rPr>
                <w:i/>
              </w:rPr>
              <w:t>настоящего мнения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9E2664" w:rsidRPr="0064331C" w:rsidRDefault="009E2664">
            <w:pPr>
              <w:spacing w:after="120"/>
            </w:pPr>
            <w:r w:rsidRPr="009E2664">
              <w:t>24 ноября 2017 года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 w:rsidRPr="009E2664">
              <w:t>эффективная защита и средства правовой защиты от любых актов расовой дискриминации; и обязательство государства-участника принимать меры против расовой дискриминации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 w:rsidP="009E266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 w:rsidRPr="009E2664">
              <w:t>дискриминация по признакам национального или этнического происхождения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 w:rsidP="009E266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proofErr w:type="spellStart"/>
            <w:r w:rsidRPr="009E2664">
              <w:t>неисчерпание</w:t>
            </w:r>
            <w:proofErr w:type="spellEnd"/>
            <w:r w:rsidRPr="009E2664">
              <w:t xml:space="preserve"> внутренних средств правовой защиты</w:t>
            </w:r>
          </w:p>
        </w:tc>
      </w:tr>
      <w:tr w:rsidR="009E2664" w:rsidRPr="0064331C" w:rsidTr="009E2664">
        <w:tc>
          <w:tcPr>
            <w:tcW w:w="2936" w:type="dxa"/>
            <w:hideMark/>
          </w:tcPr>
          <w:p w:rsidR="009E2664" w:rsidRPr="0064331C" w:rsidRDefault="009E2664" w:rsidP="009E2664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 xml:space="preserve">Статьи </w:t>
            </w:r>
            <w:r>
              <w:rPr>
                <w:i/>
                <w:iCs/>
              </w:rPr>
              <w:t>Конвенции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9E2664" w:rsidRPr="0064331C" w:rsidRDefault="009E2664">
            <w:pPr>
              <w:spacing w:after="120"/>
            </w:pPr>
            <w:r w:rsidRPr="009E2664">
              <w:t>5</w:t>
            </w:r>
            <w:r>
              <w:t xml:space="preserve"> </w:t>
            </w:r>
            <w:r w:rsidRPr="009E2664">
              <w:t>а) и b), 6 и 7</w:t>
            </w:r>
          </w:p>
        </w:tc>
      </w:tr>
    </w:tbl>
    <w:p w:rsidR="009E2664" w:rsidRPr="0039510E" w:rsidRDefault="009E2664" w:rsidP="009E2664">
      <w:pPr>
        <w:pStyle w:val="SingleTxtG"/>
        <w:spacing w:before="240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Заявителем является </w:t>
      </w:r>
      <w:proofErr w:type="spellStart"/>
      <w:r>
        <w:rPr>
          <w:lang w:val="ru-RU"/>
        </w:rPr>
        <w:t>Салифу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, гражданин Буркина-Фасо, который в настоящее время проживает в Республике Молдова.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утверждает, что является жертвой нарушения Республикой Молдова статей </w:t>
      </w:r>
      <w:proofErr w:type="gramStart"/>
      <w:r>
        <w:rPr>
          <w:lang w:val="ru-RU"/>
        </w:rPr>
        <w:t>5</w:t>
      </w:r>
      <w:proofErr w:type="gramEnd"/>
      <w:r>
        <w:rPr>
          <w:lang w:val="ru-RU"/>
        </w:rPr>
        <w:t xml:space="preserve"> а) и b), 6 и 7 Конвенции. Его представляет адвокат. </w:t>
      </w:r>
    </w:p>
    <w:p w:rsidR="009E2664" w:rsidRPr="0039510E" w:rsidRDefault="009E2664" w:rsidP="009E266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Факты в изложении заявителя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</w:t>
      </w:r>
      <w:r w:rsidR="001052D9">
        <w:rPr>
          <w:lang w:val="ru-RU"/>
        </w:rPr>
        <w:t>.</w:t>
      </w:r>
      <w:r>
        <w:rPr>
          <w:lang w:val="ru-RU"/>
        </w:rPr>
        <w:t>1</w:t>
      </w:r>
      <w:r>
        <w:rPr>
          <w:lang w:val="ru-RU"/>
        </w:rPr>
        <w:tab/>
        <w:t xml:space="preserve">Заявитель сообщает, что 14 ноября 2013 года примерно в 8 часов вечера он садился в общественный микроавтобус. Сев в микроавтобус, он позвонил одному из своих друзей; во время телефонного разговора он говорил на иностранном языке. </w:t>
      </w:r>
      <w:r>
        <w:rPr>
          <w:lang w:val="ru-RU"/>
        </w:rPr>
        <w:lastRenderedPageBreak/>
        <w:t xml:space="preserve">Некто, кто позднее был опознан как С.И., начал оскорблять заявителя, обзывая его, среди прочего, «цыганом», «обезьяной», «индусом» и «негром».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2.2</w:t>
      </w:r>
      <w:r>
        <w:rPr>
          <w:lang w:val="ru-RU"/>
        </w:rPr>
        <w:tab/>
        <w:t xml:space="preserve">Затем С.И. совершил физическое нападение на заявителя, нанеся ему несколько ударов в лицо и по туловищу. </w:t>
      </w:r>
      <w:proofErr w:type="gramStart"/>
      <w:r>
        <w:rPr>
          <w:lang w:val="ru-RU"/>
        </w:rPr>
        <w:t>Со своей стороны</w:t>
      </w:r>
      <w:proofErr w:type="gramEnd"/>
      <w:r>
        <w:rPr>
          <w:lang w:val="ru-RU"/>
        </w:rPr>
        <w:t xml:space="preserve">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не совершал никаких насильственных действий. В результате побоев на его теле образовалось несколько кровоподтеков, а лицо распухло. С.И. был задержан прямо на месте преступления, благодаря помощи со стороны лиц, которые, будучи очевидцами нападения и оскорблений, вызвали полицию.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2.3</w:t>
      </w:r>
      <w:r>
        <w:rPr>
          <w:lang w:val="ru-RU"/>
        </w:rPr>
        <w:tab/>
        <w:t xml:space="preserve">15 ноября 2013 года заявитель подал жалобу в инспекторат полиции района </w:t>
      </w:r>
      <w:proofErr w:type="spellStart"/>
      <w:r>
        <w:rPr>
          <w:lang w:val="ru-RU"/>
        </w:rPr>
        <w:t>Буюканы</w:t>
      </w:r>
      <w:proofErr w:type="spellEnd"/>
      <w:r w:rsidR="00FB1BDA" w:rsidRPr="00FE5CD4">
        <w:rPr>
          <w:rStyle w:val="aa"/>
          <w:lang w:val="ru-RU"/>
        </w:rPr>
        <w:footnoteReference w:id="3"/>
      </w:r>
      <w:r>
        <w:rPr>
          <w:lang w:val="ru-RU"/>
        </w:rPr>
        <w:t>, который начал уголовное расследование по факту нападения</w:t>
      </w:r>
      <w:r w:rsidR="00FE5CD4">
        <w:rPr>
          <w:lang w:val="ru-RU"/>
        </w:rPr>
        <w:t>.</w:t>
      </w:r>
      <w:r>
        <w:rPr>
          <w:lang w:val="ru-RU"/>
        </w:rPr>
        <w:t xml:space="preserve"> В жалобе, в частности, сообщалось, что С.И. использовал оскорбления на расовой почве, которые, по мнению заявителя, были призваны его унизить. В тот же день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прошел судебно-медицинскую экспертизу.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2.4</w:t>
      </w:r>
      <w:r>
        <w:rPr>
          <w:lang w:val="ru-RU"/>
        </w:rPr>
        <w:tab/>
        <w:t xml:space="preserve">18 ноября 2013 года заявителя официально признали потерпевшим, и он был опрошен в рамках уголовного расследования. 19 ноября 2013 года С.И. было предъявлено официальное обвинение в хулиганстве на основании пункта 1 статьи 287 Уголовного кодекса Республики Молдова. Заявитель отмечает, что под хулиганством понимается действие или действия, предпринимаемые без какого-либо намерения или мотива. По этой причине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указывает на необходимость признать расово-дискриминационный характер нападения и ссылается в этой связи на Конвенцию и статью 4 Конституции Молдовы. Заявитель дал ясно понять, что не считает простое обвинение в хулиганстве средством правовой защиты в случаях расовой дискриминации, как этого требует Конвенция.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2.5</w:t>
      </w:r>
      <w:r>
        <w:rPr>
          <w:lang w:val="ru-RU"/>
        </w:rPr>
        <w:tab/>
        <w:t xml:space="preserve">21 ноября 2013 года полиция опросила двух свидетелей </w:t>
      </w:r>
      <w:r w:rsidR="00FE5CD4">
        <w:rPr>
          <w:lang w:val="ru-RU"/>
        </w:rPr>
        <w:t>–</w:t>
      </w:r>
      <w:r>
        <w:rPr>
          <w:lang w:val="ru-RU"/>
        </w:rPr>
        <w:t xml:space="preserve"> Б.О. и С.П. 29 ноября 2013 года прокуратура направила уголовное дело в суд для дальнейшего рассмотрения. В обвинениях, как и прежде, отсутствовали ссылки на то, что нападение сопровождалось оскорблениями на расовой почве. Равным образом, расовый элемент не был упомянут в ходе предварительного слушания</w:t>
      </w:r>
      <w:r w:rsidR="00FE5CD4">
        <w:rPr>
          <w:lang w:val="ru-RU"/>
        </w:rPr>
        <w:t>, состоявшегося 26 декабря 2013 </w:t>
      </w:r>
      <w:r>
        <w:rPr>
          <w:lang w:val="ru-RU"/>
        </w:rPr>
        <w:t>года. 6 февраля 2014 года заявитель через своего адвоката обратился к прокуратуре с просьбой предоставить ему средство правовой защиты в связи с актами расовой дискриминации, от которых он пострадал. 20 февраля 2014 года прокуратура сообщила заявителю, что суд рассмотрит лишь обвинение в хулиганстве и что нападение С.И. на заявителя не было расово мотивированным.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2.6</w:t>
      </w:r>
      <w:r>
        <w:rPr>
          <w:lang w:val="ru-RU"/>
        </w:rPr>
        <w:tab/>
        <w:t xml:space="preserve">24 февраля 2014 года суд района </w:t>
      </w:r>
      <w:proofErr w:type="spellStart"/>
      <w:r>
        <w:rPr>
          <w:lang w:val="ru-RU"/>
        </w:rPr>
        <w:t>Буюканы</w:t>
      </w:r>
      <w:proofErr w:type="spellEnd"/>
      <w:r>
        <w:rPr>
          <w:lang w:val="ru-RU"/>
        </w:rPr>
        <w:t xml:space="preserve"> провел второе слушание по этому делу. Прокуратура просила суд рассмотреть дело по упрощенной процедуре, предусмотренной в пункте 1 статьи 364 Уголовно-процессуального кодекса Республики Молдова. Суд принял решение удовлетворить просьбу об ускоренном рассмотрении дела. Заявитель не согласился с этим решением и просил провести дополнительное судебное расследование с целью возможного предъявления обвинений в расовой дискриминации. Заявитель также сообщил суду, что доказательства стороны обвинения являются неполными, поскольку не учитывают факты, касающиеся расовой дискриминации. Заявитель настаивал на том, что такие сведения должны были быть приобщены к делу в соответствии с пунктом 1 статьи 293 Уголовно-процессуального кодекса.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2.7</w:t>
      </w:r>
      <w:r>
        <w:rPr>
          <w:lang w:val="ru-RU"/>
        </w:rPr>
        <w:tab/>
        <w:t xml:space="preserve">4 марта 2014 года суд района </w:t>
      </w:r>
      <w:proofErr w:type="spellStart"/>
      <w:r>
        <w:rPr>
          <w:lang w:val="ru-RU"/>
        </w:rPr>
        <w:t>Буюканы</w:t>
      </w:r>
      <w:proofErr w:type="spellEnd"/>
      <w:r>
        <w:rPr>
          <w:lang w:val="ru-RU"/>
        </w:rPr>
        <w:t xml:space="preserve"> признал С.И. виновным в простом хулиганстве и приговорил его к 18 месяцам тюремного заключения в закрытом исправительном учреждении. Поскольку суд решил следовать упрощенной процедуре, он рассматривал лишь ту информацию, которую ему передала прокуратура. Адвокат заявителя вновь обратился к суду с просьбой включить в состав обвинений элемент расовой дискриминации, однако суд этого не сделал. Положения статьи 77 d) Уголовного кодекса, которые охватывают преступления на почве социальной, национальной, расовой или религиозной ненависти, не применялись.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2.8</w:t>
      </w:r>
      <w:r>
        <w:rPr>
          <w:lang w:val="ru-RU"/>
        </w:rPr>
        <w:tab/>
        <w:t>18 марта 2014 года адвокат заявителя подал апелляцию на приговор суда первой инстанции, которая была отклонена 20 мая 2014 года апелляционным судом Кишинева, оставившим без изменения решение суда</w:t>
      </w:r>
      <w:r w:rsidR="00FE5CD4">
        <w:rPr>
          <w:lang w:val="ru-RU"/>
        </w:rPr>
        <w:t xml:space="preserve"> первой инстанции. 16 июля 2016 </w:t>
      </w:r>
      <w:r>
        <w:rPr>
          <w:lang w:val="ru-RU"/>
        </w:rPr>
        <w:t xml:space="preserve">года заявитель подал апелляцию в Верховный суд. В апелляции Верховному суду предлагалось отменить решение суда первой инстанции и рассмотреть дело заново с учетом элемента расовой дискриминации. 22 октября 2014 года Верховный суд отклонил апелляцию, посчитав его неприемлемой.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2.9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этой связи заявитель сообщает, что поднимал вопрос о расовой дискриминации на всех уровнях, однако этот вопрос так и не был рассмотрен. В силу этого он утверждает, что исчерпал все внутренние средства правовой защиты. </w:t>
      </w:r>
    </w:p>
    <w:p w:rsidR="009E2664" w:rsidRPr="0039510E" w:rsidRDefault="009E2664" w:rsidP="009E266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Жалоба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  <w:t>Заявитель утверждает, что государство-участник нарушило его право на равное обращение в судах и в других органах, отправляющих</w:t>
      </w:r>
      <w:r w:rsidR="00FE5CD4">
        <w:rPr>
          <w:lang w:val="ru-RU"/>
        </w:rPr>
        <w:t xml:space="preserve"> правосудие, в нарушение статьи </w:t>
      </w:r>
      <w:proofErr w:type="gramStart"/>
      <w:r>
        <w:rPr>
          <w:lang w:val="ru-RU"/>
        </w:rPr>
        <w:t>5</w:t>
      </w:r>
      <w:proofErr w:type="gramEnd"/>
      <w:r>
        <w:rPr>
          <w:lang w:val="ru-RU"/>
        </w:rPr>
        <w:t xml:space="preserve"> а) Конвенции. Заявитель также утверждает, что были нарушены его права согласно статье 5 b), поскольку в Республике Молдова царит «общая безнаказанность» в отношении нападений на расовой почве.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3.2</w:t>
      </w:r>
      <w:r>
        <w:rPr>
          <w:lang w:val="ru-RU"/>
        </w:rPr>
        <w:tab/>
        <w:t>Кроме того, заявитель утверждает, что, поскольку суды отклонили его заявлени</w:t>
      </w:r>
      <w:r w:rsidR="00FB1BDA">
        <w:rPr>
          <w:lang w:val="ru-RU"/>
        </w:rPr>
        <w:t>е</w:t>
      </w:r>
      <w:r>
        <w:rPr>
          <w:lang w:val="ru-RU"/>
        </w:rPr>
        <w:t xml:space="preserve"> о расовой дискриминации, были также нарушены его право на эффективное средство правовой защиты и право на защиту в соответствии со статьей 6 Конвенции.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3.3</w:t>
      </w:r>
      <w:r>
        <w:rPr>
          <w:lang w:val="ru-RU"/>
        </w:rPr>
        <w:tab/>
        <w:t xml:space="preserve">И наконец, заявитель высказывает претензии по поводу того, что он называет «широкой практикой отрицания дискриминации», что требует от государства-участника принятия целого ряда признанных в Конвенции мер, в том числе для выполнения обязательств по статье 7. </w:t>
      </w:r>
    </w:p>
    <w:p w:rsidR="009E2664" w:rsidRPr="0039510E" w:rsidRDefault="009E2664" w:rsidP="009E266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Замечания государства-участника относительно приемлемости и существа сообщения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4.1</w:t>
      </w:r>
      <w:r>
        <w:rPr>
          <w:lang w:val="ru-RU"/>
        </w:rPr>
        <w:tab/>
        <w:t>12 октября и 3 декабря 2015 года государство-участник представило замечания относительно приемлемости и существа жалобы. Оно информирует Комитет о том, что органом, отвечающим за рассмотрение индивидуальных жалоб в соответствии со статьей 14 Конвенции, является Бюро межэтнических отношений. В ответ на данное сообщение Бюро провело консультации с представителями Министерства юстиции, Министерства внутренних дел, Генеральной прокуратуры и Управления омбудсмена.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4.2</w:t>
      </w:r>
      <w:r>
        <w:rPr>
          <w:lang w:val="ru-RU"/>
        </w:rPr>
        <w:tab/>
        <w:t xml:space="preserve">Государство-участник отмечает, что 14 ноября 2013 года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действительно подал в полицию жалобу на физическое насилие, предположительно обусловленное расовыми мотивами. Правоохранительные органы провели в этой связи расследование в соответствии с национальными законами. В этих законах отсутствует отдельное положение о преступлении в форме причинения телесных повреждений на почве ненависти. Суд района </w:t>
      </w:r>
      <w:proofErr w:type="spellStart"/>
      <w:r>
        <w:rPr>
          <w:lang w:val="ru-RU"/>
        </w:rPr>
        <w:t>Буюканы</w:t>
      </w:r>
      <w:proofErr w:type="spellEnd"/>
      <w:r>
        <w:rPr>
          <w:lang w:val="ru-RU"/>
        </w:rPr>
        <w:t xml:space="preserve"> также принял все необходимые меры для проведения слушаний с учетом всех аспектов данного дела, в результате чего преступник был приговорен к лишению свободы сроком на 18 месяцев с отбыванием в учреждении закрытого типа.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4.3</w:t>
      </w:r>
      <w:r>
        <w:rPr>
          <w:lang w:val="ru-RU"/>
        </w:rPr>
        <w:tab/>
        <w:t xml:space="preserve">Государство-участник также сообщает, что заявитель, будучи </w:t>
      </w:r>
      <w:proofErr w:type="spellStart"/>
      <w:r>
        <w:rPr>
          <w:lang w:val="ru-RU"/>
        </w:rPr>
        <w:t>неудовлетворен</w:t>
      </w:r>
      <w:proofErr w:type="spellEnd"/>
      <w:r>
        <w:rPr>
          <w:lang w:val="ru-RU"/>
        </w:rPr>
        <w:t xml:space="preserve"> результатами судебных слушаний, обжаловал это решение в районный суд Кишинева, а затем в Верховный суд. Заявитель настаивал на отмене приговора и на проведении нового расследования и судебного разбирательства с учетом фактора расовой дискриминации. Г-н </w:t>
      </w:r>
      <w:proofErr w:type="spellStart"/>
      <w:r>
        <w:rPr>
          <w:lang w:val="ru-RU"/>
        </w:rPr>
        <w:t>Белемвир</w:t>
      </w:r>
      <w:proofErr w:type="spellEnd"/>
      <w:r>
        <w:rPr>
          <w:lang w:val="ru-RU"/>
        </w:rPr>
        <w:t xml:space="preserve"> дал показания в качестве потерпевшего, заявив, что его не только подвергли физическому насилию, но и оскорбляли, обзывая, в частности, «обезьяной» и «негром», что подтвердил свидетель Б.О. По этой причине государство-участник считает, что прокуратуре следовало принять во внимание элемент расовой дискриминации. Мотив расовой дискриминации должен быть учтен в качестве отягчающего обстоятельства в соответствии с пунктом 1</w:t>
      </w:r>
      <w:r w:rsidR="00FB1BDA">
        <w:rPr>
          <w:lang w:val="ru-RU"/>
        </w:rPr>
        <w:t xml:space="preserve"> </w:t>
      </w:r>
      <w:r>
        <w:rPr>
          <w:lang w:val="ru-RU"/>
        </w:rPr>
        <w:t xml:space="preserve">d) статьи 77 Уголовного кодекса.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4.4</w:t>
      </w:r>
      <w:r>
        <w:rPr>
          <w:lang w:val="ru-RU"/>
        </w:rPr>
        <w:tab/>
        <w:t xml:space="preserve">Государство-участник признает, что, согласно Конвенции, государства-участники обязаны обеспечивать каждому человеку эффективную защиту и средства правовой защиты в судах и других государственных учреждениях в случаях расовой дискриминации. В своей общей рекомендации № 31 (2005) о предупреждении расовой дискриминации в процессе отправления и функционирования системы уголовного правосудия Комитет рекомендует государствам-участникам проводить эффективное расследование и уголовное преследование по фактам преступлений на почве расовой дискриминации.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4.5</w:t>
      </w:r>
      <w:r>
        <w:rPr>
          <w:lang w:val="ru-RU"/>
        </w:rPr>
        <w:tab/>
        <w:t xml:space="preserve">Республика Молдова также признает право на эффективное средство правовой защиты и, в случае его несоблюдения, она должна привести свои национальные законы в соответствие с положениями статей </w:t>
      </w:r>
      <w:proofErr w:type="gramStart"/>
      <w:r>
        <w:rPr>
          <w:lang w:val="ru-RU"/>
        </w:rPr>
        <w:t>5</w:t>
      </w:r>
      <w:proofErr w:type="gramEnd"/>
      <w:r w:rsidR="00FE5CD4">
        <w:rPr>
          <w:lang w:val="ru-RU"/>
        </w:rPr>
        <w:t xml:space="preserve"> </w:t>
      </w:r>
      <w:r>
        <w:rPr>
          <w:lang w:val="ru-RU"/>
        </w:rPr>
        <w:t xml:space="preserve">а) и b) и 6 Конвенции. Так, например, в деле </w:t>
      </w:r>
      <w:proofErr w:type="spellStart"/>
      <w:r w:rsidRPr="00851830">
        <w:rPr>
          <w:i/>
          <w:iCs/>
          <w:lang w:val="ru-RU"/>
        </w:rPr>
        <w:t>Шечич</w:t>
      </w:r>
      <w:proofErr w:type="spellEnd"/>
      <w:r w:rsidRPr="00851830">
        <w:rPr>
          <w:i/>
          <w:iCs/>
          <w:lang w:val="ru-RU"/>
        </w:rPr>
        <w:t xml:space="preserve"> против Хорватии</w:t>
      </w:r>
      <w:r w:rsidR="00FB1BDA" w:rsidRPr="00FE5CD4">
        <w:rPr>
          <w:rStyle w:val="aa"/>
          <w:lang w:val="ru-RU"/>
        </w:rPr>
        <w:footnoteReference w:id="4"/>
      </w:r>
      <w:r>
        <w:rPr>
          <w:lang w:val="ru-RU"/>
        </w:rPr>
        <w:t xml:space="preserve"> Европейский суд по правам человека пришел к выводу, что государство-участник нарушило свои обязательства, поскольку не приложило существенных усилий для того, чтобы найти виновных в преступлении, которое, по всей вероятности, было совершено «на почве расовой ненависти»</w:t>
      </w:r>
      <w:r w:rsidR="00FE5CD4">
        <w:rPr>
          <w:lang w:val="ru-RU"/>
        </w:rPr>
        <w:t>.</w:t>
      </w:r>
      <w:r>
        <w:rPr>
          <w:lang w:val="ru-RU"/>
        </w:rPr>
        <w:t xml:space="preserve">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4.6</w:t>
      </w:r>
      <w:r>
        <w:rPr>
          <w:lang w:val="ru-RU"/>
        </w:rPr>
        <w:tab/>
        <w:t>Уголовный кодекс Молдовы содержит ряд положений, запрещающих действия, мотивированные ненавистью, и преступления, совершаемые на почве предрассудков. К сожалению, эти положения не всегда должным образом соблюдаются по причине отсутствия знаний или неспособности признать, что мотивы для совершения некоторых преступлений имеют расовую составляющую, как, например, в данном случае. Статья 176 Уголовного кодекса предусматривает уголовное наказание за нарушение прав и свобод человека на основе таких критериев, как гендерная принадлежность, раса, цвет кожи, язык, религия, политические или иные убеждения, национальное или социальное происхождение, принадлежность к этническому меньшинству и право владения собственностью. Кроме того, как</w:t>
      </w:r>
      <w:r w:rsidR="00FB1BDA">
        <w:rPr>
          <w:lang w:val="ru-RU"/>
        </w:rPr>
        <w:t xml:space="preserve"> указывалось выше, в </w:t>
      </w:r>
      <w:r>
        <w:rPr>
          <w:lang w:val="ru-RU"/>
        </w:rPr>
        <w:t>пункте 1</w:t>
      </w:r>
      <w:r w:rsidR="005A2E70">
        <w:rPr>
          <w:lang w:val="ru-RU"/>
        </w:rPr>
        <w:t xml:space="preserve"> </w:t>
      </w:r>
      <w:r>
        <w:rPr>
          <w:lang w:val="ru-RU"/>
        </w:rPr>
        <w:t xml:space="preserve">d) статьи 77 предусматривается отягчающее обстоятельство в случае совершения преступления на почве социальной, этнической, расовой или религиозной ненависти.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4.7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отношении приемлемости жалобы государство-участник заявляет, что механизмы международного урегулирования четко предусматривают, что вначале должны быть исчерпаны внутренние средства правовой защиты. В данном случае заявитель подал апелляцию в Верховный суд, кото</w:t>
      </w:r>
      <w:r w:rsidR="005A2E70">
        <w:rPr>
          <w:lang w:val="ru-RU"/>
        </w:rPr>
        <w:t>рый отклонил ее 22 октября 2014 </w:t>
      </w:r>
      <w:r>
        <w:rPr>
          <w:lang w:val="ru-RU"/>
        </w:rPr>
        <w:t>года. Вместе с тем следует отметить, что заявитель не пытался прибегнуть к чрезвычайной процедуре обжалования в соответствии со статьей 452 Уголовно-процессуального кодекса. Кроме того, заявитель не возбудил иск в рамках гражданского производства и не подал жалобу в Совет по предупреждению и ликвидации дискриминации в соответствии с Законом № 121 от 25 мая 2012 года</w:t>
      </w:r>
      <w:r w:rsidR="00FE5CD4" w:rsidRPr="00FE5CD4">
        <w:rPr>
          <w:rStyle w:val="aa"/>
          <w:lang w:val="ru-RU"/>
        </w:rPr>
        <w:footnoteReference w:id="5"/>
      </w:r>
      <w:r w:rsidR="00FE5CD4">
        <w:rPr>
          <w:lang w:val="ru-RU"/>
        </w:rPr>
        <w:t>.</w:t>
      </w:r>
      <w:r>
        <w:rPr>
          <w:lang w:val="ru-RU"/>
        </w:rPr>
        <w:t xml:space="preserve">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4.8</w:t>
      </w:r>
      <w:r>
        <w:rPr>
          <w:lang w:val="ru-RU"/>
        </w:rPr>
        <w:tab/>
        <w:t xml:space="preserve">Совет по предупреждению и ликвидации дискриминации провел собственное исследование на предмет соблюдения государством-участником своих обязательств в соответствии с международными договорами по правам человека. В результате властям было рекомендовано «принять разумные меры» для определения того, играют ли ненависть или предрассудки какую-либо роль при совершении преступлений. Так, например, в стране не отмечались случаи судебного преследования в соответствии со статьей 176 Уголовного кодекса, которая запрещает дискриминацию.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4.9</w:t>
      </w:r>
      <w:r>
        <w:rPr>
          <w:lang w:val="ru-RU"/>
        </w:rPr>
        <w:tab/>
        <w:t>В этой связи Управление Уполномоченного по правам человека Республики Молдова с обеспокоенностью отмечает, что в стране не обеспечивается «эффективное применение» положений Уголовного кодекса, касающихся преступлений на почве ненависти и предрассудков</w:t>
      </w:r>
      <w:r w:rsidR="00FE5CD4" w:rsidRPr="00FE5CD4">
        <w:rPr>
          <w:rStyle w:val="aa"/>
          <w:lang w:val="ru-RU"/>
        </w:rPr>
        <w:footnoteReference w:id="6"/>
      </w:r>
      <w:r w:rsidR="00FE5CD4">
        <w:rPr>
          <w:lang w:val="ru-RU"/>
        </w:rPr>
        <w:t>.</w:t>
      </w:r>
      <w:r>
        <w:rPr>
          <w:lang w:val="ru-RU"/>
        </w:rPr>
        <w:t xml:space="preserve">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4.10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заключение государство-участник заявляет, что правоохранительные органы Республики Молдова провели расследование данного инцидента на основе национального законодательства. Уголовный кодекс не содержит конкретных статей, устанавливающих уголовную ответственность за причинение телесных повреждений в результате нападений на почве ненависти. В ходе расследования были приняты все меры для объективного рассмотрения дела в свете пункта 1 статьи 278 Уголовного кодекса, как это было позднее подтверждено судом, что позволило вынести преступнику приговор, соразмерный совершенному им преступлению. </w:t>
      </w:r>
      <w:r w:rsidR="005A2E70">
        <w:rPr>
          <w:lang w:val="ru-RU"/>
        </w:rPr>
        <w:t>Вместе с тем</w:t>
      </w:r>
      <w:r>
        <w:rPr>
          <w:lang w:val="ru-RU"/>
        </w:rPr>
        <w:t xml:space="preserve"> заявитель не исчерпал внутренние средства правовой защиты, поскольку не подавал жалобу, к примеру, в Верховный суд.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4.11</w:t>
      </w:r>
      <w:r>
        <w:rPr>
          <w:lang w:val="ru-RU"/>
        </w:rPr>
        <w:tab/>
        <w:t xml:space="preserve">Государство-участник учтет выводы Комитета по настоящему сообщению. </w:t>
      </w:r>
      <w:r w:rsidR="005A2E70">
        <w:rPr>
          <w:lang w:val="ru-RU"/>
        </w:rPr>
        <w:t>Его </w:t>
      </w:r>
      <w:r>
        <w:rPr>
          <w:lang w:val="ru-RU"/>
        </w:rPr>
        <w:t xml:space="preserve">власти примут все необходимые меры для борьбы с дискриминацией. В целом государство-участник разделяет мнение, что насилие на почве ненависти является оскорблением человеческого достоинства и требует решительных ответных мер со стороны властей. </w:t>
      </w:r>
    </w:p>
    <w:p w:rsidR="009E2664" w:rsidRPr="0039510E" w:rsidRDefault="009E2664" w:rsidP="009E266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Комментарии заявителя по замечаниям государства-участника относительно приемлемости и существа сообщения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  <w:t xml:space="preserve">11 февраля 2016 года заявитель, комментируя замечания государства-участника относительно приемлемости и существа сообщения, вновь подтвердил свою позицию, изложенную в его первоначальном представлении. Государство-участник признает, что не существует никаких средств правовой защиты в соответствии с национальным законодательством. Кроме того, государство-участник заявляет, что можно было бы применить статьи 176 и 77 Уголовного кодекса, однако они применены не были.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  <w:t xml:space="preserve">Заявитель добавляет, что он полностью исчерпал все эффективные внутренние средства правовой защиты. Он утверждает, что само расследование было недостаточным, поскольку в нем не учитывалась расовая ненависть в качестве одного из аспектов преступления. В свою очередь суд первой инстанции также проигнорировал его последовательные призывы рассмотреть расовый мотив. Само государство-участник в своем представлении Комитету подтверждает совершенную властями ошибку не рассматривать вопрос о том, было ли мотивировано расовой дискриминацией нападение на заявителя. Заявитель решительно не согласен с утверждением государства-участника о том, что обвинение приняло все необходимые меры для проведения надлежащего расследования.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5.3</w:t>
      </w:r>
      <w:r>
        <w:rPr>
          <w:lang w:val="ru-RU"/>
        </w:rPr>
        <w:tab/>
        <w:t xml:space="preserve">Заявитель считает, что упомянутые государством-участником дополнительные внутренние средства правовой защиты являются неадекватными и неэффективными и практически лишены шансов на успех. Заявитель не обязан подавать апелляцию, которая «явно не имеет никаких шансов на успех». В любом случае в рамках такого пересмотра была бы рассмотрена лишь возможность отмены приговора суда первой инстанции по делу о хулиганстве. Такая процедура не предусматривает возможности предъявления обвинений в связи с расовыми мотивами и расовой дискриминацией.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5.4</w:t>
      </w:r>
      <w:r>
        <w:rPr>
          <w:lang w:val="ru-RU"/>
        </w:rPr>
        <w:tab/>
        <w:t xml:space="preserve">Что касается возможной подачи жалобы в Совет по предупреждению и ликвидации дискриминации, то процедура рассмотрения жалоб в соответствии с Законом № 121 не носит обязательного характера. Совет обязан направлять все жалобы, которые содержат признаки уголовного преступления, в соответствующий суд, и это обязательство делает процедуру неэффективной.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5.5</w:t>
      </w:r>
      <w:r>
        <w:rPr>
          <w:lang w:val="ru-RU"/>
        </w:rPr>
        <w:tab/>
        <w:t xml:space="preserve">Касаясь отсутствия гражданского иска о взыскании убытков, заявитель утверждает, что если бы он подал такой иск, то это означало бы, что он согласен с результатами уголовного преследования, тогда как это не соответствует действительности. Возмещение убытков, которое могло быть ему присуждено, затрагивало бы лишь обвинение в хулиганстве и не учитывало бы фактор расовой дискриминации, от которой пострадал заявитель, как он это все время утверждал.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5.6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заключение заявитель отмечает, что в представлении государства-участника ясно говорится, что все эффективные внутренние средства правовой защиты были исчерпаны, и что государство-участник действительно нарушило положения Конвенции, перечисленные в его первоначальном представлении. </w:t>
      </w:r>
    </w:p>
    <w:p w:rsidR="009E2664" w:rsidRPr="0039510E" w:rsidRDefault="009E2664" w:rsidP="009E2664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Вопросы и процедура их рассмотрения в Комитете </w:t>
      </w:r>
    </w:p>
    <w:p w:rsidR="009E2664" w:rsidRPr="0039510E" w:rsidRDefault="009E2664" w:rsidP="009E2664">
      <w:pPr>
        <w:pStyle w:val="H4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Рассмотрение вопроса о приемлемости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  <w:t xml:space="preserve">Прежде чем рассматривать любую претензию, содержащуюся в том или ином сообщении, Комитет в соответствии с пунктом </w:t>
      </w:r>
      <w:proofErr w:type="gramStart"/>
      <w:r>
        <w:rPr>
          <w:lang w:val="ru-RU"/>
        </w:rPr>
        <w:t>7</w:t>
      </w:r>
      <w:proofErr w:type="gramEnd"/>
      <w:r w:rsidR="005A2E70">
        <w:rPr>
          <w:lang w:val="ru-RU"/>
        </w:rPr>
        <w:t xml:space="preserve"> </w:t>
      </w:r>
      <w:r>
        <w:rPr>
          <w:lang w:val="ru-RU"/>
        </w:rPr>
        <w:t>а) статьи 14 Конвенции должен решить, является ли данное сообщение приемлемым.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6.2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первую очередь Комитет отмечает аргумент государства-участника о том, что заявитель не исчерпал все доступные внутренние средства правовой защиты, поскольку не представил жалобу в Верховный суд Республики Молдова. Комитет также отмечает, что заявитель подал апелляцию в Верховный суд, который отклонил ее 22 октября 2014 года. Государство-участник ссылается на «апелляцию в рамках чрезвычайной процедуры обжалования» в соответствии со статьей 452 Уголовно-процессуального кодекса, но не поясняет, что влечет за собой применение такой процедуры, и не указывает, разумно ли предполагать, что она может быть эффективным средством правовой защиты с учетом конкретных обстоятельств дела. В силу этого Комитет полагает, что ничто не препятствует рассмотрению им дела на основании пункта </w:t>
      </w:r>
      <w:proofErr w:type="gramStart"/>
      <w:r>
        <w:rPr>
          <w:lang w:val="ru-RU"/>
        </w:rPr>
        <w:t>7</w:t>
      </w:r>
      <w:proofErr w:type="gramEnd"/>
      <w:r w:rsidR="00FB1BDA">
        <w:rPr>
          <w:lang w:val="ru-RU"/>
        </w:rPr>
        <w:t xml:space="preserve"> </w:t>
      </w:r>
      <w:r>
        <w:rPr>
          <w:lang w:val="ru-RU"/>
        </w:rPr>
        <w:t xml:space="preserve">а) статьи 14 Конвенции. 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6.3</w:t>
      </w:r>
      <w:r>
        <w:rPr>
          <w:lang w:val="ru-RU"/>
        </w:rPr>
        <w:tab/>
        <w:t xml:space="preserve">Комитет отмечает, что заявитель не обосновал для целей приемлемости свои утверждения о том, что государство-участник нарушило его право на равное обращение в судах и других органах, отправляющих правосудие, и что в Республике Молдова царят «общая безнаказанность» применительно к нападениям на расовой почве и «широкая практика дискриминации» в нарушение статей </w:t>
      </w:r>
      <w:proofErr w:type="gramStart"/>
      <w:r>
        <w:rPr>
          <w:lang w:val="ru-RU"/>
        </w:rPr>
        <w:t>5</w:t>
      </w:r>
      <w:proofErr w:type="gramEnd"/>
      <w:r w:rsidR="005A2E70">
        <w:rPr>
          <w:lang w:val="ru-RU"/>
        </w:rPr>
        <w:t xml:space="preserve"> </w:t>
      </w:r>
      <w:r>
        <w:rPr>
          <w:lang w:val="ru-RU"/>
        </w:rPr>
        <w:t>а) и b) и 7 Конвенции. По этой причине данная часть сообщения является неприемлемой согласно пункту 1 статьи 14 Конвенции.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6.4</w:t>
      </w:r>
      <w:r>
        <w:rPr>
          <w:lang w:val="ru-RU"/>
        </w:rPr>
        <w:tab/>
        <w:t>Комитет считает, что для целей приемлемости заявитель в достаточной степени обосновал свои претензии в соответствии со статьей 6 Конвенции, и, в отсутствие каких-либо дальнейших возражений в отношении приемлемости сообщения, он приступает к рассмотрению существа этих претензий.</w:t>
      </w:r>
    </w:p>
    <w:p w:rsidR="009E2664" w:rsidRPr="0039510E" w:rsidRDefault="009E2664" w:rsidP="009E2664">
      <w:pPr>
        <w:pStyle w:val="H4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iCs/>
          <w:lang w:val="ru-RU"/>
        </w:rPr>
        <w:t>Рассмотрение сообщения по существу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  <w:t xml:space="preserve">Действуя в соответствии с пунктом </w:t>
      </w:r>
      <w:proofErr w:type="gramStart"/>
      <w:r>
        <w:rPr>
          <w:lang w:val="ru-RU"/>
        </w:rPr>
        <w:t>7</w:t>
      </w:r>
      <w:proofErr w:type="gramEnd"/>
      <w:r w:rsidR="005A2E70">
        <w:rPr>
          <w:lang w:val="ru-RU"/>
        </w:rPr>
        <w:t xml:space="preserve"> </w:t>
      </w:r>
      <w:r>
        <w:rPr>
          <w:lang w:val="ru-RU"/>
        </w:rPr>
        <w:t>а) статьи 14 Конвенции о ликвидации расовой дискриминации, Комитет рассмотрел информацию, представленную заявителем и государством-участником.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7.2</w:t>
      </w:r>
      <w:r>
        <w:rPr>
          <w:lang w:val="ru-RU"/>
        </w:rPr>
        <w:tab/>
        <w:t>Вопрос, стоящий перед Комитетом, заключается в том, выполнило ли государство-участник свое обязательство обеспечивать эффективную защиту и средства правовой защиты в компетентных национальных судах или других государственных институтах в случае любых актов расовой дискриминации, как это предусмотрено статьей 6 Конвенции. Комитет отмечает, что в его компетенцию не входит оценка толкования национальными органами фактов и национального законодательства, за исключением случаев, когда принятые решения являются явно произвольными или иным образом равносильны отказу в правосудии</w:t>
      </w:r>
      <w:r w:rsidR="00FE5CD4" w:rsidRPr="00FE5CD4">
        <w:rPr>
          <w:rStyle w:val="aa"/>
          <w:lang w:val="ru-RU"/>
        </w:rPr>
        <w:footnoteReference w:id="7"/>
      </w:r>
      <w:r w:rsidR="00FE5CD4">
        <w:rPr>
          <w:lang w:val="ru-RU"/>
        </w:rPr>
        <w:t>.</w:t>
      </w:r>
      <w:r>
        <w:rPr>
          <w:lang w:val="ru-RU"/>
        </w:rPr>
        <w:t xml:space="preserve"> </w:t>
      </w:r>
      <w:r w:rsidR="005A2E70">
        <w:rPr>
          <w:lang w:val="ru-RU"/>
        </w:rPr>
        <w:t>Вместе с тем</w:t>
      </w:r>
      <w:r>
        <w:rPr>
          <w:lang w:val="ru-RU"/>
        </w:rPr>
        <w:t xml:space="preserve"> Комитет ранее также заявлял, что «при наличии угроз насилия… на государство-участник возлагается обязанность провести расследование с должной тщательностью и оперативностью»</w:t>
      </w:r>
      <w:r w:rsidR="00FE5CD4" w:rsidRPr="00FE5CD4">
        <w:rPr>
          <w:rStyle w:val="aa"/>
          <w:lang w:val="ru-RU"/>
        </w:rPr>
        <w:footnoteReference w:id="8"/>
      </w:r>
      <w:r w:rsidR="00FE5CD4">
        <w:rPr>
          <w:lang w:val="ru-RU"/>
        </w:rPr>
        <w:t>.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7.3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данном случае Комитет отмечает, что, хотя власти государства-участника провели расследование этого инцидента, они квалифицировали его как акт хулиганства и не учитывали дискриминационный мотив, которым мог руководствоваться ответчик при совершении преступления, несмотря на многочисленные просьбы заявителя на различных уровнях и в различных государственных учреждениях, включая судебные органы. В своих представлениях государство-участник, по всей видимости, выражает согласие с тем, что власти страны, в частности прокуратура, должны были рассмотреть этот дискриминационный элемент. В силу этого Комитет считает, что проведенное государством-участником расследование преступления являлось неполным, поскольку не учитывало дискриминационный мотив в действиях ответчика. Государству-участнику следует принять во внимание этот аспект преступления, «поскольку любые правонарушения, совершенные по расовым мотивам, подрывают социальную сплоченность и общество в целом»</w:t>
      </w:r>
      <w:r w:rsidR="00FB1BDA" w:rsidRPr="00FE5CD4">
        <w:rPr>
          <w:rStyle w:val="aa"/>
          <w:lang w:val="ru-RU"/>
        </w:rPr>
        <w:footnoteReference w:id="9"/>
      </w:r>
      <w:r>
        <w:rPr>
          <w:lang w:val="ru-RU"/>
        </w:rPr>
        <w:t xml:space="preserve"> и зачастую наносят серьезный ущерб отдельным лицам и обществу</w:t>
      </w:r>
      <w:r w:rsidR="00FE5CD4">
        <w:rPr>
          <w:lang w:val="ru-RU"/>
        </w:rPr>
        <w:t>.</w:t>
      </w:r>
      <w:r>
        <w:rPr>
          <w:lang w:val="ru-RU"/>
        </w:rPr>
        <w:t xml:space="preserve"> Кроме того, отказ государства-участника расследовать расовый мотив также лишил заявителя права на «эффективную защиту и средства правовой защиты от актов расовой дискриминации»</w:t>
      </w:r>
      <w:r w:rsidR="00FE5CD4" w:rsidRPr="00FE5CD4">
        <w:rPr>
          <w:rStyle w:val="aa"/>
          <w:lang w:val="ru-RU"/>
        </w:rPr>
        <w:footnoteReference w:id="10"/>
      </w:r>
      <w:r w:rsidR="00FE5CD4">
        <w:rPr>
          <w:lang w:val="ru-RU"/>
        </w:rPr>
        <w:t>.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данных обстоятельствах и с учетом информации, представленной сторонами, Комитет констатирует факт нарушения статьи 6 Конвенции.</w:t>
      </w:r>
    </w:p>
    <w:p w:rsidR="009E2664" w:rsidRPr="0039510E" w:rsidRDefault="009E2664" w:rsidP="009E2664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Комитет рекомендует государству-участнику предоставить заявителю надлежащую компенсацию за материальный и моральный ущерб, причиненный в связи с вышеупомянутым нарушением Конвенции. </w:t>
      </w:r>
    </w:p>
    <w:p w:rsidR="009E2664" w:rsidRPr="00296919" w:rsidRDefault="009E2664" w:rsidP="009E2664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Кроме того, Комитет рекомендует государству-участнику пересмотреть свою политику и процедуры, касающиеся уголовного преследования в случаях предполагаемой расовой дискриминации или насилия на расовой почве, в свете его обязательств по статье 4 Конвенции</w:t>
      </w:r>
      <w:r w:rsidR="00FE5CD4" w:rsidRPr="00FE5CD4">
        <w:rPr>
          <w:rStyle w:val="aa"/>
          <w:lang w:val="ru-RU"/>
        </w:rPr>
        <w:footnoteReference w:id="11"/>
      </w:r>
      <w:r w:rsidR="00FE5CD4">
        <w:rPr>
          <w:lang w:val="ru-RU"/>
        </w:rPr>
        <w:t>.</w:t>
      </w:r>
      <w:r>
        <w:rPr>
          <w:lang w:val="ru-RU"/>
        </w:rPr>
        <w:t xml:space="preserve"> Государству-участнику также предлагается предать широкой гласности настоящее мнение, в том числе среди прокуроров и работников судебных органов. </w:t>
      </w:r>
    </w:p>
    <w:p w:rsidR="009E2664" w:rsidRPr="009E2664" w:rsidRDefault="009E2664" w:rsidP="009E2664">
      <w:pPr>
        <w:pStyle w:val="SingleTxtGR"/>
      </w:pPr>
      <w:r>
        <w:t>11.</w:t>
      </w:r>
      <w:r>
        <w:tab/>
        <w:t>Комитет хотел бы получить в течение 90 дней информацию от государства-участника о принятых мерах с целью выполнения рекомендаций Комитета.</w:t>
      </w:r>
    </w:p>
    <w:p w:rsidR="00381C24" w:rsidRPr="009E2664" w:rsidRDefault="009E2664" w:rsidP="009E266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E2664" w:rsidSect="009E26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6E" w:rsidRPr="00A312BC" w:rsidRDefault="00594B6E" w:rsidP="00A312BC"/>
  </w:endnote>
  <w:endnote w:type="continuationSeparator" w:id="0">
    <w:p w:rsidR="00594B6E" w:rsidRPr="00A312BC" w:rsidRDefault="00594B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64" w:rsidRPr="009E2664" w:rsidRDefault="009E2664">
    <w:pPr>
      <w:pStyle w:val="a8"/>
    </w:pPr>
    <w:r w:rsidRPr="009E2664">
      <w:rPr>
        <w:b/>
        <w:sz w:val="18"/>
      </w:rPr>
      <w:fldChar w:fldCharType="begin"/>
    </w:r>
    <w:r w:rsidRPr="009E2664">
      <w:rPr>
        <w:b/>
        <w:sz w:val="18"/>
      </w:rPr>
      <w:instrText xml:space="preserve"> PAGE  \* MERGEFORMAT </w:instrText>
    </w:r>
    <w:r w:rsidRPr="009E2664">
      <w:rPr>
        <w:b/>
        <w:sz w:val="18"/>
      </w:rPr>
      <w:fldChar w:fldCharType="separate"/>
    </w:r>
    <w:r w:rsidR="007C525C">
      <w:rPr>
        <w:b/>
        <w:noProof/>
        <w:sz w:val="18"/>
      </w:rPr>
      <w:t>6</w:t>
    </w:r>
    <w:r w:rsidRPr="009E2664">
      <w:rPr>
        <w:b/>
        <w:sz w:val="18"/>
      </w:rPr>
      <w:fldChar w:fldCharType="end"/>
    </w:r>
    <w:r>
      <w:rPr>
        <w:b/>
        <w:sz w:val="18"/>
      </w:rPr>
      <w:tab/>
    </w:r>
    <w:r>
      <w:t>GE.18-17927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64" w:rsidRPr="009E2664" w:rsidRDefault="009E2664" w:rsidP="009E2664">
    <w:pPr>
      <w:pStyle w:val="a8"/>
      <w:tabs>
        <w:tab w:val="clear" w:pos="9639"/>
        <w:tab w:val="right" w:pos="9638"/>
      </w:tabs>
      <w:rPr>
        <w:b/>
        <w:sz w:val="18"/>
      </w:rPr>
    </w:pPr>
    <w:r>
      <w:t>GE.18-17927</w:t>
    </w:r>
    <w:r>
      <w:tab/>
    </w:r>
    <w:r w:rsidRPr="009E2664">
      <w:rPr>
        <w:b/>
        <w:sz w:val="18"/>
      </w:rPr>
      <w:fldChar w:fldCharType="begin"/>
    </w:r>
    <w:r w:rsidRPr="009E2664">
      <w:rPr>
        <w:b/>
        <w:sz w:val="18"/>
      </w:rPr>
      <w:instrText xml:space="preserve"> PAGE  \* MERGEFORMAT </w:instrText>
    </w:r>
    <w:r w:rsidRPr="009E2664">
      <w:rPr>
        <w:b/>
        <w:sz w:val="18"/>
      </w:rPr>
      <w:fldChar w:fldCharType="separate"/>
    </w:r>
    <w:r w:rsidR="007C525C">
      <w:rPr>
        <w:b/>
        <w:noProof/>
        <w:sz w:val="18"/>
      </w:rPr>
      <w:t>7</w:t>
    </w:r>
    <w:r w:rsidRPr="009E26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E2664" w:rsidRDefault="009E2664" w:rsidP="009E266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18-17927  (R)  081118  091118</w:t>
    </w:r>
    <w:r>
      <w:br/>
    </w:r>
    <w:r w:rsidRPr="009E2664">
      <w:rPr>
        <w:rFonts w:ascii="C39T30Lfz" w:hAnsi="C39T30Lfz"/>
        <w:kern w:val="14"/>
        <w:sz w:val="56"/>
      </w:rPr>
      <w:t></w:t>
    </w:r>
    <w:r w:rsidRPr="009E2664">
      <w:rPr>
        <w:rFonts w:ascii="C39T30Lfz" w:hAnsi="C39T30Lfz"/>
        <w:kern w:val="14"/>
        <w:sz w:val="56"/>
      </w:rPr>
      <w:t></w:t>
    </w:r>
    <w:r w:rsidRPr="009E2664">
      <w:rPr>
        <w:rFonts w:ascii="C39T30Lfz" w:hAnsi="C39T30Lfz"/>
        <w:kern w:val="14"/>
        <w:sz w:val="56"/>
      </w:rPr>
      <w:t></w:t>
    </w:r>
    <w:r w:rsidRPr="009E2664">
      <w:rPr>
        <w:rFonts w:ascii="C39T30Lfz" w:hAnsi="C39T30Lfz"/>
        <w:kern w:val="14"/>
        <w:sz w:val="56"/>
      </w:rPr>
      <w:t></w:t>
    </w:r>
    <w:r w:rsidRPr="009E2664">
      <w:rPr>
        <w:rFonts w:ascii="C39T30Lfz" w:hAnsi="C39T30Lfz"/>
        <w:kern w:val="14"/>
        <w:sz w:val="56"/>
      </w:rPr>
      <w:t></w:t>
    </w:r>
    <w:r w:rsidRPr="009E2664">
      <w:rPr>
        <w:rFonts w:ascii="C39T30Lfz" w:hAnsi="C39T30Lfz"/>
        <w:kern w:val="14"/>
        <w:sz w:val="56"/>
      </w:rPr>
      <w:t></w:t>
    </w:r>
    <w:r w:rsidRPr="009E2664">
      <w:rPr>
        <w:rFonts w:ascii="C39T30Lfz" w:hAnsi="C39T30Lfz"/>
        <w:kern w:val="14"/>
        <w:sz w:val="56"/>
      </w:rPr>
      <w:t></w:t>
    </w:r>
    <w:r w:rsidRPr="009E2664">
      <w:rPr>
        <w:rFonts w:ascii="C39T30Lfz" w:hAnsi="C39T30Lfz"/>
        <w:kern w:val="14"/>
        <w:sz w:val="56"/>
      </w:rPr>
      <w:t></w:t>
    </w:r>
    <w:r w:rsidRPr="009E266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94/D/57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4/D/57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6E" w:rsidRPr="001075E9" w:rsidRDefault="00594B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4B6E" w:rsidRDefault="00594B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E2664" w:rsidRPr="00296919" w:rsidRDefault="009E2664" w:rsidP="009E2664">
      <w:pPr>
        <w:pStyle w:val="ad"/>
      </w:pPr>
      <w:r>
        <w:tab/>
      </w:r>
      <w:r w:rsidRPr="009E2664">
        <w:rPr>
          <w:sz w:val="20"/>
        </w:rPr>
        <w:t>*</w:t>
      </w:r>
      <w:r>
        <w:tab/>
        <w:t>Принято Комитетом на его девяносто четвертой сессии (20 ноября – 8 декабря 2017 года).</w:t>
      </w:r>
    </w:p>
  </w:footnote>
  <w:footnote w:id="2">
    <w:p w:rsidR="009E2664" w:rsidRPr="00296919" w:rsidRDefault="009E2664" w:rsidP="009E2664">
      <w:pPr>
        <w:pStyle w:val="ad"/>
      </w:pPr>
      <w:r>
        <w:tab/>
      </w:r>
      <w:r w:rsidRPr="009E2664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Нуре</w:t>
      </w:r>
      <w:r w:rsidR="00B93142">
        <w:t>д</w:t>
      </w:r>
      <w:r>
        <w:t xml:space="preserve">дин Амир, Алексей Автономов, Марк </w:t>
      </w:r>
      <w:proofErr w:type="spellStart"/>
      <w:r>
        <w:t>Боссайт</w:t>
      </w:r>
      <w:proofErr w:type="spellEnd"/>
      <w:r>
        <w:t xml:space="preserve">, Хосе Франсиско Кали </w:t>
      </w:r>
      <w:proofErr w:type="spellStart"/>
      <w:r>
        <w:t>Цай</w:t>
      </w:r>
      <w:proofErr w:type="spellEnd"/>
      <w:r>
        <w:t xml:space="preserve">, Анастасия </w:t>
      </w:r>
      <w:proofErr w:type="spellStart"/>
      <w:r>
        <w:t>Крикли</w:t>
      </w:r>
      <w:proofErr w:type="spellEnd"/>
      <w:r>
        <w:t xml:space="preserve">, Анвар </w:t>
      </w:r>
      <w:proofErr w:type="spellStart"/>
      <w:r>
        <w:t>Кемаль</w:t>
      </w:r>
      <w:proofErr w:type="spellEnd"/>
      <w:r>
        <w:t xml:space="preserve">, </w:t>
      </w:r>
      <w:proofErr w:type="spellStart"/>
      <w:r>
        <w:t>Мел</w:t>
      </w:r>
      <w:r w:rsidR="00B93142">
        <w:t>ь</w:t>
      </w:r>
      <w:r>
        <w:t>хем</w:t>
      </w:r>
      <w:proofErr w:type="spellEnd"/>
      <w:r>
        <w:t xml:space="preserve"> </w:t>
      </w:r>
      <w:proofErr w:type="spellStart"/>
      <w:r>
        <w:t>Халаф</w:t>
      </w:r>
      <w:proofErr w:type="spellEnd"/>
      <w:r>
        <w:t xml:space="preserve">, </w:t>
      </w:r>
      <w:proofErr w:type="spellStart"/>
      <w:r>
        <w:t>Гюн</w:t>
      </w:r>
      <w:proofErr w:type="spellEnd"/>
      <w:r>
        <w:t xml:space="preserve"> Кут, </w:t>
      </w:r>
      <w:proofErr w:type="spellStart"/>
      <w:r>
        <w:t>Жозе</w:t>
      </w:r>
      <w:proofErr w:type="spellEnd"/>
      <w:r>
        <w:t xml:space="preserve"> Линдгрен </w:t>
      </w:r>
      <w:proofErr w:type="spellStart"/>
      <w:r>
        <w:t>Алвис</w:t>
      </w:r>
      <w:proofErr w:type="spellEnd"/>
      <w:r>
        <w:t xml:space="preserve">, </w:t>
      </w:r>
      <w:proofErr w:type="spellStart"/>
      <w:r>
        <w:t>Яньдуань</w:t>
      </w:r>
      <w:proofErr w:type="spellEnd"/>
      <w:r>
        <w:t xml:space="preserve"> Ли, Николас </w:t>
      </w:r>
      <w:proofErr w:type="spellStart"/>
      <w:r>
        <w:t>Маруган</w:t>
      </w:r>
      <w:proofErr w:type="spellEnd"/>
      <w:r>
        <w:t xml:space="preserve">, </w:t>
      </w:r>
      <w:proofErr w:type="spellStart"/>
      <w:r>
        <w:t>Йемхелхе</w:t>
      </w:r>
      <w:proofErr w:type="spellEnd"/>
      <w:r>
        <w:t xml:space="preserve"> </w:t>
      </w:r>
      <w:proofErr w:type="spellStart"/>
      <w:r>
        <w:t>Минт</w:t>
      </w:r>
      <w:proofErr w:type="spellEnd"/>
      <w:r>
        <w:t xml:space="preserve"> М</w:t>
      </w:r>
      <w:r w:rsidR="00B93142">
        <w:t>у</w:t>
      </w:r>
      <w:r>
        <w:t>хам</w:t>
      </w:r>
      <w:r w:rsidR="00B93142">
        <w:t>ма</w:t>
      </w:r>
      <w:r>
        <w:t xml:space="preserve">д, </w:t>
      </w:r>
      <w:r w:rsidR="00B93142">
        <w:t>П</w:t>
      </w:r>
      <w:r>
        <w:t xml:space="preserve">астор </w:t>
      </w:r>
      <w:proofErr w:type="spellStart"/>
      <w:r>
        <w:t>Элиас</w:t>
      </w:r>
      <w:proofErr w:type="spellEnd"/>
      <w:r>
        <w:t xml:space="preserve"> </w:t>
      </w:r>
      <w:proofErr w:type="spellStart"/>
      <w:r>
        <w:t>Мурильо</w:t>
      </w:r>
      <w:proofErr w:type="spellEnd"/>
      <w:r>
        <w:t xml:space="preserve"> </w:t>
      </w:r>
      <w:proofErr w:type="spellStart"/>
      <w:r>
        <w:t>Мартинес</w:t>
      </w:r>
      <w:proofErr w:type="spellEnd"/>
      <w:r>
        <w:t xml:space="preserve"> и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 Джон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Сик</w:t>
      </w:r>
      <w:proofErr w:type="spellEnd"/>
      <w:r>
        <w:t xml:space="preserve"> Юн.</w:t>
      </w:r>
    </w:p>
  </w:footnote>
  <w:footnote w:id="3">
    <w:p w:rsidR="00FB1BDA" w:rsidRPr="00296919" w:rsidRDefault="00FB1BDA" w:rsidP="00FB1BDA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  <w:t>Один из пяти районов Кишинева.</w:t>
      </w:r>
    </w:p>
  </w:footnote>
  <w:footnote w:id="4">
    <w:p w:rsidR="00FB1BDA" w:rsidRPr="00296919" w:rsidRDefault="00FB1BDA" w:rsidP="00FB1BDA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  <w:t>Заявление № 40116/02, решение, принятое 31 мая 2007 года.</w:t>
      </w:r>
    </w:p>
  </w:footnote>
  <w:footnote w:id="5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  <w:t>Государство-участник не представило никаких конкретных деталей относительно этой процедуры.</w:t>
      </w:r>
    </w:p>
  </w:footnote>
  <w:footnote w:id="6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  <w:t xml:space="preserve">Как представляется, Управление Уполномоченного по правам человека принимало участие в подготовке представлений государства-участника. </w:t>
      </w:r>
    </w:p>
  </w:footnote>
  <w:footnote w:id="7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</w:r>
      <w:r w:rsidRPr="0022054B">
        <w:rPr>
          <w:i/>
          <w:iCs/>
        </w:rPr>
        <w:t>Эр против Дании</w:t>
      </w:r>
      <w:r>
        <w:t xml:space="preserve"> (CERD/C/71/D/40/2007), пункт 7.2. </w:t>
      </w:r>
    </w:p>
  </w:footnote>
  <w:footnote w:id="8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</w:r>
      <w:proofErr w:type="spellStart"/>
      <w:r w:rsidRPr="0022054B">
        <w:rPr>
          <w:i/>
          <w:iCs/>
        </w:rPr>
        <w:t>Давас</w:t>
      </w:r>
      <w:proofErr w:type="spellEnd"/>
      <w:r w:rsidRPr="0022054B">
        <w:rPr>
          <w:i/>
          <w:iCs/>
        </w:rPr>
        <w:t xml:space="preserve"> и </w:t>
      </w:r>
      <w:proofErr w:type="spellStart"/>
      <w:r w:rsidRPr="0022054B">
        <w:rPr>
          <w:i/>
          <w:iCs/>
        </w:rPr>
        <w:t>Шава</w:t>
      </w:r>
      <w:proofErr w:type="spellEnd"/>
      <w:r w:rsidRPr="0022054B">
        <w:rPr>
          <w:i/>
          <w:iCs/>
        </w:rPr>
        <w:t xml:space="preserve"> против Дании</w:t>
      </w:r>
      <w:r>
        <w:t xml:space="preserve"> (CERD/C/80/D/46/2009), пункт 7.4.</w:t>
      </w:r>
    </w:p>
  </w:footnote>
  <w:footnote w:id="9">
    <w:p w:rsidR="00FB1BDA" w:rsidRPr="00296919" w:rsidRDefault="00FB1BDA" w:rsidP="00FB1BDA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  <w:t>Общая рекомендация № 31, пункт 15.</w:t>
      </w:r>
    </w:p>
  </w:footnote>
  <w:footnote w:id="10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ab/>
      </w:r>
      <w:proofErr w:type="spellStart"/>
      <w:r w:rsidRPr="0022054B">
        <w:rPr>
          <w:i/>
          <w:iCs/>
        </w:rPr>
        <w:t>Давас</w:t>
      </w:r>
      <w:proofErr w:type="spellEnd"/>
      <w:r w:rsidRPr="0022054B">
        <w:rPr>
          <w:i/>
          <w:iCs/>
        </w:rPr>
        <w:t xml:space="preserve"> и </w:t>
      </w:r>
      <w:proofErr w:type="spellStart"/>
      <w:r w:rsidRPr="0022054B">
        <w:rPr>
          <w:i/>
          <w:iCs/>
        </w:rPr>
        <w:t>Шава</w:t>
      </w:r>
      <w:proofErr w:type="spellEnd"/>
      <w:r w:rsidRPr="0022054B">
        <w:rPr>
          <w:i/>
          <w:iCs/>
        </w:rPr>
        <w:t xml:space="preserve"> против Дании</w:t>
      </w:r>
      <w:r>
        <w:t>, пункт 7.5.</w:t>
      </w:r>
    </w:p>
  </w:footnote>
  <w:footnote w:id="11">
    <w:p w:rsidR="00FE5CD4" w:rsidRPr="00296919" w:rsidRDefault="00FE5CD4" w:rsidP="009E2664">
      <w:pPr>
        <w:pStyle w:val="ad"/>
      </w:pPr>
      <w:r w:rsidRPr="005E327A">
        <w:tab/>
      </w:r>
      <w:r w:rsidRPr="00FE5CD4">
        <w:rPr>
          <w:rStyle w:val="aa"/>
        </w:rPr>
        <w:footnoteRef/>
      </w:r>
      <w:r>
        <w:t xml:space="preserve"> </w:t>
      </w:r>
      <w:r>
        <w:tab/>
        <w:t xml:space="preserve">Комитет по ликвидации расовой дискриминации, </w:t>
      </w:r>
      <w:r w:rsidRPr="0022054B">
        <w:rPr>
          <w:i/>
          <w:iCs/>
        </w:rPr>
        <w:t>Л.К. против Нидерландов</w:t>
      </w:r>
      <w:r>
        <w:t>, сообщение</w:t>
      </w:r>
      <w:r w:rsidR="00FB1BDA">
        <w:t> № </w:t>
      </w:r>
      <w:r>
        <w:t xml:space="preserve">4/1991, пункт 6.8.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64" w:rsidRPr="009E2664" w:rsidRDefault="007C52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CERD/C/94/D/57/2015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64" w:rsidRPr="009E2664" w:rsidRDefault="007C525C" w:rsidP="009E266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CERD/C/94/D/57/2015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E"/>
    <w:rsid w:val="00033EE1"/>
    <w:rsid w:val="00042B72"/>
    <w:rsid w:val="00047D55"/>
    <w:rsid w:val="000558BD"/>
    <w:rsid w:val="000B57E7"/>
    <w:rsid w:val="000B6373"/>
    <w:rsid w:val="000F09DF"/>
    <w:rsid w:val="000F61B2"/>
    <w:rsid w:val="001052D9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4B6E"/>
    <w:rsid w:val="005961C8"/>
    <w:rsid w:val="005A2E70"/>
    <w:rsid w:val="005D7914"/>
    <w:rsid w:val="005E2B41"/>
    <w:rsid w:val="005F0B42"/>
    <w:rsid w:val="006306AC"/>
    <w:rsid w:val="0067000F"/>
    <w:rsid w:val="00676C8B"/>
    <w:rsid w:val="00681A10"/>
    <w:rsid w:val="006A1ED8"/>
    <w:rsid w:val="006C2031"/>
    <w:rsid w:val="006D461A"/>
    <w:rsid w:val="006F35EE"/>
    <w:rsid w:val="007021FF"/>
    <w:rsid w:val="00706B3D"/>
    <w:rsid w:val="00712895"/>
    <w:rsid w:val="00715C0A"/>
    <w:rsid w:val="00757357"/>
    <w:rsid w:val="007C46C9"/>
    <w:rsid w:val="007C525C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8090C"/>
    <w:rsid w:val="00981888"/>
    <w:rsid w:val="009A24AC"/>
    <w:rsid w:val="009D5FCE"/>
    <w:rsid w:val="009E2664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1427"/>
    <w:rsid w:val="00B539E7"/>
    <w:rsid w:val="00B62458"/>
    <w:rsid w:val="00B67B12"/>
    <w:rsid w:val="00B9314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B1BDA"/>
    <w:rsid w:val="00FD2EF7"/>
    <w:rsid w:val="00FE447E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B71EC"/>
  <w15:docId w15:val="{D6F49836-7431-4F0D-A41E-FB76CA7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23G">
    <w:name w:val="_ H_2/3_G"/>
    <w:basedOn w:val="a"/>
    <w:next w:val="a"/>
    <w:rsid w:val="009E266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a"/>
    <w:next w:val="a"/>
    <w:rsid w:val="009E266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SingleTxtG">
    <w:name w:val="_ Single Txt_G"/>
    <w:basedOn w:val="a"/>
    <w:rsid w:val="009E2664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7</Pages>
  <Words>2758</Words>
  <Characters>18509</Characters>
  <Application>Microsoft Office Word</Application>
  <DocSecurity>0</DocSecurity>
  <Lines>328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CERD/C/94/D/57/2015</vt:lpstr>
      <vt:lpstr>A/</vt:lpstr>
      <vt:lpstr>A/</vt:lpstr>
    </vt:vector>
  </TitlesOfParts>
  <Company>DCM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CERD/C/94/D/57/2015</dc:title>
  <dc:subject/>
  <dc:creator>Marina KOROTKOVA</dc:creator>
  <cp:keywords/>
  <cp:lastModifiedBy>Generic TPSRUS2</cp:lastModifiedBy>
  <cp:revision>3</cp:revision>
  <cp:lastPrinted>2018-11-09T08:03:00Z</cp:lastPrinted>
  <dcterms:created xsi:type="dcterms:W3CDTF">2018-11-09T08:03:00Z</dcterms:created>
  <dcterms:modified xsi:type="dcterms:W3CDTF">2018-11-09T08:04:00Z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