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2A7A34"/>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2A7A34" w:rsidP="002A7A34">
            <w:pPr>
              <w:jc w:val="right"/>
            </w:pPr>
            <w:r w:rsidRPr="002A7A34">
              <w:rPr>
                <w:sz w:val="40"/>
              </w:rPr>
              <w:t>CAT</w:t>
            </w:r>
            <w:r>
              <w:t>/C/PRT/7</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2A7A34" w:rsidP="00A704A8">
            <w:pPr>
              <w:spacing w:before="240"/>
            </w:pPr>
            <w:proofErr w:type="spellStart"/>
            <w:r>
              <w:t>Distr</w:t>
            </w:r>
            <w:proofErr w:type="spellEnd"/>
            <w:r>
              <w:t>. générale</w:t>
            </w:r>
          </w:p>
          <w:p w:rsidR="002A7A34" w:rsidRDefault="002A7A34" w:rsidP="002A7A34">
            <w:pPr>
              <w:spacing w:line="240" w:lineRule="exact"/>
            </w:pPr>
            <w:r>
              <w:t>18 décembre 2018</w:t>
            </w:r>
          </w:p>
          <w:p w:rsidR="002A7A34" w:rsidRDefault="002A7A34" w:rsidP="002A7A34">
            <w:pPr>
              <w:spacing w:line="240" w:lineRule="exact"/>
            </w:pPr>
            <w:r>
              <w:t>Français</w:t>
            </w:r>
          </w:p>
          <w:p w:rsidR="002A7A34" w:rsidRDefault="002A7A34" w:rsidP="002A7A34">
            <w:pPr>
              <w:spacing w:line="240" w:lineRule="exact"/>
            </w:pPr>
            <w:r>
              <w:t>Original</w:t>
            </w:r>
            <w:r w:rsidR="00495D0F">
              <w:t> :</w:t>
            </w:r>
            <w:r>
              <w:t xml:space="preserve"> anglais</w:t>
            </w:r>
          </w:p>
          <w:p w:rsidR="002A7A34" w:rsidRPr="00DB58B5" w:rsidRDefault="002A7A34" w:rsidP="002A7A34">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2A7A34" w:rsidRPr="006E7563" w:rsidRDefault="002A7A34" w:rsidP="00E60AB9">
      <w:pPr>
        <w:pStyle w:val="HMG"/>
        <w:spacing w:before="360"/>
        <w:rPr>
          <w:b w:val="0"/>
          <w:lang w:val="fr-FR"/>
        </w:rPr>
      </w:pPr>
      <w:r w:rsidRPr="00686CD4">
        <w:rPr>
          <w:lang w:val="fr-FR"/>
        </w:rPr>
        <w:tab/>
      </w:r>
      <w:r w:rsidRPr="00686CD4">
        <w:rPr>
          <w:lang w:val="fr-FR"/>
        </w:rPr>
        <w:tab/>
        <w:t xml:space="preserve">Septième rapport périodique </w:t>
      </w:r>
      <w:r>
        <w:rPr>
          <w:lang w:val="fr-FR"/>
        </w:rPr>
        <w:t>soumis</w:t>
      </w:r>
      <w:r w:rsidRPr="00686CD4">
        <w:rPr>
          <w:lang w:val="fr-FR"/>
        </w:rPr>
        <w:t xml:space="preserve"> par </w:t>
      </w:r>
      <w:r w:rsidR="00E60AB9">
        <w:rPr>
          <w:lang w:val="fr-FR"/>
        </w:rPr>
        <w:br/>
      </w:r>
      <w:r>
        <w:rPr>
          <w:lang w:val="fr-FR"/>
        </w:rPr>
        <w:t xml:space="preserve">le </w:t>
      </w:r>
      <w:r w:rsidRPr="00686CD4">
        <w:rPr>
          <w:lang w:val="fr-FR"/>
        </w:rPr>
        <w:t xml:space="preserve">Portugal </w:t>
      </w:r>
      <w:r>
        <w:rPr>
          <w:lang w:val="fr-FR"/>
        </w:rPr>
        <w:t>en application de</w:t>
      </w:r>
      <w:r w:rsidRPr="00686CD4">
        <w:rPr>
          <w:lang w:val="fr-FR"/>
        </w:rPr>
        <w:t xml:space="preserve"> l</w:t>
      </w:r>
      <w:r>
        <w:rPr>
          <w:lang w:val="fr-FR"/>
        </w:rPr>
        <w:t>’</w:t>
      </w:r>
      <w:r w:rsidRPr="00686CD4">
        <w:rPr>
          <w:lang w:val="fr-FR"/>
        </w:rPr>
        <w:t xml:space="preserve">article 19 </w:t>
      </w:r>
      <w:r w:rsidR="00E60AB9">
        <w:rPr>
          <w:lang w:val="fr-FR"/>
        </w:rPr>
        <w:br/>
      </w:r>
      <w:r w:rsidRPr="00686CD4">
        <w:rPr>
          <w:lang w:val="fr-FR"/>
        </w:rPr>
        <w:t xml:space="preserve">de la Convention selon la procédure facultative </w:t>
      </w:r>
      <w:r w:rsidRPr="006E7563">
        <w:rPr>
          <w:spacing w:val="-2"/>
          <w:lang w:val="fr-FR"/>
        </w:rPr>
        <w:t>d’établissement des rapports, attendu en 2017</w:t>
      </w:r>
      <w:r w:rsidR="004B6EE3" w:rsidRPr="006E7563">
        <w:rPr>
          <w:rStyle w:val="Appelnotedebasdep"/>
          <w:b w:val="0"/>
          <w:spacing w:val="-2"/>
          <w:sz w:val="20"/>
          <w:vertAlign w:val="baseline"/>
        </w:rPr>
        <w:footnoteReference w:customMarkFollows="1" w:id="2"/>
        <w:t>*</w:t>
      </w:r>
      <w:r w:rsidR="004B6EE3" w:rsidRPr="006E7563">
        <w:rPr>
          <w:b w:val="0"/>
          <w:spacing w:val="-2"/>
          <w:sz w:val="20"/>
          <w:vertAlign w:val="superscript"/>
        </w:rPr>
        <w:t>,</w:t>
      </w:r>
      <w:r w:rsidR="004B6EE3" w:rsidRPr="006E7563">
        <w:rPr>
          <w:b w:val="0"/>
          <w:spacing w:val="-2"/>
          <w:sz w:val="20"/>
        </w:rPr>
        <w:t xml:space="preserve"> </w:t>
      </w:r>
      <w:r w:rsidR="004B6EE3" w:rsidRPr="006E7563">
        <w:rPr>
          <w:rStyle w:val="Appelnotedebasdep"/>
          <w:b w:val="0"/>
          <w:spacing w:val="-2"/>
          <w:sz w:val="20"/>
          <w:vertAlign w:val="baseline"/>
        </w:rPr>
        <w:footnoteReference w:customMarkFollows="1" w:id="3"/>
        <w:t>**</w:t>
      </w:r>
      <w:r w:rsidR="004B6EE3" w:rsidRPr="006E7563">
        <w:rPr>
          <w:rStyle w:val="Appelnotedebasdep"/>
          <w:b w:val="0"/>
          <w:spacing w:val="-2"/>
          <w:sz w:val="20"/>
        </w:rPr>
        <w:t>,</w:t>
      </w:r>
      <w:r w:rsidR="004B6EE3" w:rsidRPr="006E7563">
        <w:rPr>
          <w:b w:val="0"/>
          <w:spacing w:val="-2"/>
          <w:sz w:val="20"/>
        </w:rPr>
        <w:t xml:space="preserve"> </w:t>
      </w:r>
      <w:r w:rsidR="004B6EE3" w:rsidRPr="006E7563">
        <w:rPr>
          <w:rStyle w:val="Appelnotedebasdep"/>
          <w:b w:val="0"/>
          <w:spacing w:val="-2"/>
          <w:sz w:val="20"/>
          <w:vertAlign w:val="baseline"/>
        </w:rPr>
        <w:footnoteReference w:customMarkFollows="1" w:id="4"/>
        <w:t>***</w:t>
      </w:r>
    </w:p>
    <w:p w:rsidR="002A7A34" w:rsidRPr="00686CD4" w:rsidRDefault="002A7A34" w:rsidP="006E7563">
      <w:pPr>
        <w:pStyle w:val="SingleTxtG"/>
        <w:jc w:val="right"/>
        <w:rPr>
          <w:lang w:val="fr-FR"/>
        </w:rPr>
      </w:pPr>
      <w:r w:rsidRPr="00686CD4">
        <w:rPr>
          <w:lang w:val="fr-FR"/>
        </w:rPr>
        <w:t>[Date de réception</w:t>
      </w:r>
      <w:r w:rsidR="00495D0F">
        <w:rPr>
          <w:lang w:val="fr-FR"/>
        </w:rPr>
        <w:t> :</w:t>
      </w:r>
      <w:r w:rsidRPr="00686CD4">
        <w:rPr>
          <w:lang w:val="fr-FR"/>
        </w:rPr>
        <w:t xml:space="preserve"> 7 juin 2018]</w:t>
      </w:r>
    </w:p>
    <w:p w:rsidR="002A7A34" w:rsidRPr="00686CD4" w:rsidRDefault="002A7A34" w:rsidP="000116F5">
      <w:pPr>
        <w:pStyle w:val="SingleTxtG"/>
        <w:rPr>
          <w:lang w:val="fr-FR"/>
        </w:rPr>
      </w:pPr>
      <w:r w:rsidRPr="00686CD4">
        <w:rPr>
          <w:lang w:val="fr-FR"/>
        </w:rPr>
        <w:br w:type="page"/>
      </w:r>
      <w:r w:rsidRPr="000116F5">
        <w:rPr>
          <w:i/>
          <w:lang w:val="fr-FR"/>
        </w:rPr>
        <w:lastRenderedPageBreak/>
        <w:t>Note</w:t>
      </w:r>
      <w:r w:rsidR="00495D0F">
        <w:rPr>
          <w:lang w:val="fr-FR"/>
        </w:rPr>
        <w:t> :</w:t>
      </w:r>
      <w:r w:rsidRPr="00686CD4">
        <w:rPr>
          <w:lang w:val="fr-FR"/>
        </w:rPr>
        <w:t xml:space="preserve"> </w:t>
      </w:r>
      <w:r w:rsidR="000116F5" w:rsidRPr="000116F5">
        <w:rPr>
          <w:lang w:val="fr-FR"/>
        </w:rPr>
        <w:t>L</w:t>
      </w:r>
      <w:r w:rsidRPr="000116F5">
        <w:rPr>
          <w:lang w:val="fr-FR"/>
        </w:rPr>
        <w:t>a liste des points à traiter avant la soumission du septième rapport périodique du Portugal (CAT/C/PRT/QPR/7) en date du 14 janvier</w:t>
      </w:r>
      <w:r w:rsidR="000116F5">
        <w:rPr>
          <w:lang w:val="fr-FR"/>
        </w:rPr>
        <w:t xml:space="preserve"> </w:t>
      </w:r>
      <w:r w:rsidRPr="000116F5">
        <w:rPr>
          <w:lang w:val="fr-FR"/>
        </w:rPr>
        <w:t>2016 ayant été établie antérieurement au rapport CAT/C/PRT/CO/5-6/Add.3 (en date du 27 janvier 2017), les réponses données ci-après sont présentées sur la</w:t>
      </w:r>
      <w:r w:rsidR="00495D0F" w:rsidRPr="000116F5">
        <w:rPr>
          <w:lang w:val="fr-FR"/>
        </w:rPr>
        <w:t xml:space="preserve"> </w:t>
      </w:r>
      <w:r w:rsidRPr="000116F5">
        <w:rPr>
          <w:lang w:val="fr-FR"/>
        </w:rPr>
        <w:t xml:space="preserve">base de ces informations. </w:t>
      </w:r>
      <w:r w:rsidRPr="000116F5">
        <w:rPr>
          <w:iCs/>
          <w:lang w:val="fr-FR"/>
        </w:rPr>
        <w:t>L’annexe II du présent rapport présente les informations supplémentaires communiquées en septembre</w:t>
      </w:r>
      <w:r w:rsidR="000116F5">
        <w:rPr>
          <w:iCs/>
          <w:lang w:val="fr-FR"/>
        </w:rPr>
        <w:t xml:space="preserve"> </w:t>
      </w:r>
      <w:r w:rsidRPr="000116F5">
        <w:rPr>
          <w:iCs/>
          <w:lang w:val="fr-FR"/>
        </w:rPr>
        <w:t>2017 par le Ministère des affaires intérieures pour faire suite à la lettre du Comité en date du 29</w:t>
      </w:r>
      <w:r w:rsidR="000116F5">
        <w:rPr>
          <w:iCs/>
          <w:lang w:val="fr-FR"/>
        </w:rPr>
        <w:t> </w:t>
      </w:r>
      <w:r w:rsidRPr="000116F5">
        <w:rPr>
          <w:iCs/>
          <w:lang w:val="fr-FR"/>
        </w:rPr>
        <w:t>août</w:t>
      </w:r>
      <w:r w:rsidR="00495D0F" w:rsidRPr="000116F5">
        <w:rPr>
          <w:iCs/>
          <w:lang w:val="fr-FR"/>
        </w:rPr>
        <w:t xml:space="preserve"> </w:t>
      </w:r>
      <w:r w:rsidRPr="000116F5">
        <w:rPr>
          <w:iCs/>
          <w:lang w:val="fr-FR"/>
        </w:rPr>
        <w:t>2016.</w:t>
      </w:r>
      <w:bookmarkStart w:id="0" w:name="_Toc532494603"/>
    </w:p>
    <w:p w:rsidR="002A7A34" w:rsidRPr="00686CD4" w:rsidRDefault="002A7A34" w:rsidP="00DB00CE">
      <w:pPr>
        <w:pStyle w:val="H1G"/>
        <w:jc w:val="both"/>
        <w:rPr>
          <w:lang w:val="fr-FR"/>
        </w:rPr>
      </w:pPr>
      <w:r w:rsidRPr="00686CD4">
        <w:rPr>
          <w:lang w:val="fr-FR"/>
        </w:rPr>
        <w:tab/>
      </w:r>
      <w:r w:rsidRPr="00686CD4">
        <w:rPr>
          <w:lang w:val="fr-FR"/>
        </w:rPr>
        <w:tab/>
        <w:t>Articles 1 et 4</w:t>
      </w:r>
      <w:bookmarkEnd w:id="0"/>
    </w:p>
    <w:p w:rsidR="002A7A34" w:rsidRPr="00686CD4" w:rsidRDefault="002A7A34" w:rsidP="00DB00CE">
      <w:pPr>
        <w:pStyle w:val="H23G"/>
        <w:jc w:val="both"/>
        <w:rPr>
          <w:lang w:val="fr-FR"/>
        </w:rPr>
      </w:pPr>
      <w:r w:rsidRPr="00686CD4">
        <w:rPr>
          <w:lang w:val="fr-FR"/>
        </w:rPr>
        <w:tab/>
        <w:t>1.</w:t>
      </w:r>
      <w:r w:rsidRPr="00686CD4">
        <w:rPr>
          <w:lang w:val="fr-FR"/>
        </w:rPr>
        <w:tab/>
      </w:r>
      <w:r w:rsidRPr="00DB00CE">
        <w:rPr>
          <w:spacing w:val="-2"/>
          <w:lang w:val="fr-FR"/>
        </w:rPr>
        <w:t>Compte tenu des précédentes observations finales du Comité (voir CAT/C/PRT/CO/5</w:t>
      </w:r>
      <w:r w:rsidRPr="00DB00CE">
        <w:rPr>
          <w:spacing w:val="-2"/>
          <w:lang w:val="fr-FR"/>
        </w:rPr>
        <w:noBreakHyphen/>
        <w:t>6,</w:t>
      </w:r>
      <w:r w:rsidRPr="00686CD4">
        <w:rPr>
          <w:lang w:val="fr-FR"/>
        </w:rPr>
        <w:t xml:space="preserve"> par. 7), donner des renseignements à jour sur toute mesure prise en vue de modifier l</w:t>
      </w:r>
      <w:r>
        <w:rPr>
          <w:lang w:val="fr-FR"/>
        </w:rPr>
        <w:t>’</w:t>
      </w:r>
      <w:r w:rsidRPr="00686CD4">
        <w:rPr>
          <w:lang w:val="fr-FR"/>
        </w:rPr>
        <w:t>article 243 du Code pénal de façon à inclure explicitement la discrimination parmi les motifs possibles du recours à la torture et à mettre la définition de la torture en pleine conformité avec tous les éléments énoncés à l</w:t>
      </w:r>
      <w:r>
        <w:rPr>
          <w:lang w:val="fr-FR"/>
        </w:rPr>
        <w:t>’</w:t>
      </w:r>
      <w:r w:rsidRPr="00686CD4">
        <w:rPr>
          <w:lang w:val="fr-FR"/>
        </w:rPr>
        <w:t>article premier de la Convention. Indiquer s</w:t>
      </w:r>
      <w:r>
        <w:rPr>
          <w:lang w:val="fr-FR"/>
        </w:rPr>
        <w:t>’</w:t>
      </w:r>
      <w:r w:rsidRPr="00686CD4">
        <w:rPr>
          <w:lang w:val="fr-FR"/>
        </w:rPr>
        <w:t>il existe un délai de prescription pour engager des poursuites contre les auteurs d</w:t>
      </w:r>
      <w:r>
        <w:rPr>
          <w:lang w:val="fr-FR"/>
        </w:rPr>
        <w:t>’</w:t>
      </w:r>
      <w:r w:rsidRPr="00686CD4">
        <w:rPr>
          <w:lang w:val="fr-FR"/>
        </w:rPr>
        <w:t>actes de torture.</w:t>
      </w:r>
      <w:bookmarkStart w:id="1" w:name="_Toc532494604"/>
      <w:bookmarkEnd w:id="1"/>
    </w:p>
    <w:p w:rsidR="002A7A34" w:rsidRPr="00686CD4" w:rsidRDefault="002A7A34" w:rsidP="002A7A34">
      <w:pPr>
        <w:pStyle w:val="SingleTxtG"/>
        <w:rPr>
          <w:lang w:val="fr-FR"/>
        </w:rPr>
      </w:pPr>
      <w:r w:rsidRPr="00686CD4">
        <w:rPr>
          <w:lang w:val="fr-FR"/>
        </w:rPr>
        <w:t>1.</w:t>
      </w:r>
      <w:r w:rsidRPr="00686CD4">
        <w:rPr>
          <w:lang w:val="fr-FR"/>
        </w:rPr>
        <w:tab/>
        <w:t>L</w:t>
      </w:r>
      <w:r>
        <w:rPr>
          <w:lang w:val="fr-FR"/>
        </w:rPr>
        <w:t>’</w:t>
      </w:r>
      <w:r w:rsidRPr="00686CD4">
        <w:rPr>
          <w:lang w:val="fr-FR"/>
        </w:rPr>
        <w:t>article 243 du Code pénal portugais n</w:t>
      </w:r>
      <w:r>
        <w:rPr>
          <w:lang w:val="fr-FR"/>
        </w:rPr>
        <w:t>’</w:t>
      </w:r>
      <w:r w:rsidRPr="00686CD4">
        <w:rPr>
          <w:lang w:val="fr-FR"/>
        </w:rPr>
        <w:t>a pas été modifié.</w:t>
      </w:r>
    </w:p>
    <w:p w:rsidR="002A7A34" w:rsidRPr="00686CD4" w:rsidRDefault="002A7A34" w:rsidP="002A7A34">
      <w:pPr>
        <w:pStyle w:val="SingleTxtG"/>
        <w:rPr>
          <w:lang w:val="fr-FR"/>
        </w:rPr>
      </w:pPr>
      <w:r w:rsidRPr="00686CD4">
        <w:rPr>
          <w:lang w:val="fr-FR"/>
        </w:rPr>
        <w:t>2.</w:t>
      </w:r>
      <w:r w:rsidRPr="00686CD4">
        <w:rPr>
          <w:lang w:val="fr-FR"/>
        </w:rPr>
        <w:tab/>
        <w:t>En vertu de l</w:t>
      </w:r>
      <w:r>
        <w:rPr>
          <w:lang w:val="fr-FR"/>
        </w:rPr>
        <w:t>’</w:t>
      </w:r>
      <w:r w:rsidRPr="00686CD4">
        <w:rPr>
          <w:lang w:val="fr-FR"/>
        </w:rPr>
        <w:t>Article 118 du Code pénal, l</w:t>
      </w:r>
      <w:r>
        <w:rPr>
          <w:lang w:val="fr-FR"/>
        </w:rPr>
        <w:t>’</w:t>
      </w:r>
      <w:r w:rsidRPr="00686CD4">
        <w:rPr>
          <w:lang w:val="fr-FR"/>
        </w:rPr>
        <w:t>extinction de l</w:t>
      </w:r>
      <w:r>
        <w:rPr>
          <w:lang w:val="fr-FR"/>
        </w:rPr>
        <w:t>’</w:t>
      </w:r>
      <w:r w:rsidRPr="00686CD4">
        <w:rPr>
          <w:lang w:val="fr-FR"/>
        </w:rPr>
        <w:t>action publique engagée en cas d</w:t>
      </w:r>
      <w:r>
        <w:rPr>
          <w:lang w:val="fr-FR"/>
        </w:rPr>
        <w:t>’</w:t>
      </w:r>
      <w:r w:rsidRPr="00686CD4">
        <w:rPr>
          <w:lang w:val="fr-FR"/>
        </w:rPr>
        <w:t>infraction passible d</w:t>
      </w:r>
      <w:r>
        <w:rPr>
          <w:lang w:val="fr-FR"/>
        </w:rPr>
        <w:t>’</w:t>
      </w:r>
      <w:r w:rsidRPr="00686CD4">
        <w:rPr>
          <w:lang w:val="fr-FR"/>
        </w:rPr>
        <w:t>une peine de prison d</w:t>
      </w:r>
      <w:r>
        <w:rPr>
          <w:lang w:val="fr-FR"/>
        </w:rPr>
        <w:t>’</w:t>
      </w:r>
      <w:r w:rsidRPr="00686CD4">
        <w:rPr>
          <w:lang w:val="fr-FR"/>
        </w:rPr>
        <w:t>au moins cinq ans</w:t>
      </w:r>
      <w:r>
        <w:rPr>
          <w:lang w:val="fr-FR"/>
        </w:rPr>
        <w:t>,</w:t>
      </w:r>
      <w:r w:rsidRPr="00686CD4">
        <w:rPr>
          <w:lang w:val="fr-FR"/>
        </w:rPr>
        <w:t xml:space="preserve"> mais ne dépassant pas dix ans</w:t>
      </w:r>
      <w:r w:rsidR="00190D15">
        <w:rPr>
          <w:lang w:val="fr-FR"/>
        </w:rPr>
        <w:t>,</w:t>
      </w:r>
      <w:r w:rsidRPr="00686CD4">
        <w:rPr>
          <w:lang w:val="fr-FR"/>
        </w:rPr>
        <w:t xml:space="preserve"> </w:t>
      </w:r>
      <w:r>
        <w:rPr>
          <w:lang w:val="fr-FR"/>
        </w:rPr>
        <w:t>intervient</w:t>
      </w:r>
      <w:r w:rsidRPr="00686CD4">
        <w:rPr>
          <w:lang w:val="fr-FR"/>
        </w:rPr>
        <w:t xml:space="preserve"> à l</w:t>
      </w:r>
      <w:r>
        <w:rPr>
          <w:lang w:val="fr-FR"/>
        </w:rPr>
        <w:t>’</w:t>
      </w:r>
      <w:r w:rsidRPr="00686CD4">
        <w:rPr>
          <w:lang w:val="fr-FR"/>
        </w:rPr>
        <w:t>expiration d</w:t>
      </w:r>
      <w:r>
        <w:rPr>
          <w:lang w:val="fr-FR"/>
        </w:rPr>
        <w:t>’</w:t>
      </w:r>
      <w:r w:rsidRPr="00686CD4">
        <w:rPr>
          <w:lang w:val="fr-FR"/>
        </w:rPr>
        <w:t>un délai de prescription de dix ans.</w:t>
      </w:r>
    </w:p>
    <w:p w:rsidR="002A7A34" w:rsidRPr="00686CD4" w:rsidRDefault="002A7A34" w:rsidP="002A7A34">
      <w:pPr>
        <w:pStyle w:val="SingleTxtG"/>
        <w:rPr>
          <w:lang w:val="fr-FR"/>
        </w:rPr>
      </w:pPr>
      <w:r w:rsidRPr="00686CD4">
        <w:rPr>
          <w:lang w:val="fr-FR"/>
        </w:rPr>
        <w:t>3.</w:t>
      </w:r>
      <w:r w:rsidRPr="00686CD4">
        <w:rPr>
          <w:lang w:val="fr-FR"/>
        </w:rPr>
        <w:tab/>
        <w:t>En cas d</w:t>
      </w:r>
      <w:r>
        <w:rPr>
          <w:lang w:val="fr-FR"/>
        </w:rPr>
        <w:t>’</w:t>
      </w:r>
      <w:r w:rsidRPr="00686CD4">
        <w:rPr>
          <w:lang w:val="fr-FR"/>
        </w:rPr>
        <w:t>infraction contre la liberté et contre l</w:t>
      </w:r>
      <w:r>
        <w:rPr>
          <w:lang w:val="fr-FR"/>
        </w:rPr>
        <w:t>’</w:t>
      </w:r>
      <w:proofErr w:type="spellStart"/>
      <w:r w:rsidRPr="00686CD4">
        <w:rPr>
          <w:lang w:val="fr-FR"/>
        </w:rPr>
        <w:t>autodétermination</w:t>
      </w:r>
      <w:proofErr w:type="spellEnd"/>
      <w:r w:rsidRPr="00686CD4">
        <w:rPr>
          <w:lang w:val="fr-FR"/>
        </w:rPr>
        <w:t xml:space="preserve"> sexuelle de mineurs, ou de mutilations génitales féminines (MGF) d</w:t>
      </w:r>
      <w:r>
        <w:rPr>
          <w:lang w:val="fr-FR"/>
        </w:rPr>
        <w:t>’</w:t>
      </w:r>
      <w:r w:rsidRPr="00686CD4">
        <w:rPr>
          <w:lang w:val="fr-FR"/>
        </w:rPr>
        <w:t>une enfant, l</w:t>
      </w:r>
      <w:r>
        <w:rPr>
          <w:lang w:val="fr-FR"/>
        </w:rPr>
        <w:t>’</w:t>
      </w:r>
      <w:r w:rsidRPr="00686CD4">
        <w:rPr>
          <w:lang w:val="fr-FR"/>
        </w:rPr>
        <w:t>extinction de l</w:t>
      </w:r>
      <w:r>
        <w:rPr>
          <w:lang w:val="fr-FR"/>
        </w:rPr>
        <w:t>’</w:t>
      </w:r>
      <w:r w:rsidRPr="00686CD4">
        <w:rPr>
          <w:lang w:val="fr-FR"/>
        </w:rPr>
        <w:t>action publique à l</w:t>
      </w:r>
      <w:r>
        <w:rPr>
          <w:lang w:val="fr-FR"/>
        </w:rPr>
        <w:t>’</w:t>
      </w:r>
      <w:r w:rsidRPr="00686CD4">
        <w:rPr>
          <w:lang w:val="fr-FR"/>
        </w:rPr>
        <w:t>expiration du délai de prescription ne peut pas intervenir tant que la victime n</w:t>
      </w:r>
      <w:r>
        <w:rPr>
          <w:lang w:val="fr-FR"/>
        </w:rPr>
        <w:t>’</w:t>
      </w:r>
      <w:r w:rsidRPr="00686CD4">
        <w:rPr>
          <w:lang w:val="fr-FR"/>
        </w:rPr>
        <w:t>a pas atteint l</w:t>
      </w:r>
      <w:r>
        <w:rPr>
          <w:lang w:val="fr-FR"/>
        </w:rPr>
        <w:t>’</w:t>
      </w:r>
      <w:r w:rsidRPr="00686CD4">
        <w:rPr>
          <w:lang w:val="fr-FR"/>
        </w:rPr>
        <w:t>âge de 23 ans (art</w:t>
      </w:r>
      <w:r w:rsidR="00190D15">
        <w:rPr>
          <w:lang w:val="fr-FR"/>
        </w:rPr>
        <w:t>.</w:t>
      </w:r>
      <w:r w:rsidRPr="00686CD4">
        <w:rPr>
          <w:lang w:val="fr-FR"/>
        </w:rPr>
        <w:t> 118, par. 5)</w:t>
      </w:r>
      <w:r w:rsidR="00190D15">
        <w:rPr>
          <w:lang w:val="fr-FR"/>
        </w:rPr>
        <w:t>.</w:t>
      </w:r>
    </w:p>
    <w:p w:rsidR="002A7A34" w:rsidRPr="00686CD4" w:rsidRDefault="002A7A34" w:rsidP="008278E9">
      <w:pPr>
        <w:pStyle w:val="H1G"/>
        <w:rPr>
          <w:lang w:val="fr-FR"/>
        </w:rPr>
      </w:pPr>
      <w:r w:rsidRPr="00686CD4">
        <w:rPr>
          <w:lang w:val="fr-FR"/>
        </w:rPr>
        <w:tab/>
      </w:r>
      <w:r w:rsidRPr="00686CD4">
        <w:rPr>
          <w:lang w:val="fr-FR"/>
        </w:rPr>
        <w:tab/>
        <w:t>Article 2</w:t>
      </w:r>
      <w:bookmarkStart w:id="2" w:name="_Toc532494605"/>
      <w:bookmarkEnd w:id="2"/>
    </w:p>
    <w:p w:rsidR="002A7A34" w:rsidRPr="00686CD4" w:rsidRDefault="002A7A34" w:rsidP="008278E9">
      <w:pPr>
        <w:pStyle w:val="H23G"/>
        <w:jc w:val="both"/>
        <w:rPr>
          <w:lang w:val="fr-FR"/>
        </w:rPr>
      </w:pPr>
      <w:r w:rsidRPr="00686CD4">
        <w:rPr>
          <w:lang w:val="fr-FR"/>
        </w:rPr>
        <w:tab/>
        <w:t>2.</w:t>
      </w:r>
      <w:r w:rsidRPr="00686CD4">
        <w:rPr>
          <w:lang w:val="fr-FR"/>
        </w:rPr>
        <w:tab/>
        <w:t>À la lumière des précédentes observations finales du Comité (par.</w:t>
      </w:r>
      <w:r w:rsidR="008278E9">
        <w:rPr>
          <w:lang w:val="fr-FR"/>
        </w:rPr>
        <w:t> </w:t>
      </w:r>
      <w:r w:rsidRPr="00686CD4">
        <w:rPr>
          <w:lang w:val="fr-FR"/>
        </w:rPr>
        <w:t>8) et des informations communiquées par l</w:t>
      </w:r>
      <w:r>
        <w:rPr>
          <w:lang w:val="fr-FR"/>
        </w:rPr>
        <w:t>’</w:t>
      </w:r>
      <w:r w:rsidRPr="00686CD4">
        <w:rPr>
          <w:lang w:val="fr-FR"/>
        </w:rPr>
        <w:t>État partie au titre du suivi des observations finales, donner des renseignements à jour sur</w:t>
      </w:r>
      <w:r w:rsidR="00495D0F">
        <w:rPr>
          <w:lang w:val="fr-FR"/>
        </w:rPr>
        <w:t> :</w:t>
      </w:r>
      <w:bookmarkStart w:id="3" w:name="_Toc532494606"/>
      <w:bookmarkEnd w:id="3"/>
    </w:p>
    <w:p w:rsidR="002A7A34" w:rsidRPr="00686CD4" w:rsidRDefault="002A7A34" w:rsidP="008278E9">
      <w:pPr>
        <w:pStyle w:val="H23G"/>
        <w:jc w:val="both"/>
        <w:rPr>
          <w:lang w:val="fr-FR"/>
        </w:rPr>
      </w:pPr>
      <w:r w:rsidRPr="00686CD4">
        <w:rPr>
          <w:lang w:val="fr-FR"/>
        </w:rPr>
        <w:tab/>
      </w:r>
      <w:r w:rsidRPr="00686CD4">
        <w:rPr>
          <w:lang w:val="fr-FR"/>
        </w:rPr>
        <w:tab/>
      </w:r>
      <w:r w:rsidR="008278E9">
        <w:rPr>
          <w:lang w:val="fr-FR"/>
        </w:rPr>
        <w:tab/>
      </w:r>
      <w:r w:rsidRPr="00686CD4">
        <w:rPr>
          <w:lang w:val="fr-FR"/>
        </w:rPr>
        <w:t>a)</w:t>
      </w:r>
      <w:r w:rsidRPr="00686CD4">
        <w:rPr>
          <w:lang w:val="fr-FR"/>
        </w:rPr>
        <w:tab/>
        <w:t>Les mesures législatives et autres prises pour faire en sorte que toutes les garanties juridiques fondamentales s</w:t>
      </w:r>
      <w:r>
        <w:rPr>
          <w:lang w:val="fr-FR"/>
        </w:rPr>
        <w:t>’</w:t>
      </w:r>
      <w:r w:rsidRPr="00686CD4">
        <w:rPr>
          <w:lang w:val="fr-FR"/>
        </w:rPr>
        <w:t>appliquent à toute personne placée en garde à vue dès le début de sa privation de liberté, y compris pendant la période de détention à des fins d</w:t>
      </w:r>
      <w:r>
        <w:rPr>
          <w:lang w:val="fr-FR"/>
        </w:rPr>
        <w:t>’</w:t>
      </w:r>
      <w:r w:rsidRPr="00686CD4">
        <w:rPr>
          <w:lang w:val="fr-FR"/>
        </w:rPr>
        <w:t xml:space="preserve">identification qui ne peut excéder six heures. </w:t>
      </w:r>
      <w:r w:rsidRPr="00686CD4">
        <w:rPr>
          <w:bCs/>
          <w:lang w:val="fr-FR"/>
        </w:rPr>
        <w:t>Indiquer également si le temps passé en garde à vue à des fins d</w:t>
      </w:r>
      <w:r>
        <w:rPr>
          <w:bCs/>
          <w:lang w:val="fr-FR"/>
        </w:rPr>
        <w:t>’</w:t>
      </w:r>
      <w:r w:rsidRPr="00686CD4">
        <w:rPr>
          <w:bCs/>
          <w:lang w:val="fr-FR"/>
        </w:rPr>
        <w:t xml:space="preserve">identification est déduit des quarante-huit heures de garde à vue </w:t>
      </w:r>
      <w:r>
        <w:rPr>
          <w:bCs/>
          <w:lang w:val="fr-FR"/>
        </w:rPr>
        <w:t>durant l</w:t>
      </w:r>
      <w:r w:rsidRPr="00686CD4">
        <w:rPr>
          <w:bCs/>
          <w:lang w:val="fr-FR"/>
        </w:rPr>
        <w:t>esquelles le détenu doit être présenté à un juge</w:t>
      </w:r>
      <w:bookmarkStart w:id="4" w:name="_Toc532494607"/>
      <w:bookmarkEnd w:id="4"/>
      <w:r w:rsidR="00526F69">
        <w:rPr>
          <w:bCs/>
          <w:lang w:val="fr-FR"/>
        </w:rPr>
        <w:t> ;</w:t>
      </w:r>
    </w:p>
    <w:p w:rsidR="002A7A34" w:rsidRPr="00686CD4" w:rsidRDefault="002A7A34" w:rsidP="002A6FB3">
      <w:pPr>
        <w:pStyle w:val="SingleTxtG"/>
        <w:rPr>
          <w:lang w:val="fr-FR"/>
        </w:rPr>
      </w:pPr>
      <w:r w:rsidRPr="00686CD4">
        <w:rPr>
          <w:lang w:val="fr-FR"/>
        </w:rPr>
        <w:t>4.</w:t>
      </w:r>
      <w:r w:rsidRPr="00686CD4">
        <w:rPr>
          <w:lang w:val="fr-FR"/>
        </w:rPr>
        <w:tab/>
        <w:t>Aucun changement ne s</w:t>
      </w:r>
      <w:r>
        <w:rPr>
          <w:lang w:val="fr-FR"/>
        </w:rPr>
        <w:t>’</w:t>
      </w:r>
      <w:r w:rsidRPr="00686CD4">
        <w:rPr>
          <w:lang w:val="fr-FR"/>
        </w:rPr>
        <w:t>est produit en ce domaine. L</w:t>
      </w:r>
      <w:r>
        <w:rPr>
          <w:lang w:val="fr-FR"/>
        </w:rPr>
        <w:t>’</w:t>
      </w:r>
      <w:r w:rsidRPr="00686CD4">
        <w:rPr>
          <w:lang w:val="fr-FR"/>
        </w:rPr>
        <w:t>article 80 du Code pénal et l</w:t>
      </w:r>
      <w:r>
        <w:rPr>
          <w:lang w:val="fr-FR"/>
        </w:rPr>
        <w:t>’</w:t>
      </w:r>
      <w:r w:rsidRPr="00686CD4">
        <w:rPr>
          <w:lang w:val="fr-FR"/>
        </w:rPr>
        <w:t>article 250 du Code de procédure pénale sont applicables.</w:t>
      </w:r>
    </w:p>
    <w:p w:rsidR="002A7A34" w:rsidRPr="00686CD4" w:rsidRDefault="002A7A34" w:rsidP="002A6FB3">
      <w:pPr>
        <w:pStyle w:val="SingleTxtG"/>
        <w:rPr>
          <w:lang w:val="fr-FR"/>
        </w:rPr>
      </w:pPr>
      <w:r w:rsidRPr="00686CD4">
        <w:rPr>
          <w:lang w:val="fr-FR"/>
        </w:rPr>
        <w:t>5.</w:t>
      </w:r>
      <w:r w:rsidRPr="00686CD4">
        <w:rPr>
          <w:lang w:val="fr-FR"/>
        </w:rPr>
        <w:tab/>
        <w:t>Bien que le Code de procédure pénale n</w:t>
      </w:r>
      <w:r>
        <w:rPr>
          <w:lang w:val="fr-FR"/>
        </w:rPr>
        <w:t>’</w:t>
      </w:r>
      <w:r w:rsidRPr="00686CD4">
        <w:rPr>
          <w:lang w:val="fr-FR"/>
        </w:rPr>
        <w:t>indique pas de manière explicite si la période de six heures de détention à des fins d</w:t>
      </w:r>
      <w:r>
        <w:rPr>
          <w:lang w:val="fr-FR"/>
        </w:rPr>
        <w:t>’</w:t>
      </w:r>
      <w:r w:rsidRPr="00686CD4">
        <w:rPr>
          <w:lang w:val="fr-FR"/>
        </w:rPr>
        <w:t>identification peut être déduite ou non des quarante-huit heures de garde à vue (art. 250, par. 6</w:t>
      </w:r>
      <w:r w:rsidR="00495D0F">
        <w:rPr>
          <w:lang w:val="fr-FR"/>
        </w:rPr>
        <w:t> ;</w:t>
      </w:r>
      <w:r w:rsidRPr="00686CD4">
        <w:rPr>
          <w:lang w:val="fr-FR"/>
        </w:rPr>
        <w:t xml:space="preserve"> art.</w:t>
      </w:r>
      <w:r w:rsidR="00495D0F">
        <w:rPr>
          <w:lang w:val="fr-FR"/>
        </w:rPr>
        <w:t xml:space="preserve"> </w:t>
      </w:r>
      <w:r w:rsidRPr="00686CD4">
        <w:rPr>
          <w:lang w:val="fr-FR"/>
        </w:rPr>
        <w:t>254, par. 1, al</w:t>
      </w:r>
      <w:r w:rsidR="002A6FB3">
        <w:rPr>
          <w:lang w:val="fr-FR"/>
        </w:rPr>
        <w:t>. </w:t>
      </w:r>
      <w:r w:rsidRPr="00686CD4">
        <w:rPr>
          <w:lang w:val="fr-FR"/>
        </w:rPr>
        <w:t>a)), le Service de l</w:t>
      </w:r>
      <w:r>
        <w:rPr>
          <w:lang w:val="fr-FR"/>
        </w:rPr>
        <w:t>’</w:t>
      </w:r>
      <w:r w:rsidRPr="00686CD4">
        <w:rPr>
          <w:lang w:val="fr-FR"/>
        </w:rPr>
        <w:t>immigration et des frontières déduit systématiquement cette dernière depuis des décennies.</w:t>
      </w:r>
    </w:p>
    <w:p w:rsidR="002A7A34" w:rsidRPr="00686CD4" w:rsidRDefault="002A7A34" w:rsidP="002A6FB3">
      <w:pPr>
        <w:pStyle w:val="SingleTxtG"/>
        <w:rPr>
          <w:lang w:val="fr-FR"/>
        </w:rPr>
      </w:pPr>
      <w:r w:rsidRPr="00686CD4">
        <w:rPr>
          <w:lang w:val="fr-FR"/>
        </w:rPr>
        <w:t>6.</w:t>
      </w:r>
      <w:r w:rsidRPr="00686CD4">
        <w:rPr>
          <w:lang w:val="fr-FR"/>
        </w:rPr>
        <w:tab/>
        <w:t>L</w:t>
      </w:r>
      <w:r>
        <w:rPr>
          <w:lang w:val="fr-FR"/>
        </w:rPr>
        <w:t>’Inspection générale de l’administration interne</w:t>
      </w:r>
      <w:r w:rsidRPr="00686CD4">
        <w:rPr>
          <w:lang w:val="fr-FR"/>
        </w:rPr>
        <w:t xml:space="preserve"> (IGAI) a publié la Recommandation IG-2/2014 en date du 9 mai 2014 qui recommande d</w:t>
      </w:r>
      <w:r>
        <w:rPr>
          <w:lang w:val="fr-FR"/>
        </w:rPr>
        <w:t>’</w:t>
      </w:r>
      <w:r w:rsidRPr="00686CD4">
        <w:rPr>
          <w:lang w:val="fr-FR"/>
        </w:rPr>
        <w:t xml:space="preserve">inclure cette période de six heures dans la période totale de quarante-huit heures de garde à vue. Cette recommandation a été communiquée à tous les services </w:t>
      </w:r>
      <w:r>
        <w:rPr>
          <w:lang w:val="fr-FR"/>
        </w:rPr>
        <w:t xml:space="preserve">et les forces </w:t>
      </w:r>
      <w:r w:rsidRPr="00686CD4">
        <w:rPr>
          <w:lang w:val="fr-FR"/>
        </w:rPr>
        <w:t>de sécurité opérant sous l</w:t>
      </w:r>
      <w:r>
        <w:rPr>
          <w:lang w:val="fr-FR"/>
        </w:rPr>
        <w:t>’</w:t>
      </w:r>
      <w:r w:rsidRPr="00686CD4">
        <w:rPr>
          <w:lang w:val="fr-FR"/>
        </w:rPr>
        <w:t>égide du Ministère des affaires intérieures.</w:t>
      </w:r>
    </w:p>
    <w:p w:rsidR="002A7A34" w:rsidRPr="00686CD4" w:rsidRDefault="002A7A34" w:rsidP="002A6FB3">
      <w:pPr>
        <w:pStyle w:val="SingleTxtG"/>
        <w:rPr>
          <w:lang w:val="fr-FR"/>
        </w:rPr>
      </w:pPr>
      <w:r w:rsidRPr="00686CD4">
        <w:rPr>
          <w:lang w:val="fr-FR"/>
        </w:rPr>
        <w:t>7.</w:t>
      </w:r>
      <w:r w:rsidRPr="00686CD4">
        <w:rPr>
          <w:lang w:val="fr-FR"/>
        </w:rPr>
        <w:tab/>
        <w:t>Les inspections inopinées des locaux de la Garde nationale républicaine et de la Police de sécurité publique et des centres de rétention du Service de l</w:t>
      </w:r>
      <w:r>
        <w:rPr>
          <w:lang w:val="fr-FR"/>
        </w:rPr>
        <w:t>’</w:t>
      </w:r>
      <w:r w:rsidRPr="00686CD4">
        <w:rPr>
          <w:lang w:val="fr-FR"/>
        </w:rPr>
        <w:t>immigration et des frontières, qui peuvent être effectuées n</w:t>
      </w:r>
      <w:r>
        <w:rPr>
          <w:lang w:val="fr-FR"/>
        </w:rPr>
        <w:t>’</w:t>
      </w:r>
      <w:r w:rsidRPr="00686CD4">
        <w:rPr>
          <w:lang w:val="fr-FR"/>
        </w:rPr>
        <w:t xml:space="preserve">importe quel jour de la semaine et à toute heure du jour et de la nuit </w:t>
      </w:r>
      <w:r>
        <w:rPr>
          <w:lang w:val="fr-FR"/>
        </w:rPr>
        <w:t>comme le</w:t>
      </w:r>
      <w:r w:rsidRPr="00686CD4">
        <w:rPr>
          <w:lang w:val="fr-FR"/>
        </w:rPr>
        <w:t xml:space="preserve"> pré</w:t>
      </w:r>
      <w:r>
        <w:rPr>
          <w:lang w:val="fr-FR"/>
        </w:rPr>
        <w:t>voit</w:t>
      </w:r>
      <w:r w:rsidRPr="00686CD4">
        <w:rPr>
          <w:lang w:val="fr-FR"/>
        </w:rPr>
        <w:t xml:space="preserve"> l</w:t>
      </w:r>
      <w:r>
        <w:rPr>
          <w:lang w:val="fr-FR"/>
        </w:rPr>
        <w:t>’</w:t>
      </w:r>
      <w:r w:rsidRPr="00686CD4">
        <w:rPr>
          <w:lang w:val="fr-FR"/>
        </w:rPr>
        <w:t xml:space="preserve">article 23 du Règlement relatif aux conditions de </w:t>
      </w:r>
      <w:r w:rsidRPr="00686CD4">
        <w:rPr>
          <w:lang w:val="fr-FR"/>
        </w:rPr>
        <w:lastRenderedPageBreak/>
        <w:t>détention dans les locaux de la Police judiciaire (ordonnance ministérielle</w:t>
      </w:r>
      <w:r w:rsidR="002A6FB3">
        <w:rPr>
          <w:lang w:val="fr-FR"/>
        </w:rPr>
        <w:t xml:space="preserve"> </w:t>
      </w:r>
      <w:r w:rsidR="002A6FB3" w:rsidRPr="002A6FB3">
        <w:rPr>
          <w:rFonts w:eastAsia="MS Mincho"/>
          <w:lang w:val="fr-FR"/>
        </w:rPr>
        <w:t>n</w:t>
      </w:r>
      <w:r w:rsidR="002A6FB3" w:rsidRPr="002A6FB3">
        <w:rPr>
          <w:rFonts w:eastAsia="MS Mincho"/>
          <w:vertAlign w:val="superscript"/>
          <w:lang w:val="fr-FR"/>
        </w:rPr>
        <w:t>o</w:t>
      </w:r>
      <w:r w:rsidR="002A6FB3">
        <w:rPr>
          <w:lang w:val="fr-FR"/>
        </w:rPr>
        <w:t> </w:t>
      </w:r>
      <w:r w:rsidRPr="00686CD4">
        <w:rPr>
          <w:lang w:val="fr-FR"/>
        </w:rPr>
        <w:t>5863/2015 du 26 mai), contribuent à assurer le respect des garanties juridiques fondamentales dont jouit toute personne placée en garde à vue. Ces contrôles inopinés ont un caractère préventif et donnent principalement lieu à l</w:t>
      </w:r>
      <w:r>
        <w:rPr>
          <w:lang w:val="fr-FR"/>
        </w:rPr>
        <w:t>’</w:t>
      </w:r>
      <w:r w:rsidRPr="00686CD4">
        <w:rPr>
          <w:lang w:val="fr-FR"/>
        </w:rPr>
        <w:t>inspection des zones de détention (cellules)</w:t>
      </w:r>
      <w:r>
        <w:rPr>
          <w:lang w:val="fr-FR"/>
        </w:rPr>
        <w:t xml:space="preserve"> et des conditions de détention</w:t>
      </w:r>
      <w:r w:rsidRPr="00686CD4">
        <w:rPr>
          <w:lang w:val="fr-FR"/>
        </w:rPr>
        <w:t xml:space="preserve">. </w:t>
      </w:r>
    </w:p>
    <w:p w:rsidR="002A7A34" w:rsidRPr="00686CD4" w:rsidRDefault="002A7A34" w:rsidP="002A6FB3">
      <w:pPr>
        <w:pStyle w:val="SingleTxtG"/>
        <w:rPr>
          <w:lang w:val="fr-FR"/>
        </w:rPr>
      </w:pPr>
      <w:r w:rsidRPr="00686CD4">
        <w:rPr>
          <w:lang w:val="fr-FR"/>
        </w:rPr>
        <w:t>8.</w:t>
      </w:r>
      <w:r w:rsidRPr="00686CD4">
        <w:rPr>
          <w:lang w:val="fr-FR"/>
        </w:rPr>
        <w:tab/>
        <w:t>Depuis 2014, l</w:t>
      </w:r>
      <w:r>
        <w:rPr>
          <w:lang w:val="fr-FR"/>
        </w:rPr>
        <w:t>’Inspection générale de l’administration interne</w:t>
      </w:r>
      <w:r w:rsidRPr="00686CD4">
        <w:rPr>
          <w:lang w:val="fr-FR"/>
        </w:rPr>
        <w:t xml:space="preserve"> a également pour mission de surveiller les opérations coercitives d</w:t>
      </w:r>
      <w:r>
        <w:rPr>
          <w:lang w:val="fr-FR"/>
        </w:rPr>
        <w:t>’</w:t>
      </w:r>
      <w:r w:rsidRPr="00686CD4">
        <w:rPr>
          <w:lang w:val="fr-FR"/>
        </w:rPr>
        <w:t>expulsion du territoire national (retours forcés) de citoyens de pays tiers, conformément à l</w:t>
      </w:r>
      <w:r>
        <w:rPr>
          <w:lang w:val="fr-FR"/>
        </w:rPr>
        <w:t>’</w:t>
      </w:r>
      <w:r w:rsidRPr="00686CD4">
        <w:rPr>
          <w:lang w:val="fr-FR"/>
        </w:rPr>
        <w:t>alinéa c) du paragraphe 4 de l</w:t>
      </w:r>
      <w:r>
        <w:rPr>
          <w:lang w:val="fr-FR"/>
        </w:rPr>
        <w:t>’</w:t>
      </w:r>
      <w:r w:rsidRPr="00686CD4">
        <w:rPr>
          <w:lang w:val="fr-FR"/>
        </w:rPr>
        <w:t>article 180</w:t>
      </w:r>
      <w:r w:rsidR="002A6FB3">
        <w:rPr>
          <w:lang w:val="fr-FR"/>
        </w:rPr>
        <w:t>-</w:t>
      </w:r>
      <w:r w:rsidRPr="00686CD4">
        <w:rPr>
          <w:lang w:val="fr-FR"/>
        </w:rPr>
        <w:t xml:space="preserve">A de la loi </w:t>
      </w:r>
      <w:r w:rsidR="002A6FB3" w:rsidRPr="002A6FB3">
        <w:rPr>
          <w:rFonts w:eastAsia="MS Mincho"/>
          <w:lang w:val="fr-FR"/>
        </w:rPr>
        <w:t>n</w:t>
      </w:r>
      <w:r w:rsidR="002A6FB3" w:rsidRPr="002A6FB3">
        <w:rPr>
          <w:rFonts w:eastAsia="MS Mincho"/>
          <w:vertAlign w:val="superscript"/>
          <w:lang w:val="fr-FR"/>
        </w:rPr>
        <w:t>o</w:t>
      </w:r>
      <w:r w:rsidR="002A6FB3">
        <w:rPr>
          <w:lang w:val="fr-FR"/>
        </w:rPr>
        <w:t> </w:t>
      </w:r>
      <w:r w:rsidRPr="00686CD4">
        <w:rPr>
          <w:lang w:val="fr-FR"/>
        </w:rPr>
        <w:t>23/2007 du 4 juillet et de l</w:t>
      </w:r>
      <w:r>
        <w:rPr>
          <w:lang w:val="fr-FR"/>
        </w:rPr>
        <w:t>’</w:t>
      </w:r>
      <w:r w:rsidRPr="00686CD4">
        <w:rPr>
          <w:lang w:val="fr-FR"/>
        </w:rPr>
        <w:t xml:space="preserve">ordonnance </w:t>
      </w:r>
      <w:r w:rsidR="002A6FB3" w:rsidRPr="002A6FB3">
        <w:rPr>
          <w:rFonts w:eastAsia="MS Mincho"/>
          <w:lang w:val="fr-FR"/>
        </w:rPr>
        <w:t>n</w:t>
      </w:r>
      <w:r w:rsidR="002A6FB3" w:rsidRPr="002A6FB3">
        <w:rPr>
          <w:rFonts w:eastAsia="MS Mincho"/>
          <w:vertAlign w:val="superscript"/>
          <w:lang w:val="fr-FR"/>
        </w:rPr>
        <w:t>o</w:t>
      </w:r>
      <w:r w:rsidR="002A6FB3">
        <w:rPr>
          <w:lang w:val="fr-FR"/>
        </w:rPr>
        <w:t> </w:t>
      </w:r>
      <w:r w:rsidRPr="00686CD4">
        <w:rPr>
          <w:lang w:val="fr-FR"/>
        </w:rPr>
        <w:t>11102/2014 du 25 août.</w:t>
      </w:r>
    </w:p>
    <w:p w:rsidR="002A7A34" w:rsidRPr="00686CD4" w:rsidRDefault="002A7A34" w:rsidP="002A6FB3">
      <w:pPr>
        <w:pStyle w:val="SingleTxtG"/>
        <w:rPr>
          <w:lang w:val="fr-FR"/>
        </w:rPr>
      </w:pPr>
      <w:r w:rsidRPr="00686CD4">
        <w:rPr>
          <w:lang w:val="fr-FR"/>
        </w:rPr>
        <w:t>9.</w:t>
      </w:r>
      <w:r w:rsidRPr="00686CD4">
        <w:rPr>
          <w:lang w:val="fr-FR"/>
        </w:rPr>
        <w:tab/>
        <w:t xml:space="preserve">En ce qui concerne la Garde nationale républicaine, la réglementation (NEP/GNR </w:t>
      </w:r>
      <w:r w:rsidR="00526F69">
        <w:rPr>
          <w:lang w:val="fr-FR"/>
        </w:rPr>
        <w:t>− </w:t>
      </w:r>
      <w:r w:rsidRPr="00686CD4">
        <w:rPr>
          <w:lang w:val="fr-FR"/>
        </w:rPr>
        <w:t xml:space="preserve">3.02.01) définit le cadre du </w:t>
      </w:r>
      <w:r>
        <w:rPr>
          <w:lang w:val="fr-FR"/>
        </w:rPr>
        <w:t>r</w:t>
      </w:r>
      <w:r w:rsidRPr="00686CD4">
        <w:rPr>
          <w:lang w:val="fr-FR"/>
        </w:rPr>
        <w:t>egistre des détenus et des suspects identifiés. Le respect de cette réglementation est vérifié dans le cadre d</w:t>
      </w:r>
      <w:r>
        <w:rPr>
          <w:lang w:val="fr-FR"/>
        </w:rPr>
        <w:t>’</w:t>
      </w:r>
      <w:r w:rsidRPr="00686CD4">
        <w:rPr>
          <w:lang w:val="fr-FR"/>
        </w:rPr>
        <w:t>inspections et de patrouilles.</w:t>
      </w:r>
    </w:p>
    <w:p w:rsidR="002A7A34" w:rsidRPr="00686CD4" w:rsidRDefault="002A7A34" w:rsidP="00526F69">
      <w:pPr>
        <w:pStyle w:val="H23G"/>
        <w:jc w:val="both"/>
        <w:rPr>
          <w:lang w:val="fr-FR"/>
        </w:rPr>
      </w:pPr>
      <w:r w:rsidRPr="00686CD4">
        <w:rPr>
          <w:lang w:val="fr-FR"/>
        </w:rPr>
        <w:tab/>
      </w:r>
      <w:r w:rsidRPr="00686CD4">
        <w:rPr>
          <w:lang w:val="fr-FR"/>
        </w:rPr>
        <w:tab/>
      </w:r>
      <w:r w:rsidRPr="00686CD4">
        <w:rPr>
          <w:lang w:val="fr-FR"/>
        </w:rPr>
        <w:tab/>
        <w:t>b)</w:t>
      </w:r>
      <w:r w:rsidRPr="00686CD4">
        <w:rPr>
          <w:lang w:val="fr-FR"/>
        </w:rPr>
        <w:tab/>
        <w:t xml:space="preserve">Toute mesure prise pour que, dans la pratique, toutes les personnes privées de liberté soient informées de leurs droits dès le début de leur détention. </w:t>
      </w:r>
      <w:r w:rsidRPr="00686CD4">
        <w:rPr>
          <w:bCs/>
          <w:lang w:val="fr-FR"/>
        </w:rPr>
        <w:t>Préciser si les personnes détenues par la Police de sécurité publique et la Garde nationale républicaine sont tenues de signer une déclaration indiquant qu</w:t>
      </w:r>
      <w:r>
        <w:rPr>
          <w:bCs/>
          <w:lang w:val="fr-FR"/>
        </w:rPr>
        <w:t>’</w:t>
      </w:r>
      <w:r w:rsidRPr="00686CD4">
        <w:rPr>
          <w:bCs/>
          <w:lang w:val="fr-FR"/>
        </w:rPr>
        <w:t>elles ont été informées de leurs droits dans une langue qu</w:t>
      </w:r>
      <w:r>
        <w:rPr>
          <w:bCs/>
          <w:lang w:val="fr-FR"/>
        </w:rPr>
        <w:t>’</w:t>
      </w:r>
      <w:r w:rsidRPr="00686CD4">
        <w:rPr>
          <w:bCs/>
          <w:lang w:val="fr-FR"/>
        </w:rPr>
        <w:t xml:space="preserve">elles comprennent et si le Règlement </w:t>
      </w:r>
      <w:r w:rsidR="00190D15" w:rsidRPr="00190D15">
        <w:rPr>
          <w:rFonts w:eastAsia="MS Mincho"/>
          <w:bCs/>
          <w:lang w:val="fr-FR"/>
        </w:rPr>
        <w:t>n</w:t>
      </w:r>
      <w:r w:rsidR="00190D15" w:rsidRPr="00190D15">
        <w:rPr>
          <w:rFonts w:eastAsia="MS Mincho"/>
          <w:bCs/>
          <w:vertAlign w:val="superscript"/>
          <w:lang w:val="fr-FR"/>
        </w:rPr>
        <w:t>o</w:t>
      </w:r>
      <w:r w:rsidR="00190D15">
        <w:rPr>
          <w:bCs/>
          <w:lang w:val="fr-FR"/>
        </w:rPr>
        <w:t> </w:t>
      </w:r>
      <w:r w:rsidRPr="00686CD4">
        <w:rPr>
          <w:bCs/>
          <w:lang w:val="fr-FR"/>
        </w:rPr>
        <w:t>8684/99 a été modifié en conséquence</w:t>
      </w:r>
      <w:r w:rsidR="00495D0F">
        <w:rPr>
          <w:bCs/>
          <w:lang w:val="fr-FR"/>
        </w:rPr>
        <w:t> ;</w:t>
      </w:r>
      <w:bookmarkStart w:id="5" w:name="_Toc532494608"/>
      <w:bookmarkEnd w:id="5"/>
    </w:p>
    <w:p w:rsidR="002A7A34" w:rsidRPr="00686CD4" w:rsidRDefault="002A7A34" w:rsidP="00526F69">
      <w:pPr>
        <w:pStyle w:val="SingleTxtG"/>
        <w:rPr>
          <w:lang w:val="fr-FR"/>
        </w:rPr>
      </w:pPr>
      <w:r w:rsidRPr="00686CD4">
        <w:rPr>
          <w:lang w:val="fr-FR"/>
        </w:rPr>
        <w:t>10.</w:t>
      </w:r>
      <w:r w:rsidRPr="00686CD4">
        <w:rPr>
          <w:lang w:val="fr-FR"/>
        </w:rPr>
        <w:tab/>
        <w:t>Voir les paragraphes 1 à 4 ainsi que les paragraphes 10 et 11 du rapport CAT/C/PRT/CO/5-6/</w:t>
      </w:r>
      <w:r w:rsidR="00E0169D">
        <w:rPr>
          <w:lang w:val="fr-FR"/>
        </w:rPr>
        <w:t>A</w:t>
      </w:r>
      <w:r w:rsidRPr="00686CD4">
        <w:rPr>
          <w:lang w:val="fr-FR"/>
        </w:rPr>
        <w:t>dd</w:t>
      </w:r>
      <w:r w:rsidR="00E0169D">
        <w:rPr>
          <w:lang w:val="fr-FR"/>
        </w:rPr>
        <w:t>.</w:t>
      </w:r>
      <w:r w:rsidRPr="00686CD4">
        <w:rPr>
          <w:lang w:val="fr-FR"/>
        </w:rPr>
        <w:t>3.</w:t>
      </w:r>
    </w:p>
    <w:p w:rsidR="002A7A34" w:rsidRPr="00686CD4" w:rsidRDefault="002A7A34" w:rsidP="00526F69">
      <w:pPr>
        <w:pStyle w:val="SingleTxtG"/>
        <w:rPr>
          <w:lang w:val="fr-FR"/>
        </w:rPr>
      </w:pPr>
      <w:r w:rsidRPr="00686CD4">
        <w:rPr>
          <w:lang w:val="fr-FR"/>
        </w:rPr>
        <w:t>11.</w:t>
      </w:r>
      <w:r w:rsidRPr="00686CD4">
        <w:rPr>
          <w:lang w:val="fr-FR"/>
        </w:rPr>
        <w:tab/>
        <w:t xml:space="preserve">Les personnes détenues par la Garde nationale républicaine sont informées par écrit de leurs droits. Dans le cas de la Garde nationale, la réglementation interne NEP/GNR </w:t>
      </w:r>
      <w:r w:rsidR="00526F69">
        <w:rPr>
          <w:lang w:val="fr-FR"/>
        </w:rPr>
        <w:t>− </w:t>
      </w:r>
      <w:r w:rsidRPr="00686CD4">
        <w:rPr>
          <w:lang w:val="fr-FR"/>
        </w:rPr>
        <w:t>3.02.01 approuvée le 13 septembre</w:t>
      </w:r>
      <w:r w:rsidR="00526F69">
        <w:rPr>
          <w:lang w:val="fr-FR"/>
        </w:rPr>
        <w:t xml:space="preserve"> </w:t>
      </w:r>
      <w:r w:rsidRPr="00686CD4">
        <w:rPr>
          <w:lang w:val="fr-FR"/>
        </w:rPr>
        <w:t>2013 et définissant le cadre du Registre de détention et d</w:t>
      </w:r>
      <w:r>
        <w:rPr>
          <w:lang w:val="fr-FR"/>
        </w:rPr>
        <w:t>’</w:t>
      </w:r>
      <w:r w:rsidRPr="00686CD4">
        <w:rPr>
          <w:lang w:val="fr-FR"/>
        </w:rPr>
        <w:t>identification, est applicable.</w:t>
      </w:r>
    </w:p>
    <w:p w:rsidR="002A7A34" w:rsidRPr="00686CD4" w:rsidRDefault="002A7A34" w:rsidP="00526F69">
      <w:pPr>
        <w:pStyle w:val="SingleTxtG"/>
        <w:rPr>
          <w:lang w:val="fr-FR"/>
        </w:rPr>
      </w:pPr>
      <w:r w:rsidRPr="00686CD4">
        <w:rPr>
          <w:lang w:val="fr-FR"/>
        </w:rPr>
        <w:t>12.</w:t>
      </w:r>
      <w:r w:rsidRPr="00686CD4">
        <w:rPr>
          <w:lang w:val="fr-FR"/>
        </w:rPr>
        <w:tab/>
        <w:t>Les personnes détenues par les forces et services de sécurité sont informées par écrit de leurs droits et obligations. En vertu de l</w:t>
      </w:r>
      <w:r>
        <w:rPr>
          <w:lang w:val="fr-FR"/>
        </w:rPr>
        <w:t>’</w:t>
      </w:r>
      <w:r w:rsidRPr="00686CD4">
        <w:rPr>
          <w:lang w:val="fr-FR"/>
        </w:rPr>
        <w:t>article 15</w:t>
      </w:r>
      <w:r w:rsidR="00526F69">
        <w:rPr>
          <w:lang w:val="fr-FR"/>
        </w:rPr>
        <w:t> </w:t>
      </w:r>
      <w:r w:rsidRPr="00686CD4">
        <w:rPr>
          <w:lang w:val="fr-FR"/>
        </w:rPr>
        <w:t>3) de l</w:t>
      </w:r>
      <w:r>
        <w:rPr>
          <w:lang w:val="fr-FR"/>
        </w:rPr>
        <w:t>’</w:t>
      </w:r>
      <w:r w:rsidRPr="00686CD4">
        <w:rPr>
          <w:lang w:val="fr-FR"/>
        </w:rPr>
        <w:t xml:space="preserve">ordonnance du Ministère des affaires intérieures </w:t>
      </w:r>
      <w:r w:rsidR="00526F69" w:rsidRPr="002A6FB3">
        <w:rPr>
          <w:rFonts w:eastAsia="MS Mincho"/>
          <w:lang w:val="fr-FR"/>
        </w:rPr>
        <w:t>n</w:t>
      </w:r>
      <w:r w:rsidR="00526F69" w:rsidRPr="002A6FB3">
        <w:rPr>
          <w:rFonts w:eastAsia="MS Mincho"/>
          <w:vertAlign w:val="superscript"/>
          <w:lang w:val="fr-FR"/>
        </w:rPr>
        <w:t>o</w:t>
      </w:r>
      <w:r w:rsidR="00526F69">
        <w:rPr>
          <w:lang w:val="fr-FR"/>
        </w:rPr>
        <w:t> </w:t>
      </w:r>
      <w:r w:rsidRPr="00686CD4">
        <w:rPr>
          <w:lang w:val="fr-FR"/>
        </w:rPr>
        <w:t>5863/2015 du 26 mai,</w:t>
      </w:r>
      <w:r w:rsidR="00495D0F">
        <w:rPr>
          <w:lang w:val="fr-FR"/>
        </w:rPr>
        <w:t xml:space="preserve"> </w:t>
      </w:r>
      <w:r w:rsidRPr="00686CD4">
        <w:rPr>
          <w:lang w:val="fr-FR"/>
        </w:rPr>
        <w:t>un détenu doit recevoir ces informations dans une langue qu</w:t>
      </w:r>
      <w:r>
        <w:rPr>
          <w:lang w:val="fr-FR"/>
        </w:rPr>
        <w:t>’</w:t>
      </w:r>
      <w:r w:rsidRPr="00686CD4">
        <w:rPr>
          <w:lang w:val="fr-FR"/>
        </w:rPr>
        <w:t>il comprend, si nécessaire par l</w:t>
      </w:r>
      <w:r>
        <w:rPr>
          <w:lang w:val="fr-FR"/>
        </w:rPr>
        <w:t>’</w:t>
      </w:r>
      <w:r w:rsidRPr="00686CD4">
        <w:rPr>
          <w:lang w:val="fr-FR"/>
        </w:rPr>
        <w:t>intermédiaire d</w:t>
      </w:r>
      <w:r>
        <w:rPr>
          <w:lang w:val="fr-FR"/>
        </w:rPr>
        <w:t>’</w:t>
      </w:r>
      <w:r w:rsidRPr="00686CD4">
        <w:rPr>
          <w:lang w:val="fr-FR"/>
        </w:rPr>
        <w:t>un interprète.</w:t>
      </w:r>
    </w:p>
    <w:p w:rsidR="002A7A34" w:rsidRPr="00686CD4" w:rsidRDefault="002A7A34" w:rsidP="00FF1BC5">
      <w:pPr>
        <w:pStyle w:val="SingleTxtG"/>
        <w:rPr>
          <w:lang w:val="fr-FR"/>
        </w:rPr>
      </w:pPr>
      <w:r w:rsidRPr="00686CD4">
        <w:rPr>
          <w:lang w:val="fr-FR"/>
        </w:rPr>
        <w:t>13.</w:t>
      </w:r>
      <w:r w:rsidRPr="00686CD4">
        <w:rPr>
          <w:lang w:val="fr-FR"/>
        </w:rPr>
        <w:tab/>
        <w:t>L</w:t>
      </w:r>
      <w:r>
        <w:rPr>
          <w:lang w:val="fr-FR"/>
        </w:rPr>
        <w:t>’</w:t>
      </w:r>
      <w:r w:rsidRPr="00686CD4">
        <w:rPr>
          <w:lang w:val="fr-FR"/>
        </w:rPr>
        <w:t>article 17 du Règlement relatif aux conditions de détention dans les locaux de la Police judiciaire dispose qu</w:t>
      </w:r>
      <w:r>
        <w:rPr>
          <w:lang w:val="fr-FR"/>
        </w:rPr>
        <w:t>’</w:t>
      </w:r>
      <w:r w:rsidRPr="00686CD4">
        <w:rPr>
          <w:lang w:val="fr-FR"/>
        </w:rPr>
        <w:t>un registre, dans lequel sont consignés l</w:t>
      </w:r>
      <w:r>
        <w:rPr>
          <w:lang w:val="fr-FR"/>
        </w:rPr>
        <w:t>’</w:t>
      </w:r>
      <w:r w:rsidRPr="00686CD4">
        <w:rPr>
          <w:lang w:val="fr-FR"/>
        </w:rPr>
        <w:t>identité de chaque détenu, le lieu, le jour et l</w:t>
      </w:r>
      <w:r>
        <w:rPr>
          <w:lang w:val="fr-FR"/>
        </w:rPr>
        <w:t>’</w:t>
      </w:r>
      <w:r w:rsidRPr="00686CD4">
        <w:rPr>
          <w:lang w:val="fr-FR"/>
        </w:rPr>
        <w:t>heure de sa mise en détention</w:t>
      </w:r>
      <w:r>
        <w:rPr>
          <w:lang w:val="fr-FR"/>
        </w:rPr>
        <w:t>,</w:t>
      </w:r>
      <w:r w:rsidRPr="00686CD4">
        <w:rPr>
          <w:lang w:val="fr-FR"/>
        </w:rPr>
        <w:t xml:space="preserve"> ainsi qu</w:t>
      </w:r>
      <w:r>
        <w:rPr>
          <w:lang w:val="fr-FR"/>
        </w:rPr>
        <w:t>’</w:t>
      </w:r>
      <w:r w:rsidRPr="00686CD4">
        <w:rPr>
          <w:lang w:val="fr-FR"/>
        </w:rPr>
        <w:t>une description</w:t>
      </w:r>
      <w:r w:rsidR="00495D0F">
        <w:rPr>
          <w:lang w:val="fr-FR"/>
        </w:rPr>
        <w:t xml:space="preserve"> </w:t>
      </w:r>
      <w:r w:rsidRPr="00686CD4">
        <w:rPr>
          <w:lang w:val="fr-FR"/>
        </w:rPr>
        <w:t>des faits et des dispositions juridiques qui ont motivé sa détention, l</w:t>
      </w:r>
      <w:r>
        <w:rPr>
          <w:lang w:val="fr-FR"/>
        </w:rPr>
        <w:t>’</w:t>
      </w:r>
      <w:r w:rsidRPr="00686CD4">
        <w:rPr>
          <w:lang w:val="fr-FR"/>
        </w:rPr>
        <w:t>identité des agents responsables et la date de comparution devant l</w:t>
      </w:r>
      <w:r>
        <w:rPr>
          <w:lang w:val="fr-FR"/>
        </w:rPr>
        <w:t>’</w:t>
      </w:r>
      <w:r w:rsidRPr="00686CD4">
        <w:rPr>
          <w:lang w:val="fr-FR"/>
        </w:rPr>
        <w:t>autorité judiciaire, doit être tenu dans ces locaux.</w:t>
      </w:r>
    </w:p>
    <w:p w:rsidR="002A7A34" w:rsidRPr="00686CD4" w:rsidRDefault="002A7A34" w:rsidP="00FF1BC5">
      <w:pPr>
        <w:pStyle w:val="SingleTxtG"/>
        <w:rPr>
          <w:lang w:val="fr-FR"/>
        </w:rPr>
      </w:pPr>
      <w:r w:rsidRPr="00686CD4">
        <w:rPr>
          <w:lang w:val="fr-FR"/>
        </w:rPr>
        <w:t>14.</w:t>
      </w:r>
      <w:r w:rsidRPr="00686CD4">
        <w:rPr>
          <w:lang w:val="fr-FR"/>
        </w:rPr>
        <w:tab/>
        <w:t>Le paragraphe 2 de l</w:t>
      </w:r>
      <w:r>
        <w:rPr>
          <w:lang w:val="fr-FR"/>
        </w:rPr>
        <w:t>’</w:t>
      </w:r>
      <w:r w:rsidRPr="00686CD4">
        <w:rPr>
          <w:lang w:val="fr-FR"/>
        </w:rPr>
        <w:t>article 17, qui traite du dossier du détenu, est particulièrement pertinent. Ce dossier, qui doit toujours être signé par le détenu et par les membres des services de police impliqués, indique l</w:t>
      </w:r>
      <w:r>
        <w:rPr>
          <w:lang w:val="fr-FR"/>
        </w:rPr>
        <w:t>’</w:t>
      </w:r>
      <w:r w:rsidRPr="00686CD4">
        <w:rPr>
          <w:lang w:val="fr-FR"/>
        </w:rPr>
        <w:t>heure et les causes de la privation de liberté, le moment auquel le détenu a été informé de ses droits, les traces de blessures, les contacts avec des membres de sa famille, des amis ou son avocat, les incidents survenus pendant la période de détention, ainsi que les dates auxquelles le détenu a comparu devant l</w:t>
      </w:r>
      <w:r>
        <w:rPr>
          <w:lang w:val="fr-FR"/>
        </w:rPr>
        <w:t>’</w:t>
      </w:r>
      <w:r w:rsidRPr="00686CD4">
        <w:rPr>
          <w:lang w:val="fr-FR"/>
        </w:rPr>
        <w:t xml:space="preserve">autorité judiciaire et a été remis en liberté. </w:t>
      </w:r>
      <w:r w:rsidR="00E0169D">
        <w:rPr>
          <w:lang w:val="fr-FR"/>
        </w:rPr>
        <w:t>C</w:t>
      </w:r>
      <w:r w:rsidRPr="00686CD4">
        <w:rPr>
          <w:lang w:val="fr-FR"/>
        </w:rPr>
        <w:t>es dispositions doivent être considérées dans le contexte du Code de procédure pénale</w:t>
      </w:r>
      <w:r>
        <w:rPr>
          <w:lang w:val="fr-FR"/>
        </w:rPr>
        <w:t>,</w:t>
      </w:r>
      <w:r w:rsidRPr="00686CD4">
        <w:rPr>
          <w:lang w:val="fr-FR"/>
        </w:rPr>
        <w:t xml:space="preserve"> car les membres des services de police doivent non seulement établir ce dossier mais aussi informer par écrit le détenu de ses droits (art. 58, par. 1, al</w:t>
      </w:r>
      <w:r w:rsidR="00FF1BC5">
        <w:rPr>
          <w:lang w:val="fr-FR"/>
        </w:rPr>
        <w:t>.</w:t>
      </w:r>
      <w:r w:rsidRPr="00686CD4">
        <w:rPr>
          <w:lang w:val="fr-FR"/>
        </w:rPr>
        <w:t> c) et par</w:t>
      </w:r>
      <w:r w:rsidR="00CF6FA2">
        <w:rPr>
          <w:lang w:val="fr-FR"/>
        </w:rPr>
        <w:t>.</w:t>
      </w:r>
      <w:r w:rsidR="00FF1BC5">
        <w:rPr>
          <w:lang w:val="fr-FR"/>
        </w:rPr>
        <w:t> </w:t>
      </w:r>
      <w:r w:rsidRPr="00686CD4">
        <w:rPr>
          <w:lang w:val="fr-FR"/>
        </w:rPr>
        <w:t xml:space="preserve">4, lus conjointement </w:t>
      </w:r>
      <w:r w:rsidR="00CF6FA2">
        <w:rPr>
          <w:lang w:val="fr-FR"/>
        </w:rPr>
        <w:t>avec les</w:t>
      </w:r>
      <w:r w:rsidRPr="00686CD4">
        <w:rPr>
          <w:lang w:val="fr-FR"/>
        </w:rPr>
        <w:t xml:space="preserve"> articles 254 et </w:t>
      </w:r>
      <w:proofErr w:type="spellStart"/>
      <w:r w:rsidRPr="00686CD4">
        <w:rPr>
          <w:lang w:val="fr-FR"/>
        </w:rPr>
        <w:t>suiv</w:t>
      </w:r>
      <w:proofErr w:type="spellEnd"/>
      <w:r w:rsidR="00CF6FA2">
        <w:rPr>
          <w:lang w:val="fr-FR"/>
        </w:rPr>
        <w:t>.</w:t>
      </w:r>
      <w:r w:rsidRPr="00686CD4">
        <w:rPr>
          <w:lang w:val="fr-FR"/>
        </w:rPr>
        <w:t>, ainsi qu</w:t>
      </w:r>
      <w:r>
        <w:rPr>
          <w:lang w:val="fr-FR"/>
        </w:rPr>
        <w:t>’</w:t>
      </w:r>
      <w:r w:rsidR="00F67E14">
        <w:rPr>
          <w:lang w:val="fr-FR"/>
        </w:rPr>
        <w:t>avec</w:t>
      </w:r>
      <w:r w:rsidRPr="00686CD4">
        <w:rPr>
          <w:lang w:val="fr-FR"/>
        </w:rPr>
        <w:t xml:space="preserve"> l</w:t>
      </w:r>
      <w:r>
        <w:rPr>
          <w:lang w:val="fr-FR"/>
        </w:rPr>
        <w:t>’</w:t>
      </w:r>
      <w:r w:rsidRPr="00686CD4">
        <w:rPr>
          <w:lang w:val="fr-FR"/>
        </w:rPr>
        <w:t>article 61, par. 1, al</w:t>
      </w:r>
      <w:r w:rsidR="00F67E14">
        <w:rPr>
          <w:lang w:val="fr-FR"/>
        </w:rPr>
        <w:t>.</w:t>
      </w:r>
      <w:r w:rsidRPr="00686CD4">
        <w:rPr>
          <w:lang w:val="fr-FR"/>
        </w:rPr>
        <w:t> h) du Code de procédure pénale).</w:t>
      </w:r>
    </w:p>
    <w:p w:rsidR="002A7A34" w:rsidRPr="00686CD4" w:rsidRDefault="002A7A34" w:rsidP="00F67E14">
      <w:pPr>
        <w:pStyle w:val="SingleTxtG"/>
        <w:rPr>
          <w:lang w:val="fr-FR"/>
        </w:rPr>
      </w:pPr>
      <w:r w:rsidRPr="00686CD4">
        <w:rPr>
          <w:lang w:val="fr-FR"/>
        </w:rPr>
        <w:t>15.</w:t>
      </w:r>
      <w:r w:rsidRPr="00686CD4">
        <w:rPr>
          <w:lang w:val="fr-FR"/>
        </w:rPr>
        <w:tab/>
        <w:t>Afin de garantir l</w:t>
      </w:r>
      <w:r>
        <w:rPr>
          <w:lang w:val="fr-FR"/>
        </w:rPr>
        <w:t>’</w:t>
      </w:r>
      <w:r w:rsidRPr="00686CD4">
        <w:rPr>
          <w:lang w:val="fr-FR"/>
        </w:rPr>
        <w:t>application de ces dispositions, l</w:t>
      </w:r>
      <w:r>
        <w:rPr>
          <w:lang w:val="fr-FR"/>
        </w:rPr>
        <w:t>’Inspection générale de l’administration interne</w:t>
      </w:r>
      <w:r w:rsidRPr="00686CD4">
        <w:rPr>
          <w:lang w:val="fr-FR"/>
        </w:rPr>
        <w:t xml:space="preserve"> effectue des inspections inopinées pour s</w:t>
      </w:r>
      <w:r>
        <w:rPr>
          <w:lang w:val="fr-FR"/>
        </w:rPr>
        <w:t>’</w:t>
      </w:r>
      <w:r w:rsidRPr="00686CD4">
        <w:rPr>
          <w:lang w:val="fr-FR"/>
        </w:rPr>
        <w:t>assurer que le Règlement relatif aux conditions de détention dans les locaux de la Police judiciaire, qui couvre tous les aspects des droits des «</w:t>
      </w:r>
      <w:r w:rsidR="00613D41">
        <w:rPr>
          <w:lang w:val="fr-FR"/>
        </w:rPr>
        <w:t> </w:t>
      </w:r>
      <w:r w:rsidRPr="00686CD4">
        <w:rPr>
          <w:lang w:val="fr-FR"/>
        </w:rPr>
        <w:t>détenus</w:t>
      </w:r>
      <w:r w:rsidR="00613D41">
        <w:rPr>
          <w:lang w:val="fr-FR"/>
        </w:rPr>
        <w:t> </w:t>
      </w:r>
      <w:r w:rsidRPr="00686CD4">
        <w:rPr>
          <w:lang w:val="fr-FR"/>
        </w:rPr>
        <w:t>» ainsi que leurs conditions de détention et leur bien</w:t>
      </w:r>
      <w:r w:rsidR="00E0169D">
        <w:rPr>
          <w:lang w:val="fr-FR"/>
        </w:rPr>
        <w:noBreakHyphen/>
      </w:r>
      <w:r w:rsidRPr="00686CD4">
        <w:rPr>
          <w:lang w:val="fr-FR"/>
        </w:rPr>
        <w:t>être, et qui s</w:t>
      </w:r>
      <w:r>
        <w:rPr>
          <w:lang w:val="fr-FR"/>
        </w:rPr>
        <w:t>’</w:t>
      </w:r>
      <w:r w:rsidRPr="00686CD4">
        <w:rPr>
          <w:lang w:val="fr-FR"/>
        </w:rPr>
        <w:t>applique également aux citoyens conduits dans un poste de police à des fins d</w:t>
      </w:r>
      <w:r>
        <w:rPr>
          <w:lang w:val="fr-FR"/>
        </w:rPr>
        <w:t>’</w:t>
      </w:r>
      <w:r w:rsidRPr="00686CD4">
        <w:rPr>
          <w:lang w:val="fr-FR"/>
        </w:rPr>
        <w:t>identification, est respecté.</w:t>
      </w:r>
    </w:p>
    <w:p w:rsidR="002A7A34" w:rsidRPr="00686CD4" w:rsidRDefault="002A7A34" w:rsidP="00F67E14">
      <w:pPr>
        <w:pStyle w:val="H23G"/>
        <w:jc w:val="both"/>
        <w:rPr>
          <w:lang w:val="fr-FR"/>
        </w:rPr>
      </w:pPr>
      <w:r w:rsidRPr="00686CD4">
        <w:rPr>
          <w:lang w:val="fr-FR"/>
        </w:rPr>
        <w:lastRenderedPageBreak/>
        <w:tab/>
      </w:r>
      <w:r w:rsidRPr="00686CD4">
        <w:rPr>
          <w:lang w:val="fr-FR"/>
        </w:rPr>
        <w:tab/>
      </w:r>
      <w:r w:rsidRPr="00686CD4">
        <w:rPr>
          <w:lang w:val="fr-FR"/>
        </w:rPr>
        <w:tab/>
        <w:t>c)</w:t>
      </w:r>
      <w:r w:rsidRPr="00686CD4">
        <w:rPr>
          <w:lang w:val="fr-FR"/>
        </w:rPr>
        <w:tab/>
        <w:t>Toute mesure prise pour que toutes les personnes privées de liberté aient accès à un avocat commis d</w:t>
      </w:r>
      <w:r>
        <w:rPr>
          <w:lang w:val="fr-FR"/>
        </w:rPr>
        <w:t>’</w:t>
      </w:r>
      <w:r w:rsidRPr="00686CD4">
        <w:rPr>
          <w:lang w:val="fr-FR"/>
        </w:rPr>
        <w:t>office dès le moment de la privation de liberté et pendant les entretiens avec les agents de la force publique, et non uniquement lorsqu</w:t>
      </w:r>
      <w:r>
        <w:rPr>
          <w:lang w:val="fr-FR"/>
        </w:rPr>
        <w:t>’</w:t>
      </w:r>
      <w:r w:rsidRPr="00686CD4">
        <w:rPr>
          <w:lang w:val="fr-FR"/>
        </w:rPr>
        <w:t>elles sont entendues par un juge</w:t>
      </w:r>
      <w:r w:rsidR="00693845">
        <w:rPr>
          <w:lang w:val="fr-FR"/>
        </w:rPr>
        <w:t> </w:t>
      </w:r>
      <w:bookmarkStart w:id="6" w:name="_Toc532494609"/>
      <w:bookmarkEnd w:id="6"/>
      <w:r w:rsidR="00693845">
        <w:rPr>
          <w:lang w:val="fr-FR"/>
        </w:rPr>
        <w:t>;</w:t>
      </w:r>
    </w:p>
    <w:p w:rsidR="002A7A34" w:rsidRPr="00686CD4" w:rsidRDefault="002A7A34" w:rsidP="002A7A34">
      <w:pPr>
        <w:pStyle w:val="SingleTxtG"/>
        <w:rPr>
          <w:lang w:val="fr-FR"/>
        </w:rPr>
      </w:pPr>
      <w:r w:rsidRPr="00686CD4">
        <w:rPr>
          <w:lang w:val="fr-FR"/>
        </w:rPr>
        <w:t>16.</w:t>
      </w:r>
      <w:r w:rsidRPr="00686CD4">
        <w:rPr>
          <w:lang w:val="fr-FR"/>
        </w:rPr>
        <w:tab/>
        <w:t>Voir les paragraphes 5 à 11 du</w:t>
      </w:r>
      <w:r w:rsidR="00495D0F">
        <w:rPr>
          <w:lang w:val="fr-FR"/>
        </w:rPr>
        <w:t xml:space="preserve"> </w:t>
      </w:r>
      <w:r w:rsidRPr="00686CD4">
        <w:rPr>
          <w:lang w:val="fr-FR"/>
        </w:rPr>
        <w:t>rapport CAT/C/PRT/CO/5-6/</w:t>
      </w:r>
      <w:r w:rsidR="00871384">
        <w:rPr>
          <w:lang w:val="fr-FR"/>
        </w:rPr>
        <w:t>A</w:t>
      </w:r>
      <w:r w:rsidRPr="00686CD4">
        <w:rPr>
          <w:lang w:val="fr-FR"/>
        </w:rPr>
        <w:t>dd</w:t>
      </w:r>
      <w:r w:rsidR="00871384">
        <w:rPr>
          <w:lang w:val="fr-FR"/>
        </w:rPr>
        <w:t>.</w:t>
      </w:r>
      <w:r w:rsidRPr="00686CD4">
        <w:rPr>
          <w:lang w:val="fr-FR"/>
        </w:rPr>
        <w:t>3.</w:t>
      </w:r>
    </w:p>
    <w:p w:rsidR="002A7A34" w:rsidRPr="00686CD4" w:rsidRDefault="002A7A34" w:rsidP="00F67E14">
      <w:pPr>
        <w:pStyle w:val="H23G"/>
        <w:jc w:val="both"/>
        <w:rPr>
          <w:lang w:val="fr-FR"/>
        </w:rPr>
      </w:pPr>
      <w:r w:rsidRPr="00686CD4">
        <w:rPr>
          <w:lang w:val="fr-FR"/>
        </w:rPr>
        <w:tab/>
      </w:r>
      <w:r w:rsidRPr="00686CD4">
        <w:rPr>
          <w:lang w:val="fr-FR"/>
        </w:rPr>
        <w:tab/>
      </w:r>
      <w:r w:rsidR="00871384">
        <w:rPr>
          <w:lang w:val="fr-FR"/>
        </w:rPr>
        <w:tab/>
      </w:r>
      <w:r w:rsidRPr="00686CD4">
        <w:rPr>
          <w:lang w:val="fr-FR"/>
        </w:rPr>
        <w:t>d)</w:t>
      </w:r>
      <w:r w:rsidRPr="00686CD4">
        <w:rPr>
          <w:lang w:val="fr-FR"/>
        </w:rPr>
        <w:tab/>
      </w:r>
      <w:r w:rsidRPr="00686CD4">
        <w:rPr>
          <w:bCs/>
          <w:lang w:val="fr-FR"/>
        </w:rPr>
        <w:t>Les mesures prises pour contrôler le respect des garanties juridiques fondamentales par tous les agents de l</w:t>
      </w:r>
      <w:r>
        <w:rPr>
          <w:bCs/>
          <w:lang w:val="fr-FR"/>
        </w:rPr>
        <w:t>’</w:t>
      </w:r>
      <w:r w:rsidRPr="00686CD4">
        <w:rPr>
          <w:bCs/>
          <w:lang w:val="fr-FR"/>
        </w:rPr>
        <w:t>État, dont l</w:t>
      </w:r>
      <w:r>
        <w:rPr>
          <w:bCs/>
          <w:lang w:val="fr-FR"/>
        </w:rPr>
        <w:t>’</w:t>
      </w:r>
      <w:r w:rsidRPr="00686CD4">
        <w:rPr>
          <w:bCs/>
          <w:lang w:val="fr-FR"/>
        </w:rPr>
        <w:t>inscription dans un registre de toutes les périodes de détention et la possibilité pour les détenus d</w:t>
      </w:r>
      <w:r>
        <w:rPr>
          <w:bCs/>
          <w:lang w:val="fr-FR"/>
        </w:rPr>
        <w:t>’</w:t>
      </w:r>
      <w:r w:rsidRPr="00686CD4">
        <w:rPr>
          <w:bCs/>
          <w:lang w:val="fr-FR"/>
        </w:rPr>
        <w:t>informer un proche, et pour que les agents de l</w:t>
      </w:r>
      <w:r>
        <w:rPr>
          <w:bCs/>
          <w:lang w:val="fr-FR"/>
        </w:rPr>
        <w:t>’</w:t>
      </w:r>
      <w:r w:rsidRPr="00686CD4">
        <w:rPr>
          <w:bCs/>
          <w:lang w:val="fr-FR"/>
        </w:rPr>
        <w:t>État qui refusent à une personne privée de liberté le droit de jouir de ces garanties fassent l</w:t>
      </w:r>
      <w:r>
        <w:rPr>
          <w:bCs/>
          <w:lang w:val="fr-FR"/>
        </w:rPr>
        <w:t>’</w:t>
      </w:r>
      <w:r w:rsidRPr="00686CD4">
        <w:rPr>
          <w:bCs/>
          <w:lang w:val="fr-FR"/>
        </w:rPr>
        <w:t>objet de sanctions disciplinaires ou de poursuites</w:t>
      </w:r>
      <w:bookmarkStart w:id="7" w:name="_Toc532494610"/>
      <w:bookmarkEnd w:id="7"/>
      <w:r w:rsidR="00693845">
        <w:rPr>
          <w:bCs/>
          <w:lang w:val="fr-FR"/>
        </w:rPr>
        <w:t>.</w:t>
      </w:r>
    </w:p>
    <w:p w:rsidR="002A7A34" w:rsidRPr="00686CD4" w:rsidRDefault="002A7A34" w:rsidP="00613D41">
      <w:pPr>
        <w:pStyle w:val="H23G"/>
        <w:jc w:val="both"/>
        <w:rPr>
          <w:lang w:val="fr-FR"/>
        </w:rPr>
      </w:pPr>
      <w:r w:rsidRPr="00686CD4">
        <w:rPr>
          <w:lang w:val="fr-FR"/>
        </w:rPr>
        <w:tab/>
      </w:r>
      <w:r w:rsidRPr="00686CD4">
        <w:rPr>
          <w:lang w:val="fr-FR"/>
        </w:rPr>
        <w:tab/>
      </w:r>
      <w:r w:rsidRPr="00686CD4">
        <w:rPr>
          <w:bCs/>
          <w:lang w:val="fr-FR"/>
        </w:rPr>
        <w:t>Fournir des informations sur le nombre de plaintes déposées et de poursuites engagées pour non-respect des garanties juridiques fondamentales au cours de la période considérée, en précisant quelle en a été l</w:t>
      </w:r>
      <w:r>
        <w:rPr>
          <w:bCs/>
          <w:lang w:val="fr-FR"/>
        </w:rPr>
        <w:t>’</w:t>
      </w:r>
      <w:r w:rsidRPr="00686CD4">
        <w:rPr>
          <w:bCs/>
          <w:lang w:val="fr-FR"/>
        </w:rPr>
        <w:t>issue et quelles peines ont été appliquées</w:t>
      </w:r>
      <w:bookmarkStart w:id="8" w:name="_Toc532494611"/>
      <w:bookmarkEnd w:id="8"/>
      <w:r w:rsidR="00E0169D">
        <w:rPr>
          <w:bCs/>
          <w:lang w:val="fr-FR"/>
        </w:rPr>
        <w:t>.</w:t>
      </w:r>
    </w:p>
    <w:p w:rsidR="002A7A34" w:rsidRPr="00686CD4" w:rsidRDefault="002A7A34" w:rsidP="00E72A0D">
      <w:pPr>
        <w:pStyle w:val="SingleTxtG"/>
        <w:spacing w:after="100"/>
        <w:rPr>
          <w:lang w:val="fr-FR"/>
        </w:rPr>
      </w:pPr>
      <w:r w:rsidRPr="00686CD4">
        <w:rPr>
          <w:lang w:val="fr-FR"/>
        </w:rPr>
        <w:t>17.</w:t>
      </w:r>
      <w:r w:rsidRPr="00686CD4">
        <w:rPr>
          <w:lang w:val="fr-FR"/>
        </w:rPr>
        <w:tab/>
        <w:t xml:space="preserve">En ce qui concerne le Ministère de la </w:t>
      </w:r>
      <w:r w:rsidR="00E0169D">
        <w:rPr>
          <w:lang w:val="fr-FR"/>
        </w:rPr>
        <w:t>j</w:t>
      </w:r>
      <w:r w:rsidRPr="00686CD4">
        <w:rPr>
          <w:lang w:val="fr-FR"/>
        </w:rPr>
        <w:t>ustice, aucune modification n</w:t>
      </w:r>
      <w:r>
        <w:rPr>
          <w:lang w:val="fr-FR"/>
        </w:rPr>
        <w:t>’</w:t>
      </w:r>
      <w:r w:rsidRPr="00686CD4">
        <w:rPr>
          <w:lang w:val="fr-FR"/>
        </w:rPr>
        <w:t xml:space="preserve">a été apportée au décret-loi </w:t>
      </w:r>
      <w:r w:rsidR="000D5167" w:rsidRPr="000D5167">
        <w:rPr>
          <w:rFonts w:eastAsia="MS Mincho"/>
          <w:lang w:val="fr-FR"/>
        </w:rPr>
        <w:t>n</w:t>
      </w:r>
      <w:r w:rsidR="000D5167" w:rsidRPr="000D5167">
        <w:rPr>
          <w:rFonts w:eastAsia="MS Mincho"/>
          <w:vertAlign w:val="superscript"/>
          <w:lang w:val="fr-FR"/>
        </w:rPr>
        <w:t>o</w:t>
      </w:r>
      <w:r w:rsidR="000D5167">
        <w:rPr>
          <w:lang w:val="fr-FR"/>
        </w:rPr>
        <w:t> </w:t>
      </w:r>
      <w:r w:rsidRPr="00686CD4">
        <w:rPr>
          <w:lang w:val="fr-FR"/>
        </w:rPr>
        <w:t>115/2009 du 12 octobre sur le Code d</w:t>
      </w:r>
      <w:r>
        <w:rPr>
          <w:lang w:val="fr-FR"/>
        </w:rPr>
        <w:t>’</w:t>
      </w:r>
      <w:r w:rsidRPr="00686CD4">
        <w:rPr>
          <w:lang w:val="fr-FR"/>
        </w:rPr>
        <w:t>exécution des peines et des mesures privatives de liberté. Toutes les personnes incarcérées dans un établissement pénitentiaire le sont par suite d</w:t>
      </w:r>
      <w:r>
        <w:rPr>
          <w:lang w:val="fr-FR"/>
        </w:rPr>
        <w:t>’</w:t>
      </w:r>
      <w:r w:rsidRPr="00686CD4">
        <w:rPr>
          <w:lang w:val="fr-FR"/>
        </w:rPr>
        <w:t>une décision de justice. Le respect de toutes les protections juridiques, y</w:t>
      </w:r>
      <w:r w:rsidR="000D5167">
        <w:rPr>
          <w:lang w:val="fr-FR"/>
        </w:rPr>
        <w:t> </w:t>
      </w:r>
      <w:r w:rsidRPr="00686CD4">
        <w:rPr>
          <w:lang w:val="fr-FR"/>
        </w:rPr>
        <w:t>compris l</w:t>
      </w:r>
      <w:r>
        <w:rPr>
          <w:lang w:val="fr-FR"/>
        </w:rPr>
        <w:t>’</w:t>
      </w:r>
      <w:r w:rsidRPr="00686CD4">
        <w:rPr>
          <w:lang w:val="fr-FR"/>
        </w:rPr>
        <w:t>enregistrement de toutes les périodes de détention, est donc toujours assuré. Aucune information n</w:t>
      </w:r>
      <w:r>
        <w:rPr>
          <w:lang w:val="fr-FR"/>
        </w:rPr>
        <w:t>’</w:t>
      </w:r>
      <w:r w:rsidRPr="00686CD4">
        <w:rPr>
          <w:lang w:val="fr-FR"/>
        </w:rPr>
        <w:t>est disponible sur le nombre de plaintes déposées et d</w:t>
      </w:r>
      <w:r>
        <w:rPr>
          <w:lang w:val="fr-FR"/>
        </w:rPr>
        <w:t>’</w:t>
      </w:r>
      <w:r w:rsidRPr="00686CD4">
        <w:rPr>
          <w:lang w:val="fr-FR"/>
        </w:rPr>
        <w:t>affaires engagées pour non-respect de ces protections.</w:t>
      </w:r>
    </w:p>
    <w:p w:rsidR="002A7A34" w:rsidRPr="00686CD4" w:rsidRDefault="002A7A34" w:rsidP="00E72A0D">
      <w:pPr>
        <w:pStyle w:val="SingleTxtG"/>
        <w:spacing w:after="100"/>
        <w:rPr>
          <w:lang w:val="fr-FR"/>
        </w:rPr>
      </w:pPr>
      <w:r w:rsidRPr="00686CD4">
        <w:rPr>
          <w:lang w:val="fr-FR"/>
        </w:rPr>
        <w:t>18.</w:t>
      </w:r>
      <w:r w:rsidRPr="00686CD4">
        <w:rPr>
          <w:lang w:val="fr-FR"/>
        </w:rPr>
        <w:tab/>
        <w:t>Dans le cadre du Service d</w:t>
      </w:r>
      <w:r>
        <w:rPr>
          <w:lang w:val="fr-FR"/>
        </w:rPr>
        <w:t>’</w:t>
      </w:r>
      <w:r w:rsidRPr="00686CD4">
        <w:rPr>
          <w:lang w:val="fr-FR"/>
        </w:rPr>
        <w:t>immigration et des frontières, le suivi du respect des protections juridiques fondamentales et des droits des détenus est assuré par des inspections inopinées et des contrôles périodiques des centres de rétention ou d</w:t>
      </w:r>
      <w:r>
        <w:rPr>
          <w:lang w:val="fr-FR"/>
        </w:rPr>
        <w:t>’</w:t>
      </w:r>
      <w:r w:rsidRPr="00686CD4">
        <w:rPr>
          <w:lang w:val="fr-FR"/>
        </w:rPr>
        <w:t>hébergement provisoire. Ces inspections peuvent être menées par un service d</w:t>
      </w:r>
      <w:r>
        <w:rPr>
          <w:lang w:val="fr-FR"/>
        </w:rPr>
        <w:t>’</w:t>
      </w:r>
      <w:r w:rsidRPr="00686CD4">
        <w:rPr>
          <w:lang w:val="fr-FR"/>
        </w:rPr>
        <w:t>inspection interne ou par des entités extérieures, comme l</w:t>
      </w:r>
      <w:r>
        <w:rPr>
          <w:lang w:val="fr-FR"/>
        </w:rPr>
        <w:t>’Inspection générale de l’administration interne</w:t>
      </w:r>
      <w:r w:rsidRPr="00686CD4">
        <w:rPr>
          <w:lang w:val="fr-FR"/>
        </w:rPr>
        <w:t xml:space="preserve"> ou les services du </w:t>
      </w:r>
      <w:r>
        <w:rPr>
          <w:lang w:val="fr-FR"/>
        </w:rPr>
        <w:t>ministère public</w:t>
      </w:r>
      <w:r w:rsidRPr="00686CD4">
        <w:rPr>
          <w:lang w:val="fr-FR"/>
        </w:rPr>
        <w:t>. La constatation de faits pouvant donner lieu à des procédures disciplinaires ou pénales entraîne l</w:t>
      </w:r>
      <w:r>
        <w:rPr>
          <w:lang w:val="fr-FR"/>
        </w:rPr>
        <w:t>’</w:t>
      </w:r>
      <w:r w:rsidRPr="00686CD4">
        <w:rPr>
          <w:lang w:val="fr-FR"/>
        </w:rPr>
        <w:t>application de tous les mécanismes juridiques pertinents.</w:t>
      </w:r>
    </w:p>
    <w:p w:rsidR="002A7A34" w:rsidRPr="00686CD4" w:rsidRDefault="002A7A34" w:rsidP="00E72A0D">
      <w:pPr>
        <w:pStyle w:val="SingleTxtG"/>
        <w:keepNext/>
        <w:spacing w:after="100"/>
        <w:rPr>
          <w:lang w:val="fr-FR"/>
        </w:rPr>
      </w:pPr>
      <w:r w:rsidRPr="00686CD4">
        <w:rPr>
          <w:lang w:val="fr-FR"/>
        </w:rPr>
        <w:t>19.</w:t>
      </w:r>
      <w:r w:rsidRPr="00686CD4">
        <w:rPr>
          <w:lang w:val="fr-FR"/>
        </w:rPr>
        <w:tab/>
        <w:t>Les inspections inopinées des locaux de la Garde nationale républicaine et de la Police de sécurité publique ainsi que, dans une certaine mesure, des centres de rétention du Service de l</w:t>
      </w:r>
      <w:r>
        <w:rPr>
          <w:lang w:val="fr-FR"/>
        </w:rPr>
        <w:t>’</w:t>
      </w:r>
      <w:r w:rsidRPr="00686CD4">
        <w:rPr>
          <w:lang w:val="fr-FR"/>
        </w:rPr>
        <w:t>immigration et des frontières, effectuées par l</w:t>
      </w:r>
      <w:r>
        <w:rPr>
          <w:lang w:val="fr-FR"/>
        </w:rPr>
        <w:t>’Inspection générale de l’administration interne</w:t>
      </w:r>
      <w:r w:rsidR="00F82CC6">
        <w:rPr>
          <w:lang w:val="fr-FR"/>
        </w:rPr>
        <w:t>,</w:t>
      </w:r>
      <w:r w:rsidRPr="00686CD4">
        <w:rPr>
          <w:lang w:val="fr-FR"/>
        </w:rPr>
        <w:t xml:space="preserve"> couvrent 12 domaines de compétence et d</w:t>
      </w:r>
      <w:r>
        <w:rPr>
          <w:lang w:val="fr-FR"/>
        </w:rPr>
        <w:t>’</w:t>
      </w:r>
      <w:r w:rsidRPr="00686CD4">
        <w:rPr>
          <w:lang w:val="fr-FR"/>
        </w:rPr>
        <w:t>intervention des forces de police, notamment</w:t>
      </w:r>
      <w:r w:rsidR="00495D0F">
        <w:rPr>
          <w:lang w:val="fr-FR"/>
        </w:rPr>
        <w:t> :</w:t>
      </w:r>
    </w:p>
    <w:p w:rsidR="002A7A34" w:rsidRPr="00686CD4" w:rsidRDefault="002A7A34" w:rsidP="00E72A0D">
      <w:pPr>
        <w:pStyle w:val="SingleTxtG"/>
        <w:spacing w:after="100"/>
        <w:ind w:firstLine="567"/>
        <w:rPr>
          <w:lang w:val="fr-FR"/>
        </w:rPr>
      </w:pPr>
      <w:r w:rsidRPr="00686CD4">
        <w:rPr>
          <w:lang w:val="fr-FR"/>
        </w:rPr>
        <w:t>a)</w:t>
      </w:r>
      <w:r w:rsidRPr="00686CD4">
        <w:rPr>
          <w:lang w:val="fr-FR"/>
        </w:rPr>
        <w:tab/>
      </w:r>
      <w:r w:rsidR="00E72A0D">
        <w:rPr>
          <w:lang w:val="fr-FR"/>
        </w:rPr>
        <w:t>L</w:t>
      </w:r>
      <w:r w:rsidRPr="00686CD4">
        <w:rPr>
          <w:lang w:val="fr-FR"/>
        </w:rPr>
        <w:t>a détention des citoyens et plus particulièrement les droits des « détenus », y</w:t>
      </w:r>
      <w:r w:rsidR="000D5167">
        <w:rPr>
          <w:lang w:val="fr-FR"/>
        </w:rPr>
        <w:t> </w:t>
      </w:r>
      <w:r w:rsidRPr="00686CD4">
        <w:rPr>
          <w:lang w:val="fr-FR"/>
        </w:rPr>
        <w:t>compris le temps passé en garde à vue et le respect d</w:t>
      </w:r>
      <w:r>
        <w:rPr>
          <w:lang w:val="fr-FR"/>
        </w:rPr>
        <w:t>u délai</w:t>
      </w:r>
      <w:r w:rsidRPr="00686CD4">
        <w:rPr>
          <w:lang w:val="fr-FR"/>
        </w:rPr>
        <w:t xml:space="preserve"> de </w:t>
      </w:r>
      <w:r w:rsidRPr="00686CD4">
        <w:rPr>
          <w:bCs/>
          <w:lang w:val="fr-FR"/>
        </w:rPr>
        <w:t xml:space="preserve">quarante-huit heures de garde à vue </w:t>
      </w:r>
      <w:r>
        <w:rPr>
          <w:bCs/>
          <w:lang w:val="fr-FR"/>
        </w:rPr>
        <w:t>dans lequel</w:t>
      </w:r>
      <w:r w:rsidRPr="00686CD4">
        <w:rPr>
          <w:bCs/>
          <w:lang w:val="fr-FR"/>
        </w:rPr>
        <w:t xml:space="preserve"> le détenu doit être présenté à un juge</w:t>
      </w:r>
      <w:r w:rsidRPr="00686CD4">
        <w:rPr>
          <w:lang w:val="fr-FR"/>
        </w:rPr>
        <w:t xml:space="preserve">, la communication rapide de cette détention au </w:t>
      </w:r>
      <w:r>
        <w:rPr>
          <w:lang w:val="fr-FR"/>
        </w:rPr>
        <w:t>ministère public</w:t>
      </w:r>
      <w:r w:rsidRPr="00686CD4">
        <w:rPr>
          <w:lang w:val="fr-FR"/>
        </w:rPr>
        <w:t>, ainsi que l</w:t>
      </w:r>
      <w:r>
        <w:rPr>
          <w:lang w:val="fr-FR"/>
        </w:rPr>
        <w:t>’</w:t>
      </w:r>
      <w:r w:rsidRPr="00686CD4">
        <w:rPr>
          <w:lang w:val="fr-FR"/>
        </w:rPr>
        <w:t>évaluation de la tenue des registres et des dossiers concernant les détentions, les communications avec un proche et l</w:t>
      </w:r>
      <w:r>
        <w:rPr>
          <w:lang w:val="fr-FR"/>
        </w:rPr>
        <w:t>’</w:t>
      </w:r>
      <w:r w:rsidRPr="00686CD4">
        <w:rPr>
          <w:lang w:val="fr-FR"/>
        </w:rPr>
        <w:t>accès à un avocat, conformément au Code de procédure pénale et aux articles 11 à 19 du Règlement relatif aux conditions de détention dans les locaux de la Police judiciaire</w:t>
      </w:r>
      <w:r w:rsidR="00495D0F">
        <w:rPr>
          <w:lang w:val="fr-FR"/>
        </w:rPr>
        <w:t> ;</w:t>
      </w:r>
    </w:p>
    <w:p w:rsidR="002A7A34" w:rsidRPr="00686CD4" w:rsidRDefault="002A7A34" w:rsidP="00E72A0D">
      <w:pPr>
        <w:pStyle w:val="SingleTxtG"/>
        <w:spacing w:after="100"/>
        <w:ind w:firstLine="567"/>
        <w:rPr>
          <w:lang w:val="fr-FR"/>
        </w:rPr>
      </w:pPr>
      <w:r w:rsidRPr="00686CD4">
        <w:rPr>
          <w:lang w:val="fr-FR"/>
        </w:rPr>
        <w:t>b)</w:t>
      </w:r>
      <w:r w:rsidRPr="00686CD4">
        <w:rPr>
          <w:lang w:val="fr-FR"/>
        </w:rPr>
        <w:tab/>
      </w:r>
      <w:r>
        <w:rPr>
          <w:lang w:val="fr-FR"/>
        </w:rPr>
        <w:t>L’</w:t>
      </w:r>
      <w:r w:rsidRPr="00686CD4">
        <w:rPr>
          <w:lang w:val="fr-FR"/>
        </w:rPr>
        <w:t>identification des citoyens, c</w:t>
      </w:r>
      <w:r>
        <w:rPr>
          <w:lang w:val="fr-FR"/>
        </w:rPr>
        <w:t>’</w:t>
      </w:r>
      <w:r w:rsidRPr="00686CD4">
        <w:rPr>
          <w:lang w:val="fr-FR"/>
        </w:rPr>
        <w:t>est-à-dire la tenue de registres et d</w:t>
      </w:r>
      <w:r>
        <w:rPr>
          <w:lang w:val="fr-FR"/>
        </w:rPr>
        <w:t>’</w:t>
      </w:r>
      <w:r w:rsidRPr="00686CD4">
        <w:rPr>
          <w:lang w:val="fr-FR"/>
        </w:rPr>
        <w:t xml:space="preserve">archives pour chaque procédure, ainsi que la communication rapide </w:t>
      </w:r>
      <w:r>
        <w:rPr>
          <w:lang w:val="fr-FR"/>
        </w:rPr>
        <w:t xml:space="preserve">de </w:t>
      </w:r>
      <w:r w:rsidRPr="00686CD4">
        <w:rPr>
          <w:lang w:val="fr-FR"/>
        </w:rPr>
        <w:t>la procédure d</w:t>
      </w:r>
      <w:r>
        <w:rPr>
          <w:lang w:val="fr-FR"/>
        </w:rPr>
        <w:t>’</w:t>
      </w:r>
      <w:r w:rsidRPr="00686CD4">
        <w:rPr>
          <w:lang w:val="fr-FR"/>
        </w:rPr>
        <w:t>identification à l</w:t>
      </w:r>
      <w:r>
        <w:rPr>
          <w:lang w:val="fr-FR"/>
        </w:rPr>
        <w:t>’</w:t>
      </w:r>
      <w:r w:rsidRPr="00686CD4">
        <w:rPr>
          <w:lang w:val="fr-FR"/>
        </w:rPr>
        <w:t>autorité judiciaire, conformément aux dispositions de l</w:t>
      </w:r>
      <w:r>
        <w:rPr>
          <w:lang w:val="fr-FR"/>
        </w:rPr>
        <w:t>’</w:t>
      </w:r>
      <w:r w:rsidRPr="00686CD4">
        <w:rPr>
          <w:lang w:val="fr-FR"/>
        </w:rPr>
        <w:t>article 253 du Code de procédure pénale</w:t>
      </w:r>
      <w:r w:rsidR="00495D0F">
        <w:rPr>
          <w:lang w:val="fr-FR"/>
        </w:rPr>
        <w:t> ;</w:t>
      </w:r>
    </w:p>
    <w:p w:rsidR="002A7A34" w:rsidRPr="00686CD4" w:rsidRDefault="002A7A34" w:rsidP="00E72A0D">
      <w:pPr>
        <w:pStyle w:val="SingleTxtG"/>
        <w:spacing w:after="100"/>
        <w:ind w:firstLine="567"/>
        <w:rPr>
          <w:lang w:val="fr-FR"/>
        </w:rPr>
      </w:pPr>
      <w:r w:rsidRPr="00686CD4">
        <w:rPr>
          <w:lang w:val="fr-FR"/>
        </w:rPr>
        <w:t>c)</w:t>
      </w:r>
      <w:r w:rsidRPr="00686CD4">
        <w:rPr>
          <w:lang w:val="fr-FR"/>
        </w:rPr>
        <w:tab/>
      </w:r>
      <w:r>
        <w:rPr>
          <w:lang w:val="fr-FR"/>
        </w:rPr>
        <w:t>L</w:t>
      </w:r>
      <w:r w:rsidRPr="00686CD4">
        <w:rPr>
          <w:lang w:val="fr-FR"/>
        </w:rPr>
        <w:t>es interventions en vertu de la loi relative à la tutelle éducative</w:t>
      </w:r>
      <w:r w:rsidR="00495D0F">
        <w:rPr>
          <w:lang w:val="fr-FR"/>
        </w:rPr>
        <w:t> ;</w:t>
      </w:r>
    </w:p>
    <w:p w:rsidR="002A7A34" w:rsidRPr="00686CD4" w:rsidRDefault="002A7A34" w:rsidP="00E72A0D">
      <w:pPr>
        <w:pStyle w:val="SingleTxtG"/>
        <w:spacing w:after="100"/>
        <w:ind w:firstLine="567"/>
        <w:rPr>
          <w:lang w:val="fr-FR"/>
        </w:rPr>
      </w:pPr>
      <w:r w:rsidRPr="00686CD4">
        <w:rPr>
          <w:lang w:val="fr-FR"/>
        </w:rPr>
        <w:t>d)</w:t>
      </w:r>
      <w:r w:rsidRPr="00686CD4">
        <w:rPr>
          <w:lang w:val="fr-FR"/>
        </w:rPr>
        <w:tab/>
      </w:r>
      <w:r>
        <w:rPr>
          <w:lang w:val="fr-FR"/>
        </w:rPr>
        <w:t>L</w:t>
      </w:r>
      <w:r w:rsidRPr="00686CD4">
        <w:rPr>
          <w:lang w:val="fr-FR"/>
        </w:rPr>
        <w:t>es interventions en vertu de la loi relative aux enfants et aux jeunes en danger</w:t>
      </w:r>
      <w:r w:rsidR="00495D0F">
        <w:rPr>
          <w:lang w:val="fr-FR"/>
        </w:rPr>
        <w:t> ;</w:t>
      </w:r>
    </w:p>
    <w:p w:rsidR="002A7A34" w:rsidRPr="00686CD4" w:rsidRDefault="002A7A34" w:rsidP="00E72A0D">
      <w:pPr>
        <w:pStyle w:val="SingleTxtG"/>
        <w:spacing w:after="100"/>
        <w:ind w:firstLine="567"/>
        <w:rPr>
          <w:lang w:val="fr-FR"/>
        </w:rPr>
      </w:pPr>
      <w:r w:rsidRPr="00686CD4">
        <w:rPr>
          <w:lang w:val="fr-FR"/>
        </w:rPr>
        <w:t>e)</w:t>
      </w:r>
      <w:r w:rsidRPr="00686CD4">
        <w:rPr>
          <w:lang w:val="fr-FR"/>
        </w:rPr>
        <w:tab/>
      </w:r>
      <w:r>
        <w:rPr>
          <w:lang w:val="fr-FR"/>
        </w:rPr>
        <w:t>L</w:t>
      </w:r>
      <w:r w:rsidRPr="00686CD4">
        <w:rPr>
          <w:lang w:val="fr-FR"/>
        </w:rPr>
        <w:t>es interventions en vertu de la loi sur la santé mentale</w:t>
      </w:r>
      <w:r w:rsidR="00495D0F">
        <w:rPr>
          <w:lang w:val="fr-FR"/>
        </w:rPr>
        <w:t> ;</w:t>
      </w:r>
    </w:p>
    <w:p w:rsidR="002A7A34" w:rsidRPr="00686CD4" w:rsidRDefault="002A7A34" w:rsidP="00E72A0D">
      <w:pPr>
        <w:pStyle w:val="SingleTxtG"/>
        <w:spacing w:after="100"/>
        <w:ind w:firstLine="567"/>
        <w:rPr>
          <w:lang w:val="fr-FR"/>
        </w:rPr>
      </w:pPr>
      <w:r w:rsidRPr="00686CD4">
        <w:rPr>
          <w:lang w:val="fr-FR"/>
        </w:rPr>
        <w:t>f)</w:t>
      </w:r>
      <w:r w:rsidRPr="00686CD4">
        <w:rPr>
          <w:lang w:val="fr-FR"/>
        </w:rPr>
        <w:tab/>
      </w:r>
      <w:r>
        <w:rPr>
          <w:lang w:val="fr-FR"/>
        </w:rPr>
        <w:t>L</w:t>
      </w:r>
      <w:r w:rsidRPr="00686CD4">
        <w:rPr>
          <w:lang w:val="fr-FR"/>
        </w:rPr>
        <w:t>es plaintes des citoyens, à savoir l</w:t>
      </w:r>
      <w:r>
        <w:rPr>
          <w:lang w:val="fr-FR"/>
        </w:rPr>
        <w:t>’</w:t>
      </w:r>
      <w:r w:rsidRPr="00686CD4">
        <w:rPr>
          <w:lang w:val="fr-FR"/>
        </w:rPr>
        <w:t>évaluation du registre des plaintes, du type de plaintes enregistrées et de leur objet, de la tenue des dossiers et de l</w:t>
      </w:r>
      <w:r>
        <w:rPr>
          <w:lang w:val="fr-FR"/>
        </w:rPr>
        <w:t>’</w:t>
      </w:r>
      <w:r w:rsidRPr="00686CD4">
        <w:rPr>
          <w:lang w:val="fr-FR"/>
        </w:rPr>
        <w:t xml:space="preserve">archivage des documents connexes (rapports et communications avec les </w:t>
      </w:r>
      <w:r w:rsidR="00F82CC6">
        <w:rPr>
          <w:lang w:val="fr-FR"/>
        </w:rPr>
        <w:t>plaignants</w:t>
      </w:r>
      <w:r w:rsidRPr="00686CD4">
        <w:rPr>
          <w:lang w:val="fr-FR"/>
        </w:rPr>
        <w:t xml:space="preserve">), ainsi que le respect des dispositions de la résolution </w:t>
      </w:r>
      <w:r w:rsidR="00E72A0D" w:rsidRPr="000D5167">
        <w:rPr>
          <w:rFonts w:eastAsia="MS Mincho"/>
          <w:lang w:val="fr-FR"/>
        </w:rPr>
        <w:t>n</w:t>
      </w:r>
      <w:r w:rsidR="00E72A0D" w:rsidRPr="000D5167">
        <w:rPr>
          <w:rFonts w:eastAsia="MS Mincho"/>
          <w:vertAlign w:val="superscript"/>
          <w:lang w:val="fr-FR"/>
        </w:rPr>
        <w:t>o</w:t>
      </w:r>
      <w:r w:rsidR="00E72A0D">
        <w:rPr>
          <w:lang w:val="fr-FR"/>
        </w:rPr>
        <w:t> </w:t>
      </w:r>
      <w:r w:rsidRPr="00686CD4">
        <w:rPr>
          <w:lang w:val="fr-FR"/>
        </w:rPr>
        <w:t>189/96 du Conseil des ministres</w:t>
      </w:r>
      <w:r w:rsidR="00495D0F">
        <w:rPr>
          <w:lang w:val="fr-FR"/>
        </w:rPr>
        <w:t xml:space="preserve"> </w:t>
      </w:r>
      <w:r w:rsidRPr="00686CD4">
        <w:rPr>
          <w:lang w:val="fr-FR"/>
        </w:rPr>
        <w:t>en date du 31 octobre concernant le droit des citoyens de porter plainte</w:t>
      </w:r>
      <w:r w:rsidR="000D5167">
        <w:rPr>
          <w:lang w:val="fr-FR"/>
        </w:rPr>
        <w:t> ;</w:t>
      </w:r>
    </w:p>
    <w:p w:rsidR="002A7A34" w:rsidRPr="00686CD4" w:rsidRDefault="002A7A34" w:rsidP="00E72A0D">
      <w:pPr>
        <w:pStyle w:val="SingleTxtG"/>
        <w:spacing w:after="100"/>
        <w:ind w:firstLine="567"/>
        <w:rPr>
          <w:lang w:val="fr-FR"/>
        </w:rPr>
      </w:pPr>
      <w:r w:rsidRPr="00686CD4">
        <w:rPr>
          <w:lang w:val="fr-FR"/>
        </w:rPr>
        <w:lastRenderedPageBreak/>
        <w:t>g)</w:t>
      </w:r>
      <w:r w:rsidRPr="00686CD4">
        <w:rPr>
          <w:lang w:val="fr-FR"/>
        </w:rPr>
        <w:tab/>
      </w:r>
      <w:r>
        <w:rPr>
          <w:lang w:val="fr-FR"/>
        </w:rPr>
        <w:t>L</w:t>
      </w:r>
      <w:r w:rsidRPr="00686CD4">
        <w:rPr>
          <w:lang w:val="fr-FR"/>
        </w:rPr>
        <w:t>es interventions en vertu du Statut de la victime</w:t>
      </w:r>
      <w:r w:rsidR="00495D0F">
        <w:rPr>
          <w:lang w:val="fr-FR"/>
        </w:rPr>
        <w:t> ;</w:t>
      </w:r>
    </w:p>
    <w:p w:rsidR="002A7A34" w:rsidRPr="00686CD4" w:rsidRDefault="002A7A34" w:rsidP="00E72A0D">
      <w:pPr>
        <w:pStyle w:val="SingleTxtG"/>
        <w:spacing w:after="100"/>
        <w:ind w:firstLine="567"/>
        <w:rPr>
          <w:lang w:val="fr-FR"/>
        </w:rPr>
      </w:pPr>
      <w:r w:rsidRPr="00686CD4">
        <w:rPr>
          <w:lang w:val="fr-FR"/>
        </w:rPr>
        <w:t>h)</w:t>
      </w:r>
      <w:r w:rsidRPr="00686CD4">
        <w:rPr>
          <w:lang w:val="fr-FR"/>
        </w:rPr>
        <w:tab/>
      </w:r>
      <w:r>
        <w:rPr>
          <w:lang w:val="fr-FR"/>
        </w:rPr>
        <w:t>L</w:t>
      </w:r>
      <w:r w:rsidRPr="00686CD4">
        <w:rPr>
          <w:lang w:val="fr-FR"/>
        </w:rPr>
        <w:t>es lieux de détention, à savoir une évaluation de l</w:t>
      </w:r>
      <w:r>
        <w:rPr>
          <w:lang w:val="fr-FR"/>
        </w:rPr>
        <w:t>’</w:t>
      </w:r>
      <w:r w:rsidRPr="00686CD4">
        <w:rPr>
          <w:lang w:val="fr-FR"/>
        </w:rPr>
        <w:t>état de chaque cellule (points de suspension, éléments tranchants, systèmes d</w:t>
      </w:r>
      <w:r>
        <w:rPr>
          <w:lang w:val="fr-FR"/>
        </w:rPr>
        <w:t>’</w:t>
      </w:r>
      <w:r w:rsidRPr="00686CD4">
        <w:rPr>
          <w:lang w:val="fr-FR"/>
        </w:rPr>
        <w:t>alarme pour appeler à l</w:t>
      </w:r>
      <w:r>
        <w:rPr>
          <w:lang w:val="fr-FR"/>
        </w:rPr>
        <w:t>’</w:t>
      </w:r>
      <w:r w:rsidRPr="00686CD4">
        <w:rPr>
          <w:lang w:val="fr-FR"/>
        </w:rPr>
        <w:t>aide si nécessaire, ou systèmes de surveillance des détenus) qui couvre</w:t>
      </w:r>
      <w:r w:rsidR="004E393D">
        <w:rPr>
          <w:lang w:val="fr-FR"/>
        </w:rPr>
        <w:t xml:space="preserve"> 15 </w:t>
      </w:r>
      <w:r w:rsidRPr="00686CD4">
        <w:rPr>
          <w:lang w:val="fr-FR"/>
        </w:rPr>
        <w:t>points spécifiques conformément aux dispositions du Règlement relatif aux conditions de détention dans les locaux de la Police judiciaire, et plus particulièrement des articles 3 à 7.</w:t>
      </w:r>
    </w:p>
    <w:p w:rsidR="002A7A34" w:rsidRPr="00686CD4" w:rsidRDefault="002A7A34" w:rsidP="002A7A34">
      <w:pPr>
        <w:pStyle w:val="SingleTxtG"/>
        <w:rPr>
          <w:lang w:val="fr-FR"/>
        </w:rPr>
      </w:pPr>
      <w:r w:rsidRPr="00686CD4">
        <w:rPr>
          <w:lang w:val="fr-FR"/>
        </w:rPr>
        <w:t>20.</w:t>
      </w:r>
      <w:r w:rsidRPr="00686CD4">
        <w:rPr>
          <w:lang w:val="fr-FR"/>
        </w:rPr>
        <w:tab/>
        <w:t>Si le Comité contre la torture le juge nécessaire, l</w:t>
      </w:r>
      <w:r>
        <w:rPr>
          <w:lang w:val="fr-FR"/>
        </w:rPr>
        <w:t>’Inspection générale de l’administration interne</w:t>
      </w:r>
      <w:r w:rsidRPr="00686CD4">
        <w:rPr>
          <w:lang w:val="fr-FR"/>
        </w:rPr>
        <w:t xml:space="preserve"> peut prendre des dispositions pour procéder à l</w:t>
      </w:r>
      <w:r>
        <w:rPr>
          <w:lang w:val="fr-FR"/>
        </w:rPr>
        <w:t>’</w:t>
      </w:r>
      <w:r w:rsidRPr="00686CD4">
        <w:rPr>
          <w:lang w:val="fr-FR"/>
        </w:rPr>
        <w:t>examen d</w:t>
      </w:r>
      <w:r>
        <w:rPr>
          <w:lang w:val="fr-FR"/>
        </w:rPr>
        <w:t>’</w:t>
      </w:r>
      <w:r w:rsidRPr="00686CD4">
        <w:rPr>
          <w:lang w:val="fr-FR"/>
        </w:rPr>
        <w:t>une copie du formulaire d</w:t>
      </w:r>
      <w:r>
        <w:rPr>
          <w:lang w:val="fr-FR"/>
        </w:rPr>
        <w:t>’</w:t>
      </w:r>
      <w:r w:rsidRPr="00686CD4">
        <w:rPr>
          <w:lang w:val="fr-FR"/>
        </w:rPr>
        <w:t>inspection utilisé par les équipes</w:t>
      </w:r>
      <w:r w:rsidR="00495D0F">
        <w:rPr>
          <w:lang w:val="fr-FR"/>
        </w:rPr>
        <w:t xml:space="preserve"> </w:t>
      </w:r>
      <w:r w:rsidRPr="00686CD4">
        <w:rPr>
          <w:lang w:val="fr-FR"/>
        </w:rPr>
        <w:t>lors des inspections inopinées des postes de la Garde nationale républicaine et de la Police de sécurité publique.</w:t>
      </w:r>
    </w:p>
    <w:p w:rsidR="002A7A34" w:rsidRPr="00686CD4" w:rsidRDefault="002A7A34" w:rsidP="002A7A34">
      <w:pPr>
        <w:pStyle w:val="SingleTxtG"/>
        <w:rPr>
          <w:lang w:val="fr-FR"/>
        </w:rPr>
      </w:pPr>
      <w:r w:rsidRPr="00686CD4">
        <w:rPr>
          <w:lang w:val="fr-FR"/>
        </w:rPr>
        <w:t>21.</w:t>
      </w:r>
      <w:r w:rsidRPr="00686CD4">
        <w:rPr>
          <w:lang w:val="fr-FR"/>
        </w:rPr>
        <w:tab/>
        <w:t>Le Bureau d</w:t>
      </w:r>
      <w:r>
        <w:rPr>
          <w:lang w:val="fr-FR"/>
        </w:rPr>
        <w:t>’</w:t>
      </w:r>
      <w:r w:rsidRPr="00686CD4">
        <w:rPr>
          <w:lang w:val="fr-FR"/>
        </w:rPr>
        <w:t>inspection du Service de l</w:t>
      </w:r>
      <w:r>
        <w:rPr>
          <w:lang w:val="fr-FR"/>
        </w:rPr>
        <w:t>’</w:t>
      </w:r>
      <w:r w:rsidRPr="00686CD4">
        <w:rPr>
          <w:lang w:val="fr-FR"/>
        </w:rPr>
        <w:t>immigration et des frontières n</w:t>
      </w:r>
      <w:r>
        <w:rPr>
          <w:lang w:val="fr-FR"/>
        </w:rPr>
        <w:t>’</w:t>
      </w:r>
      <w:r w:rsidRPr="00686CD4">
        <w:rPr>
          <w:lang w:val="fr-FR"/>
        </w:rPr>
        <w:t>a enregistré aucun cas d</w:t>
      </w:r>
      <w:r>
        <w:rPr>
          <w:lang w:val="fr-FR"/>
        </w:rPr>
        <w:t>’</w:t>
      </w:r>
      <w:r w:rsidRPr="00686CD4">
        <w:rPr>
          <w:lang w:val="fr-FR"/>
        </w:rPr>
        <w:t>infraction de la part de ses agents durant la période considérée.</w:t>
      </w:r>
    </w:p>
    <w:p w:rsidR="002A7A34" w:rsidRPr="00686CD4" w:rsidRDefault="002A7A34" w:rsidP="00E72A0D">
      <w:pPr>
        <w:pStyle w:val="H23G"/>
        <w:jc w:val="both"/>
        <w:rPr>
          <w:lang w:val="fr-FR"/>
        </w:rPr>
      </w:pPr>
      <w:r w:rsidRPr="00686CD4">
        <w:rPr>
          <w:lang w:val="fr-FR"/>
        </w:rPr>
        <w:tab/>
        <w:t>3.</w:t>
      </w:r>
      <w:r w:rsidRPr="00686CD4">
        <w:rPr>
          <w:lang w:val="fr-FR"/>
        </w:rPr>
        <w:tab/>
        <w:t>Compte tenu des précédentes observations finales du Comité (par.</w:t>
      </w:r>
      <w:r w:rsidR="00E72A0D">
        <w:rPr>
          <w:lang w:val="fr-FR"/>
        </w:rPr>
        <w:t> </w:t>
      </w:r>
      <w:r w:rsidRPr="00686CD4">
        <w:rPr>
          <w:lang w:val="fr-FR"/>
        </w:rPr>
        <w:t>17 et 21) et des informations communiquées par l</w:t>
      </w:r>
      <w:r>
        <w:rPr>
          <w:lang w:val="fr-FR"/>
        </w:rPr>
        <w:t>’</w:t>
      </w:r>
      <w:r w:rsidRPr="00686CD4">
        <w:rPr>
          <w:lang w:val="fr-FR"/>
        </w:rPr>
        <w:t>État partie au titre du suivi des observations finales, fournir les renseignements ci-après relatifs à la violence intrafamiliale et à la violence sexiste pour la période considérée</w:t>
      </w:r>
      <w:r w:rsidR="00495D0F">
        <w:rPr>
          <w:lang w:val="fr-FR"/>
        </w:rPr>
        <w:t> :</w:t>
      </w:r>
      <w:bookmarkStart w:id="9" w:name="_Toc532494612"/>
      <w:bookmarkEnd w:id="9"/>
    </w:p>
    <w:p w:rsidR="002A7A34" w:rsidRPr="00686CD4" w:rsidRDefault="002A7A34" w:rsidP="00E72A0D">
      <w:pPr>
        <w:pStyle w:val="H23G"/>
        <w:jc w:val="both"/>
        <w:rPr>
          <w:lang w:val="fr-FR"/>
        </w:rPr>
      </w:pPr>
      <w:r w:rsidRPr="00686CD4">
        <w:rPr>
          <w:lang w:val="fr-FR"/>
        </w:rPr>
        <w:tab/>
      </w:r>
      <w:r w:rsidRPr="00686CD4">
        <w:rPr>
          <w:lang w:val="fr-FR"/>
        </w:rPr>
        <w:tab/>
      </w:r>
      <w:r w:rsidRPr="00686CD4">
        <w:rPr>
          <w:lang w:val="fr-FR"/>
        </w:rPr>
        <w:tab/>
        <w:t>a)</w:t>
      </w:r>
      <w:r w:rsidRPr="00686CD4">
        <w:rPr>
          <w:lang w:val="fr-FR"/>
        </w:rPr>
        <w:tab/>
        <w:t>Des données annuelles, ventilées par type d</w:t>
      </w:r>
      <w:r>
        <w:rPr>
          <w:lang w:val="fr-FR"/>
        </w:rPr>
        <w:t>’</w:t>
      </w:r>
      <w:r w:rsidRPr="00686CD4">
        <w:rPr>
          <w:lang w:val="fr-FR"/>
        </w:rPr>
        <w:t xml:space="preserve">infraction et âge et sexe de la victime, sur le nombre de </w:t>
      </w:r>
      <w:r>
        <w:rPr>
          <w:lang w:val="fr-FR"/>
        </w:rPr>
        <w:t>victimes de violence</w:t>
      </w:r>
      <w:r w:rsidRPr="00686CD4">
        <w:rPr>
          <w:lang w:val="fr-FR"/>
        </w:rPr>
        <w:t xml:space="preserve"> intrafamiliale et de la violence sexiste, en précisant le nombre de victimes décédées à la suite de telles violences, le nombre de plaintes déposées ou d</w:t>
      </w:r>
      <w:r>
        <w:rPr>
          <w:lang w:val="fr-FR"/>
        </w:rPr>
        <w:t>’</w:t>
      </w:r>
      <w:r w:rsidRPr="00686CD4">
        <w:rPr>
          <w:lang w:val="fr-FR"/>
        </w:rPr>
        <w:t>allégations de violences enregistrées par la police, le nombre d</w:t>
      </w:r>
      <w:r>
        <w:rPr>
          <w:lang w:val="fr-FR"/>
        </w:rPr>
        <w:t>’</w:t>
      </w:r>
      <w:r w:rsidRPr="00686CD4">
        <w:rPr>
          <w:lang w:val="fr-FR"/>
        </w:rPr>
        <w:t>entre elles qui ont fait l</w:t>
      </w:r>
      <w:r>
        <w:rPr>
          <w:lang w:val="fr-FR"/>
        </w:rPr>
        <w:t>’</w:t>
      </w:r>
      <w:r w:rsidRPr="00686CD4">
        <w:rPr>
          <w:lang w:val="fr-FR"/>
        </w:rPr>
        <w:t>objet d</w:t>
      </w:r>
      <w:r>
        <w:rPr>
          <w:lang w:val="fr-FR"/>
        </w:rPr>
        <w:t>’</w:t>
      </w:r>
      <w:r w:rsidRPr="00686CD4">
        <w:rPr>
          <w:lang w:val="fr-FR"/>
        </w:rPr>
        <w:t>une enquête, le nombre d</w:t>
      </w:r>
      <w:r>
        <w:rPr>
          <w:lang w:val="fr-FR"/>
        </w:rPr>
        <w:t>’</w:t>
      </w:r>
      <w:r w:rsidRPr="00686CD4">
        <w:rPr>
          <w:lang w:val="fr-FR"/>
        </w:rPr>
        <w:t>entre elles qui ont donné lieu à des poursuites et des condamnations, et les peines qui ont été prononcées à l</w:t>
      </w:r>
      <w:r>
        <w:rPr>
          <w:lang w:val="fr-FR"/>
        </w:rPr>
        <w:t>’</w:t>
      </w:r>
      <w:r w:rsidRPr="00686CD4">
        <w:rPr>
          <w:lang w:val="fr-FR"/>
        </w:rPr>
        <w:t xml:space="preserve">encontre des personnes reconnues coupables. </w:t>
      </w:r>
      <w:r w:rsidRPr="00686CD4">
        <w:rPr>
          <w:bCs/>
          <w:lang w:val="fr-FR"/>
        </w:rPr>
        <w:t>Indiquer également le nombre d</w:t>
      </w:r>
      <w:r>
        <w:rPr>
          <w:bCs/>
          <w:lang w:val="fr-FR"/>
        </w:rPr>
        <w:t>’</w:t>
      </w:r>
      <w:r w:rsidRPr="00686CD4">
        <w:rPr>
          <w:bCs/>
          <w:lang w:val="fr-FR"/>
        </w:rPr>
        <w:t>ordonnances de protection accordées sur l</w:t>
      </w:r>
      <w:r>
        <w:rPr>
          <w:bCs/>
          <w:lang w:val="fr-FR"/>
        </w:rPr>
        <w:t>’</w:t>
      </w:r>
      <w:r w:rsidRPr="00686CD4">
        <w:rPr>
          <w:bCs/>
          <w:lang w:val="fr-FR"/>
        </w:rPr>
        <w:t>ensemble des demandes présentées</w:t>
      </w:r>
      <w:r w:rsidR="00495D0F">
        <w:rPr>
          <w:bCs/>
          <w:lang w:val="fr-FR"/>
        </w:rPr>
        <w:t> ;</w:t>
      </w:r>
      <w:bookmarkStart w:id="10" w:name="_Toc532494613"/>
      <w:bookmarkEnd w:id="10"/>
    </w:p>
    <w:p w:rsidR="002A7A34" w:rsidRPr="00686CD4" w:rsidRDefault="002A7A34" w:rsidP="002A7A34">
      <w:pPr>
        <w:pStyle w:val="SingleTxtG"/>
        <w:rPr>
          <w:lang w:val="fr-FR"/>
        </w:rPr>
      </w:pPr>
      <w:r w:rsidRPr="00686CD4">
        <w:rPr>
          <w:lang w:val="fr-FR"/>
        </w:rPr>
        <w:t>22.</w:t>
      </w:r>
      <w:r w:rsidRPr="00686CD4">
        <w:rPr>
          <w:lang w:val="fr-FR"/>
        </w:rPr>
        <w:tab/>
        <w:t>Voir les informations présentées dans le tableau</w:t>
      </w:r>
      <w:r w:rsidR="00495D0F">
        <w:rPr>
          <w:lang w:val="fr-FR"/>
        </w:rPr>
        <w:t xml:space="preserve"> </w:t>
      </w:r>
      <w:r w:rsidRPr="00686CD4">
        <w:rPr>
          <w:lang w:val="fr-FR"/>
        </w:rPr>
        <w:t>I de l</w:t>
      </w:r>
      <w:r>
        <w:rPr>
          <w:lang w:val="fr-FR"/>
        </w:rPr>
        <w:t>’</w:t>
      </w:r>
      <w:r w:rsidRPr="00686CD4">
        <w:rPr>
          <w:lang w:val="fr-FR"/>
        </w:rPr>
        <w:t>annexe</w:t>
      </w:r>
      <w:r w:rsidR="00495D0F">
        <w:rPr>
          <w:lang w:val="fr-FR"/>
        </w:rPr>
        <w:t xml:space="preserve"> </w:t>
      </w:r>
      <w:r w:rsidRPr="00686CD4">
        <w:rPr>
          <w:lang w:val="fr-FR"/>
        </w:rPr>
        <w:t>III.</w:t>
      </w:r>
    </w:p>
    <w:p w:rsidR="002A7A34" w:rsidRPr="00686CD4" w:rsidRDefault="002A7A34" w:rsidP="0053479F">
      <w:pPr>
        <w:pStyle w:val="H23G"/>
        <w:jc w:val="both"/>
        <w:rPr>
          <w:lang w:val="fr-FR"/>
        </w:rPr>
      </w:pPr>
      <w:r w:rsidRPr="00686CD4">
        <w:rPr>
          <w:lang w:val="fr-FR"/>
        </w:rPr>
        <w:tab/>
      </w:r>
      <w:r w:rsidRPr="00686CD4">
        <w:rPr>
          <w:lang w:val="fr-FR"/>
        </w:rPr>
        <w:tab/>
      </w:r>
      <w:r w:rsidRPr="00686CD4">
        <w:rPr>
          <w:lang w:val="fr-FR"/>
        </w:rPr>
        <w:tab/>
        <w:t>b)</w:t>
      </w:r>
      <w:r w:rsidRPr="00686CD4">
        <w:rPr>
          <w:lang w:val="fr-FR"/>
        </w:rPr>
        <w:tab/>
      </w:r>
      <w:r w:rsidRPr="00686CD4">
        <w:rPr>
          <w:bCs/>
          <w:lang w:val="fr-FR"/>
        </w:rPr>
        <w:t>Des données à jour sur les mesures de réparation accessibles aux victimes, notamment l</w:t>
      </w:r>
      <w:r>
        <w:rPr>
          <w:bCs/>
          <w:lang w:val="fr-FR"/>
        </w:rPr>
        <w:t>’</w:t>
      </w:r>
      <w:r w:rsidRPr="00686CD4">
        <w:rPr>
          <w:bCs/>
          <w:lang w:val="fr-FR"/>
        </w:rPr>
        <w:t>aide juridique, médicale et psychologique, le nombre de foyers d</w:t>
      </w:r>
      <w:r>
        <w:rPr>
          <w:bCs/>
          <w:lang w:val="fr-FR"/>
        </w:rPr>
        <w:t>’</w:t>
      </w:r>
      <w:r w:rsidRPr="00686CD4">
        <w:rPr>
          <w:bCs/>
          <w:lang w:val="fr-FR"/>
        </w:rPr>
        <w:t>accueil et leur taux d</w:t>
      </w:r>
      <w:r>
        <w:rPr>
          <w:bCs/>
          <w:lang w:val="fr-FR"/>
        </w:rPr>
        <w:t>’</w:t>
      </w:r>
      <w:r w:rsidRPr="00686CD4">
        <w:rPr>
          <w:bCs/>
          <w:lang w:val="fr-FR"/>
        </w:rPr>
        <w:t>occupation, la procédure permettant d</w:t>
      </w:r>
      <w:r>
        <w:rPr>
          <w:bCs/>
          <w:lang w:val="fr-FR"/>
        </w:rPr>
        <w:t>’</w:t>
      </w:r>
      <w:r w:rsidRPr="00686CD4">
        <w:rPr>
          <w:bCs/>
          <w:lang w:val="fr-FR"/>
        </w:rPr>
        <w:t>obtenir une indemnisation, le pourcentage de cas dans lesquels une indemnisation a été accordée ainsi que son montant moy</w:t>
      </w:r>
      <w:r w:rsidR="00B545C2">
        <w:rPr>
          <w:bCs/>
          <w:lang w:val="fr-FR"/>
        </w:rPr>
        <w:t xml:space="preserve">en </w:t>
      </w:r>
      <w:r w:rsidR="00495D0F">
        <w:rPr>
          <w:bCs/>
          <w:lang w:val="fr-FR"/>
        </w:rPr>
        <w:t>;</w:t>
      </w:r>
      <w:bookmarkStart w:id="11" w:name="_Toc532494614"/>
      <w:bookmarkEnd w:id="11"/>
    </w:p>
    <w:p w:rsidR="002A7A34" w:rsidRPr="00686CD4" w:rsidRDefault="002A7A34" w:rsidP="0053479F">
      <w:pPr>
        <w:pStyle w:val="H23G"/>
        <w:jc w:val="both"/>
        <w:rPr>
          <w:lang w:val="fr-FR"/>
        </w:rPr>
      </w:pPr>
      <w:r w:rsidRPr="00686CD4">
        <w:rPr>
          <w:lang w:val="fr-FR"/>
        </w:rPr>
        <w:tab/>
      </w:r>
      <w:r w:rsidRPr="00686CD4">
        <w:rPr>
          <w:lang w:val="fr-FR"/>
        </w:rPr>
        <w:tab/>
      </w:r>
      <w:r w:rsidRPr="00686CD4">
        <w:rPr>
          <w:bCs/>
          <w:lang w:val="fr-FR"/>
        </w:rPr>
        <w:t>Informer également le Comité des mesures prises pour inciter la population à signaler les cas de violence intrafamiliale et de violence</w:t>
      </w:r>
      <w:r w:rsidR="00495D0F">
        <w:rPr>
          <w:bCs/>
          <w:lang w:val="fr-FR"/>
        </w:rPr>
        <w:t xml:space="preserve"> </w:t>
      </w:r>
      <w:r w:rsidRPr="00686CD4">
        <w:rPr>
          <w:bCs/>
          <w:lang w:val="fr-FR"/>
        </w:rPr>
        <w:t>sexiste, pour favoriser l</w:t>
      </w:r>
      <w:r>
        <w:rPr>
          <w:bCs/>
          <w:lang w:val="fr-FR"/>
        </w:rPr>
        <w:t>’</w:t>
      </w:r>
      <w:r w:rsidRPr="00686CD4">
        <w:rPr>
          <w:bCs/>
          <w:lang w:val="fr-FR"/>
        </w:rPr>
        <w:t>accès à des mécanismes de plainte, et pour accélérer les procédures judiciaires et contrôler l</w:t>
      </w:r>
      <w:r>
        <w:rPr>
          <w:bCs/>
          <w:lang w:val="fr-FR"/>
        </w:rPr>
        <w:t>’</w:t>
      </w:r>
      <w:r w:rsidRPr="00686CD4">
        <w:rPr>
          <w:bCs/>
          <w:lang w:val="fr-FR"/>
        </w:rPr>
        <w:t>exécution des peines en vue de garantir la sécurité des victimes.</w:t>
      </w:r>
      <w:bookmarkStart w:id="12" w:name="_Toc532494615"/>
      <w:bookmarkEnd w:id="12"/>
    </w:p>
    <w:p w:rsidR="004E393D" w:rsidRPr="004E393D" w:rsidRDefault="002A7A34" w:rsidP="004E393D">
      <w:pPr>
        <w:pStyle w:val="H23G"/>
        <w:jc w:val="both"/>
        <w:rPr>
          <w:bCs/>
          <w:lang w:val="fr-FR"/>
        </w:rPr>
      </w:pPr>
      <w:r w:rsidRPr="00686CD4">
        <w:rPr>
          <w:lang w:val="fr-FR"/>
        </w:rPr>
        <w:tab/>
      </w:r>
      <w:r w:rsidRPr="00686CD4">
        <w:rPr>
          <w:lang w:val="fr-FR"/>
        </w:rPr>
        <w:tab/>
      </w:r>
      <w:r w:rsidRPr="00686CD4">
        <w:rPr>
          <w:bCs/>
          <w:lang w:val="fr-FR"/>
        </w:rPr>
        <w:t>Décrire les protocoles en vigueur qui visent à garantir une intervention efficace dans les cas de violence intrafamiliale et de violence sexiste, notamment ceux qui s</w:t>
      </w:r>
      <w:r>
        <w:rPr>
          <w:bCs/>
          <w:lang w:val="fr-FR"/>
        </w:rPr>
        <w:t>’</w:t>
      </w:r>
      <w:r w:rsidRPr="00686CD4">
        <w:rPr>
          <w:bCs/>
          <w:lang w:val="fr-FR"/>
        </w:rPr>
        <w:t>adressent aux professionnels de santé</w:t>
      </w:r>
      <w:bookmarkStart w:id="13" w:name="_Toc532494616"/>
      <w:bookmarkEnd w:id="13"/>
      <w:r w:rsidR="004E393D">
        <w:rPr>
          <w:bCs/>
          <w:lang w:val="fr-FR"/>
        </w:rPr>
        <w:t>.</w:t>
      </w:r>
    </w:p>
    <w:p w:rsidR="002A7A34" w:rsidRPr="00686CD4" w:rsidRDefault="002A7A34" w:rsidP="0053479F">
      <w:pPr>
        <w:pStyle w:val="H4G"/>
        <w:rPr>
          <w:lang w:val="fr-FR"/>
        </w:rPr>
      </w:pPr>
      <w:r w:rsidRPr="00686CD4">
        <w:rPr>
          <w:lang w:val="fr-FR"/>
        </w:rPr>
        <w:tab/>
      </w:r>
      <w:r w:rsidRPr="00686CD4">
        <w:rPr>
          <w:lang w:val="fr-FR"/>
        </w:rPr>
        <w:tab/>
        <w:t>Réparation et indemnisation</w:t>
      </w:r>
    </w:p>
    <w:p w:rsidR="002A7A34" w:rsidRPr="00686CD4" w:rsidRDefault="002A7A34" w:rsidP="0053479F">
      <w:pPr>
        <w:pStyle w:val="SingleTxtG"/>
        <w:rPr>
          <w:lang w:val="fr-FR"/>
        </w:rPr>
      </w:pPr>
      <w:r w:rsidRPr="00686CD4">
        <w:rPr>
          <w:lang w:val="fr-FR"/>
        </w:rPr>
        <w:t>23.</w:t>
      </w:r>
      <w:r w:rsidRPr="00686CD4">
        <w:rPr>
          <w:lang w:val="fr-FR"/>
        </w:rPr>
        <w:tab/>
        <w:t>Voir les paragraphes</w:t>
      </w:r>
      <w:r w:rsidR="00495D0F">
        <w:rPr>
          <w:lang w:val="fr-FR"/>
        </w:rPr>
        <w:t xml:space="preserve"> </w:t>
      </w:r>
      <w:r w:rsidRPr="00686CD4">
        <w:rPr>
          <w:lang w:val="fr-FR"/>
        </w:rPr>
        <w:t>17 à</w:t>
      </w:r>
      <w:r w:rsidR="00495D0F">
        <w:rPr>
          <w:lang w:val="fr-FR"/>
        </w:rPr>
        <w:t xml:space="preserve"> </w:t>
      </w:r>
      <w:r w:rsidRPr="00686CD4">
        <w:rPr>
          <w:lang w:val="fr-FR"/>
        </w:rPr>
        <w:t>26 du rapport CAT/C/PRT/CO/5-6/</w:t>
      </w:r>
      <w:r w:rsidR="004E393D">
        <w:rPr>
          <w:lang w:val="fr-FR"/>
        </w:rPr>
        <w:t>A</w:t>
      </w:r>
      <w:r w:rsidRPr="00686CD4">
        <w:rPr>
          <w:lang w:val="fr-FR"/>
        </w:rPr>
        <w:t>dd</w:t>
      </w:r>
      <w:r w:rsidR="004E393D">
        <w:rPr>
          <w:lang w:val="fr-FR"/>
        </w:rPr>
        <w:t>.</w:t>
      </w:r>
      <w:r w:rsidRPr="00686CD4">
        <w:rPr>
          <w:lang w:val="fr-FR"/>
        </w:rPr>
        <w:t>3.</w:t>
      </w:r>
    </w:p>
    <w:p w:rsidR="002A7A34" w:rsidRPr="00686CD4" w:rsidRDefault="002A7A34" w:rsidP="0053479F">
      <w:pPr>
        <w:pStyle w:val="SingleTxtG"/>
        <w:rPr>
          <w:lang w:val="fr-FR"/>
        </w:rPr>
      </w:pPr>
      <w:r w:rsidRPr="00686CD4">
        <w:rPr>
          <w:lang w:val="fr-FR"/>
        </w:rPr>
        <w:t>24.</w:t>
      </w:r>
      <w:r w:rsidRPr="00686CD4">
        <w:rPr>
          <w:lang w:val="fr-FR"/>
        </w:rPr>
        <w:tab/>
        <w:t xml:space="preserve">La loi </w:t>
      </w:r>
      <w:r w:rsidR="0053479F" w:rsidRPr="000D5167">
        <w:rPr>
          <w:rFonts w:eastAsia="MS Mincho"/>
          <w:lang w:val="fr-FR"/>
        </w:rPr>
        <w:t>n</w:t>
      </w:r>
      <w:r w:rsidR="0053479F" w:rsidRPr="000D5167">
        <w:rPr>
          <w:rFonts w:eastAsia="MS Mincho"/>
          <w:vertAlign w:val="superscript"/>
          <w:lang w:val="fr-FR"/>
        </w:rPr>
        <w:t>o</w:t>
      </w:r>
      <w:r w:rsidR="0053479F">
        <w:rPr>
          <w:lang w:val="fr-FR"/>
        </w:rPr>
        <w:t> </w:t>
      </w:r>
      <w:r w:rsidRPr="00686CD4">
        <w:rPr>
          <w:lang w:val="fr-FR"/>
        </w:rPr>
        <w:t xml:space="preserve">104/2009 du 14 septembre inclut de surcroît la « violence intrafamiliale » dans le régime juridique applicable à la criminalité violente. La possibilité est maintenant établie de manière </w:t>
      </w:r>
      <w:r>
        <w:rPr>
          <w:lang w:val="fr-FR"/>
        </w:rPr>
        <w:t>expresse</w:t>
      </w:r>
      <w:r w:rsidRPr="00686CD4">
        <w:rPr>
          <w:lang w:val="fr-FR"/>
        </w:rPr>
        <w:t>, dans les conditions énoncées à l</w:t>
      </w:r>
      <w:r>
        <w:rPr>
          <w:lang w:val="fr-FR"/>
        </w:rPr>
        <w:t>’</w:t>
      </w:r>
      <w:r w:rsidRPr="00686CD4">
        <w:rPr>
          <w:lang w:val="fr-FR"/>
        </w:rPr>
        <w:t xml:space="preserve">article 2 1) a) et b) de la loi </w:t>
      </w:r>
      <w:r w:rsidR="0053479F" w:rsidRPr="000D5167">
        <w:rPr>
          <w:rFonts w:eastAsia="MS Mincho"/>
          <w:lang w:val="fr-FR"/>
        </w:rPr>
        <w:t>n</w:t>
      </w:r>
      <w:r w:rsidR="0053479F" w:rsidRPr="000D5167">
        <w:rPr>
          <w:rFonts w:eastAsia="MS Mincho"/>
          <w:vertAlign w:val="superscript"/>
          <w:lang w:val="fr-FR"/>
        </w:rPr>
        <w:t>o</w:t>
      </w:r>
      <w:r w:rsidR="0053479F">
        <w:rPr>
          <w:lang w:val="fr-FR"/>
        </w:rPr>
        <w:t> </w:t>
      </w:r>
      <w:r w:rsidRPr="00686CD4">
        <w:rPr>
          <w:lang w:val="fr-FR"/>
        </w:rPr>
        <w:t>104/2009, de demander à l</w:t>
      </w:r>
      <w:r>
        <w:rPr>
          <w:lang w:val="fr-FR"/>
        </w:rPr>
        <w:t>’</w:t>
      </w:r>
      <w:r w:rsidRPr="00686CD4">
        <w:rPr>
          <w:lang w:val="fr-FR"/>
        </w:rPr>
        <w:t>État de verser une avance sur l</w:t>
      </w:r>
      <w:r>
        <w:rPr>
          <w:lang w:val="fr-FR"/>
        </w:rPr>
        <w:t>’</w:t>
      </w:r>
      <w:r w:rsidRPr="00686CD4">
        <w:rPr>
          <w:lang w:val="fr-FR"/>
        </w:rPr>
        <w:t>indemnisation ou de payer cette dernière lorsque l</w:t>
      </w:r>
      <w:r>
        <w:rPr>
          <w:lang w:val="fr-FR"/>
        </w:rPr>
        <w:t>’</w:t>
      </w:r>
      <w:r w:rsidRPr="00686CD4">
        <w:rPr>
          <w:lang w:val="fr-FR"/>
        </w:rPr>
        <w:t>auteur de l</w:t>
      </w:r>
      <w:r>
        <w:rPr>
          <w:lang w:val="fr-FR"/>
        </w:rPr>
        <w:t>’</w:t>
      </w:r>
      <w:r w:rsidRPr="00686CD4">
        <w:rPr>
          <w:lang w:val="fr-FR"/>
        </w:rPr>
        <w:t>infraction n</w:t>
      </w:r>
      <w:r>
        <w:rPr>
          <w:lang w:val="fr-FR"/>
        </w:rPr>
        <w:t>’</w:t>
      </w:r>
      <w:r w:rsidRPr="00686CD4">
        <w:rPr>
          <w:lang w:val="fr-FR"/>
        </w:rPr>
        <w:t>est pas en mesure de le faire, sous réserve que le dommage subi ait des répercussions considérables sur le niveau et la qualité de vie de la victime.</w:t>
      </w:r>
    </w:p>
    <w:p w:rsidR="002A7A34" w:rsidRPr="00686CD4" w:rsidRDefault="002A7A34" w:rsidP="0053479F">
      <w:pPr>
        <w:pStyle w:val="SingleTxtG"/>
        <w:rPr>
          <w:lang w:val="fr-FR"/>
        </w:rPr>
      </w:pPr>
      <w:r w:rsidRPr="00686CD4">
        <w:rPr>
          <w:lang w:val="fr-FR"/>
        </w:rPr>
        <w:t>25.</w:t>
      </w:r>
      <w:r w:rsidRPr="00686CD4">
        <w:rPr>
          <w:lang w:val="fr-FR"/>
        </w:rPr>
        <w:tab/>
        <w:t>Ce droit peut être également accordé, en cas de décès, aux personnes qui ont droit à une pension alimentaire en vertu de l</w:t>
      </w:r>
      <w:r>
        <w:rPr>
          <w:lang w:val="fr-FR"/>
        </w:rPr>
        <w:t>’</w:t>
      </w:r>
      <w:r w:rsidRPr="00686CD4">
        <w:rPr>
          <w:lang w:val="fr-FR"/>
        </w:rPr>
        <w:t>article 2009</w:t>
      </w:r>
      <w:r w:rsidR="004E393D">
        <w:rPr>
          <w:lang w:val="fr-FR"/>
        </w:rPr>
        <w:t> </w:t>
      </w:r>
      <w:r w:rsidRPr="00686CD4">
        <w:rPr>
          <w:lang w:val="fr-FR"/>
        </w:rPr>
        <w:t xml:space="preserve">1) du Code </w:t>
      </w:r>
      <w:r>
        <w:rPr>
          <w:lang w:val="fr-FR"/>
        </w:rPr>
        <w:t>c</w:t>
      </w:r>
      <w:r w:rsidRPr="00686CD4">
        <w:rPr>
          <w:lang w:val="fr-FR"/>
        </w:rPr>
        <w:t xml:space="preserve">ivil, et à celles vivent en union avec la victime, en vertu de la loi </w:t>
      </w:r>
      <w:r w:rsidR="0053479F" w:rsidRPr="000D5167">
        <w:rPr>
          <w:rFonts w:eastAsia="MS Mincho"/>
          <w:lang w:val="fr-FR"/>
        </w:rPr>
        <w:t>n</w:t>
      </w:r>
      <w:r w:rsidR="0053479F" w:rsidRPr="000D5167">
        <w:rPr>
          <w:rFonts w:eastAsia="MS Mincho"/>
          <w:vertAlign w:val="superscript"/>
          <w:lang w:val="fr-FR"/>
        </w:rPr>
        <w:t>o</w:t>
      </w:r>
      <w:r w:rsidR="0053479F">
        <w:rPr>
          <w:lang w:val="fr-FR"/>
        </w:rPr>
        <w:t> </w:t>
      </w:r>
      <w:r w:rsidRPr="00686CD4">
        <w:rPr>
          <w:lang w:val="fr-FR"/>
        </w:rPr>
        <w:t>7/2001 du 11 mai, conformément au paragraphe 3 de l</w:t>
      </w:r>
      <w:r>
        <w:rPr>
          <w:lang w:val="fr-FR"/>
        </w:rPr>
        <w:t>’</w:t>
      </w:r>
      <w:r w:rsidRPr="00686CD4">
        <w:rPr>
          <w:lang w:val="fr-FR"/>
        </w:rPr>
        <w:t>article susmentionné.</w:t>
      </w:r>
    </w:p>
    <w:p w:rsidR="002A7A34" w:rsidRPr="00686CD4" w:rsidRDefault="002A7A34" w:rsidP="002A7A34">
      <w:pPr>
        <w:pStyle w:val="SingleTxtG"/>
        <w:rPr>
          <w:lang w:val="fr-FR"/>
        </w:rPr>
      </w:pPr>
      <w:r w:rsidRPr="00686CD4">
        <w:rPr>
          <w:lang w:val="fr-FR"/>
        </w:rPr>
        <w:lastRenderedPageBreak/>
        <w:t>26.</w:t>
      </w:r>
      <w:r w:rsidRPr="00686CD4">
        <w:rPr>
          <w:lang w:val="fr-FR"/>
        </w:rPr>
        <w:tab/>
        <w:t>Le droit de recours existe même si l</w:t>
      </w:r>
      <w:r>
        <w:rPr>
          <w:lang w:val="fr-FR"/>
        </w:rPr>
        <w:t>’</w:t>
      </w:r>
      <w:r w:rsidRPr="00686CD4">
        <w:rPr>
          <w:lang w:val="fr-FR"/>
        </w:rPr>
        <w:t>identité de l</w:t>
      </w:r>
      <w:r>
        <w:rPr>
          <w:lang w:val="fr-FR"/>
        </w:rPr>
        <w:t>’</w:t>
      </w:r>
      <w:r w:rsidRPr="00686CD4">
        <w:rPr>
          <w:lang w:val="fr-FR"/>
        </w:rPr>
        <w:t>auteur d</w:t>
      </w:r>
      <w:r>
        <w:rPr>
          <w:lang w:val="fr-FR"/>
        </w:rPr>
        <w:t>e l’infraction</w:t>
      </w:r>
      <w:r w:rsidRPr="00686CD4">
        <w:rPr>
          <w:lang w:val="fr-FR"/>
        </w:rPr>
        <w:t xml:space="preserve"> est inconnue ou si, pour toute autre raison, il ne peut être accusé ou condamné.</w:t>
      </w:r>
    </w:p>
    <w:p w:rsidR="002A7A34" w:rsidRPr="00686CD4" w:rsidRDefault="002A7A34" w:rsidP="002A7A34">
      <w:pPr>
        <w:pStyle w:val="SingleTxtG"/>
        <w:rPr>
          <w:lang w:val="fr-FR"/>
        </w:rPr>
      </w:pPr>
      <w:r w:rsidRPr="00686CD4">
        <w:rPr>
          <w:lang w:val="fr-FR"/>
        </w:rPr>
        <w:t>27.</w:t>
      </w:r>
      <w:r w:rsidRPr="00686CD4">
        <w:rPr>
          <w:lang w:val="fr-FR"/>
        </w:rPr>
        <w:tab/>
        <w:t>Les montants sont définis par voie de jugement d</w:t>
      </w:r>
      <w:r>
        <w:rPr>
          <w:lang w:val="fr-FR"/>
        </w:rPr>
        <w:t>’</w:t>
      </w:r>
      <w:r w:rsidRPr="00686CD4">
        <w:rPr>
          <w:lang w:val="fr-FR"/>
        </w:rPr>
        <w:t>équité dans les limites fixées par la loi, conformément à l</w:t>
      </w:r>
      <w:r>
        <w:rPr>
          <w:lang w:val="fr-FR"/>
        </w:rPr>
        <w:t>’</w:t>
      </w:r>
      <w:r w:rsidRPr="00686CD4">
        <w:rPr>
          <w:lang w:val="fr-FR"/>
        </w:rPr>
        <w:t xml:space="preserve">article 4 de la loi </w:t>
      </w:r>
      <w:r w:rsidR="0053479F" w:rsidRPr="000D5167">
        <w:rPr>
          <w:rFonts w:eastAsia="MS Mincho"/>
          <w:lang w:val="fr-FR"/>
        </w:rPr>
        <w:t>n</w:t>
      </w:r>
      <w:r w:rsidR="0053479F" w:rsidRPr="000D5167">
        <w:rPr>
          <w:rFonts w:eastAsia="MS Mincho"/>
          <w:vertAlign w:val="superscript"/>
          <w:lang w:val="fr-FR"/>
        </w:rPr>
        <w:t>o</w:t>
      </w:r>
      <w:r w:rsidR="0053479F">
        <w:rPr>
          <w:lang w:val="fr-FR"/>
        </w:rPr>
        <w:t> </w:t>
      </w:r>
      <w:r w:rsidRPr="00686CD4">
        <w:rPr>
          <w:lang w:val="fr-FR"/>
        </w:rPr>
        <w:t>104/2009.</w:t>
      </w:r>
    </w:p>
    <w:p w:rsidR="002A7A34" w:rsidRPr="00686CD4" w:rsidRDefault="002A7A34" w:rsidP="002A7A34">
      <w:pPr>
        <w:pStyle w:val="SingleTxtG"/>
        <w:rPr>
          <w:lang w:val="fr-FR"/>
        </w:rPr>
      </w:pPr>
      <w:r w:rsidRPr="00686CD4">
        <w:rPr>
          <w:lang w:val="fr-FR"/>
        </w:rPr>
        <w:t>28.</w:t>
      </w:r>
      <w:r w:rsidRPr="00686CD4">
        <w:rPr>
          <w:lang w:val="fr-FR"/>
        </w:rPr>
        <w:tab/>
        <w:t xml:space="preserve">Les </w:t>
      </w:r>
      <w:r w:rsidRPr="0086613A">
        <w:rPr>
          <w:i/>
          <w:lang w:val="fr-FR"/>
        </w:rPr>
        <w:t xml:space="preserve">Casas de </w:t>
      </w:r>
      <w:proofErr w:type="spellStart"/>
      <w:r w:rsidRPr="0086613A">
        <w:rPr>
          <w:i/>
          <w:lang w:val="fr-FR"/>
        </w:rPr>
        <w:t>Abrigo</w:t>
      </w:r>
      <w:proofErr w:type="spellEnd"/>
      <w:r w:rsidRPr="00686CD4">
        <w:rPr>
          <w:lang w:val="fr-FR"/>
        </w:rPr>
        <w:t xml:space="preserve"> sont des établissements spécialisés dans l</w:t>
      </w:r>
      <w:r>
        <w:rPr>
          <w:lang w:val="fr-FR"/>
        </w:rPr>
        <w:t>’</w:t>
      </w:r>
      <w:r w:rsidRPr="00686CD4">
        <w:rPr>
          <w:lang w:val="fr-FR"/>
        </w:rPr>
        <w:t xml:space="preserve">accueil des </w:t>
      </w:r>
      <w:r>
        <w:rPr>
          <w:lang w:val="fr-FR"/>
        </w:rPr>
        <w:t>victimes de violence</w:t>
      </w:r>
      <w:r w:rsidRPr="00686CD4">
        <w:rPr>
          <w:lang w:val="fr-FR"/>
        </w:rPr>
        <w:t xml:space="preserve"> intrafamiliale (femmes et enfants). Elles font partie du Réseau national d</w:t>
      </w:r>
      <w:r>
        <w:rPr>
          <w:lang w:val="fr-FR"/>
        </w:rPr>
        <w:t>’</w:t>
      </w:r>
      <w:r w:rsidRPr="00686CD4">
        <w:rPr>
          <w:lang w:val="fr-FR"/>
        </w:rPr>
        <w:t xml:space="preserve">aide aux </w:t>
      </w:r>
      <w:r>
        <w:rPr>
          <w:lang w:val="fr-FR"/>
        </w:rPr>
        <w:t>victimes de violence</w:t>
      </w:r>
      <w:r w:rsidRPr="00686CD4">
        <w:rPr>
          <w:lang w:val="fr-FR"/>
        </w:rPr>
        <w:t xml:space="preserve"> intrafamiliale, qui est un système public de soutien social, juridique et psychologique.</w:t>
      </w:r>
    </w:p>
    <w:p w:rsidR="002A7A34" w:rsidRPr="00686CD4" w:rsidRDefault="002A7A34" w:rsidP="002A7A34">
      <w:pPr>
        <w:pStyle w:val="SingleTxtG"/>
        <w:rPr>
          <w:lang w:val="fr-FR"/>
        </w:rPr>
      </w:pPr>
      <w:r w:rsidRPr="00686CD4">
        <w:rPr>
          <w:lang w:val="fr-FR"/>
        </w:rPr>
        <w:t>29.</w:t>
      </w:r>
      <w:r w:rsidRPr="00686CD4">
        <w:rPr>
          <w:lang w:val="fr-FR"/>
        </w:rPr>
        <w:tab/>
        <w:t>Voir les informations présentées dans le tableau II de l</w:t>
      </w:r>
      <w:r>
        <w:rPr>
          <w:lang w:val="fr-FR"/>
        </w:rPr>
        <w:t>’</w:t>
      </w:r>
      <w:r w:rsidRPr="00686CD4">
        <w:rPr>
          <w:lang w:val="fr-FR"/>
        </w:rPr>
        <w:t>annexe III.</w:t>
      </w:r>
    </w:p>
    <w:p w:rsidR="002A7A34" w:rsidRPr="00686CD4" w:rsidRDefault="002A7A34" w:rsidP="0086613A">
      <w:pPr>
        <w:pStyle w:val="H4G"/>
        <w:rPr>
          <w:lang w:val="fr-FR"/>
        </w:rPr>
      </w:pPr>
      <w:r w:rsidRPr="00686CD4">
        <w:rPr>
          <w:lang w:val="fr-FR"/>
        </w:rPr>
        <w:tab/>
      </w:r>
      <w:r w:rsidRPr="00686CD4">
        <w:rPr>
          <w:lang w:val="fr-FR"/>
        </w:rPr>
        <w:tab/>
        <w:t>Mesures pour encourager la déclaration des actes de violence</w:t>
      </w:r>
    </w:p>
    <w:p w:rsidR="002A7A34" w:rsidRPr="00686CD4" w:rsidRDefault="002A7A34" w:rsidP="0086613A">
      <w:pPr>
        <w:pStyle w:val="SingleTxtG"/>
        <w:rPr>
          <w:lang w:val="fr-FR"/>
        </w:rPr>
      </w:pPr>
      <w:r w:rsidRPr="00686CD4">
        <w:rPr>
          <w:lang w:val="fr-FR"/>
        </w:rPr>
        <w:t>30.</w:t>
      </w:r>
      <w:r w:rsidRPr="00686CD4">
        <w:rPr>
          <w:lang w:val="fr-FR"/>
        </w:rPr>
        <w:tab/>
        <w:t>La violence intrafamiliale est une infraction publique</w:t>
      </w:r>
      <w:r w:rsidR="00495D0F">
        <w:rPr>
          <w:lang w:val="fr-FR"/>
        </w:rPr>
        <w:t> ;</w:t>
      </w:r>
      <w:r w:rsidRPr="00686CD4">
        <w:rPr>
          <w:lang w:val="fr-FR"/>
        </w:rPr>
        <w:t xml:space="preserve"> des poursuites pénales peuvent donc être engagées sans que la victime ait porté plainte, dès lors que le </w:t>
      </w:r>
      <w:r>
        <w:rPr>
          <w:lang w:val="fr-FR"/>
        </w:rPr>
        <w:t>ministère public</w:t>
      </w:r>
      <w:r w:rsidRPr="00686CD4">
        <w:rPr>
          <w:lang w:val="fr-FR"/>
        </w:rPr>
        <w:t xml:space="preserve"> a été informé de ladite infraction d</w:t>
      </w:r>
      <w:r>
        <w:rPr>
          <w:lang w:val="fr-FR"/>
        </w:rPr>
        <w:t>e quelque manière que ce soit</w:t>
      </w:r>
      <w:r w:rsidRPr="00686CD4">
        <w:rPr>
          <w:lang w:val="fr-FR"/>
        </w:rPr>
        <w:t xml:space="preserve">. </w:t>
      </w:r>
    </w:p>
    <w:p w:rsidR="002A7A34" w:rsidRPr="00686CD4" w:rsidRDefault="002A7A34" w:rsidP="0086613A">
      <w:pPr>
        <w:pStyle w:val="SingleTxtG"/>
        <w:rPr>
          <w:lang w:val="fr-FR"/>
        </w:rPr>
      </w:pPr>
      <w:r w:rsidRPr="00686CD4">
        <w:rPr>
          <w:lang w:val="fr-FR"/>
        </w:rPr>
        <w:t>31.</w:t>
      </w:r>
      <w:r w:rsidRPr="00686CD4">
        <w:rPr>
          <w:lang w:val="fr-FR"/>
        </w:rPr>
        <w:tab/>
        <w:t>En d</w:t>
      </w:r>
      <w:r>
        <w:rPr>
          <w:lang w:val="fr-FR"/>
        </w:rPr>
        <w:t>’</w:t>
      </w:r>
      <w:r w:rsidRPr="00686CD4">
        <w:rPr>
          <w:lang w:val="fr-FR"/>
        </w:rPr>
        <w:t>autres termes, la procédure est lancée, que la victime souhaite ou non porter plainte, et l</w:t>
      </w:r>
      <w:r>
        <w:rPr>
          <w:lang w:val="fr-FR"/>
        </w:rPr>
        <w:t>’</w:t>
      </w:r>
      <w:r w:rsidRPr="00686CD4">
        <w:rPr>
          <w:lang w:val="fr-FR"/>
        </w:rPr>
        <w:t>infraction peut être signalée par quiconque, y compris de manière anonyme.</w:t>
      </w:r>
    </w:p>
    <w:p w:rsidR="002A7A34" w:rsidRPr="00686CD4" w:rsidRDefault="002A7A34" w:rsidP="0086613A">
      <w:pPr>
        <w:pStyle w:val="SingleTxtG"/>
        <w:rPr>
          <w:lang w:val="fr-FR"/>
        </w:rPr>
      </w:pPr>
      <w:r w:rsidRPr="00686CD4">
        <w:rPr>
          <w:lang w:val="fr-FR"/>
        </w:rPr>
        <w:t>32.</w:t>
      </w:r>
      <w:r w:rsidRPr="00686CD4">
        <w:rPr>
          <w:lang w:val="fr-FR"/>
        </w:rPr>
        <w:tab/>
        <w:t>Les forces de l</w:t>
      </w:r>
      <w:r>
        <w:rPr>
          <w:lang w:val="fr-FR"/>
        </w:rPr>
        <w:t>’</w:t>
      </w:r>
      <w:r w:rsidRPr="00686CD4">
        <w:rPr>
          <w:lang w:val="fr-FR"/>
        </w:rPr>
        <w:t>ordre et les fonctionnaires sont, de surcroît, dans l</w:t>
      </w:r>
      <w:r>
        <w:rPr>
          <w:lang w:val="fr-FR"/>
        </w:rPr>
        <w:t>’</w:t>
      </w:r>
      <w:r w:rsidRPr="00686CD4">
        <w:rPr>
          <w:lang w:val="fr-FR"/>
        </w:rPr>
        <w:t>obligation de signaler toute infraction dont ils sont informés, que ce soit dans l</w:t>
      </w:r>
      <w:r>
        <w:rPr>
          <w:lang w:val="fr-FR"/>
        </w:rPr>
        <w:t>’</w:t>
      </w:r>
      <w:r w:rsidRPr="00686CD4">
        <w:rPr>
          <w:lang w:val="fr-FR"/>
        </w:rPr>
        <w:t>exercice de leurs fonctions ou en raison de ces dernières. Toute personne ayant connaissance de situations dans lesquelles la vie, l</w:t>
      </w:r>
      <w:r>
        <w:rPr>
          <w:lang w:val="fr-FR"/>
        </w:rPr>
        <w:t>’</w:t>
      </w:r>
      <w:r w:rsidRPr="00686CD4">
        <w:rPr>
          <w:lang w:val="fr-FR"/>
        </w:rPr>
        <w:t>intégrité physique ou psychologique ou la liberté d</w:t>
      </w:r>
      <w:r>
        <w:rPr>
          <w:lang w:val="fr-FR"/>
        </w:rPr>
        <w:t>’</w:t>
      </w:r>
      <w:r w:rsidRPr="00686CD4">
        <w:rPr>
          <w:lang w:val="fr-FR"/>
        </w:rPr>
        <w:t>un enfant est en danger est dans l</w:t>
      </w:r>
      <w:r>
        <w:rPr>
          <w:lang w:val="fr-FR"/>
        </w:rPr>
        <w:t>’</w:t>
      </w:r>
      <w:r w:rsidRPr="00686CD4">
        <w:rPr>
          <w:lang w:val="fr-FR"/>
        </w:rPr>
        <w:t>obligation de signaler l</w:t>
      </w:r>
      <w:r>
        <w:rPr>
          <w:lang w:val="fr-FR"/>
        </w:rPr>
        <w:t>’</w:t>
      </w:r>
      <w:r w:rsidRPr="00686CD4">
        <w:rPr>
          <w:lang w:val="fr-FR"/>
        </w:rPr>
        <w:t>infraction. Voir les articles 241 à 244 et l</w:t>
      </w:r>
      <w:r>
        <w:rPr>
          <w:lang w:val="fr-FR"/>
        </w:rPr>
        <w:t>’</w:t>
      </w:r>
      <w:r w:rsidRPr="00686CD4">
        <w:rPr>
          <w:lang w:val="fr-FR"/>
        </w:rPr>
        <w:t>article 246 du Code de procédure pénale.</w:t>
      </w:r>
    </w:p>
    <w:p w:rsidR="002A7A34" w:rsidRPr="00686CD4" w:rsidRDefault="002A7A34" w:rsidP="0086613A">
      <w:pPr>
        <w:pStyle w:val="SingleTxtG"/>
        <w:rPr>
          <w:lang w:val="fr-FR"/>
        </w:rPr>
      </w:pPr>
      <w:r w:rsidRPr="00686CD4">
        <w:rPr>
          <w:lang w:val="fr-FR"/>
        </w:rPr>
        <w:t>33.</w:t>
      </w:r>
      <w:r w:rsidRPr="00686CD4">
        <w:rPr>
          <w:lang w:val="fr-FR"/>
        </w:rPr>
        <w:tab/>
        <w:t>La Garde nationale républicaine a, en outre, publié des directives internes pour la protection et la promotion des droits des victimes de la criminalité, qui couvrent les procédures à suivre pour enregistrer les plaintes et les déclarations (circulaire</w:t>
      </w:r>
      <w:r w:rsidR="0086613A">
        <w:rPr>
          <w:lang w:val="fr-FR"/>
        </w:rPr>
        <w:t xml:space="preserve"> </w:t>
      </w:r>
      <w:r w:rsidR="0086613A" w:rsidRPr="000D5167">
        <w:rPr>
          <w:rFonts w:eastAsia="MS Mincho"/>
          <w:lang w:val="fr-FR"/>
        </w:rPr>
        <w:t>n</w:t>
      </w:r>
      <w:r w:rsidR="0086613A" w:rsidRPr="000D5167">
        <w:rPr>
          <w:rFonts w:eastAsia="MS Mincho"/>
          <w:vertAlign w:val="superscript"/>
          <w:lang w:val="fr-FR"/>
        </w:rPr>
        <w:t>o</w:t>
      </w:r>
      <w:r w:rsidR="0086613A">
        <w:rPr>
          <w:lang w:val="fr-FR"/>
        </w:rPr>
        <w:t> </w:t>
      </w:r>
      <w:r w:rsidRPr="00686CD4">
        <w:rPr>
          <w:lang w:val="fr-FR"/>
        </w:rPr>
        <w:t>3/2017 du 2 juin), conformément à la Directive 2012/29/</w:t>
      </w:r>
      <w:r w:rsidR="004E393D">
        <w:rPr>
          <w:lang w:val="fr-FR"/>
        </w:rPr>
        <w:t xml:space="preserve">UE </w:t>
      </w:r>
      <w:r w:rsidRPr="00686CD4">
        <w:rPr>
          <w:lang w:val="fr-FR"/>
        </w:rPr>
        <w:t>du 25 octobre</w:t>
      </w:r>
      <w:r w:rsidR="0086613A">
        <w:rPr>
          <w:lang w:val="fr-FR"/>
        </w:rPr>
        <w:t xml:space="preserve"> </w:t>
      </w:r>
      <w:r w:rsidRPr="00686CD4">
        <w:rPr>
          <w:lang w:val="fr-FR"/>
        </w:rPr>
        <w:t>(Directive sur les droits des victimes)</w:t>
      </w:r>
      <w:r w:rsidR="004E393D">
        <w:rPr>
          <w:lang w:val="fr-FR"/>
        </w:rPr>
        <w:t>.</w:t>
      </w:r>
    </w:p>
    <w:p w:rsidR="002A7A34" w:rsidRPr="00686CD4" w:rsidRDefault="002A7A34" w:rsidP="0086613A">
      <w:pPr>
        <w:pStyle w:val="SingleTxtG"/>
        <w:rPr>
          <w:lang w:val="fr-FR"/>
        </w:rPr>
      </w:pPr>
      <w:r w:rsidRPr="00686CD4">
        <w:rPr>
          <w:lang w:val="fr-FR"/>
        </w:rPr>
        <w:t>34.</w:t>
      </w:r>
      <w:r w:rsidRPr="00686CD4">
        <w:rPr>
          <w:lang w:val="fr-FR"/>
        </w:rPr>
        <w:tab/>
        <w:t>D</w:t>
      </w:r>
      <w:r>
        <w:rPr>
          <w:lang w:val="fr-FR"/>
        </w:rPr>
        <w:t>’</w:t>
      </w:r>
      <w:r w:rsidRPr="00686CD4">
        <w:rPr>
          <w:lang w:val="fr-FR"/>
        </w:rPr>
        <w:t>autres mesures visent à encourager le signalement d</w:t>
      </w:r>
      <w:r>
        <w:rPr>
          <w:lang w:val="fr-FR"/>
        </w:rPr>
        <w:t>’</w:t>
      </w:r>
      <w:r w:rsidRPr="00686CD4">
        <w:rPr>
          <w:lang w:val="fr-FR"/>
        </w:rPr>
        <w:t>infractions, notamment les initiatives de sensibilisation comme la campagne menée par la Garde nationale républicaine à l</w:t>
      </w:r>
      <w:r>
        <w:rPr>
          <w:lang w:val="fr-FR"/>
        </w:rPr>
        <w:t>’</w:t>
      </w:r>
      <w:r w:rsidRPr="00686CD4">
        <w:rPr>
          <w:lang w:val="fr-FR"/>
        </w:rPr>
        <w:t>occasion de la Journée internationale pour l</w:t>
      </w:r>
      <w:r>
        <w:rPr>
          <w:lang w:val="fr-FR"/>
        </w:rPr>
        <w:t>’</w:t>
      </w:r>
      <w:r w:rsidRPr="00686CD4">
        <w:rPr>
          <w:lang w:val="fr-FR"/>
        </w:rPr>
        <w:t>élimination de la violence à l</w:t>
      </w:r>
      <w:r>
        <w:rPr>
          <w:lang w:val="fr-FR"/>
        </w:rPr>
        <w:t>’</w:t>
      </w:r>
      <w:r w:rsidRPr="00686CD4">
        <w:rPr>
          <w:lang w:val="fr-FR"/>
        </w:rPr>
        <w:t>égard des femmes (25 novembre</w:t>
      </w:r>
      <w:r w:rsidR="0086613A">
        <w:rPr>
          <w:lang w:val="fr-FR"/>
        </w:rPr>
        <w:t xml:space="preserve"> </w:t>
      </w:r>
      <w:r w:rsidRPr="00686CD4">
        <w:rPr>
          <w:lang w:val="fr-FR"/>
        </w:rPr>
        <w:t>2017) dans le but d</w:t>
      </w:r>
      <w:r>
        <w:rPr>
          <w:lang w:val="fr-FR"/>
        </w:rPr>
        <w:t>’</w:t>
      </w:r>
      <w:r w:rsidRPr="00686CD4">
        <w:rPr>
          <w:lang w:val="fr-FR"/>
        </w:rPr>
        <w:t>améliorer la prévention et d</w:t>
      </w:r>
      <w:r>
        <w:rPr>
          <w:lang w:val="fr-FR"/>
        </w:rPr>
        <w:t>’</w:t>
      </w:r>
      <w:r w:rsidRPr="00686CD4">
        <w:rPr>
          <w:lang w:val="fr-FR"/>
        </w:rPr>
        <w:t>encourager le signalement des comportements violents à l</w:t>
      </w:r>
      <w:r>
        <w:rPr>
          <w:lang w:val="fr-FR"/>
        </w:rPr>
        <w:t>’</w:t>
      </w:r>
      <w:r w:rsidRPr="00686CD4">
        <w:rPr>
          <w:lang w:val="fr-FR"/>
        </w:rPr>
        <w:t>égard des femmes. Cette campagne a touché 6</w:t>
      </w:r>
      <w:r w:rsidR="0086613A">
        <w:rPr>
          <w:lang w:val="fr-FR"/>
        </w:rPr>
        <w:t> </w:t>
      </w:r>
      <w:r w:rsidRPr="00686CD4">
        <w:rPr>
          <w:lang w:val="fr-FR"/>
        </w:rPr>
        <w:t>171</w:t>
      </w:r>
      <w:r w:rsidR="0086613A">
        <w:rPr>
          <w:lang w:val="fr-FR"/>
        </w:rPr>
        <w:t> </w:t>
      </w:r>
      <w:r w:rsidRPr="00686CD4">
        <w:rPr>
          <w:lang w:val="fr-FR"/>
        </w:rPr>
        <w:t>citoyens.</w:t>
      </w:r>
    </w:p>
    <w:p w:rsidR="002A7A34" w:rsidRPr="00686CD4" w:rsidRDefault="002A7A34" w:rsidP="002A7A34">
      <w:pPr>
        <w:pStyle w:val="SingleTxtG"/>
        <w:rPr>
          <w:lang w:val="fr-FR"/>
        </w:rPr>
      </w:pPr>
      <w:r w:rsidRPr="00686CD4">
        <w:rPr>
          <w:lang w:val="fr-FR"/>
        </w:rPr>
        <w:t>35.</w:t>
      </w:r>
      <w:r w:rsidRPr="00686CD4">
        <w:rPr>
          <w:lang w:val="fr-FR"/>
        </w:rPr>
        <w:tab/>
        <w:t>La formation est une préoccupation constante de la Police de sécurité publique, de la Garde nationale républicaine et de la Police judiciaire. La formation initiale des élèves</w:t>
      </w:r>
      <w:r w:rsidR="00AF4B21">
        <w:rPr>
          <w:lang w:val="fr-FR"/>
        </w:rPr>
        <w:noBreakHyphen/>
      </w:r>
      <w:r w:rsidRPr="00686CD4">
        <w:rPr>
          <w:lang w:val="fr-FR"/>
        </w:rPr>
        <w:t>inspecteurs de la Police judiciaire et les formations suivies par les inspecteurs en chef et les coordonnateurs des enquêtes pénales à des fins d</w:t>
      </w:r>
      <w:r>
        <w:rPr>
          <w:lang w:val="fr-FR"/>
        </w:rPr>
        <w:t>’</w:t>
      </w:r>
      <w:r w:rsidRPr="00686CD4">
        <w:rPr>
          <w:lang w:val="fr-FR"/>
        </w:rPr>
        <w:t xml:space="preserve">avancement comprennent des conférences sur la violence intrafamiliale. </w:t>
      </w:r>
    </w:p>
    <w:p w:rsidR="002A7A34" w:rsidRPr="00686CD4" w:rsidRDefault="002A7A34" w:rsidP="002A7A34">
      <w:pPr>
        <w:pStyle w:val="SingleTxtG"/>
        <w:rPr>
          <w:lang w:val="fr-FR"/>
        </w:rPr>
      </w:pPr>
      <w:r w:rsidRPr="00686CD4">
        <w:rPr>
          <w:lang w:val="fr-FR"/>
        </w:rPr>
        <w:t>36.</w:t>
      </w:r>
      <w:r w:rsidRPr="00686CD4">
        <w:rPr>
          <w:lang w:val="fr-FR"/>
        </w:rPr>
        <w:tab/>
        <w:t>Le Ministère des affaires intérieures a approuvé l</w:t>
      </w:r>
      <w:r>
        <w:rPr>
          <w:lang w:val="fr-FR"/>
        </w:rPr>
        <w:t>’</w:t>
      </w:r>
      <w:r w:rsidRPr="00686CD4">
        <w:rPr>
          <w:lang w:val="fr-FR"/>
        </w:rPr>
        <w:t>élaboration d</w:t>
      </w:r>
      <w:r>
        <w:rPr>
          <w:lang w:val="fr-FR"/>
        </w:rPr>
        <w:t>’</w:t>
      </w:r>
      <w:r w:rsidRPr="00686CD4">
        <w:rPr>
          <w:lang w:val="fr-FR"/>
        </w:rPr>
        <w:t>un programme spécial visant à prévenir les crimes de violence intrafamiliale.</w:t>
      </w:r>
    </w:p>
    <w:p w:rsidR="002A7A34" w:rsidRPr="00686CD4" w:rsidRDefault="002A7A34" w:rsidP="00AF4B21">
      <w:pPr>
        <w:pStyle w:val="H4G"/>
        <w:rPr>
          <w:lang w:val="fr-FR"/>
        </w:rPr>
      </w:pPr>
      <w:r w:rsidRPr="00686CD4">
        <w:rPr>
          <w:lang w:val="fr-FR"/>
        </w:rPr>
        <w:tab/>
      </w:r>
      <w:r w:rsidRPr="00686CD4">
        <w:rPr>
          <w:lang w:val="fr-FR"/>
        </w:rPr>
        <w:tab/>
        <w:t>Protocoles en place et amélioration de l</w:t>
      </w:r>
      <w:r>
        <w:rPr>
          <w:lang w:val="fr-FR"/>
        </w:rPr>
        <w:t>’</w:t>
      </w:r>
      <w:r w:rsidRPr="00686CD4">
        <w:rPr>
          <w:lang w:val="fr-FR"/>
        </w:rPr>
        <w:t>efficacité des interventions</w:t>
      </w:r>
    </w:p>
    <w:p w:rsidR="002A7A34" w:rsidRPr="00686CD4" w:rsidRDefault="002A7A34" w:rsidP="00AF4B21">
      <w:pPr>
        <w:pStyle w:val="SingleTxtG"/>
        <w:keepNext/>
        <w:rPr>
          <w:lang w:val="fr-FR"/>
        </w:rPr>
      </w:pPr>
      <w:r w:rsidRPr="00686CD4">
        <w:rPr>
          <w:lang w:val="fr-FR"/>
        </w:rPr>
        <w:t>37.</w:t>
      </w:r>
      <w:r w:rsidRPr="00686CD4">
        <w:rPr>
          <w:lang w:val="fr-FR"/>
        </w:rPr>
        <w:tab/>
        <w:t xml:space="preserve">La loi </w:t>
      </w:r>
      <w:r w:rsidR="00AF4B21" w:rsidRPr="000D5167">
        <w:rPr>
          <w:rFonts w:eastAsia="MS Mincho"/>
          <w:lang w:val="fr-FR"/>
        </w:rPr>
        <w:t>n</w:t>
      </w:r>
      <w:r w:rsidR="00AF4B21" w:rsidRPr="000D5167">
        <w:rPr>
          <w:rFonts w:eastAsia="MS Mincho"/>
          <w:vertAlign w:val="superscript"/>
          <w:lang w:val="fr-FR"/>
        </w:rPr>
        <w:t>o</w:t>
      </w:r>
      <w:r w:rsidR="00AF4B21">
        <w:rPr>
          <w:lang w:val="fr-FR"/>
        </w:rPr>
        <w:t> </w:t>
      </w:r>
      <w:r w:rsidRPr="00686CD4">
        <w:rPr>
          <w:lang w:val="fr-FR"/>
        </w:rPr>
        <w:t xml:space="preserve">112/2009 du 16 septembre, modifiée et republiée par la loi </w:t>
      </w:r>
      <w:r w:rsidR="00AF4B21" w:rsidRPr="000D5167">
        <w:rPr>
          <w:rFonts w:eastAsia="MS Mincho"/>
          <w:lang w:val="fr-FR"/>
        </w:rPr>
        <w:t>n</w:t>
      </w:r>
      <w:r w:rsidR="00AF4B21" w:rsidRPr="000D5167">
        <w:rPr>
          <w:rFonts w:eastAsia="MS Mincho"/>
          <w:vertAlign w:val="superscript"/>
          <w:lang w:val="fr-FR"/>
        </w:rPr>
        <w:t>o</w:t>
      </w:r>
      <w:r w:rsidR="00AF4B21">
        <w:rPr>
          <w:lang w:val="fr-FR"/>
        </w:rPr>
        <w:t> </w:t>
      </w:r>
      <w:r w:rsidRPr="00686CD4">
        <w:rPr>
          <w:lang w:val="fr-FR"/>
        </w:rPr>
        <w:t xml:space="preserve">129/2015 du 3 septembre, définit le cadre juridique applicable à la prévention de la violence intrafamiliale, à la protection des victimes et </w:t>
      </w:r>
      <w:r>
        <w:rPr>
          <w:lang w:val="fr-FR"/>
        </w:rPr>
        <w:t>à</w:t>
      </w:r>
      <w:r w:rsidRPr="00686CD4">
        <w:rPr>
          <w:lang w:val="fr-FR"/>
        </w:rPr>
        <w:t xml:space="preserve"> la fourniture d</w:t>
      </w:r>
      <w:r>
        <w:rPr>
          <w:lang w:val="fr-FR"/>
        </w:rPr>
        <w:t>’</w:t>
      </w:r>
      <w:r w:rsidRPr="00686CD4">
        <w:rPr>
          <w:lang w:val="fr-FR"/>
        </w:rPr>
        <w:t>une aide à ces derniers</w:t>
      </w:r>
      <w:r w:rsidR="00495D0F">
        <w:rPr>
          <w:lang w:val="fr-FR"/>
        </w:rPr>
        <w:t xml:space="preserve"> ; </w:t>
      </w:r>
      <w:r w:rsidRPr="00686CD4">
        <w:rPr>
          <w:lang w:val="fr-FR"/>
        </w:rPr>
        <w:t>elle porte aussi création du Réseau national d</w:t>
      </w:r>
      <w:r>
        <w:rPr>
          <w:lang w:val="fr-FR"/>
        </w:rPr>
        <w:t>’</w:t>
      </w:r>
      <w:r w:rsidRPr="00686CD4">
        <w:rPr>
          <w:lang w:val="fr-FR"/>
        </w:rPr>
        <w:t xml:space="preserve">aide aux </w:t>
      </w:r>
      <w:r>
        <w:rPr>
          <w:lang w:val="fr-FR"/>
        </w:rPr>
        <w:t>victimes de violence</w:t>
      </w:r>
      <w:r w:rsidRPr="00686CD4">
        <w:rPr>
          <w:lang w:val="fr-FR"/>
        </w:rPr>
        <w:t xml:space="preserve"> intrafamiliale. L</w:t>
      </w:r>
      <w:r>
        <w:rPr>
          <w:lang w:val="fr-FR"/>
        </w:rPr>
        <w:t>’</w:t>
      </w:r>
      <w:r w:rsidRPr="00686CD4">
        <w:rPr>
          <w:lang w:val="fr-FR"/>
        </w:rPr>
        <w:t>article 80 (Protocoles) donne lieu à la promotion des protocoles par</w:t>
      </w:r>
      <w:r w:rsidR="00495D0F">
        <w:rPr>
          <w:lang w:val="fr-FR"/>
        </w:rPr>
        <w:t> :</w:t>
      </w:r>
    </w:p>
    <w:p w:rsidR="002A7A34" w:rsidRPr="00686CD4" w:rsidRDefault="002A7A34" w:rsidP="002A7A34">
      <w:pPr>
        <w:pStyle w:val="SingleTxtG"/>
        <w:ind w:left="1701"/>
        <w:rPr>
          <w:lang w:val="fr-FR"/>
        </w:rPr>
      </w:pPr>
      <w:r w:rsidRPr="00686CD4">
        <w:rPr>
          <w:lang w:val="fr-FR"/>
        </w:rPr>
        <w:t>i)</w:t>
      </w:r>
      <w:r w:rsidRPr="00686CD4">
        <w:rPr>
          <w:lang w:val="fr-FR"/>
        </w:rPr>
        <w:tab/>
      </w:r>
      <w:r>
        <w:rPr>
          <w:lang w:val="fr-FR"/>
        </w:rPr>
        <w:t>L</w:t>
      </w:r>
      <w:r w:rsidRPr="00686CD4">
        <w:rPr>
          <w:lang w:val="fr-FR"/>
        </w:rPr>
        <w:t xml:space="preserve">es établissements scolaires et les entités spécialement chargées de suivre les </w:t>
      </w:r>
      <w:r>
        <w:rPr>
          <w:lang w:val="fr-FR"/>
        </w:rPr>
        <w:t>infractions</w:t>
      </w:r>
      <w:r w:rsidRPr="00686CD4">
        <w:rPr>
          <w:lang w:val="fr-FR"/>
        </w:rPr>
        <w:t xml:space="preserve"> de violence intrafamiliale, qui peuvent promouvoir les protocoles de coopération</w:t>
      </w:r>
      <w:r w:rsidR="00495D0F">
        <w:rPr>
          <w:lang w:val="fr-FR"/>
        </w:rPr>
        <w:t> ;</w:t>
      </w:r>
    </w:p>
    <w:p w:rsidR="002A7A34" w:rsidRPr="00686CD4" w:rsidRDefault="002A7A34" w:rsidP="00AF4B21">
      <w:pPr>
        <w:pStyle w:val="SingleTxtG"/>
        <w:keepLines/>
        <w:ind w:left="1701"/>
        <w:rPr>
          <w:lang w:val="fr-FR"/>
        </w:rPr>
      </w:pPr>
      <w:r w:rsidRPr="00686CD4">
        <w:rPr>
          <w:lang w:val="fr-FR"/>
        </w:rPr>
        <w:lastRenderedPageBreak/>
        <w:t>ii)</w:t>
      </w:r>
      <w:r w:rsidRPr="00686CD4">
        <w:rPr>
          <w:lang w:val="fr-FR"/>
        </w:rPr>
        <w:tab/>
      </w:r>
      <w:r>
        <w:rPr>
          <w:lang w:val="fr-FR"/>
        </w:rPr>
        <w:t>L</w:t>
      </w:r>
      <w:r w:rsidRPr="00686CD4">
        <w:rPr>
          <w:lang w:val="fr-FR"/>
        </w:rPr>
        <w:t>es municipalités menant ou souhaitant poursuivre des projets de lutte contre la violence, en particulier les centres d</w:t>
      </w:r>
      <w:r>
        <w:rPr>
          <w:lang w:val="fr-FR"/>
        </w:rPr>
        <w:t>’</w:t>
      </w:r>
      <w:r w:rsidRPr="00686CD4">
        <w:rPr>
          <w:lang w:val="fr-FR"/>
        </w:rPr>
        <w:t>information sur la violence intrafamiliale, qui peuvent organiser des campagnes et des actions de sensibilisation dans les collectivités locales et étendre la portée du Réseau national d</w:t>
      </w:r>
      <w:r>
        <w:rPr>
          <w:lang w:val="fr-FR"/>
        </w:rPr>
        <w:t>’</w:t>
      </w:r>
      <w:r w:rsidRPr="00686CD4">
        <w:rPr>
          <w:lang w:val="fr-FR"/>
        </w:rPr>
        <w:t xml:space="preserve">aide aux </w:t>
      </w:r>
      <w:r>
        <w:rPr>
          <w:lang w:val="fr-FR"/>
        </w:rPr>
        <w:t>victimes de violence</w:t>
      </w:r>
      <w:r w:rsidRPr="00686CD4">
        <w:rPr>
          <w:lang w:val="fr-FR"/>
        </w:rPr>
        <w:t xml:space="preserve"> intrafamiliale à l</w:t>
      </w:r>
      <w:r>
        <w:rPr>
          <w:lang w:val="fr-FR"/>
        </w:rPr>
        <w:t>’</w:t>
      </w:r>
      <w:r w:rsidRPr="00686CD4">
        <w:rPr>
          <w:lang w:val="fr-FR"/>
        </w:rPr>
        <w:t>ensemble du territoire</w:t>
      </w:r>
      <w:r w:rsidR="00495D0F">
        <w:rPr>
          <w:lang w:val="fr-FR"/>
        </w:rPr>
        <w:t> ;</w:t>
      </w:r>
    </w:p>
    <w:p w:rsidR="002A7A34" w:rsidRPr="00686CD4" w:rsidRDefault="002A7A34" w:rsidP="002A7A34">
      <w:pPr>
        <w:pStyle w:val="SingleTxtG"/>
        <w:ind w:left="1701"/>
        <w:rPr>
          <w:lang w:val="fr-FR"/>
        </w:rPr>
      </w:pPr>
      <w:r w:rsidRPr="00686CD4">
        <w:rPr>
          <w:lang w:val="fr-FR"/>
        </w:rPr>
        <w:t>iii)</w:t>
      </w:r>
      <w:r w:rsidRPr="00686CD4">
        <w:rPr>
          <w:lang w:val="fr-FR"/>
        </w:rPr>
        <w:tab/>
      </w:r>
      <w:r>
        <w:rPr>
          <w:lang w:val="fr-FR"/>
        </w:rPr>
        <w:t>L</w:t>
      </w:r>
      <w:r w:rsidRPr="00686CD4">
        <w:rPr>
          <w:lang w:val="fr-FR"/>
        </w:rPr>
        <w:t>es organismes de professionnels de la santé, qui peuvent diffuser régulièrement des informations sur la violence intrafamiliale dans les centres de santé et dans les pharmacies.</w:t>
      </w:r>
    </w:p>
    <w:p w:rsidR="002A7A34" w:rsidRPr="00686CD4" w:rsidRDefault="002A7A34" w:rsidP="00AF4B21">
      <w:pPr>
        <w:pStyle w:val="SingleTxtG"/>
        <w:rPr>
          <w:lang w:val="fr-FR"/>
        </w:rPr>
      </w:pPr>
      <w:r w:rsidRPr="00686CD4">
        <w:rPr>
          <w:lang w:val="fr-FR"/>
        </w:rPr>
        <w:t>38.</w:t>
      </w:r>
      <w:r w:rsidRPr="00686CD4">
        <w:rPr>
          <w:lang w:val="fr-FR"/>
        </w:rPr>
        <w:tab/>
        <w:t>Une stratégie de décentralisation, poursuivie grâce au réseau national de soutien, qui se compose d</w:t>
      </w:r>
      <w:r>
        <w:rPr>
          <w:lang w:val="fr-FR"/>
        </w:rPr>
        <w:t>’</w:t>
      </w:r>
      <w:r w:rsidRPr="00686CD4">
        <w:rPr>
          <w:lang w:val="fr-FR"/>
        </w:rPr>
        <w:t>organes de l</w:t>
      </w:r>
      <w:r>
        <w:rPr>
          <w:lang w:val="fr-FR"/>
        </w:rPr>
        <w:t>’</w:t>
      </w:r>
      <w:r w:rsidRPr="00686CD4">
        <w:rPr>
          <w:lang w:val="fr-FR"/>
        </w:rPr>
        <w:t>administration centrale, des administrations locales et d</w:t>
      </w:r>
      <w:r>
        <w:rPr>
          <w:lang w:val="fr-FR"/>
        </w:rPr>
        <w:t>’</w:t>
      </w:r>
      <w:r w:rsidRPr="00686CD4">
        <w:rPr>
          <w:lang w:val="fr-FR"/>
        </w:rPr>
        <w:t>organisations non gouvernementales (ONG) locales, a été lancée dans le but d</w:t>
      </w:r>
      <w:r>
        <w:rPr>
          <w:lang w:val="fr-FR"/>
        </w:rPr>
        <w:t>’</w:t>
      </w:r>
      <w:r w:rsidRPr="00686CD4">
        <w:rPr>
          <w:lang w:val="fr-FR"/>
        </w:rPr>
        <w:t>assurer plus clairement et plus efficacement la cohérence de l</w:t>
      </w:r>
      <w:r>
        <w:rPr>
          <w:lang w:val="fr-FR"/>
        </w:rPr>
        <w:t>’</w:t>
      </w:r>
      <w:r w:rsidRPr="00686CD4">
        <w:rPr>
          <w:lang w:val="fr-FR"/>
        </w:rPr>
        <w:t>action des différents intervenants au niveau local, de mener un plus grand nombre d</w:t>
      </w:r>
      <w:r>
        <w:rPr>
          <w:lang w:val="fr-FR"/>
        </w:rPr>
        <w:t>’</w:t>
      </w:r>
      <w:r w:rsidRPr="00686CD4">
        <w:rPr>
          <w:lang w:val="fr-FR"/>
        </w:rPr>
        <w:t>interventions décentralisées répondant aux besoins des populations locales, et d</w:t>
      </w:r>
      <w:r>
        <w:rPr>
          <w:lang w:val="fr-FR"/>
        </w:rPr>
        <w:t>’</w:t>
      </w:r>
      <w:r w:rsidRPr="00686CD4">
        <w:rPr>
          <w:lang w:val="fr-FR"/>
        </w:rPr>
        <w:t>étendre la couverture du réseau, en particulier dans les régions intérieures où l</w:t>
      </w:r>
      <w:r>
        <w:rPr>
          <w:lang w:val="fr-FR"/>
        </w:rPr>
        <w:t>’</w:t>
      </w:r>
      <w:r w:rsidRPr="00686CD4">
        <w:rPr>
          <w:lang w:val="fr-FR"/>
        </w:rPr>
        <w:t>accès aux services est le</w:t>
      </w:r>
      <w:r w:rsidR="00495D0F">
        <w:rPr>
          <w:lang w:val="fr-FR"/>
        </w:rPr>
        <w:t xml:space="preserve"> </w:t>
      </w:r>
      <w:r w:rsidRPr="00686CD4">
        <w:rPr>
          <w:lang w:val="fr-FR"/>
        </w:rPr>
        <w:t>plus limité. Neuf protocoles ont été signés entre</w:t>
      </w:r>
      <w:r w:rsidR="00AF4B21">
        <w:rPr>
          <w:lang w:val="fr-FR"/>
        </w:rPr>
        <w:t xml:space="preserve"> </w:t>
      </w:r>
      <w:r w:rsidRPr="00686CD4">
        <w:rPr>
          <w:lang w:val="fr-FR"/>
        </w:rPr>
        <w:t>2016 et</w:t>
      </w:r>
      <w:r w:rsidR="00AF4B21">
        <w:rPr>
          <w:lang w:val="fr-FR"/>
        </w:rPr>
        <w:t xml:space="preserve"> </w:t>
      </w:r>
      <w:r w:rsidRPr="00686CD4">
        <w:rPr>
          <w:lang w:val="fr-FR"/>
        </w:rPr>
        <w:t>2017 à l</w:t>
      </w:r>
      <w:r>
        <w:rPr>
          <w:lang w:val="fr-FR"/>
        </w:rPr>
        <w:t>’</w:t>
      </w:r>
      <w:r w:rsidRPr="00686CD4">
        <w:rPr>
          <w:lang w:val="fr-FR"/>
        </w:rPr>
        <w:t>échelle du pays.</w:t>
      </w:r>
    </w:p>
    <w:p w:rsidR="002A7A34" w:rsidRPr="00686CD4" w:rsidRDefault="002A7A34" w:rsidP="00AF4B21">
      <w:pPr>
        <w:pStyle w:val="SingleTxtG"/>
        <w:rPr>
          <w:lang w:val="fr-FR"/>
        </w:rPr>
      </w:pPr>
      <w:r w:rsidRPr="00686CD4">
        <w:rPr>
          <w:lang w:val="fr-FR"/>
        </w:rPr>
        <w:t>39.</w:t>
      </w:r>
      <w:r w:rsidRPr="00686CD4">
        <w:rPr>
          <w:lang w:val="fr-FR"/>
        </w:rPr>
        <w:tab/>
        <w:t>Afin d</w:t>
      </w:r>
      <w:r>
        <w:rPr>
          <w:lang w:val="fr-FR"/>
        </w:rPr>
        <w:t>’</w:t>
      </w:r>
      <w:r w:rsidRPr="00686CD4">
        <w:rPr>
          <w:lang w:val="fr-FR"/>
        </w:rPr>
        <w:t>améliorer la décentralisation de l</w:t>
      </w:r>
      <w:r>
        <w:rPr>
          <w:lang w:val="fr-FR"/>
        </w:rPr>
        <w:t>’</w:t>
      </w:r>
      <w:r w:rsidRPr="00686CD4">
        <w:rPr>
          <w:lang w:val="fr-FR"/>
        </w:rPr>
        <w:t>aide et du soutien aux victimes (en particulier dans les zones rurales où les transports publics sont insuffisants), 14 structures de services, dotées chacune d</w:t>
      </w:r>
      <w:r>
        <w:rPr>
          <w:lang w:val="fr-FR"/>
        </w:rPr>
        <w:t>’</w:t>
      </w:r>
      <w:r w:rsidRPr="00686CD4">
        <w:rPr>
          <w:lang w:val="fr-FR"/>
        </w:rPr>
        <w:t>un véhicule, ont été mises en place (Portugal continental).</w:t>
      </w:r>
    </w:p>
    <w:p w:rsidR="002A7A34" w:rsidRPr="00686CD4" w:rsidRDefault="002A7A34" w:rsidP="00AF4B21">
      <w:pPr>
        <w:pStyle w:val="SingleTxtG"/>
        <w:rPr>
          <w:lang w:val="fr-FR"/>
        </w:rPr>
      </w:pPr>
      <w:r w:rsidRPr="00686CD4">
        <w:rPr>
          <w:lang w:val="fr-FR"/>
        </w:rPr>
        <w:t>40.</w:t>
      </w:r>
      <w:r w:rsidRPr="00686CD4">
        <w:rPr>
          <w:lang w:val="fr-FR"/>
        </w:rPr>
        <w:tab/>
        <w:t>Un service de transport pour les victimes de violences intrafamiliales et leurs enfants qui, pour des raisons de sécurité</w:t>
      </w:r>
      <w:r>
        <w:rPr>
          <w:lang w:val="fr-FR"/>
        </w:rPr>
        <w:t>,</w:t>
      </w:r>
      <w:r w:rsidRPr="00686CD4">
        <w:rPr>
          <w:lang w:val="fr-FR"/>
        </w:rPr>
        <w:t xml:space="preserve"> doivent être accueillis dans des foyers ou dans des centres d</w:t>
      </w:r>
      <w:r>
        <w:rPr>
          <w:lang w:val="fr-FR"/>
        </w:rPr>
        <w:t>’</w:t>
      </w:r>
      <w:r w:rsidRPr="00686CD4">
        <w:rPr>
          <w:lang w:val="fr-FR"/>
        </w:rPr>
        <w:t>hébergement d</w:t>
      </w:r>
      <w:r>
        <w:rPr>
          <w:lang w:val="fr-FR"/>
        </w:rPr>
        <w:t>’</w:t>
      </w:r>
      <w:r w:rsidRPr="00686CD4">
        <w:rPr>
          <w:lang w:val="fr-FR"/>
        </w:rPr>
        <w:t>urgence, est aussi disponible depuis le 1</w:t>
      </w:r>
      <w:r w:rsidRPr="00686CD4">
        <w:rPr>
          <w:vertAlign w:val="superscript"/>
          <w:lang w:val="fr-FR"/>
        </w:rPr>
        <w:t>er</w:t>
      </w:r>
      <w:r w:rsidR="00AF4B21">
        <w:rPr>
          <w:lang w:val="fr-FR"/>
        </w:rPr>
        <w:t> </w:t>
      </w:r>
      <w:r w:rsidRPr="00686CD4">
        <w:rPr>
          <w:lang w:val="fr-FR"/>
        </w:rPr>
        <w:t>août</w:t>
      </w:r>
      <w:r w:rsidR="00495D0F">
        <w:rPr>
          <w:lang w:val="fr-FR"/>
        </w:rPr>
        <w:t xml:space="preserve"> </w:t>
      </w:r>
      <w:r w:rsidRPr="00686CD4">
        <w:rPr>
          <w:lang w:val="fr-FR"/>
        </w:rPr>
        <w:t>2013. Ce service assure le transport en toute sécurité des victimes de violence intrafamiliale et de leurs enfants (ainsi que de leurs effets personnels) entre les services d</w:t>
      </w:r>
      <w:r>
        <w:rPr>
          <w:lang w:val="fr-FR"/>
        </w:rPr>
        <w:t>’</w:t>
      </w:r>
      <w:r w:rsidRPr="00686CD4">
        <w:rPr>
          <w:lang w:val="fr-FR"/>
        </w:rPr>
        <w:t>aide à ces victimes et un centre d</w:t>
      </w:r>
      <w:r>
        <w:rPr>
          <w:lang w:val="fr-FR"/>
        </w:rPr>
        <w:t>’</w:t>
      </w:r>
      <w:r w:rsidRPr="00686CD4">
        <w:rPr>
          <w:lang w:val="fr-FR"/>
        </w:rPr>
        <w:t>hébergement d</w:t>
      </w:r>
      <w:r>
        <w:rPr>
          <w:lang w:val="fr-FR"/>
        </w:rPr>
        <w:t>’</w:t>
      </w:r>
      <w:r w:rsidRPr="00686CD4">
        <w:rPr>
          <w:lang w:val="fr-FR"/>
        </w:rPr>
        <w:t>urgence ou un foyer de manière à garantir leur intégrité physique et émotionnelle. Le service de transport opère dans l</w:t>
      </w:r>
      <w:r>
        <w:rPr>
          <w:lang w:val="fr-FR"/>
        </w:rPr>
        <w:t>’</w:t>
      </w:r>
      <w:r w:rsidRPr="00686CD4">
        <w:rPr>
          <w:lang w:val="fr-FR"/>
        </w:rPr>
        <w:t>ensemble du Portugal continental et peut être contacté par l</w:t>
      </w:r>
      <w:r>
        <w:rPr>
          <w:lang w:val="fr-FR"/>
        </w:rPr>
        <w:t>’</w:t>
      </w:r>
      <w:r w:rsidRPr="00686CD4">
        <w:rPr>
          <w:lang w:val="fr-FR"/>
        </w:rPr>
        <w:t>intermédiaire d</w:t>
      </w:r>
      <w:r>
        <w:rPr>
          <w:lang w:val="fr-FR"/>
        </w:rPr>
        <w:t>’</w:t>
      </w:r>
      <w:r w:rsidRPr="00686CD4">
        <w:rPr>
          <w:lang w:val="fr-FR"/>
        </w:rPr>
        <w:t>un centre d</w:t>
      </w:r>
      <w:r>
        <w:rPr>
          <w:lang w:val="fr-FR"/>
        </w:rPr>
        <w:t>’</w:t>
      </w:r>
      <w:r w:rsidRPr="00686CD4">
        <w:rPr>
          <w:lang w:val="fr-FR"/>
        </w:rPr>
        <w:t>appel. Il est accessible vingt-quatre heures sur vingt-quatre et sept jours sur sept et a été utilisé par environ 5 000 personnes depuis</w:t>
      </w:r>
      <w:r w:rsidR="00AF4B21">
        <w:rPr>
          <w:lang w:val="fr-FR"/>
        </w:rPr>
        <w:t xml:space="preserve"> </w:t>
      </w:r>
      <w:r w:rsidRPr="00686CD4">
        <w:rPr>
          <w:lang w:val="fr-FR"/>
        </w:rPr>
        <w:t xml:space="preserve">2013. Il a récemment été mis à la disposition des </w:t>
      </w:r>
      <w:r>
        <w:rPr>
          <w:lang w:val="fr-FR"/>
        </w:rPr>
        <w:t>victimes de traite</w:t>
      </w:r>
      <w:r w:rsidRPr="00686CD4">
        <w:rPr>
          <w:lang w:val="fr-FR"/>
        </w:rPr>
        <w:t>.</w:t>
      </w:r>
    </w:p>
    <w:p w:rsidR="002A7A34" w:rsidRPr="00686CD4" w:rsidRDefault="002A7A34" w:rsidP="00AF4B21">
      <w:pPr>
        <w:pStyle w:val="SingleTxtG"/>
        <w:rPr>
          <w:lang w:val="fr-FR"/>
        </w:rPr>
      </w:pPr>
      <w:r w:rsidRPr="00686CD4">
        <w:rPr>
          <w:lang w:val="fr-FR"/>
        </w:rPr>
        <w:t>41.</w:t>
      </w:r>
      <w:r w:rsidRPr="00686CD4">
        <w:rPr>
          <w:lang w:val="fr-FR"/>
        </w:rPr>
        <w:tab/>
        <w:t xml:space="preserve">Un guide de la violence interpersonnelle </w:t>
      </w:r>
      <w:r w:rsidR="009C5882">
        <w:rPr>
          <w:lang w:val="fr-FR"/>
        </w:rPr>
        <w:t>−</w:t>
      </w:r>
      <w:r w:rsidRPr="00686CD4">
        <w:rPr>
          <w:lang w:val="fr-FR"/>
        </w:rPr>
        <w:t xml:space="preserve"> approche, diagnostic et interventions dans les services de santé </w:t>
      </w:r>
      <w:r w:rsidR="009C5882">
        <w:rPr>
          <w:lang w:val="fr-FR"/>
        </w:rPr>
        <w:t>−</w:t>
      </w:r>
      <w:r w:rsidR="00495D0F">
        <w:rPr>
          <w:lang w:val="fr-FR"/>
        </w:rPr>
        <w:t xml:space="preserve"> </w:t>
      </w:r>
      <w:r w:rsidRPr="00686CD4">
        <w:rPr>
          <w:lang w:val="fr-FR"/>
        </w:rPr>
        <w:t>a été établi dans le cadre de l</w:t>
      </w:r>
      <w:r>
        <w:rPr>
          <w:lang w:val="fr-FR"/>
        </w:rPr>
        <w:t>’</w:t>
      </w:r>
      <w:r w:rsidRPr="00686CD4">
        <w:rPr>
          <w:lang w:val="fr-FR"/>
        </w:rPr>
        <w:t>action sanitaire dans les domaines de l</w:t>
      </w:r>
      <w:r>
        <w:rPr>
          <w:lang w:val="fr-FR"/>
        </w:rPr>
        <w:t>’</w:t>
      </w:r>
      <w:r w:rsidRPr="00686CD4">
        <w:rPr>
          <w:lang w:val="fr-FR"/>
        </w:rPr>
        <w:t xml:space="preserve">égalité des sexes, de la violence et du cycle de vie (ordonnance </w:t>
      </w:r>
      <w:r w:rsidR="000B13BC" w:rsidRPr="000D5167">
        <w:rPr>
          <w:rFonts w:eastAsia="MS Mincho"/>
          <w:lang w:val="fr-FR"/>
        </w:rPr>
        <w:t>n</w:t>
      </w:r>
      <w:r w:rsidR="000B13BC" w:rsidRPr="000D5167">
        <w:rPr>
          <w:rFonts w:eastAsia="MS Mincho"/>
          <w:vertAlign w:val="superscript"/>
          <w:lang w:val="fr-FR"/>
        </w:rPr>
        <w:t>o</w:t>
      </w:r>
      <w:r w:rsidR="000B13BC">
        <w:rPr>
          <w:lang w:val="fr-FR"/>
        </w:rPr>
        <w:t> </w:t>
      </w:r>
      <w:r w:rsidRPr="00686CD4">
        <w:rPr>
          <w:lang w:val="fr-FR"/>
        </w:rPr>
        <w:t>6378/2013 du 16 mai du Ministère de la santé) avec le concours de spécialistes de la prévention de la violence interpersonnelle. Cette publication vise non seulement à améliorer la connaissance de ce phénomène sous ses multiples formes et dans ses différents contextes, mais aussi à décrire les principes de l</w:t>
      </w:r>
      <w:r>
        <w:rPr>
          <w:lang w:val="fr-FR"/>
        </w:rPr>
        <w:t>’</w:t>
      </w:r>
      <w:r w:rsidRPr="00686CD4">
        <w:rPr>
          <w:lang w:val="fr-FR"/>
        </w:rPr>
        <w:t>action préventive, les dispositifs institutionnels et les schémas d</w:t>
      </w:r>
      <w:r>
        <w:rPr>
          <w:lang w:val="fr-FR"/>
        </w:rPr>
        <w:t>’</w:t>
      </w:r>
      <w:r w:rsidRPr="00686CD4">
        <w:rPr>
          <w:lang w:val="fr-FR"/>
        </w:rPr>
        <w:t xml:space="preserve">intervention. </w:t>
      </w:r>
      <w:r>
        <w:rPr>
          <w:lang w:val="fr-FR"/>
        </w:rPr>
        <w:t>L</w:t>
      </w:r>
      <w:r w:rsidRPr="00686CD4">
        <w:rPr>
          <w:lang w:val="fr-FR"/>
        </w:rPr>
        <w:t>e Guide a été mis à jour en</w:t>
      </w:r>
      <w:r w:rsidR="000B13BC">
        <w:rPr>
          <w:lang w:val="fr-FR"/>
        </w:rPr>
        <w:t xml:space="preserve"> </w:t>
      </w:r>
      <w:r w:rsidRPr="00686CD4">
        <w:rPr>
          <w:lang w:val="fr-FR"/>
        </w:rPr>
        <w:t xml:space="preserve">2017. </w:t>
      </w:r>
    </w:p>
    <w:p w:rsidR="002A7A34" w:rsidRPr="00686CD4" w:rsidRDefault="002A7A34" w:rsidP="002A7A34">
      <w:pPr>
        <w:pStyle w:val="SingleTxtG"/>
        <w:rPr>
          <w:lang w:val="fr-FR"/>
        </w:rPr>
      </w:pPr>
      <w:r w:rsidRPr="00686CD4">
        <w:rPr>
          <w:lang w:val="fr-FR"/>
        </w:rPr>
        <w:t>42.</w:t>
      </w:r>
      <w:r w:rsidRPr="00686CD4">
        <w:rPr>
          <w:lang w:val="fr-FR"/>
        </w:rPr>
        <w:tab/>
        <w:t>Le Guide sur les mutilations génitales féminines</w:t>
      </w:r>
      <w:r w:rsidR="000B13BC">
        <w:rPr>
          <w:lang w:val="fr-FR"/>
        </w:rPr>
        <w:t xml:space="preserve"> </w:t>
      </w:r>
      <w:r w:rsidRPr="00686CD4">
        <w:rPr>
          <w:lang w:val="fr-FR"/>
        </w:rPr>
        <w:t>(2012) fait également référence à la nécessité de mettre en place des protocoles d</w:t>
      </w:r>
      <w:r>
        <w:rPr>
          <w:lang w:val="fr-FR"/>
        </w:rPr>
        <w:t>’</w:t>
      </w:r>
      <w:r w:rsidRPr="00686CD4">
        <w:rPr>
          <w:lang w:val="fr-FR"/>
        </w:rPr>
        <w:t>action sanitaire.</w:t>
      </w:r>
    </w:p>
    <w:p w:rsidR="002A7A34" w:rsidRPr="00686CD4" w:rsidRDefault="002A7A34" w:rsidP="002A7A34">
      <w:pPr>
        <w:pStyle w:val="SingleTxtG"/>
        <w:rPr>
          <w:lang w:val="fr-FR"/>
        </w:rPr>
      </w:pPr>
      <w:r w:rsidRPr="00686CD4">
        <w:rPr>
          <w:lang w:val="fr-FR"/>
        </w:rPr>
        <w:t>43.</w:t>
      </w:r>
      <w:r w:rsidRPr="00686CD4">
        <w:rPr>
          <w:lang w:val="fr-FR"/>
        </w:rPr>
        <w:tab/>
        <w:t>Conformément à la mesure</w:t>
      </w:r>
      <w:r>
        <w:rPr>
          <w:lang w:val="fr-FR"/>
        </w:rPr>
        <w:t xml:space="preserve"> </w:t>
      </w:r>
      <w:r w:rsidR="000B13BC" w:rsidRPr="000D5167">
        <w:rPr>
          <w:rFonts w:eastAsia="MS Mincho"/>
          <w:lang w:val="fr-FR"/>
        </w:rPr>
        <w:t>n</w:t>
      </w:r>
      <w:r w:rsidR="000B13BC" w:rsidRPr="000D5167">
        <w:rPr>
          <w:rFonts w:eastAsia="MS Mincho"/>
          <w:vertAlign w:val="superscript"/>
          <w:lang w:val="fr-FR"/>
        </w:rPr>
        <w:t>o</w:t>
      </w:r>
      <w:r w:rsidR="000B13BC">
        <w:rPr>
          <w:lang w:val="fr-FR"/>
        </w:rPr>
        <w:t> </w:t>
      </w:r>
      <w:r>
        <w:rPr>
          <w:lang w:val="fr-FR"/>
        </w:rPr>
        <w:t>23</w:t>
      </w:r>
      <w:r w:rsidRPr="00686CD4">
        <w:rPr>
          <w:lang w:val="fr-FR"/>
        </w:rPr>
        <w:t xml:space="preserve"> du Cinquième plan d</w:t>
      </w:r>
      <w:r>
        <w:rPr>
          <w:lang w:val="fr-FR"/>
        </w:rPr>
        <w:t>’</w:t>
      </w:r>
      <w:r w:rsidRPr="00686CD4">
        <w:rPr>
          <w:lang w:val="fr-FR"/>
        </w:rPr>
        <w:t>action national pour prévenir et combattre la violence intrafamiliale et la violence sexiste 2014-2017 (</w:t>
      </w:r>
      <w:r w:rsidRPr="00686CD4">
        <w:rPr>
          <w:i/>
          <w:lang w:val="fr-FR"/>
        </w:rPr>
        <w:t>Définir les besoins minimaux pour l</w:t>
      </w:r>
      <w:r>
        <w:rPr>
          <w:i/>
          <w:lang w:val="fr-FR"/>
        </w:rPr>
        <w:t>’</w:t>
      </w:r>
      <w:r w:rsidRPr="00686CD4">
        <w:rPr>
          <w:i/>
          <w:lang w:val="fr-FR"/>
        </w:rPr>
        <w:t>exploitation des structures intégrées dans le réseau national d</w:t>
      </w:r>
      <w:r>
        <w:rPr>
          <w:i/>
          <w:lang w:val="fr-FR"/>
        </w:rPr>
        <w:t>’</w:t>
      </w:r>
      <w:r w:rsidRPr="00686CD4">
        <w:rPr>
          <w:i/>
          <w:lang w:val="fr-FR"/>
        </w:rPr>
        <w:t xml:space="preserve">aide aux victimes de violence familiale, ainsi que </w:t>
      </w:r>
      <w:r>
        <w:rPr>
          <w:i/>
          <w:lang w:val="fr-FR"/>
        </w:rPr>
        <w:t xml:space="preserve">pour </w:t>
      </w:r>
      <w:r w:rsidRPr="00686CD4">
        <w:rPr>
          <w:i/>
          <w:lang w:val="fr-FR"/>
        </w:rPr>
        <w:t>leur supervision et le suivi technique</w:t>
      </w:r>
      <w:r w:rsidRPr="00686CD4">
        <w:rPr>
          <w:lang w:val="fr-FR"/>
        </w:rPr>
        <w:t>), la Commission nationale pour la citoyenneté et l</w:t>
      </w:r>
      <w:r>
        <w:rPr>
          <w:lang w:val="fr-FR"/>
        </w:rPr>
        <w:t>’</w:t>
      </w:r>
      <w:r w:rsidRPr="00686CD4">
        <w:rPr>
          <w:lang w:val="fr-FR"/>
        </w:rPr>
        <w:t xml:space="preserve">égalité des sexes a préparé un guide établissant les normes minimales </w:t>
      </w:r>
      <w:r>
        <w:rPr>
          <w:lang w:val="fr-FR"/>
        </w:rPr>
        <w:t>à l’intention du</w:t>
      </w:r>
      <w:r w:rsidRPr="00686CD4">
        <w:rPr>
          <w:lang w:val="fr-FR"/>
        </w:rPr>
        <w:t xml:space="preserve"> Réseau national de lutte contre la violence intrafamiliale</w:t>
      </w:r>
      <w:r w:rsidRPr="00F16A9E">
        <w:rPr>
          <w:rStyle w:val="Appelnotedebasdep"/>
        </w:rPr>
        <w:footnoteReference w:id="5"/>
      </w:r>
      <w:r w:rsidRPr="00686CD4">
        <w:rPr>
          <w:lang w:val="fr-FR"/>
        </w:rPr>
        <w:t>. Ce document sert de cadre à tous les services travaillant avec les victimes de ce type de violence (</w:t>
      </w:r>
      <w:r>
        <w:rPr>
          <w:lang w:val="fr-FR"/>
        </w:rPr>
        <w:t>indépendamment</w:t>
      </w:r>
      <w:r w:rsidRPr="00686CD4">
        <w:rPr>
          <w:lang w:val="fr-FR"/>
        </w:rPr>
        <w:t xml:space="preserve"> des protocoles professionnels particuliers). Le</w:t>
      </w:r>
      <w:r w:rsidR="000B13BC">
        <w:rPr>
          <w:lang w:val="fr-FR"/>
        </w:rPr>
        <w:t> </w:t>
      </w:r>
      <w:r w:rsidRPr="00686CD4">
        <w:rPr>
          <w:lang w:val="fr-FR"/>
        </w:rPr>
        <w:t>Gouvernement a récemment approuvé un décret réglementaire qui définit les besoins organisationnels et opérationnels de toutes les structures intégrées dans le Réseau national d</w:t>
      </w:r>
      <w:r>
        <w:rPr>
          <w:lang w:val="fr-FR"/>
        </w:rPr>
        <w:t>’</w:t>
      </w:r>
      <w:r w:rsidRPr="00686CD4">
        <w:rPr>
          <w:lang w:val="fr-FR"/>
        </w:rPr>
        <w:t xml:space="preserve">aide aux </w:t>
      </w:r>
      <w:r>
        <w:rPr>
          <w:lang w:val="fr-FR"/>
        </w:rPr>
        <w:t>victimes de violence</w:t>
      </w:r>
      <w:r w:rsidRPr="00686CD4">
        <w:rPr>
          <w:lang w:val="fr-FR"/>
        </w:rPr>
        <w:t xml:space="preserve"> intrafamiliale.</w:t>
      </w:r>
    </w:p>
    <w:p w:rsidR="002A7A34" w:rsidRPr="00686CD4" w:rsidRDefault="002A7A34" w:rsidP="002A7A34">
      <w:pPr>
        <w:pStyle w:val="SingleTxtG"/>
        <w:rPr>
          <w:lang w:val="fr-FR"/>
        </w:rPr>
      </w:pPr>
      <w:r w:rsidRPr="00686CD4">
        <w:rPr>
          <w:lang w:val="fr-FR"/>
        </w:rPr>
        <w:t>44.</w:t>
      </w:r>
      <w:r w:rsidRPr="00686CD4">
        <w:rPr>
          <w:lang w:val="fr-FR"/>
        </w:rPr>
        <w:tab/>
      </w:r>
      <w:r w:rsidR="00B545C2">
        <w:rPr>
          <w:lang w:val="fr-FR"/>
        </w:rPr>
        <w:t xml:space="preserve">En </w:t>
      </w:r>
      <w:r w:rsidRPr="00686CD4">
        <w:rPr>
          <w:lang w:val="fr-FR"/>
        </w:rPr>
        <w:t>2015, la violence intrafamiliale était à l</w:t>
      </w:r>
      <w:r>
        <w:rPr>
          <w:lang w:val="fr-FR"/>
        </w:rPr>
        <w:t>’</w:t>
      </w:r>
      <w:r w:rsidRPr="00686CD4">
        <w:rPr>
          <w:lang w:val="fr-FR"/>
        </w:rPr>
        <w:t>origine de 96,2 % de cas signalés aux Commissions de protection de l</w:t>
      </w:r>
      <w:r>
        <w:rPr>
          <w:lang w:val="fr-FR"/>
        </w:rPr>
        <w:t>’</w:t>
      </w:r>
      <w:r w:rsidRPr="00686CD4">
        <w:rPr>
          <w:lang w:val="fr-FR"/>
        </w:rPr>
        <w:t>enfance et de la jeunesse, et les enfants occupaient plus de 50 % des places disponibles dans les foyers d</w:t>
      </w:r>
      <w:r>
        <w:rPr>
          <w:lang w:val="fr-FR"/>
        </w:rPr>
        <w:t>’</w:t>
      </w:r>
      <w:r w:rsidRPr="00686CD4">
        <w:rPr>
          <w:lang w:val="fr-FR"/>
        </w:rPr>
        <w:t>accueil et les centres d</w:t>
      </w:r>
      <w:r>
        <w:rPr>
          <w:lang w:val="fr-FR"/>
        </w:rPr>
        <w:t>’</w:t>
      </w:r>
      <w:r w:rsidRPr="00686CD4">
        <w:rPr>
          <w:lang w:val="fr-FR"/>
        </w:rPr>
        <w:t xml:space="preserve">hébergement </w:t>
      </w:r>
      <w:r w:rsidRPr="00686CD4">
        <w:rPr>
          <w:lang w:val="fr-FR"/>
        </w:rPr>
        <w:lastRenderedPageBreak/>
        <w:t>d</w:t>
      </w:r>
      <w:r>
        <w:rPr>
          <w:lang w:val="fr-FR"/>
        </w:rPr>
        <w:t>’</w:t>
      </w:r>
      <w:r w:rsidRPr="00686CD4">
        <w:rPr>
          <w:lang w:val="fr-FR"/>
        </w:rPr>
        <w:t xml:space="preserve">urgence de </w:t>
      </w:r>
      <w:r>
        <w:rPr>
          <w:lang w:val="fr-FR"/>
        </w:rPr>
        <w:t>victimes de violence</w:t>
      </w:r>
      <w:r w:rsidRPr="00686CD4">
        <w:rPr>
          <w:lang w:val="fr-FR"/>
        </w:rPr>
        <w:t>. Dans ce contexte, un protocole a été établi par la Commission nationale pour la promotion des droits et la protection de l</w:t>
      </w:r>
      <w:r>
        <w:rPr>
          <w:lang w:val="fr-FR"/>
        </w:rPr>
        <w:t>’</w:t>
      </w:r>
      <w:r w:rsidRPr="00686CD4">
        <w:rPr>
          <w:lang w:val="fr-FR"/>
        </w:rPr>
        <w:t>enfance et de la jeunesse et par la Commission nationale pour la citoyenneté et l</w:t>
      </w:r>
      <w:r>
        <w:rPr>
          <w:lang w:val="fr-FR"/>
        </w:rPr>
        <w:t>’</w:t>
      </w:r>
      <w:r w:rsidRPr="00686CD4">
        <w:rPr>
          <w:lang w:val="fr-FR"/>
        </w:rPr>
        <w:t>égalité des sexes. Les Commissions locales de protection de l</w:t>
      </w:r>
      <w:r>
        <w:rPr>
          <w:lang w:val="fr-FR"/>
        </w:rPr>
        <w:t>’</w:t>
      </w:r>
      <w:r w:rsidRPr="00686CD4">
        <w:rPr>
          <w:lang w:val="fr-FR"/>
        </w:rPr>
        <w:t>enfance et de la jeunesse et les services d</w:t>
      </w:r>
      <w:r>
        <w:rPr>
          <w:lang w:val="fr-FR"/>
        </w:rPr>
        <w:t>’</w:t>
      </w:r>
      <w:r w:rsidRPr="00686CD4">
        <w:rPr>
          <w:lang w:val="fr-FR"/>
        </w:rPr>
        <w:t>aide sociale du réseau local d</w:t>
      </w:r>
      <w:r>
        <w:rPr>
          <w:lang w:val="fr-FR"/>
        </w:rPr>
        <w:t>’</w:t>
      </w:r>
      <w:r w:rsidRPr="00686CD4">
        <w:rPr>
          <w:lang w:val="fr-FR"/>
        </w:rPr>
        <w:t>intervention sociale ont, par ailleurs, signé 28 protocoles.</w:t>
      </w:r>
    </w:p>
    <w:p w:rsidR="002A7A34" w:rsidRPr="00686CD4" w:rsidRDefault="002A7A34" w:rsidP="002A7A34">
      <w:pPr>
        <w:pStyle w:val="SingleTxtG"/>
        <w:rPr>
          <w:rFonts w:eastAsia="Calibri"/>
          <w:lang w:val="fr-FR"/>
        </w:rPr>
      </w:pPr>
      <w:r w:rsidRPr="00686CD4">
        <w:rPr>
          <w:lang w:val="fr-FR"/>
        </w:rPr>
        <w:t>45.</w:t>
      </w:r>
      <w:r w:rsidRPr="00686CD4">
        <w:rPr>
          <w:lang w:val="fr-FR"/>
        </w:rPr>
        <w:tab/>
        <w:t xml:space="preserve">Des partenariats ont aussi été forgés avec des ONG dans le but de proposer des services à des groupes </w:t>
      </w:r>
      <w:r>
        <w:rPr>
          <w:lang w:val="fr-FR"/>
        </w:rPr>
        <w:t>victimes de violence</w:t>
      </w:r>
      <w:r w:rsidRPr="00686CD4">
        <w:rPr>
          <w:lang w:val="fr-FR"/>
        </w:rPr>
        <w:t xml:space="preserve"> intrafamiliale ayant des besoins particuliers. Il</w:t>
      </w:r>
      <w:r w:rsidR="00BC3387">
        <w:rPr>
          <w:lang w:val="fr-FR"/>
        </w:rPr>
        <w:t> </w:t>
      </w:r>
      <w:r w:rsidRPr="00686CD4">
        <w:rPr>
          <w:lang w:val="fr-FR"/>
        </w:rPr>
        <w:t>s</w:t>
      </w:r>
      <w:r>
        <w:rPr>
          <w:lang w:val="fr-FR"/>
        </w:rPr>
        <w:t>’</w:t>
      </w:r>
      <w:r w:rsidRPr="00686CD4">
        <w:rPr>
          <w:lang w:val="fr-FR"/>
        </w:rPr>
        <w:t>agit</w:t>
      </w:r>
      <w:r w:rsidR="009C5882">
        <w:rPr>
          <w:lang w:val="fr-FR"/>
        </w:rPr>
        <w:t> :</w:t>
      </w:r>
      <w:r w:rsidRPr="00686CD4">
        <w:rPr>
          <w:lang w:val="fr-FR"/>
        </w:rPr>
        <w:t xml:space="preserve"> du premier centre d</w:t>
      </w:r>
      <w:r>
        <w:rPr>
          <w:lang w:val="fr-FR"/>
        </w:rPr>
        <w:t>’</w:t>
      </w:r>
      <w:r w:rsidRPr="00686CD4">
        <w:rPr>
          <w:lang w:val="fr-FR"/>
        </w:rPr>
        <w:t>accueil ouvert aux hommes victimes de violence intrafamiliale</w:t>
      </w:r>
      <w:r w:rsidR="009C5882">
        <w:rPr>
          <w:lang w:val="fr-FR"/>
        </w:rPr>
        <w:t> ;</w:t>
      </w:r>
      <w:r w:rsidRPr="00686CD4">
        <w:rPr>
          <w:lang w:val="fr-FR"/>
        </w:rPr>
        <w:t xml:space="preserve"> de la première structure de soutien spécialisé pour les hommes victimes de violence sexuelle</w:t>
      </w:r>
      <w:r w:rsidR="009C5882">
        <w:rPr>
          <w:lang w:val="fr-FR"/>
        </w:rPr>
        <w:t> ;</w:t>
      </w:r>
      <w:r w:rsidRPr="00686CD4">
        <w:rPr>
          <w:lang w:val="fr-FR"/>
        </w:rPr>
        <w:t xml:space="preserve"> d</w:t>
      </w:r>
      <w:r>
        <w:rPr>
          <w:lang w:val="fr-FR"/>
        </w:rPr>
        <w:t>’</w:t>
      </w:r>
      <w:r w:rsidRPr="00686CD4">
        <w:rPr>
          <w:lang w:val="fr-FR"/>
        </w:rPr>
        <w:t>un centre de crise pour les victimes de violence sexuelle</w:t>
      </w:r>
      <w:r w:rsidR="00495D0F">
        <w:rPr>
          <w:lang w:val="fr-FR"/>
        </w:rPr>
        <w:t> ;</w:t>
      </w:r>
      <w:r w:rsidRPr="00686CD4">
        <w:rPr>
          <w:lang w:val="fr-FR"/>
        </w:rPr>
        <w:t xml:space="preserve"> et de trois services d</w:t>
      </w:r>
      <w:r>
        <w:rPr>
          <w:lang w:val="fr-FR"/>
        </w:rPr>
        <w:t>’</w:t>
      </w:r>
      <w:r w:rsidRPr="00686CD4">
        <w:rPr>
          <w:lang w:val="fr-FR"/>
        </w:rPr>
        <w:t>aide pour les victimes LGBTI, en particulier les jeunes.</w:t>
      </w:r>
    </w:p>
    <w:p w:rsidR="002A7A34" w:rsidRPr="00686CD4" w:rsidRDefault="002A7A34" w:rsidP="00BC3387">
      <w:pPr>
        <w:pStyle w:val="SingleTxtG"/>
        <w:keepNext/>
        <w:rPr>
          <w:lang w:val="fr-FR"/>
        </w:rPr>
      </w:pPr>
      <w:r w:rsidRPr="00686CD4">
        <w:rPr>
          <w:lang w:val="fr-FR"/>
        </w:rPr>
        <w:t>46.</w:t>
      </w:r>
      <w:r w:rsidRPr="00686CD4">
        <w:rPr>
          <w:lang w:val="fr-FR"/>
        </w:rPr>
        <w:tab/>
        <w:t>Enfin, deux instruments viennent d</w:t>
      </w:r>
      <w:r>
        <w:rPr>
          <w:lang w:val="fr-FR"/>
        </w:rPr>
        <w:t>’</w:t>
      </w:r>
      <w:r w:rsidRPr="00686CD4">
        <w:rPr>
          <w:lang w:val="fr-FR"/>
        </w:rPr>
        <w:t>être mis en place dans le but d</w:t>
      </w:r>
      <w:r>
        <w:rPr>
          <w:lang w:val="fr-FR"/>
        </w:rPr>
        <w:t>’</w:t>
      </w:r>
      <w:r w:rsidRPr="00686CD4">
        <w:rPr>
          <w:lang w:val="fr-FR"/>
        </w:rPr>
        <w:t>améliorer la qualité de l</w:t>
      </w:r>
      <w:r>
        <w:rPr>
          <w:lang w:val="fr-FR"/>
        </w:rPr>
        <w:t>’</w:t>
      </w:r>
      <w:r w:rsidRPr="00686CD4">
        <w:rPr>
          <w:lang w:val="fr-FR"/>
        </w:rPr>
        <w:t>action policière</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Un outil d</w:t>
      </w:r>
      <w:r>
        <w:rPr>
          <w:lang w:val="fr-FR"/>
        </w:rPr>
        <w:t>’</w:t>
      </w:r>
      <w:r w:rsidRPr="00686CD4">
        <w:rPr>
          <w:lang w:val="fr-FR"/>
        </w:rPr>
        <w:t>évaluation des risques pour réduire autant que possible la possibilité que la victime subisse de nouvelles agressions, en permettant aux forces de sécurité d</w:t>
      </w:r>
      <w:r>
        <w:rPr>
          <w:lang w:val="fr-FR"/>
        </w:rPr>
        <w:t>’</w:t>
      </w:r>
      <w:r w:rsidRPr="00686CD4">
        <w:rPr>
          <w:lang w:val="fr-FR"/>
        </w:rPr>
        <w:t>être plus proches et de surveiller la situation en adaptant les mesures préventives au fur et à mesure de l</w:t>
      </w:r>
      <w:r>
        <w:rPr>
          <w:lang w:val="fr-FR"/>
        </w:rPr>
        <w:t>’</w:t>
      </w:r>
      <w:r w:rsidRPr="00686CD4">
        <w:rPr>
          <w:lang w:val="fr-FR"/>
        </w:rPr>
        <w:t>enquête</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Le Manuel de répression de la violence intrafamiliale, qui regroupe en un seul document toutes les procédures techniques policières pouvant être adoptées par les forces de sécurité à différents niveaux d</w:t>
      </w:r>
      <w:r>
        <w:rPr>
          <w:lang w:val="fr-FR"/>
        </w:rPr>
        <w:t>’</w:t>
      </w:r>
      <w:r w:rsidRPr="00686CD4">
        <w:rPr>
          <w:lang w:val="fr-FR"/>
        </w:rPr>
        <w:t>intervention.</w:t>
      </w:r>
    </w:p>
    <w:p w:rsidR="002A7A34" w:rsidRPr="00766406" w:rsidRDefault="002A7A34" w:rsidP="002A7A34">
      <w:pPr>
        <w:pStyle w:val="SingleTxtG"/>
        <w:rPr>
          <w:i/>
          <w:lang w:val="fr-FR"/>
        </w:rPr>
      </w:pPr>
      <w:r w:rsidRPr="00686CD4">
        <w:rPr>
          <w:lang w:val="fr-FR"/>
        </w:rPr>
        <w:t>47.</w:t>
      </w:r>
      <w:r w:rsidRPr="00686CD4">
        <w:rPr>
          <w:lang w:val="fr-FR"/>
        </w:rPr>
        <w:tab/>
        <w:t>La Garde nationale républicaine a formé des équipes spécialisées d</w:t>
      </w:r>
      <w:r>
        <w:rPr>
          <w:lang w:val="fr-FR"/>
        </w:rPr>
        <w:t>’</w:t>
      </w:r>
      <w:r w:rsidRPr="00686CD4">
        <w:rPr>
          <w:lang w:val="fr-FR"/>
        </w:rPr>
        <w:t>enquête et d</w:t>
      </w:r>
      <w:r>
        <w:rPr>
          <w:lang w:val="fr-FR"/>
        </w:rPr>
        <w:t>’</w:t>
      </w:r>
      <w:r w:rsidRPr="00686CD4">
        <w:rPr>
          <w:lang w:val="fr-FR"/>
        </w:rPr>
        <w:t>appui aux victimes (NIAVE) qui sont réparties sur l</w:t>
      </w:r>
      <w:r>
        <w:rPr>
          <w:lang w:val="fr-FR"/>
        </w:rPr>
        <w:t>’</w:t>
      </w:r>
      <w:r w:rsidRPr="00686CD4">
        <w:rPr>
          <w:lang w:val="fr-FR"/>
        </w:rPr>
        <w:t>ensemble du territoire</w:t>
      </w:r>
      <w:r>
        <w:rPr>
          <w:lang w:val="fr-FR"/>
        </w:rPr>
        <w:t>.</w:t>
      </w:r>
      <w:r w:rsidRPr="00686CD4">
        <w:rPr>
          <w:lang w:val="fr-FR"/>
        </w:rPr>
        <w:t xml:space="preserve"> Ces équipes ont pour mission spéciale d</w:t>
      </w:r>
      <w:r>
        <w:rPr>
          <w:lang w:val="fr-FR"/>
        </w:rPr>
        <w:t>’</w:t>
      </w:r>
      <w:r w:rsidRPr="00686CD4">
        <w:rPr>
          <w:lang w:val="fr-FR"/>
        </w:rPr>
        <w:t>enquêter et de travailler en étroite collaboration et coopération avec d</w:t>
      </w:r>
      <w:r>
        <w:rPr>
          <w:lang w:val="fr-FR"/>
        </w:rPr>
        <w:t>’</w:t>
      </w:r>
      <w:r w:rsidRPr="00686CD4">
        <w:rPr>
          <w:lang w:val="fr-FR"/>
        </w:rPr>
        <w:t>autres services établis au profit de la collectivité, comme l</w:t>
      </w:r>
      <w:r>
        <w:rPr>
          <w:lang w:val="fr-FR"/>
        </w:rPr>
        <w:t>’</w:t>
      </w:r>
      <w:r w:rsidRPr="00686CD4">
        <w:rPr>
          <w:lang w:val="fr-FR"/>
        </w:rPr>
        <w:t xml:space="preserve">administration de sécurité sociale et les ONG, dans une perspective interdisciplinaire. </w:t>
      </w:r>
    </w:p>
    <w:p w:rsidR="002A7A34" w:rsidRPr="00686CD4" w:rsidRDefault="002A7A34" w:rsidP="00BC3387">
      <w:pPr>
        <w:pStyle w:val="H23G"/>
        <w:jc w:val="both"/>
        <w:rPr>
          <w:lang w:val="fr-FR"/>
        </w:rPr>
      </w:pPr>
      <w:r w:rsidRPr="00686CD4">
        <w:rPr>
          <w:lang w:val="fr-FR"/>
        </w:rPr>
        <w:tab/>
      </w:r>
      <w:r w:rsidRPr="00686CD4">
        <w:rPr>
          <w:lang w:val="fr-FR"/>
        </w:rPr>
        <w:tab/>
      </w:r>
      <w:r w:rsidRPr="00686CD4">
        <w:rPr>
          <w:lang w:val="fr-FR"/>
        </w:rPr>
        <w:tab/>
        <w:t>c)</w:t>
      </w:r>
      <w:r w:rsidRPr="00686CD4">
        <w:rPr>
          <w:lang w:val="fr-FR"/>
        </w:rPr>
        <w:tab/>
        <w:t>Des données à jour sur les mesures prises pour renforcer la prévention de toutes les formes de violence contre les femmes, les enfants et les personnes âgées, ainsi que sur les enquêtes ouvertes et les peines prononcées contre les auteurs, et notamment une évaluation des effets du Plan d</w:t>
      </w:r>
      <w:r>
        <w:rPr>
          <w:lang w:val="fr-FR"/>
        </w:rPr>
        <w:t>’</w:t>
      </w:r>
      <w:r w:rsidRPr="00686CD4">
        <w:rPr>
          <w:lang w:val="fr-FR"/>
        </w:rPr>
        <w:t>action national pour la prévention de la violence à l</w:t>
      </w:r>
      <w:r>
        <w:rPr>
          <w:lang w:val="fr-FR"/>
        </w:rPr>
        <w:t>’</w:t>
      </w:r>
      <w:r w:rsidRPr="00686CD4">
        <w:rPr>
          <w:lang w:val="fr-FR"/>
        </w:rPr>
        <w:t xml:space="preserve">encontre des personnes âgées. </w:t>
      </w:r>
      <w:r w:rsidRPr="00686CD4">
        <w:rPr>
          <w:bCs/>
          <w:lang w:val="fr-FR"/>
        </w:rPr>
        <w:t>Indiquer également quelles incidences a eu jusque-là à cet égard le cinquième Plan d</w:t>
      </w:r>
      <w:r>
        <w:rPr>
          <w:bCs/>
          <w:lang w:val="fr-FR"/>
        </w:rPr>
        <w:t>’</w:t>
      </w:r>
      <w:r w:rsidRPr="00686CD4">
        <w:rPr>
          <w:bCs/>
          <w:lang w:val="fr-FR"/>
        </w:rPr>
        <w:t>action national pour prévenir et combattre la violence intrafamiliale et la violence sexiste (2014</w:t>
      </w:r>
      <w:r w:rsidR="00BC3387">
        <w:rPr>
          <w:bCs/>
          <w:lang w:val="fr-FR"/>
        </w:rPr>
        <w:t>-</w:t>
      </w:r>
      <w:r w:rsidRPr="00686CD4">
        <w:rPr>
          <w:bCs/>
          <w:lang w:val="fr-FR"/>
        </w:rPr>
        <w:t>2017)</w:t>
      </w:r>
      <w:r w:rsidR="00495D0F">
        <w:rPr>
          <w:bCs/>
          <w:lang w:val="fr-FR"/>
        </w:rPr>
        <w:t> ;</w:t>
      </w:r>
      <w:bookmarkStart w:id="14" w:name="_Toc532494617"/>
      <w:bookmarkEnd w:id="14"/>
    </w:p>
    <w:p w:rsidR="002A7A34" w:rsidRPr="00686CD4" w:rsidRDefault="002A7A34" w:rsidP="002A7A34">
      <w:pPr>
        <w:pStyle w:val="SingleTxtG"/>
        <w:rPr>
          <w:lang w:val="fr-FR"/>
        </w:rPr>
      </w:pPr>
      <w:r w:rsidRPr="00686CD4">
        <w:rPr>
          <w:lang w:val="fr-FR"/>
        </w:rPr>
        <w:t>48.</w:t>
      </w:r>
      <w:r w:rsidRPr="00686CD4">
        <w:rPr>
          <w:lang w:val="fr-FR"/>
        </w:rPr>
        <w:tab/>
        <w:t>Voir la réponse donnée plus haut, au paragraphe 3</w:t>
      </w:r>
      <w:r w:rsidR="00766406">
        <w:rPr>
          <w:lang w:val="fr-FR"/>
        </w:rPr>
        <w:t> </w:t>
      </w:r>
      <w:r w:rsidRPr="00686CD4">
        <w:rPr>
          <w:lang w:val="fr-FR"/>
        </w:rPr>
        <w:t>b).</w:t>
      </w:r>
    </w:p>
    <w:p w:rsidR="002A7A34" w:rsidRPr="00686CD4" w:rsidRDefault="002A7A34" w:rsidP="00BC3387">
      <w:pPr>
        <w:pStyle w:val="SingleTxtG"/>
        <w:rPr>
          <w:lang w:val="fr-FR"/>
        </w:rPr>
      </w:pPr>
      <w:r w:rsidRPr="00686CD4">
        <w:rPr>
          <w:lang w:val="fr-FR"/>
        </w:rPr>
        <w:t>49.</w:t>
      </w:r>
      <w:r w:rsidRPr="00686CD4">
        <w:rPr>
          <w:lang w:val="fr-FR"/>
        </w:rPr>
        <w:tab/>
        <w:t xml:space="preserve">Le </w:t>
      </w:r>
      <w:r w:rsidR="00BC3387">
        <w:rPr>
          <w:lang w:val="fr-FR"/>
        </w:rPr>
        <w:t>c</w:t>
      </w:r>
      <w:r w:rsidRPr="00686CD4">
        <w:rPr>
          <w:lang w:val="fr-FR"/>
        </w:rPr>
        <w:t>inquième Plan d</w:t>
      </w:r>
      <w:r>
        <w:rPr>
          <w:lang w:val="fr-FR"/>
        </w:rPr>
        <w:t>’</w:t>
      </w:r>
      <w:r w:rsidRPr="00686CD4">
        <w:rPr>
          <w:lang w:val="fr-FR"/>
        </w:rPr>
        <w:t>action national pour prévenir et combattre la violence intrafamiliale et la violence sexiste (2014-2017) prévoit des mesures de prévention, comme l</w:t>
      </w:r>
      <w:r>
        <w:rPr>
          <w:lang w:val="fr-FR"/>
        </w:rPr>
        <w:t>’</w:t>
      </w:r>
      <w:r w:rsidRPr="00686CD4">
        <w:rPr>
          <w:lang w:val="fr-FR"/>
        </w:rPr>
        <w:t>accroissement du rôle des municipalités, la mise au point de programmes visant à éliminer les stéréotypes sexistes et à autonomiser les femmes et les filles en privilégiant l</w:t>
      </w:r>
      <w:r>
        <w:rPr>
          <w:lang w:val="fr-FR"/>
        </w:rPr>
        <w:t>’</w:t>
      </w:r>
      <w:r w:rsidRPr="00686CD4">
        <w:rPr>
          <w:lang w:val="fr-FR"/>
        </w:rPr>
        <w:t xml:space="preserve">éducation des populations locales, </w:t>
      </w:r>
      <w:r>
        <w:rPr>
          <w:lang w:val="fr-FR"/>
        </w:rPr>
        <w:t>ainsi que des mesures</w:t>
      </w:r>
      <w:r w:rsidR="00495D0F">
        <w:rPr>
          <w:lang w:val="fr-FR"/>
        </w:rPr>
        <w:t xml:space="preserve"> </w:t>
      </w:r>
      <w:r>
        <w:rPr>
          <w:lang w:val="fr-FR"/>
        </w:rPr>
        <w:t xml:space="preserve">pour lutter contre </w:t>
      </w:r>
      <w:r w:rsidRPr="00686CD4">
        <w:rPr>
          <w:lang w:val="fr-FR"/>
        </w:rPr>
        <w:t>le harcèlement, la violence perpétrée au moyen des nouvelles technologies de l</w:t>
      </w:r>
      <w:r>
        <w:rPr>
          <w:lang w:val="fr-FR"/>
        </w:rPr>
        <w:t>’</w:t>
      </w:r>
      <w:r w:rsidRPr="00686CD4">
        <w:rPr>
          <w:lang w:val="fr-FR"/>
        </w:rPr>
        <w:t>information et la violence dans le cadre des fréquentations à l</w:t>
      </w:r>
      <w:r>
        <w:rPr>
          <w:lang w:val="fr-FR"/>
        </w:rPr>
        <w:t>’</w:t>
      </w:r>
      <w:r w:rsidRPr="00686CD4">
        <w:rPr>
          <w:lang w:val="fr-FR"/>
        </w:rPr>
        <w:t>adolescence.</w:t>
      </w:r>
    </w:p>
    <w:p w:rsidR="002A7A34" w:rsidRPr="00686CD4" w:rsidRDefault="002A7A34" w:rsidP="00BC3387">
      <w:pPr>
        <w:pStyle w:val="SingleTxtG"/>
        <w:rPr>
          <w:lang w:val="fr-FR"/>
        </w:rPr>
      </w:pPr>
      <w:r w:rsidRPr="00686CD4">
        <w:rPr>
          <w:lang w:val="fr-FR"/>
        </w:rPr>
        <w:t>50.</w:t>
      </w:r>
      <w:r w:rsidRPr="00686CD4">
        <w:rPr>
          <w:lang w:val="fr-FR"/>
        </w:rPr>
        <w:tab/>
        <w:t>Depuis mars</w:t>
      </w:r>
      <w:r w:rsidR="00BC3387">
        <w:rPr>
          <w:lang w:val="fr-FR"/>
        </w:rPr>
        <w:t xml:space="preserve"> </w:t>
      </w:r>
      <w:r w:rsidRPr="00686CD4">
        <w:rPr>
          <w:lang w:val="fr-FR"/>
        </w:rPr>
        <w:t>2017, les victimes de violence intrafamiliale et les professionnels concernés peuvent utiliser une application téléphonique</w:t>
      </w:r>
      <w:r w:rsidRPr="00F16A9E">
        <w:rPr>
          <w:rStyle w:val="Appelnotedebasdep"/>
        </w:rPr>
        <w:footnoteReference w:id="6"/>
      </w:r>
      <w:r w:rsidRPr="00686CD4">
        <w:rPr>
          <w:lang w:val="fr-FR"/>
        </w:rPr>
        <w:t xml:space="preserve"> qui leur donne accès à des informations sur tous les services d</w:t>
      </w:r>
      <w:r>
        <w:rPr>
          <w:lang w:val="fr-FR"/>
        </w:rPr>
        <w:t>’</w:t>
      </w:r>
      <w:r w:rsidRPr="00686CD4">
        <w:rPr>
          <w:lang w:val="fr-FR"/>
        </w:rPr>
        <w:t>aide disponibles et sur les façons de déposer une plainte ou de solliciter des renseignements, ainsi qu</w:t>
      </w:r>
      <w:r>
        <w:rPr>
          <w:lang w:val="fr-FR"/>
        </w:rPr>
        <w:t>’</w:t>
      </w:r>
      <w:r w:rsidRPr="00686CD4">
        <w:rPr>
          <w:lang w:val="fr-FR"/>
        </w:rPr>
        <w:t>à des entités qui fournissent des conseils juridiques ou psychologiques</w:t>
      </w:r>
      <w:r>
        <w:rPr>
          <w:lang w:val="fr-FR"/>
        </w:rPr>
        <w:t>.</w:t>
      </w:r>
      <w:r w:rsidRPr="00686CD4">
        <w:rPr>
          <w:lang w:val="fr-FR"/>
        </w:rPr>
        <w:t xml:space="preserve"> Cette application permet d</w:t>
      </w:r>
      <w:r>
        <w:rPr>
          <w:lang w:val="fr-FR"/>
        </w:rPr>
        <w:t>’</w:t>
      </w:r>
      <w:r w:rsidRPr="00686CD4">
        <w:rPr>
          <w:lang w:val="fr-FR"/>
        </w:rPr>
        <w:t xml:space="preserve">appeler directement ces services par téléphone, ou de leur envoyer des messages électroniques. </w:t>
      </w:r>
    </w:p>
    <w:p w:rsidR="002A7A34" w:rsidRPr="00686CD4" w:rsidRDefault="002A7A34" w:rsidP="00BC3387">
      <w:pPr>
        <w:pStyle w:val="SingleTxtG"/>
        <w:rPr>
          <w:lang w:val="fr-FR"/>
        </w:rPr>
      </w:pPr>
      <w:r w:rsidRPr="00686CD4">
        <w:rPr>
          <w:lang w:val="fr-FR"/>
        </w:rPr>
        <w:t>51.</w:t>
      </w:r>
      <w:r w:rsidRPr="00686CD4">
        <w:rPr>
          <w:lang w:val="fr-FR"/>
        </w:rPr>
        <w:tab/>
        <w:t>Cette application a été installée dans près d</w:t>
      </w:r>
      <w:r>
        <w:rPr>
          <w:lang w:val="fr-FR"/>
        </w:rPr>
        <w:t>’</w:t>
      </w:r>
      <w:r w:rsidRPr="00686CD4">
        <w:rPr>
          <w:lang w:val="fr-FR"/>
        </w:rPr>
        <w:t>un millier de téléphones mobiles depuis le mois de mars, et est utilisée par les victimes et les professionnels.</w:t>
      </w:r>
    </w:p>
    <w:p w:rsidR="002A7A34" w:rsidRPr="00686CD4" w:rsidRDefault="002A7A34" w:rsidP="0017550A">
      <w:pPr>
        <w:pStyle w:val="SingleTxtG"/>
        <w:keepLines/>
        <w:rPr>
          <w:lang w:val="fr-FR"/>
        </w:rPr>
      </w:pPr>
      <w:r w:rsidRPr="00686CD4">
        <w:rPr>
          <w:lang w:val="fr-FR"/>
        </w:rPr>
        <w:lastRenderedPageBreak/>
        <w:t>52.</w:t>
      </w:r>
      <w:r w:rsidRPr="00686CD4">
        <w:rPr>
          <w:lang w:val="fr-FR"/>
        </w:rPr>
        <w:tab/>
        <w:t>Il convient également de mentionner l</w:t>
      </w:r>
      <w:r>
        <w:rPr>
          <w:lang w:val="fr-FR"/>
        </w:rPr>
        <w:t>’</w:t>
      </w:r>
      <w:r w:rsidRPr="00686CD4">
        <w:rPr>
          <w:lang w:val="fr-FR"/>
        </w:rPr>
        <w:t>allocation de ressources budgétaires aux activités axées sur la violence intrafamiliale compte tenu des disparités entre les sexes</w:t>
      </w:r>
      <w:r>
        <w:rPr>
          <w:lang w:val="fr-FR"/>
        </w:rPr>
        <w:t>.</w:t>
      </w:r>
      <w:r w:rsidRPr="00686CD4">
        <w:rPr>
          <w:lang w:val="fr-FR"/>
        </w:rPr>
        <w:t xml:space="preserve"> Depuis 2016, chaque ministère doit indiquer, dans le budget de l</w:t>
      </w:r>
      <w:r>
        <w:rPr>
          <w:lang w:val="fr-FR"/>
        </w:rPr>
        <w:t>’</w:t>
      </w:r>
      <w:r w:rsidRPr="00686CD4">
        <w:rPr>
          <w:lang w:val="fr-FR"/>
        </w:rPr>
        <w:t>État, les montants qu</w:t>
      </w:r>
      <w:r>
        <w:rPr>
          <w:lang w:val="fr-FR"/>
        </w:rPr>
        <w:t>’</w:t>
      </w:r>
      <w:r w:rsidRPr="00686CD4">
        <w:rPr>
          <w:lang w:val="fr-FR"/>
        </w:rPr>
        <w:t>il consacre à la prévention de la violence familiale ainsi qu</w:t>
      </w:r>
      <w:r>
        <w:rPr>
          <w:lang w:val="fr-FR"/>
        </w:rPr>
        <w:t>’</w:t>
      </w:r>
      <w:r w:rsidRPr="00686CD4">
        <w:rPr>
          <w:lang w:val="fr-FR"/>
        </w:rPr>
        <w:t>à la protection des victimes et à la fourniture d</w:t>
      </w:r>
      <w:r>
        <w:rPr>
          <w:lang w:val="fr-FR"/>
        </w:rPr>
        <w:t>’</w:t>
      </w:r>
      <w:r w:rsidRPr="00686CD4">
        <w:rPr>
          <w:lang w:val="fr-FR"/>
        </w:rPr>
        <w:t xml:space="preserve">une aide à ces dernières. </w:t>
      </w:r>
    </w:p>
    <w:p w:rsidR="002A7A34" w:rsidRPr="00686CD4" w:rsidRDefault="002A7A34" w:rsidP="0017550A">
      <w:pPr>
        <w:pStyle w:val="SingleTxtG"/>
        <w:rPr>
          <w:lang w:val="fr-FR"/>
        </w:rPr>
      </w:pPr>
      <w:r w:rsidRPr="00686CD4">
        <w:rPr>
          <w:lang w:val="fr-FR"/>
        </w:rPr>
        <w:t>53.</w:t>
      </w:r>
      <w:r w:rsidRPr="00686CD4">
        <w:rPr>
          <w:lang w:val="fr-FR"/>
        </w:rPr>
        <w:tab/>
        <w:t xml:space="preserve">La </w:t>
      </w:r>
      <w:r w:rsidR="00766406">
        <w:rPr>
          <w:lang w:val="fr-FR"/>
        </w:rPr>
        <w:t>S</w:t>
      </w:r>
      <w:r w:rsidRPr="00686CD4">
        <w:rPr>
          <w:lang w:val="fr-FR"/>
        </w:rPr>
        <w:t>tratégie nationale pour l</w:t>
      </w:r>
      <w:r>
        <w:rPr>
          <w:lang w:val="fr-FR"/>
        </w:rPr>
        <w:t>’</w:t>
      </w:r>
      <w:r w:rsidRPr="00686CD4">
        <w:rPr>
          <w:lang w:val="fr-FR"/>
        </w:rPr>
        <w:t>éducation civique, qui a été lancée en septembre</w:t>
      </w:r>
      <w:r w:rsidR="0017550A">
        <w:rPr>
          <w:lang w:val="fr-FR"/>
        </w:rPr>
        <w:t xml:space="preserve"> </w:t>
      </w:r>
      <w:r w:rsidRPr="00686CD4">
        <w:rPr>
          <w:lang w:val="fr-FR"/>
        </w:rPr>
        <w:t>2017 en tant que projet pilote dans 235 écoles du pays, devrait à terme couvrir tous les établissements scolaires et tous les niveaux d</w:t>
      </w:r>
      <w:r>
        <w:rPr>
          <w:lang w:val="fr-FR"/>
        </w:rPr>
        <w:t>’</w:t>
      </w:r>
      <w:r w:rsidRPr="00686CD4">
        <w:rPr>
          <w:lang w:val="fr-FR"/>
        </w:rPr>
        <w:t>enseignement. Elle met l</w:t>
      </w:r>
      <w:r>
        <w:rPr>
          <w:lang w:val="fr-FR"/>
        </w:rPr>
        <w:t>’</w:t>
      </w:r>
      <w:r w:rsidRPr="00686CD4">
        <w:rPr>
          <w:lang w:val="fr-FR"/>
        </w:rPr>
        <w:t>accent sur les compétences et les connaissances civiques des enfants et des jeunes, pour les préparer à devenir des citoyens qui apprécient et appliqu</w:t>
      </w:r>
      <w:r>
        <w:rPr>
          <w:lang w:val="fr-FR"/>
        </w:rPr>
        <w:t>e</w:t>
      </w:r>
      <w:r w:rsidRPr="00686CD4">
        <w:rPr>
          <w:lang w:val="fr-FR"/>
        </w:rPr>
        <w:t>nt les principes de l</w:t>
      </w:r>
      <w:r>
        <w:rPr>
          <w:lang w:val="fr-FR"/>
        </w:rPr>
        <w:t>’</w:t>
      </w:r>
      <w:r w:rsidRPr="00686CD4">
        <w:rPr>
          <w:lang w:val="fr-FR"/>
        </w:rPr>
        <w:t>égalité des sexes, des droits fondamentaux et de la non-discrimination, et respectent les relations interpersonnelles et la diversité.</w:t>
      </w:r>
    </w:p>
    <w:p w:rsidR="002A7A34" w:rsidRPr="00686CD4" w:rsidRDefault="002A7A34" w:rsidP="0017550A">
      <w:pPr>
        <w:pStyle w:val="SingleTxtG"/>
        <w:rPr>
          <w:lang w:val="fr-FR"/>
        </w:rPr>
      </w:pPr>
      <w:r w:rsidRPr="00686CD4">
        <w:rPr>
          <w:lang w:val="fr-FR"/>
        </w:rPr>
        <w:t>54.</w:t>
      </w:r>
      <w:r w:rsidRPr="00686CD4">
        <w:rPr>
          <w:lang w:val="fr-FR"/>
        </w:rPr>
        <w:tab/>
        <w:t>Enfin, un projet sur la violence sexuelle dans les relations intimes sera poursuivi de mai 2017 à novembre 2019. Ce projet, qui est financé par la Commission européenne, est appuyé par la Commission nationale pour la citoyenneté et l</w:t>
      </w:r>
      <w:r>
        <w:rPr>
          <w:lang w:val="fr-FR"/>
        </w:rPr>
        <w:t>’</w:t>
      </w:r>
      <w:r w:rsidRPr="00686CD4">
        <w:rPr>
          <w:lang w:val="fr-FR"/>
        </w:rPr>
        <w:t>égalité des sexes et a été conçu en partenariat avec les Ministères de l</w:t>
      </w:r>
      <w:r>
        <w:rPr>
          <w:lang w:val="fr-FR"/>
        </w:rPr>
        <w:t>’</w:t>
      </w:r>
      <w:r w:rsidRPr="00686CD4">
        <w:rPr>
          <w:lang w:val="fr-FR"/>
        </w:rPr>
        <w:t>éducation, de la santé, de la justice, du travail, de la solidarité et de la sécurité sociale, et des affaires intérieures. Il doit permettre de concevoir des matériels d</w:t>
      </w:r>
      <w:r>
        <w:rPr>
          <w:lang w:val="fr-FR"/>
        </w:rPr>
        <w:t>’</w:t>
      </w:r>
      <w:r w:rsidRPr="00686CD4">
        <w:rPr>
          <w:lang w:val="fr-FR"/>
        </w:rPr>
        <w:t>information et de sensibilisation, et d</w:t>
      </w:r>
      <w:r>
        <w:rPr>
          <w:lang w:val="fr-FR"/>
        </w:rPr>
        <w:t>’</w:t>
      </w:r>
      <w:r w:rsidRPr="00686CD4">
        <w:rPr>
          <w:lang w:val="fr-FR"/>
        </w:rPr>
        <w:t>organiser des campagnes et des actions de formation à l</w:t>
      </w:r>
      <w:r>
        <w:rPr>
          <w:lang w:val="fr-FR"/>
        </w:rPr>
        <w:t>’</w:t>
      </w:r>
      <w:r w:rsidRPr="00686CD4">
        <w:rPr>
          <w:lang w:val="fr-FR"/>
        </w:rPr>
        <w:t>intention des fonctionnaires des administrations publiques qui s</w:t>
      </w:r>
      <w:r>
        <w:rPr>
          <w:lang w:val="fr-FR"/>
        </w:rPr>
        <w:t>’</w:t>
      </w:r>
      <w:r w:rsidRPr="00686CD4">
        <w:rPr>
          <w:lang w:val="fr-FR"/>
        </w:rPr>
        <w:t xml:space="preserve">emploient à prévenir ce type de violence. </w:t>
      </w:r>
    </w:p>
    <w:p w:rsidR="002A7A34" w:rsidRPr="00686CD4" w:rsidRDefault="002A7A34" w:rsidP="0017550A">
      <w:pPr>
        <w:pStyle w:val="SingleTxtG"/>
        <w:rPr>
          <w:lang w:val="fr-FR"/>
        </w:rPr>
      </w:pPr>
      <w:r w:rsidRPr="00686CD4">
        <w:rPr>
          <w:lang w:val="fr-FR"/>
        </w:rPr>
        <w:t>55.</w:t>
      </w:r>
      <w:r w:rsidRPr="00686CD4">
        <w:rPr>
          <w:lang w:val="fr-FR"/>
        </w:rPr>
        <w:tab/>
        <w:t xml:space="preserve">Le </w:t>
      </w:r>
      <w:r w:rsidR="0017550A">
        <w:rPr>
          <w:lang w:val="fr-FR"/>
        </w:rPr>
        <w:t>cinquième</w:t>
      </w:r>
      <w:r w:rsidRPr="00686CD4">
        <w:rPr>
          <w:lang w:val="fr-FR"/>
        </w:rPr>
        <w:t xml:space="preserve"> Plan sera évalué lorsqu</w:t>
      </w:r>
      <w:r>
        <w:rPr>
          <w:lang w:val="fr-FR"/>
        </w:rPr>
        <w:t>’</w:t>
      </w:r>
      <w:r w:rsidRPr="00686CD4">
        <w:rPr>
          <w:lang w:val="fr-FR"/>
        </w:rPr>
        <w:t xml:space="preserve">il aura pris fin, </w:t>
      </w:r>
      <w:r w:rsidR="00B545C2">
        <w:rPr>
          <w:lang w:val="fr-FR"/>
        </w:rPr>
        <w:t xml:space="preserve">en </w:t>
      </w:r>
      <w:r w:rsidRPr="00686CD4">
        <w:rPr>
          <w:lang w:val="fr-FR"/>
        </w:rPr>
        <w:t>2018.</w:t>
      </w:r>
    </w:p>
    <w:p w:rsidR="002A7A34" w:rsidRPr="00686CD4" w:rsidRDefault="002A7A34" w:rsidP="0017550A">
      <w:pPr>
        <w:pStyle w:val="SingleTxtG"/>
        <w:rPr>
          <w:rFonts w:eastAsia="Calibri"/>
          <w:lang w:val="fr-FR"/>
        </w:rPr>
      </w:pPr>
      <w:r w:rsidRPr="00686CD4">
        <w:rPr>
          <w:lang w:val="fr-FR"/>
        </w:rPr>
        <w:t>56.</w:t>
      </w:r>
      <w:r w:rsidRPr="00686CD4">
        <w:rPr>
          <w:lang w:val="fr-FR"/>
        </w:rPr>
        <w:tab/>
        <w:t>Le Gouvernement a aussi récemment demandé qu</w:t>
      </w:r>
      <w:r>
        <w:rPr>
          <w:lang w:val="fr-FR"/>
        </w:rPr>
        <w:t>’</w:t>
      </w:r>
      <w:r w:rsidRPr="00686CD4">
        <w:rPr>
          <w:lang w:val="fr-FR"/>
        </w:rPr>
        <w:t>une étude soit menée pour évaluer les politiques publiques formulées depuis le premier Plan d</w:t>
      </w:r>
      <w:r>
        <w:rPr>
          <w:lang w:val="fr-FR"/>
        </w:rPr>
        <w:t>’</w:t>
      </w:r>
      <w:r w:rsidRPr="00686CD4">
        <w:rPr>
          <w:lang w:val="fr-FR"/>
        </w:rPr>
        <w:t xml:space="preserve">action pour prévenir et combattre la violence intrafamiliale et la violence sexiste (1999). Il sera fait appel, à cette fin, aux compétences de différentes universités qui se sont spécialisées dans ce domaine. </w:t>
      </w:r>
    </w:p>
    <w:p w:rsidR="002A7A34" w:rsidRPr="00686CD4" w:rsidRDefault="002A7A34" w:rsidP="0017550A">
      <w:pPr>
        <w:pStyle w:val="SingleTxtG"/>
        <w:rPr>
          <w:lang w:val="fr-FR"/>
        </w:rPr>
      </w:pPr>
      <w:r w:rsidRPr="00686CD4">
        <w:rPr>
          <w:lang w:val="fr-FR"/>
        </w:rPr>
        <w:t>57.</w:t>
      </w:r>
      <w:r w:rsidRPr="00686CD4">
        <w:rPr>
          <w:lang w:val="fr-FR"/>
        </w:rPr>
        <w:tab/>
        <w:t>Le 8 mars 2018, le Portugal a approuvé la Stratégie nationale pour l</w:t>
      </w:r>
      <w:r>
        <w:rPr>
          <w:lang w:val="fr-FR"/>
        </w:rPr>
        <w:t>’</w:t>
      </w:r>
      <w:r w:rsidRPr="00686CD4">
        <w:rPr>
          <w:lang w:val="fr-FR"/>
        </w:rPr>
        <w:t>égalité et la non-discrimination à l</w:t>
      </w:r>
      <w:r>
        <w:rPr>
          <w:lang w:val="fr-FR"/>
        </w:rPr>
        <w:t>’</w:t>
      </w:r>
      <w:r w:rsidRPr="00686CD4">
        <w:rPr>
          <w:lang w:val="fr-FR"/>
        </w:rPr>
        <w:t>horizon</w:t>
      </w:r>
      <w:r>
        <w:rPr>
          <w:lang w:val="fr-FR"/>
        </w:rPr>
        <w:t> </w:t>
      </w:r>
      <w:r w:rsidRPr="00686CD4">
        <w:rPr>
          <w:lang w:val="fr-FR"/>
        </w:rPr>
        <w:t>2030, qui cadre avec les objectifs de développement durable et énonce les directives et mesures ci- après, qui concernent</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L</w:t>
      </w:r>
      <w:r w:rsidRPr="00686CD4">
        <w:rPr>
          <w:lang w:val="fr-FR"/>
        </w:rPr>
        <w:t>a politique publique dans le domaine de l</w:t>
      </w:r>
      <w:r>
        <w:rPr>
          <w:lang w:val="fr-FR"/>
        </w:rPr>
        <w:t>’</w:t>
      </w:r>
      <w:r w:rsidRPr="00686CD4">
        <w:rPr>
          <w:lang w:val="fr-FR"/>
        </w:rPr>
        <w:t>égalité entre les femmes et les hommes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L</w:t>
      </w:r>
      <w:r w:rsidRPr="00686CD4">
        <w:rPr>
          <w:lang w:val="fr-FR"/>
        </w:rPr>
        <w:t>a prévention et la répression de la violence contre les femmes et de la violence intrafamiliale</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L</w:t>
      </w:r>
      <w:r w:rsidRPr="00686CD4">
        <w:rPr>
          <w:lang w:val="fr-FR"/>
        </w:rPr>
        <w:t>a discrimination fondée sur l</w:t>
      </w:r>
      <w:r>
        <w:rPr>
          <w:lang w:val="fr-FR"/>
        </w:rPr>
        <w:t>’</w:t>
      </w:r>
      <w:r w:rsidRPr="00686CD4">
        <w:rPr>
          <w:lang w:val="fr-FR"/>
        </w:rPr>
        <w:t>orientation sexuelle, l</w:t>
      </w:r>
      <w:r>
        <w:rPr>
          <w:lang w:val="fr-FR"/>
        </w:rPr>
        <w:t>’</w:t>
      </w:r>
      <w:r w:rsidRPr="00686CD4">
        <w:rPr>
          <w:lang w:val="fr-FR"/>
        </w:rPr>
        <w:t>identité de genre et les caractéristiques sexuelles</w:t>
      </w:r>
      <w:r w:rsidR="0017550A">
        <w:rPr>
          <w:lang w:val="fr-FR"/>
        </w:rPr>
        <w:t>.</w:t>
      </w:r>
    </w:p>
    <w:p w:rsidR="002A7A34" w:rsidRPr="00686CD4" w:rsidRDefault="002A7A34" w:rsidP="0017550A">
      <w:pPr>
        <w:pStyle w:val="SingleTxtG"/>
        <w:rPr>
          <w:lang w:val="fr-FR"/>
        </w:rPr>
      </w:pPr>
      <w:r w:rsidRPr="00686CD4">
        <w:rPr>
          <w:lang w:val="fr-FR"/>
        </w:rPr>
        <w:t>58.</w:t>
      </w:r>
      <w:r w:rsidRPr="00686CD4">
        <w:rPr>
          <w:lang w:val="fr-FR"/>
        </w:rPr>
        <w:tab/>
        <w:t xml:space="preserve">La </w:t>
      </w:r>
      <w:r w:rsidR="00766406">
        <w:rPr>
          <w:lang w:val="fr-FR"/>
        </w:rPr>
        <w:t>S</w:t>
      </w:r>
      <w:r w:rsidRPr="00686CD4">
        <w:rPr>
          <w:lang w:val="fr-FR"/>
        </w:rPr>
        <w:t>tratégie vise, dans le contexte du programme pour l</w:t>
      </w:r>
      <w:r>
        <w:rPr>
          <w:lang w:val="fr-FR"/>
        </w:rPr>
        <w:t>’</w:t>
      </w:r>
      <w:r w:rsidRPr="00686CD4">
        <w:rPr>
          <w:lang w:val="fr-FR"/>
        </w:rPr>
        <w:t>égalité des sexes sur le marché du travail et dans les entreprises, à renforcer la lutte contre la ségrégation des emplois, à promouvoir l</w:t>
      </w:r>
      <w:r>
        <w:rPr>
          <w:lang w:val="fr-FR"/>
        </w:rPr>
        <w:t>’</w:t>
      </w:r>
      <w:r w:rsidRPr="00686CD4">
        <w:rPr>
          <w:lang w:val="fr-FR"/>
        </w:rPr>
        <w:t xml:space="preserve">égalité de rémunération et la conciliation de la vie professionnelle, de la vie familiale et de la vie personnelle et à encourager le dialogue avec les partenaires sociaux. </w:t>
      </w:r>
    </w:p>
    <w:p w:rsidR="002A7A34" w:rsidRPr="00686CD4" w:rsidRDefault="002A7A34" w:rsidP="0017550A">
      <w:pPr>
        <w:pStyle w:val="SingleTxtG"/>
        <w:rPr>
          <w:lang w:val="fr-FR"/>
        </w:rPr>
      </w:pPr>
      <w:r w:rsidRPr="00686CD4">
        <w:rPr>
          <w:lang w:val="fr-FR"/>
        </w:rPr>
        <w:t>59.</w:t>
      </w:r>
      <w:r w:rsidRPr="00686CD4">
        <w:rPr>
          <w:lang w:val="fr-FR"/>
        </w:rPr>
        <w:tab/>
        <w:t xml:space="preserve">La </w:t>
      </w:r>
      <w:r w:rsidR="00766406">
        <w:rPr>
          <w:lang w:val="fr-FR"/>
        </w:rPr>
        <w:t>S</w:t>
      </w:r>
      <w:r w:rsidRPr="00686CD4">
        <w:rPr>
          <w:lang w:val="fr-FR"/>
        </w:rPr>
        <w:t>tratégie vise également à renforcer les mesures prises pour prévenir et combattre la violence à l</w:t>
      </w:r>
      <w:r>
        <w:rPr>
          <w:lang w:val="fr-FR"/>
        </w:rPr>
        <w:t>’</w:t>
      </w:r>
      <w:r w:rsidRPr="00686CD4">
        <w:rPr>
          <w:lang w:val="fr-FR"/>
        </w:rPr>
        <w:t>égard des femmes en mettant l</w:t>
      </w:r>
      <w:r>
        <w:rPr>
          <w:lang w:val="fr-FR"/>
        </w:rPr>
        <w:t>’</w:t>
      </w:r>
      <w:r w:rsidRPr="00686CD4">
        <w:rPr>
          <w:lang w:val="fr-FR"/>
        </w:rPr>
        <w:t>accent sur la prévention primaire et secondaire, les interventions auprès de groupes vulnérables ou défavorisés, l</w:t>
      </w:r>
      <w:r>
        <w:rPr>
          <w:lang w:val="fr-FR"/>
        </w:rPr>
        <w:t>’</w:t>
      </w:r>
      <w:r w:rsidRPr="00686CD4">
        <w:rPr>
          <w:lang w:val="fr-FR"/>
        </w:rPr>
        <w:t>autonomisation des victimes, la formation des professionnels et les actions menées pour prévenir et combattre les pratiques néfastes comme les mutilations génitales féminines et les mariages d</w:t>
      </w:r>
      <w:r>
        <w:rPr>
          <w:lang w:val="fr-FR"/>
        </w:rPr>
        <w:t>’</w:t>
      </w:r>
      <w:r w:rsidRPr="00686CD4">
        <w:rPr>
          <w:lang w:val="fr-FR"/>
        </w:rPr>
        <w:t>enfants, les mariages précoces et les mariages forcés.</w:t>
      </w:r>
    </w:p>
    <w:p w:rsidR="002A7A34" w:rsidRPr="00686CD4" w:rsidRDefault="002A7A34" w:rsidP="0017550A">
      <w:pPr>
        <w:pStyle w:val="SingleTxtG"/>
        <w:rPr>
          <w:lang w:val="fr-FR"/>
        </w:rPr>
      </w:pPr>
      <w:r w:rsidRPr="00686CD4">
        <w:rPr>
          <w:lang w:val="fr-FR"/>
        </w:rPr>
        <w:t>60.</w:t>
      </w:r>
      <w:r w:rsidRPr="00686CD4">
        <w:rPr>
          <w:lang w:val="fr-FR"/>
        </w:rPr>
        <w:tab/>
        <w:t xml:space="preserve">La </w:t>
      </w:r>
      <w:r w:rsidR="00766406">
        <w:rPr>
          <w:lang w:val="fr-FR"/>
        </w:rPr>
        <w:t>S</w:t>
      </w:r>
      <w:r w:rsidRPr="00686CD4">
        <w:rPr>
          <w:lang w:val="fr-FR"/>
        </w:rPr>
        <w:t>tratégie présente, pour la première fois, un plan déterminé pour lutter contre la discrimination fondée sur l</w:t>
      </w:r>
      <w:r>
        <w:rPr>
          <w:lang w:val="fr-FR"/>
        </w:rPr>
        <w:t>’</w:t>
      </w:r>
      <w:r w:rsidRPr="00686CD4">
        <w:rPr>
          <w:lang w:val="fr-FR"/>
        </w:rPr>
        <w:t>orientation sexuelle, l</w:t>
      </w:r>
      <w:r>
        <w:rPr>
          <w:lang w:val="fr-FR"/>
        </w:rPr>
        <w:t>’</w:t>
      </w:r>
      <w:r w:rsidRPr="00686CD4">
        <w:rPr>
          <w:lang w:val="fr-FR"/>
        </w:rPr>
        <w:t>identité de genre et les caractéristiques sexuelles en définissant les mesures à prendre dans les domaines d</w:t>
      </w:r>
      <w:r>
        <w:rPr>
          <w:lang w:val="fr-FR"/>
        </w:rPr>
        <w:t>’</w:t>
      </w:r>
      <w:r w:rsidRPr="00686CD4">
        <w:rPr>
          <w:lang w:val="fr-FR"/>
        </w:rPr>
        <w:t>intervention prioritaires, tel</w:t>
      </w:r>
      <w:r>
        <w:rPr>
          <w:lang w:val="fr-FR"/>
        </w:rPr>
        <w:t>le</w:t>
      </w:r>
      <w:r w:rsidRPr="00686CD4">
        <w:rPr>
          <w:lang w:val="fr-FR"/>
        </w:rPr>
        <w:t>s que l</w:t>
      </w:r>
      <w:r>
        <w:rPr>
          <w:lang w:val="fr-FR"/>
        </w:rPr>
        <w:t>’</w:t>
      </w:r>
      <w:r w:rsidRPr="00686CD4">
        <w:rPr>
          <w:lang w:val="fr-FR"/>
        </w:rPr>
        <w:t xml:space="preserve">information et la formation, et le niveau </w:t>
      </w:r>
      <w:r>
        <w:rPr>
          <w:lang w:val="fr-FR"/>
        </w:rPr>
        <w:t xml:space="preserve">auquel doivent être menées </w:t>
      </w:r>
      <w:r w:rsidRPr="00686CD4">
        <w:rPr>
          <w:lang w:val="fr-FR"/>
        </w:rPr>
        <w:t>plusieurs politiques sectorielles.</w:t>
      </w:r>
    </w:p>
    <w:p w:rsidR="002A7A34" w:rsidRPr="00686CD4" w:rsidRDefault="002A7A34" w:rsidP="0017550A">
      <w:pPr>
        <w:pStyle w:val="SingleTxtG"/>
        <w:rPr>
          <w:lang w:val="fr-FR"/>
        </w:rPr>
      </w:pPr>
      <w:r w:rsidRPr="00686CD4">
        <w:rPr>
          <w:lang w:val="fr-FR"/>
        </w:rPr>
        <w:t>61.</w:t>
      </w:r>
      <w:r w:rsidRPr="00686CD4">
        <w:rPr>
          <w:lang w:val="fr-FR"/>
        </w:rPr>
        <w:tab/>
        <w:t>Le Ministère de la justice, par l</w:t>
      </w:r>
      <w:r>
        <w:rPr>
          <w:lang w:val="fr-FR"/>
        </w:rPr>
        <w:t>’</w:t>
      </w:r>
      <w:r w:rsidRPr="00686CD4">
        <w:rPr>
          <w:lang w:val="fr-FR"/>
        </w:rPr>
        <w:t>intermédiaire de la Direction générale de la réinsertion et des services pénitentiaires, a élaboré des programmes spéciaux pour les délinquants accusés de violence sexuelle ou de violence intrafamiliale. Voir la réponse au paragraphe 14</w:t>
      </w:r>
      <w:r w:rsidR="00766406">
        <w:rPr>
          <w:lang w:val="fr-FR"/>
        </w:rPr>
        <w:t> </w:t>
      </w:r>
      <w:r w:rsidRPr="00686CD4">
        <w:rPr>
          <w:lang w:val="fr-FR"/>
        </w:rPr>
        <w:t>b).</w:t>
      </w:r>
    </w:p>
    <w:p w:rsidR="002A7A34" w:rsidRPr="00686CD4" w:rsidRDefault="002A7A34" w:rsidP="000A2E34">
      <w:pPr>
        <w:pStyle w:val="SingleTxtG"/>
        <w:spacing w:after="100" w:line="238" w:lineRule="atLeast"/>
        <w:rPr>
          <w:lang w:val="fr-FR"/>
        </w:rPr>
      </w:pPr>
      <w:r w:rsidRPr="00686CD4">
        <w:rPr>
          <w:lang w:val="fr-FR"/>
        </w:rPr>
        <w:lastRenderedPageBreak/>
        <w:t>62.</w:t>
      </w:r>
      <w:r w:rsidRPr="00686CD4">
        <w:rPr>
          <w:lang w:val="fr-FR"/>
        </w:rPr>
        <w:tab/>
        <w:t>La Garde nationale républicaine a atteint les objectifs énoncés dans le Plan national de lutte contre la violence intrafamiliale.</w:t>
      </w:r>
    </w:p>
    <w:p w:rsidR="002A7A34" w:rsidRPr="00686CD4" w:rsidRDefault="002A7A34" w:rsidP="000A2E34">
      <w:pPr>
        <w:pStyle w:val="H23G"/>
        <w:spacing w:after="100" w:line="238" w:lineRule="atLeast"/>
        <w:jc w:val="both"/>
        <w:rPr>
          <w:lang w:val="fr-FR"/>
        </w:rPr>
      </w:pPr>
      <w:r w:rsidRPr="00686CD4">
        <w:rPr>
          <w:lang w:val="fr-FR"/>
        </w:rPr>
        <w:tab/>
      </w:r>
      <w:r w:rsidRPr="00686CD4">
        <w:rPr>
          <w:lang w:val="fr-FR"/>
        </w:rPr>
        <w:tab/>
      </w:r>
      <w:r w:rsidRPr="00686CD4">
        <w:rPr>
          <w:lang w:val="fr-FR"/>
        </w:rPr>
        <w:tab/>
        <w:t>d)</w:t>
      </w:r>
      <w:r w:rsidRPr="00686CD4">
        <w:rPr>
          <w:lang w:val="fr-FR"/>
        </w:rPr>
        <w:tab/>
      </w:r>
      <w:r w:rsidRPr="00686CD4">
        <w:rPr>
          <w:bCs/>
          <w:lang w:val="fr-FR"/>
        </w:rPr>
        <w:t>Des données à jour sur les mesures prises pour sensibiliser les forces de l</w:t>
      </w:r>
      <w:r>
        <w:rPr>
          <w:bCs/>
          <w:lang w:val="fr-FR"/>
        </w:rPr>
        <w:t>’</w:t>
      </w:r>
      <w:r w:rsidRPr="00686CD4">
        <w:rPr>
          <w:bCs/>
          <w:lang w:val="fr-FR"/>
        </w:rPr>
        <w:t>ordre et les former à la conduite d</w:t>
      </w:r>
      <w:r>
        <w:rPr>
          <w:bCs/>
          <w:lang w:val="fr-FR"/>
        </w:rPr>
        <w:t>’</w:t>
      </w:r>
      <w:r w:rsidRPr="00686CD4">
        <w:rPr>
          <w:bCs/>
          <w:lang w:val="fr-FR"/>
        </w:rPr>
        <w:t>enquêtes sur les cas de violence intrafamiliale et de violence sexiste et à l</w:t>
      </w:r>
      <w:r>
        <w:rPr>
          <w:bCs/>
          <w:lang w:val="fr-FR"/>
        </w:rPr>
        <w:t>’</w:t>
      </w:r>
      <w:r w:rsidRPr="00686CD4">
        <w:rPr>
          <w:bCs/>
          <w:lang w:val="fr-FR"/>
        </w:rPr>
        <w:t>engagement de poursuites, ainsi que sur les actions de sensibilisation menées au sein de la population en général pour combattre les stéréotypes sexistes et la violence intrafamiliale.</w:t>
      </w:r>
      <w:bookmarkStart w:id="15" w:name="_Toc532494618"/>
      <w:bookmarkEnd w:id="15"/>
    </w:p>
    <w:p w:rsidR="002A7A34" w:rsidRPr="00686CD4" w:rsidRDefault="002A7A34" w:rsidP="000A2E34">
      <w:pPr>
        <w:pStyle w:val="SingleTxtG"/>
        <w:spacing w:after="100" w:line="238" w:lineRule="atLeast"/>
        <w:rPr>
          <w:lang w:val="fr-FR"/>
        </w:rPr>
      </w:pPr>
      <w:r w:rsidRPr="00686CD4">
        <w:rPr>
          <w:lang w:val="fr-FR"/>
        </w:rPr>
        <w:t>63.</w:t>
      </w:r>
      <w:r w:rsidRPr="00686CD4">
        <w:rPr>
          <w:lang w:val="fr-FR"/>
        </w:rPr>
        <w:tab/>
        <w:t>Voir la réponse au paragraphe 3</w:t>
      </w:r>
      <w:r w:rsidR="00766406">
        <w:rPr>
          <w:lang w:val="fr-FR"/>
        </w:rPr>
        <w:t> </w:t>
      </w:r>
      <w:r w:rsidRPr="00686CD4">
        <w:rPr>
          <w:lang w:val="fr-FR"/>
        </w:rPr>
        <w:t>b).</w:t>
      </w:r>
    </w:p>
    <w:p w:rsidR="002A7A34" w:rsidRPr="00686CD4" w:rsidRDefault="002A7A34" w:rsidP="000A2E34">
      <w:pPr>
        <w:pStyle w:val="SingleTxtG"/>
        <w:keepNext/>
        <w:spacing w:after="100" w:line="238" w:lineRule="atLeast"/>
        <w:rPr>
          <w:lang w:val="fr-FR"/>
        </w:rPr>
      </w:pPr>
      <w:r w:rsidRPr="00686CD4">
        <w:rPr>
          <w:lang w:val="fr-FR"/>
        </w:rPr>
        <w:t>64.</w:t>
      </w:r>
      <w:r w:rsidRPr="00686CD4">
        <w:rPr>
          <w:lang w:val="fr-FR"/>
        </w:rPr>
        <w:tab/>
        <w:t xml:space="preserve">Le Portugal </w:t>
      </w:r>
      <w:r>
        <w:rPr>
          <w:lang w:val="fr-FR"/>
        </w:rPr>
        <w:t xml:space="preserve">déploie </w:t>
      </w:r>
      <w:r w:rsidRPr="00686CD4">
        <w:rPr>
          <w:lang w:val="fr-FR"/>
        </w:rPr>
        <w:t>d</w:t>
      </w:r>
      <w:r>
        <w:rPr>
          <w:lang w:val="fr-FR"/>
        </w:rPr>
        <w:t>’</w:t>
      </w:r>
      <w:r w:rsidRPr="00686CD4">
        <w:rPr>
          <w:lang w:val="fr-FR"/>
        </w:rPr>
        <w:t>importants efforts d</w:t>
      </w:r>
      <w:r>
        <w:rPr>
          <w:lang w:val="fr-FR"/>
        </w:rPr>
        <w:t>’</w:t>
      </w:r>
      <w:r w:rsidRPr="00686CD4">
        <w:rPr>
          <w:lang w:val="fr-FR"/>
        </w:rPr>
        <w:t xml:space="preserve">information et de sensibilisation des éventuelles </w:t>
      </w:r>
      <w:r>
        <w:rPr>
          <w:lang w:val="fr-FR"/>
        </w:rPr>
        <w:t>victimes de violence</w:t>
      </w:r>
      <w:r w:rsidRPr="00686CD4">
        <w:rPr>
          <w:lang w:val="fr-FR"/>
        </w:rPr>
        <w:t xml:space="preserve"> </w:t>
      </w:r>
      <w:r>
        <w:rPr>
          <w:lang w:val="fr-FR"/>
        </w:rPr>
        <w:t xml:space="preserve">et de </w:t>
      </w:r>
      <w:r w:rsidRPr="00686CD4">
        <w:rPr>
          <w:lang w:val="fr-FR"/>
        </w:rPr>
        <w:t xml:space="preserve">la </w:t>
      </w:r>
      <w:r>
        <w:rPr>
          <w:lang w:val="fr-FR"/>
        </w:rPr>
        <w:t xml:space="preserve">population en </w:t>
      </w:r>
      <w:r w:rsidRPr="00686CD4">
        <w:rPr>
          <w:lang w:val="fr-FR"/>
        </w:rPr>
        <w:t>général, y compris les hommes et les garçons</w:t>
      </w:r>
      <w:r w:rsidR="00495D0F">
        <w:rPr>
          <w:lang w:val="fr-FR"/>
        </w:rPr>
        <w:t> ;</w:t>
      </w:r>
      <w:r>
        <w:rPr>
          <w:lang w:val="fr-FR"/>
        </w:rPr>
        <w:t xml:space="preserve"> il s’efforce ainsi de </w:t>
      </w:r>
      <w:r w:rsidRPr="00686CD4">
        <w:rPr>
          <w:lang w:val="fr-FR"/>
        </w:rPr>
        <w:t>prévenir et combattre la violence à l</w:t>
      </w:r>
      <w:r>
        <w:rPr>
          <w:lang w:val="fr-FR"/>
        </w:rPr>
        <w:t>’</w:t>
      </w:r>
      <w:r w:rsidRPr="00686CD4">
        <w:rPr>
          <w:lang w:val="fr-FR"/>
        </w:rPr>
        <w:t>égard des femmes et des filles en appliquant différentes mesures établies, pour la plupart, dans des Plans nationaux pour prévenir et combattre la violence intrafamiliale et la violence sexiste, telles que</w:t>
      </w:r>
      <w:r w:rsidR="00495D0F">
        <w:rPr>
          <w:lang w:val="fr-FR"/>
        </w:rPr>
        <w:t> :</w:t>
      </w:r>
    </w:p>
    <w:p w:rsidR="002A7A34" w:rsidRPr="00686CD4" w:rsidRDefault="002A7A34" w:rsidP="000A2E34">
      <w:pPr>
        <w:pStyle w:val="Bullet1G"/>
        <w:numPr>
          <w:ilvl w:val="0"/>
          <w:numId w:val="0"/>
        </w:numPr>
        <w:tabs>
          <w:tab w:val="left" w:pos="1701"/>
        </w:tabs>
        <w:spacing w:after="100" w:line="238" w:lineRule="atLeast"/>
        <w:ind w:left="1701" w:hanging="170"/>
        <w:rPr>
          <w:lang w:val="fr-FR"/>
        </w:rPr>
      </w:pPr>
      <w:r w:rsidRPr="00686CD4">
        <w:rPr>
          <w:lang w:val="fr-FR"/>
        </w:rPr>
        <w:t>•</w:t>
      </w:r>
      <w:r w:rsidRPr="00686CD4">
        <w:rPr>
          <w:lang w:val="fr-FR"/>
        </w:rPr>
        <w:tab/>
      </w:r>
      <w:r>
        <w:rPr>
          <w:lang w:val="fr-FR"/>
        </w:rPr>
        <w:t>D</w:t>
      </w:r>
      <w:r w:rsidRPr="00686CD4">
        <w:rPr>
          <w:lang w:val="fr-FR"/>
        </w:rPr>
        <w:t>es campagnes d</w:t>
      </w:r>
      <w:r>
        <w:rPr>
          <w:lang w:val="fr-FR"/>
        </w:rPr>
        <w:t>’</w:t>
      </w:r>
      <w:r w:rsidRPr="00686CD4">
        <w:rPr>
          <w:lang w:val="fr-FR"/>
        </w:rPr>
        <w:t>information organisées chaque année à l</w:t>
      </w:r>
      <w:r>
        <w:rPr>
          <w:lang w:val="fr-FR"/>
        </w:rPr>
        <w:t>’</w:t>
      </w:r>
      <w:r w:rsidRPr="00686CD4">
        <w:rPr>
          <w:lang w:val="fr-FR"/>
        </w:rPr>
        <w:t>intention de groupes</w:t>
      </w:r>
      <w:r>
        <w:rPr>
          <w:lang w:val="fr-FR"/>
        </w:rPr>
        <w:t xml:space="preserve"> particuliers</w:t>
      </w:r>
      <w:r w:rsidR="00495D0F">
        <w:rPr>
          <w:lang w:val="fr-FR"/>
        </w:rPr>
        <w:t xml:space="preserve"> </w:t>
      </w:r>
      <w:r w:rsidRPr="00686CD4">
        <w:rPr>
          <w:lang w:val="fr-FR"/>
        </w:rPr>
        <w:t xml:space="preserve">pour </w:t>
      </w:r>
      <w:r>
        <w:rPr>
          <w:lang w:val="fr-FR"/>
        </w:rPr>
        <w:t xml:space="preserve">les informer et leur faire prendre conscience de la </w:t>
      </w:r>
      <w:r w:rsidRPr="00686CD4">
        <w:rPr>
          <w:lang w:val="fr-FR"/>
        </w:rPr>
        <w:t>violence intrafamiliale et</w:t>
      </w:r>
      <w:r>
        <w:rPr>
          <w:lang w:val="fr-FR"/>
        </w:rPr>
        <w:t xml:space="preserve"> de</w:t>
      </w:r>
      <w:r w:rsidRPr="00686CD4">
        <w:rPr>
          <w:lang w:val="fr-FR"/>
        </w:rPr>
        <w:t xml:space="preserve"> la violence sexiste. </w:t>
      </w:r>
      <w:r>
        <w:rPr>
          <w:lang w:val="fr-FR"/>
        </w:rPr>
        <w:t xml:space="preserve">Ces campagnes contribuent, au moyen </w:t>
      </w:r>
      <w:r w:rsidRPr="00686CD4">
        <w:rPr>
          <w:lang w:val="fr-FR"/>
        </w:rPr>
        <w:t>de clips vidéo, de messages radiophoniques, d</w:t>
      </w:r>
      <w:r>
        <w:rPr>
          <w:lang w:val="fr-FR"/>
        </w:rPr>
        <w:t>’</w:t>
      </w:r>
      <w:r w:rsidRPr="00686CD4">
        <w:rPr>
          <w:lang w:val="fr-FR"/>
        </w:rPr>
        <w:t>articles de</w:t>
      </w:r>
      <w:r w:rsidR="00495D0F">
        <w:rPr>
          <w:lang w:val="fr-FR"/>
        </w:rPr>
        <w:t xml:space="preserve"> </w:t>
      </w:r>
      <w:r w:rsidRPr="00686CD4">
        <w:rPr>
          <w:lang w:val="fr-FR"/>
        </w:rPr>
        <w:t>presse, d</w:t>
      </w:r>
      <w:r>
        <w:rPr>
          <w:lang w:val="fr-FR"/>
        </w:rPr>
        <w:t>’</w:t>
      </w:r>
      <w:r w:rsidRPr="00686CD4">
        <w:rPr>
          <w:lang w:val="fr-FR"/>
        </w:rPr>
        <w:t xml:space="preserve">affiches et </w:t>
      </w:r>
      <w:r>
        <w:rPr>
          <w:lang w:val="fr-FR"/>
        </w:rPr>
        <w:t xml:space="preserve">de </w:t>
      </w:r>
      <w:r w:rsidRPr="00686CD4">
        <w:rPr>
          <w:lang w:val="fr-FR"/>
        </w:rPr>
        <w:t>l</w:t>
      </w:r>
      <w:r>
        <w:rPr>
          <w:lang w:val="fr-FR"/>
        </w:rPr>
        <w:t>’</w:t>
      </w:r>
      <w:r w:rsidRPr="00686CD4">
        <w:rPr>
          <w:lang w:val="fr-FR"/>
        </w:rPr>
        <w:t xml:space="preserve">Internet, à sensibiliser la population et à promouvoir le changement social. </w:t>
      </w:r>
      <w:r>
        <w:rPr>
          <w:lang w:val="fr-FR"/>
        </w:rPr>
        <w:t xml:space="preserve">Selon </w:t>
      </w:r>
      <w:r w:rsidRPr="00686CD4">
        <w:rPr>
          <w:lang w:val="fr-FR"/>
        </w:rPr>
        <w:t>l</w:t>
      </w:r>
      <w:r>
        <w:rPr>
          <w:lang w:val="fr-FR"/>
        </w:rPr>
        <w:t>’</w:t>
      </w:r>
      <w:r w:rsidRPr="00686CD4">
        <w:rPr>
          <w:lang w:val="fr-FR"/>
        </w:rPr>
        <w:t>enquête sur la violence à l</w:t>
      </w:r>
      <w:r>
        <w:rPr>
          <w:lang w:val="fr-FR"/>
        </w:rPr>
        <w:t>’</w:t>
      </w:r>
      <w:r w:rsidRPr="00686CD4">
        <w:rPr>
          <w:lang w:val="fr-FR"/>
        </w:rPr>
        <w:t>égard des femmes menée par l</w:t>
      </w:r>
      <w:r>
        <w:rPr>
          <w:lang w:val="fr-FR"/>
        </w:rPr>
        <w:t>’</w:t>
      </w:r>
      <w:r w:rsidRPr="00686CD4">
        <w:rPr>
          <w:lang w:val="fr-FR"/>
        </w:rPr>
        <w:t>Agence des droits fondamentaux (publiée en mars)</w:t>
      </w:r>
      <w:r>
        <w:rPr>
          <w:lang w:val="fr-FR"/>
        </w:rPr>
        <w:t>,</w:t>
      </w:r>
      <w:r w:rsidR="00495D0F">
        <w:rPr>
          <w:lang w:val="fr-FR"/>
        </w:rPr>
        <w:t xml:space="preserve"> </w:t>
      </w:r>
      <w:r w:rsidRPr="00686CD4">
        <w:rPr>
          <w:lang w:val="fr-FR"/>
        </w:rPr>
        <w:t>70</w:t>
      </w:r>
      <w:r>
        <w:rPr>
          <w:lang w:val="fr-FR"/>
        </w:rPr>
        <w:t> </w:t>
      </w:r>
      <w:r w:rsidRPr="00686CD4">
        <w:rPr>
          <w:lang w:val="fr-FR"/>
        </w:rPr>
        <w:t xml:space="preserve">% des femmes ont récemment vu ou entendu des campagnes de sensibilisation </w:t>
      </w:r>
      <w:r>
        <w:rPr>
          <w:lang w:val="fr-FR"/>
        </w:rPr>
        <w:t>au</w:t>
      </w:r>
      <w:r w:rsidRPr="00686CD4">
        <w:rPr>
          <w:lang w:val="fr-FR"/>
        </w:rPr>
        <w:t xml:space="preserve"> Portugal (contre 50</w:t>
      </w:r>
      <w:r>
        <w:rPr>
          <w:lang w:val="fr-FR"/>
        </w:rPr>
        <w:t> </w:t>
      </w:r>
      <w:r w:rsidRPr="00686CD4">
        <w:rPr>
          <w:lang w:val="fr-FR"/>
        </w:rPr>
        <w:t>% en moyenne</w:t>
      </w:r>
      <w:r>
        <w:rPr>
          <w:lang w:val="fr-FR"/>
        </w:rPr>
        <w:t xml:space="preserve"> dans </w:t>
      </w:r>
      <w:r w:rsidRPr="00686CD4">
        <w:rPr>
          <w:lang w:val="fr-FR"/>
        </w:rPr>
        <w:t>l</w:t>
      </w:r>
      <w:r>
        <w:rPr>
          <w:lang w:val="fr-FR"/>
        </w:rPr>
        <w:t>’</w:t>
      </w:r>
      <w:r w:rsidRPr="00686CD4">
        <w:rPr>
          <w:lang w:val="fr-FR"/>
        </w:rPr>
        <w:t>Union européenne)</w:t>
      </w:r>
      <w:r w:rsidR="00495D0F">
        <w:rPr>
          <w:lang w:val="fr-FR"/>
        </w:rPr>
        <w:t> ;</w:t>
      </w:r>
    </w:p>
    <w:p w:rsidR="002A7A34" w:rsidRPr="00686CD4" w:rsidRDefault="002A7A34" w:rsidP="000A2E34">
      <w:pPr>
        <w:pStyle w:val="Bullet1G"/>
        <w:numPr>
          <w:ilvl w:val="0"/>
          <w:numId w:val="0"/>
        </w:numPr>
        <w:tabs>
          <w:tab w:val="left" w:pos="1701"/>
        </w:tabs>
        <w:spacing w:after="100" w:line="238" w:lineRule="atLeast"/>
        <w:ind w:left="1701" w:hanging="170"/>
        <w:rPr>
          <w:lang w:val="fr-FR"/>
        </w:rPr>
      </w:pPr>
      <w:r w:rsidRPr="00686CD4">
        <w:rPr>
          <w:lang w:val="fr-FR"/>
        </w:rPr>
        <w:t>•</w:t>
      </w:r>
      <w:r w:rsidRPr="00686CD4">
        <w:rPr>
          <w:lang w:val="fr-FR"/>
        </w:rPr>
        <w:tab/>
        <w:t>L</w:t>
      </w:r>
      <w:r>
        <w:rPr>
          <w:lang w:val="fr-FR"/>
        </w:rPr>
        <w:t>’</w:t>
      </w:r>
      <w:r w:rsidRPr="00686CD4">
        <w:rPr>
          <w:lang w:val="fr-FR"/>
        </w:rPr>
        <w:t>organisation de séminaires, d</w:t>
      </w:r>
      <w:r>
        <w:rPr>
          <w:lang w:val="fr-FR"/>
        </w:rPr>
        <w:t>’</w:t>
      </w:r>
      <w:r w:rsidRPr="00686CD4">
        <w:rPr>
          <w:lang w:val="fr-FR"/>
        </w:rPr>
        <w:t>ateliers, d</w:t>
      </w:r>
      <w:r>
        <w:rPr>
          <w:lang w:val="fr-FR"/>
        </w:rPr>
        <w:t>’</w:t>
      </w:r>
      <w:r w:rsidRPr="00686CD4">
        <w:rPr>
          <w:lang w:val="fr-FR"/>
        </w:rPr>
        <w:t>actions de sensibilisation, etc.</w:t>
      </w:r>
      <w:r w:rsidR="00766406">
        <w:rPr>
          <w:lang w:val="fr-FR"/>
        </w:rPr>
        <w:t>,</w:t>
      </w:r>
      <w:r>
        <w:rPr>
          <w:lang w:val="fr-FR"/>
        </w:rPr>
        <w:t xml:space="preserve"> dans </w:t>
      </w:r>
      <w:r w:rsidRPr="00686CD4">
        <w:rPr>
          <w:lang w:val="fr-FR"/>
        </w:rPr>
        <w:t>tous les secteurs, notamment ceux des forces de sécurité, de l</w:t>
      </w:r>
      <w:r>
        <w:rPr>
          <w:lang w:val="fr-FR"/>
        </w:rPr>
        <w:t>’</w:t>
      </w:r>
      <w:r w:rsidRPr="00686CD4">
        <w:rPr>
          <w:lang w:val="fr-FR"/>
        </w:rPr>
        <w:t xml:space="preserve">éducation, de la justice, de la sécurité sociale, de la santé, </w:t>
      </w:r>
      <w:r>
        <w:rPr>
          <w:lang w:val="fr-FR"/>
        </w:rPr>
        <w:t xml:space="preserve">ainsi que par les </w:t>
      </w:r>
      <w:r w:rsidRPr="00686CD4">
        <w:rPr>
          <w:lang w:val="fr-FR"/>
        </w:rPr>
        <w:t xml:space="preserve">municipalités, </w:t>
      </w:r>
      <w:r>
        <w:rPr>
          <w:lang w:val="fr-FR"/>
        </w:rPr>
        <w:t>l</w:t>
      </w:r>
      <w:r w:rsidRPr="00686CD4">
        <w:rPr>
          <w:lang w:val="fr-FR"/>
        </w:rPr>
        <w:t>es ONG, etc.</w:t>
      </w:r>
      <w:r w:rsidR="000F526A">
        <w:rPr>
          <w:lang w:val="fr-FR"/>
        </w:rPr>
        <w:t> ;</w:t>
      </w:r>
    </w:p>
    <w:p w:rsidR="002A7A34" w:rsidRPr="00686CD4" w:rsidRDefault="002A7A34" w:rsidP="000A2E34">
      <w:pPr>
        <w:pStyle w:val="Bullet1G"/>
        <w:numPr>
          <w:ilvl w:val="0"/>
          <w:numId w:val="0"/>
        </w:numPr>
        <w:tabs>
          <w:tab w:val="left" w:pos="1701"/>
        </w:tabs>
        <w:spacing w:after="100" w:line="238" w:lineRule="atLeast"/>
        <w:ind w:left="1701" w:hanging="170"/>
        <w:rPr>
          <w:lang w:val="fr-FR"/>
        </w:rPr>
      </w:pPr>
      <w:r w:rsidRPr="00686CD4">
        <w:rPr>
          <w:lang w:val="fr-FR"/>
        </w:rPr>
        <w:t>•</w:t>
      </w:r>
      <w:r w:rsidRPr="00686CD4">
        <w:rPr>
          <w:lang w:val="fr-FR"/>
        </w:rPr>
        <w:tab/>
        <w:t>La prépara</w:t>
      </w:r>
      <w:r>
        <w:rPr>
          <w:lang w:val="fr-FR"/>
        </w:rPr>
        <w:t>t</w:t>
      </w:r>
      <w:r w:rsidRPr="00686CD4">
        <w:rPr>
          <w:lang w:val="fr-FR"/>
        </w:rPr>
        <w:t>ion et la diffusion de matériels pédagogiques et d</w:t>
      </w:r>
      <w:r>
        <w:rPr>
          <w:lang w:val="fr-FR"/>
        </w:rPr>
        <w:t>’</w:t>
      </w:r>
      <w:r w:rsidRPr="00686CD4">
        <w:rPr>
          <w:lang w:val="fr-FR"/>
        </w:rPr>
        <w:t>information à l</w:t>
      </w:r>
      <w:r>
        <w:rPr>
          <w:lang w:val="fr-FR"/>
        </w:rPr>
        <w:t>’</w:t>
      </w:r>
      <w:r w:rsidRPr="00686CD4">
        <w:rPr>
          <w:lang w:val="fr-FR"/>
        </w:rPr>
        <w:t>intention de la communauté éducative</w:t>
      </w:r>
      <w:r w:rsidR="00495D0F">
        <w:rPr>
          <w:lang w:val="fr-FR"/>
        </w:rPr>
        <w:t> ;</w:t>
      </w:r>
    </w:p>
    <w:p w:rsidR="002A7A34" w:rsidRPr="00686CD4" w:rsidRDefault="002A7A34" w:rsidP="000A2E34">
      <w:pPr>
        <w:pStyle w:val="Bullet1G"/>
        <w:numPr>
          <w:ilvl w:val="0"/>
          <w:numId w:val="0"/>
        </w:numPr>
        <w:tabs>
          <w:tab w:val="left" w:pos="1701"/>
        </w:tabs>
        <w:spacing w:after="100" w:line="238" w:lineRule="atLeast"/>
        <w:ind w:left="1701" w:hanging="170"/>
        <w:rPr>
          <w:lang w:val="fr-FR"/>
        </w:rPr>
      </w:pPr>
      <w:r w:rsidRPr="00686CD4">
        <w:rPr>
          <w:lang w:val="fr-FR"/>
        </w:rPr>
        <w:t>•</w:t>
      </w:r>
      <w:r w:rsidRPr="00686CD4">
        <w:rPr>
          <w:lang w:val="fr-FR"/>
        </w:rPr>
        <w:tab/>
        <w:t>La formation des professionnels qui interviennent dans le domaine de la violence intrafamil</w:t>
      </w:r>
      <w:r>
        <w:rPr>
          <w:lang w:val="fr-FR"/>
        </w:rPr>
        <w:t>i</w:t>
      </w:r>
      <w:r w:rsidRPr="00686CD4">
        <w:rPr>
          <w:lang w:val="fr-FR"/>
        </w:rPr>
        <w:t>ale, en particulier les juges, les forces de sécurité et les professionnels de la santé</w:t>
      </w:r>
      <w:r w:rsidR="00495D0F">
        <w:rPr>
          <w:lang w:val="fr-FR"/>
        </w:rPr>
        <w:t> ;</w:t>
      </w:r>
    </w:p>
    <w:p w:rsidR="002A7A34" w:rsidRPr="00686CD4" w:rsidRDefault="002A7A34" w:rsidP="000A2E34">
      <w:pPr>
        <w:pStyle w:val="Bullet1G"/>
        <w:numPr>
          <w:ilvl w:val="0"/>
          <w:numId w:val="0"/>
        </w:numPr>
        <w:tabs>
          <w:tab w:val="left" w:pos="1701"/>
        </w:tabs>
        <w:spacing w:after="100" w:line="238" w:lineRule="atLeast"/>
        <w:ind w:left="1701" w:hanging="170"/>
        <w:rPr>
          <w:lang w:val="fr-FR"/>
        </w:rPr>
      </w:pPr>
      <w:r w:rsidRPr="00686CD4">
        <w:rPr>
          <w:lang w:val="fr-FR"/>
        </w:rPr>
        <w:t>•</w:t>
      </w:r>
      <w:r w:rsidRPr="00686CD4">
        <w:rPr>
          <w:lang w:val="fr-FR"/>
        </w:rPr>
        <w:tab/>
        <w:t>L</w:t>
      </w:r>
      <w:r>
        <w:rPr>
          <w:lang w:val="fr-FR"/>
        </w:rPr>
        <w:t>’</w:t>
      </w:r>
      <w:r w:rsidRPr="00686CD4">
        <w:rPr>
          <w:lang w:val="fr-FR"/>
        </w:rPr>
        <w:t>élargissement du système de téléassistance, grâce à une</w:t>
      </w:r>
      <w:r>
        <w:rPr>
          <w:lang w:val="fr-FR"/>
        </w:rPr>
        <w:t xml:space="preserve"> plus grande </w:t>
      </w:r>
      <w:r w:rsidRPr="00686CD4">
        <w:rPr>
          <w:lang w:val="fr-FR"/>
        </w:rPr>
        <w:t xml:space="preserve">disponibilité </w:t>
      </w:r>
      <w:r>
        <w:rPr>
          <w:lang w:val="fr-FR"/>
        </w:rPr>
        <w:t xml:space="preserve">de </w:t>
      </w:r>
      <w:r w:rsidRPr="00686CD4">
        <w:rPr>
          <w:lang w:val="fr-FR"/>
        </w:rPr>
        <w:t>dispositifs de surveillance électronique et à la diffusion d</w:t>
      </w:r>
      <w:r>
        <w:rPr>
          <w:lang w:val="fr-FR"/>
        </w:rPr>
        <w:t>’</w:t>
      </w:r>
      <w:r w:rsidRPr="00686CD4">
        <w:rPr>
          <w:lang w:val="fr-FR"/>
        </w:rPr>
        <w:t>information</w:t>
      </w:r>
      <w:r>
        <w:rPr>
          <w:lang w:val="fr-FR"/>
        </w:rPr>
        <w:t>s</w:t>
      </w:r>
      <w:r w:rsidRPr="00686CD4">
        <w:rPr>
          <w:lang w:val="fr-FR"/>
        </w:rPr>
        <w:t xml:space="preserve"> sur les moyens de protection dans le cadre de formations organisées à l</w:t>
      </w:r>
      <w:r>
        <w:rPr>
          <w:lang w:val="fr-FR"/>
        </w:rPr>
        <w:t>’</w:t>
      </w:r>
      <w:r w:rsidRPr="00686CD4">
        <w:rPr>
          <w:lang w:val="fr-FR"/>
        </w:rPr>
        <w:t>intention des juges et des procureurs</w:t>
      </w:r>
      <w:r w:rsidR="00495D0F">
        <w:rPr>
          <w:lang w:val="fr-FR"/>
        </w:rPr>
        <w:t> ;</w:t>
      </w:r>
    </w:p>
    <w:p w:rsidR="000A2E34" w:rsidRDefault="002A7A34" w:rsidP="000A2E34">
      <w:pPr>
        <w:pStyle w:val="Bullet1G"/>
        <w:numPr>
          <w:ilvl w:val="0"/>
          <w:numId w:val="0"/>
        </w:numPr>
        <w:tabs>
          <w:tab w:val="left" w:pos="1701"/>
        </w:tabs>
        <w:spacing w:after="100" w:line="238" w:lineRule="atLeast"/>
        <w:ind w:left="1701" w:hanging="170"/>
        <w:rPr>
          <w:lang w:val="fr-FR"/>
        </w:rPr>
      </w:pPr>
      <w:r w:rsidRPr="00686CD4">
        <w:rPr>
          <w:lang w:val="fr-FR"/>
        </w:rPr>
        <w:t>•</w:t>
      </w:r>
      <w:r w:rsidRPr="00686CD4">
        <w:rPr>
          <w:lang w:val="fr-FR"/>
        </w:rPr>
        <w:tab/>
        <w:t>Le lancement</w:t>
      </w:r>
      <w:r>
        <w:rPr>
          <w:lang w:val="fr-FR"/>
        </w:rPr>
        <w:t>,</w:t>
      </w:r>
      <w:r w:rsidRPr="00686CD4">
        <w:rPr>
          <w:lang w:val="fr-FR"/>
        </w:rPr>
        <w:t xml:space="preserve"> </w:t>
      </w:r>
      <w:r w:rsidR="00B545C2">
        <w:rPr>
          <w:lang w:val="fr-FR"/>
        </w:rPr>
        <w:t xml:space="preserve">en </w:t>
      </w:r>
      <w:r w:rsidRPr="00686CD4">
        <w:rPr>
          <w:lang w:val="fr-FR"/>
        </w:rPr>
        <w:t>2016</w:t>
      </w:r>
      <w:r>
        <w:rPr>
          <w:lang w:val="fr-FR"/>
        </w:rPr>
        <w:t>,</w:t>
      </w:r>
      <w:r w:rsidRPr="00686CD4">
        <w:rPr>
          <w:lang w:val="fr-FR"/>
        </w:rPr>
        <w:t xml:space="preserve"> d</w:t>
      </w:r>
      <w:r>
        <w:rPr>
          <w:lang w:val="fr-FR"/>
        </w:rPr>
        <w:t>’</w:t>
      </w:r>
      <w:r w:rsidRPr="00686CD4">
        <w:rPr>
          <w:lang w:val="fr-FR"/>
        </w:rPr>
        <w:t>une campagne contre la violence dans le</w:t>
      </w:r>
      <w:r>
        <w:rPr>
          <w:lang w:val="fr-FR"/>
        </w:rPr>
        <w:t xml:space="preserve"> </w:t>
      </w:r>
      <w:r w:rsidRPr="00686CD4">
        <w:rPr>
          <w:lang w:val="fr-FR"/>
        </w:rPr>
        <w:t>cadre des</w:t>
      </w:r>
      <w:r>
        <w:rPr>
          <w:lang w:val="fr-FR"/>
        </w:rPr>
        <w:t xml:space="preserve"> </w:t>
      </w:r>
      <w:r w:rsidRPr="00686CD4">
        <w:rPr>
          <w:lang w:val="fr-FR"/>
        </w:rPr>
        <w:t>fréquentations</w:t>
      </w:r>
      <w:r>
        <w:rPr>
          <w:lang w:val="fr-FR"/>
        </w:rPr>
        <w:t>,</w:t>
      </w:r>
      <w:r w:rsidRPr="00686CD4">
        <w:rPr>
          <w:lang w:val="fr-FR"/>
        </w:rPr>
        <w:t xml:space="preserve"> </w:t>
      </w:r>
      <w:r>
        <w:rPr>
          <w:lang w:val="fr-FR"/>
        </w:rPr>
        <w:t xml:space="preserve">menée </w:t>
      </w:r>
      <w:r w:rsidRPr="00686CD4">
        <w:rPr>
          <w:lang w:val="fr-FR"/>
        </w:rPr>
        <w:t xml:space="preserve">en coopération avec des associations universitaires </w:t>
      </w:r>
      <w:r>
        <w:rPr>
          <w:lang w:val="fr-FR"/>
        </w:rPr>
        <w:t xml:space="preserve">dans </w:t>
      </w:r>
      <w:r w:rsidRPr="00686CD4">
        <w:rPr>
          <w:lang w:val="fr-FR"/>
        </w:rPr>
        <w:t>le cadre de festivals, de débats, dans les universités, les lycées, et d</w:t>
      </w:r>
      <w:r>
        <w:rPr>
          <w:lang w:val="fr-FR"/>
        </w:rPr>
        <w:t>’</w:t>
      </w:r>
      <w:r w:rsidRPr="00686CD4">
        <w:rPr>
          <w:lang w:val="fr-FR"/>
        </w:rPr>
        <w:t>autres lieux. Les</w:t>
      </w:r>
      <w:r w:rsidR="000F526A">
        <w:rPr>
          <w:lang w:val="fr-FR"/>
        </w:rPr>
        <w:t> </w:t>
      </w:r>
      <w:r w:rsidRPr="00686CD4">
        <w:rPr>
          <w:lang w:val="fr-FR"/>
        </w:rPr>
        <w:t>matériels de la campagne ont été largement diffusés</w:t>
      </w:r>
      <w:r w:rsidR="000A2E34">
        <w:rPr>
          <w:lang w:val="fr-FR"/>
        </w:rPr>
        <w:t> ;</w:t>
      </w:r>
    </w:p>
    <w:p w:rsidR="002A7A34" w:rsidRDefault="002A7A34" w:rsidP="000A2E34">
      <w:pPr>
        <w:pStyle w:val="Bullet1G"/>
        <w:numPr>
          <w:ilvl w:val="0"/>
          <w:numId w:val="0"/>
        </w:numPr>
        <w:tabs>
          <w:tab w:val="left" w:pos="1701"/>
        </w:tabs>
        <w:spacing w:after="100" w:line="238" w:lineRule="atLeast"/>
        <w:ind w:left="1701" w:hanging="170"/>
        <w:rPr>
          <w:lang w:val="fr-FR"/>
        </w:rPr>
      </w:pPr>
      <w:r w:rsidRPr="00686CD4">
        <w:rPr>
          <w:lang w:val="fr-FR"/>
        </w:rPr>
        <w:t>•</w:t>
      </w:r>
      <w:r w:rsidRPr="00686CD4">
        <w:rPr>
          <w:lang w:val="fr-FR"/>
        </w:rPr>
        <w:tab/>
        <w:t>L</w:t>
      </w:r>
      <w:r>
        <w:rPr>
          <w:lang w:val="fr-FR"/>
        </w:rPr>
        <w:t>e l</w:t>
      </w:r>
      <w:r w:rsidRPr="00686CD4">
        <w:rPr>
          <w:lang w:val="fr-FR"/>
        </w:rPr>
        <w:t>ancement de la campagne de sensibilisation «</w:t>
      </w:r>
      <w:r w:rsidR="000A2E34">
        <w:rPr>
          <w:lang w:val="fr-FR"/>
        </w:rPr>
        <w:t> </w:t>
      </w:r>
      <w:r>
        <w:rPr>
          <w:lang w:val="fr-FR"/>
        </w:rPr>
        <w:t>P</w:t>
      </w:r>
      <w:r w:rsidRPr="00686CD4">
        <w:rPr>
          <w:lang w:val="fr-FR"/>
        </w:rPr>
        <w:t>as une minute de silence de plus</w:t>
      </w:r>
      <w:r>
        <w:rPr>
          <w:lang w:val="fr-FR"/>
        </w:rPr>
        <w:t> </w:t>
      </w:r>
      <w:r w:rsidRPr="00686CD4">
        <w:rPr>
          <w:lang w:val="fr-FR"/>
        </w:rPr>
        <w:t>» le 25</w:t>
      </w:r>
      <w:r>
        <w:rPr>
          <w:lang w:val="fr-FR"/>
        </w:rPr>
        <w:t> </w:t>
      </w:r>
      <w:r w:rsidRPr="00686CD4">
        <w:rPr>
          <w:lang w:val="fr-FR"/>
        </w:rPr>
        <w:t>novembre</w:t>
      </w:r>
      <w:r w:rsidR="000A2E34">
        <w:rPr>
          <w:lang w:val="fr-FR"/>
        </w:rPr>
        <w:t xml:space="preserve"> </w:t>
      </w:r>
      <w:r w:rsidRPr="00686CD4">
        <w:rPr>
          <w:lang w:val="fr-FR"/>
        </w:rPr>
        <w:t xml:space="preserve">2017 en partenariat avec des ONG, </w:t>
      </w:r>
      <w:r>
        <w:rPr>
          <w:lang w:val="fr-FR"/>
        </w:rPr>
        <w:t>l</w:t>
      </w:r>
      <w:r w:rsidRPr="00686CD4">
        <w:rPr>
          <w:lang w:val="fr-FR"/>
        </w:rPr>
        <w:t xml:space="preserve">e </w:t>
      </w:r>
      <w:r>
        <w:rPr>
          <w:lang w:val="fr-FR"/>
        </w:rPr>
        <w:t>ministère public</w:t>
      </w:r>
      <w:r w:rsidRPr="00686CD4">
        <w:rPr>
          <w:lang w:val="fr-FR"/>
        </w:rPr>
        <w:t xml:space="preserve"> et la Ligue</w:t>
      </w:r>
      <w:r>
        <w:rPr>
          <w:lang w:val="fr-FR"/>
        </w:rPr>
        <w:t xml:space="preserve"> portugaise </w:t>
      </w:r>
      <w:r w:rsidRPr="00686CD4">
        <w:rPr>
          <w:lang w:val="fr-FR"/>
        </w:rPr>
        <w:t xml:space="preserve">de </w:t>
      </w:r>
      <w:r>
        <w:rPr>
          <w:lang w:val="fr-FR"/>
        </w:rPr>
        <w:t>f</w:t>
      </w:r>
      <w:r w:rsidRPr="00686CD4">
        <w:rPr>
          <w:lang w:val="fr-FR"/>
        </w:rPr>
        <w:t>ootball</w:t>
      </w:r>
      <w:r>
        <w:rPr>
          <w:lang w:val="fr-FR"/>
        </w:rPr>
        <w:t>.</w:t>
      </w:r>
    </w:p>
    <w:p w:rsidR="002A7A34" w:rsidRPr="00686CD4" w:rsidRDefault="002A7A34" w:rsidP="000A2E34">
      <w:pPr>
        <w:pStyle w:val="SingleTxtG"/>
        <w:spacing w:after="100" w:line="238" w:lineRule="atLeast"/>
        <w:rPr>
          <w:lang w:val="fr-FR"/>
        </w:rPr>
      </w:pPr>
      <w:r>
        <w:rPr>
          <w:lang w:val="fr-FR"/>
        </w:rPr>
        <w:t>65.</w:t>
      </w:r>
      <w:r>
        <w:rPr>
          <w:lang w:val="fr-FR"/>
        </w:rPr>
        <w:tab/>
      </w:r>
      <w:r w:rsidRPr="00686CD4">
        <w:rPr>
          <w:lang w:val="fr-FR"/>
        </w:rPr>
        <w:t>En tant que partenaire d</w:t>
      </w:r>
      <w:r>
        <w:rPr>
          <w:lang w:val="fr-FR"/>
        </w:rPr>
        <w:t>u</w:t>
      </w:r>
      <w:r w:rsidRPr="00686CD4">
        <w:rPr>
          <w:lang w:val="fr-FR"/>
        </w:rPr>
        <w:t xml:space="preserve"> </w:t>
      </w:r>
      <w:r>
        <w:rPr>
          <w:lang w:val="fr-FR"/>
        </w:rPr>
        <w:t>P</w:t>
      </w:r>
      <w:r w:rsidRPr="00686CD4">
        <w:rPr>
          <w:lang w:val="fr-FR"/>
        </w:rPr>
        <w:t>rojet de renforcement d</w:t>
      </w:r>
      <w:r>
        <w:rPr>
          <w:lang w:val="fr-FR"/>
        </w:rPr>
        <w:t>’</w:t>
      </w:r>
      <w:r w:rsidRPr="00686CD4">
        <w:rPr>
          <w:lang w:val="fr-FR"/>
        </w:rPr>
        <w:t xml:space="preserve">une gestion intégrée des migrations (2013), le Portugal a participé </w:t>
      </w:r>
      <w:r w:rsidR="000A2E34">
        <w:rPr>
          <w:lang w:val="fr-FR"/>
        </w:rPr>
        <w:t>−</w:t>
      </w:r>
      <w:r w:rsidRPr="00686CD4">
        <w:rPr>
          <w:lang w:val="fr-FR"/>
        </w:rPr>
        <w:t xml:space="preserve"> par l</w:t>
      </w:r>
      <w:r>
        <w:rPr>
          <w:lang w:val="fr-FR"/>
        </w:rPr>
        <w:t>’</w:t>
      </w:r>
      <w:r w:rsidRPr="00686CD4">
        <w:rPr>
          <w:lang w:val="fr-FR"/>
        </w:rPr>
        <w:t>intermédiaire de l</w:t>
      </w:r>
      <w:r>
        <w:rPr>
          <w:lang w:val="fr-FR"/>
        </w:rPr>
        <w:t>’</w:t>
      </w:r>
      <w:r w:rsidRPr="00686CD4">
        <w:rPr>
          <w:lang w:val="fr-FR"/>
        </w:rPr>
        <w:t xml:space="preserve">Association internationale des personnes lesbiennes, gays, bisexuelles, trans et </w:t>
      </w:r>
      <w:proofErr w:type="spellStart"/>
      <w:r w:rsidRPr="00686CD4">
        <w:rPr>
          <w:lang w:val="fr-FR"/>
        </w:rPr>
        <w:t>intersexes</w:t>
      </w:r>
      <w:proofErr w:type="spellEnd"/>
      <w:r w:rsidRPr="00686CD4">
        <w:rPr>
          <w:lang w:val="fr-FR"/>
        </w:rPr>
        <w:t xml:space="preserve"> (ILGA) </w:t>
      </w:r>
      <w:r w:rsidR="000A2E34">
        <w:rPr>
          <w:lang w:val="fr-FR"/>
        </w:rPr>
        <w:t>−</w:t>
      </w:r>
      <w:r w:rsidRPr="00686CD4">
        <w:rPr>
          <w:lang w:val="fr-FR"/>
        </w:rPr>
        <w:t xml:space="preserve"> à la production d</w:t>
      </w:r>
      <w:r>
        <w:rPr>
          <w:lang w:val="fr-FR"/>
        </w:rPr>
        <w:t xml:space="preserve">’une affiche sur le thème </w:t>
      </w:r>
      <w:r w:rsidRPr="00686CD4">
        <w:rPr>
          <w:lang w:val="fr-FR"/>
        </w:rPr>
        <w:t>«</w:t>
      </w:r>
      <w:r>
        <w:rPr>
          <w:lang w:val="fr-FR"/>
        </w:rPr>
        <w:t> V</w:t>
      </w:r>
      <w:r w:rsidRPr="00686CD4">
        <w:rPr>
          <w:lang w:val="fr-FR"/>
        </w:rPr>
        <w:t>ous êtes en sécurité ici</w:t>
      </w:r>
      <w:r>
        <w:rPr>
          <w:lang w:val="fr-FR"/>
        </w:rPr>
        <w:t> </w:t>
      </w:r>
      <w:r w:rsidRPr="00686CD4">
        <w:rPr>
          <w:lang w:val="fr-FR"/>
        </w:rPr>
        <w:t>» à l</w:t>
      </w:r>
      <w:r>
        <w:rPr>
          <w:lang w:val="fr-FR"/>
        </w:rPr>
        <w:t>’</w:t>
      </w:r>
      <w:r w:rsidRPr="00686CD4">
        <w:rPr>
          <w:lang w:val="fr-FR"/>
        </w:rPr>
        <w:t xml:space="preserve">intention des migrants LGBT victimes de traite et de violence intrafamiliale </w:t>
      </w:r>
      <w:r>
        <w:rPr>
          <w:lang w:val="fr-FR"/>
        </w:rPr>
        <w:t xml:space="preserve">ainsi que des </w:t>
      </w:r>
      <w:r w:rsidRPr="00686CD4">
        <w:rPr>
          <w:lang w:val="fr-FR"/>
        </w:rPr>
        <w:t>demandeurs d</w:t>
      </w:r>
      <w:r>
        <w:rPr>
          <w:lang w:val="fr-FR"/>
        </w:rPr>
        <w:t>’</w:t>
      </w:r>
      <w:r w:rsidRPr="00686CD4">
        <w:rPr>
          <w:lang w:val="fr-FR"/>
        </w:rPr>
        <w:t>asile. Cette affiche a été principalement distribuée aux institutions travaillant avec les migrants et les demandeurs d</w:t>
      </w:r>
      <w:r>
        <w:rPr>
          <w:lang w:val="fr-FR"/>
        </w:rPr>
        <w:t>’</w:t>
      </w:r>
      <w:r w:rsidRPr="00686CD4">
        <w:rPr>
          <w:lang w:val="fr-FR"/>
        </w:rPr>
        <w:t>asile, comme les centres nationaux d</w:t>
      </w:r>
      <w:r>
        <w:rPr>
          <w:lang w:val="fr-FR"/>
        </w:rPr>
        <w:t>’</w:t>
      </w:r>
      <w:r w:rsidRPr="00686CD4">
        <w:rPr>
          <w:lang w:val="fr-FR"/>
        </w:rPr>
        <w:t>aide à l</w:t>
      </w:r>
      <w:r>
        <w:rPr>
          <w:lang w:val="fr-FR"/>
        </w:rPr>
        <w:t>’</w:t>
      </w:r>
      <w:r w:rsidRPr="00686CD4">
        <w:rPr>
          <w:lang w:val="fr-FR"/>
        </w:rPr>
        <w:t>intégration des migrants de la Haute Commission pour les migrations</w:t>
      </w:r>
      <w:r>
        <w:rPr>
          <w:lang w:val="fr-FR"/>
        </w:rPr>
        <w:t>, les centres locaux d’aide à l’intégration des migrants</w:t>
      </w:r>
      <w:r w:rsidRPr="00686CD4">
        <w:rPr>
          <w:lang w:val="fr-FR"/>
        </w:rPr>
        <w:t xml:space="preserve"> et les forces de l</w:t>
      </w:r>
      <w:r>
        <w:rPr>
          <w:lang w:val="fr-FR"/>
        </w:rPr>
        <w:t>’</w:t>
      </w:r>
      <w:r w:rsidRPr="00686CD4">
        <w:rPr>
          <w:lang w:val="fr-FR"/>
        </w:rPr>
        <w:t xml:space="preserve">ordre. </w:t>
      </w:r>
    </w:p>
    <w:p w:rsidR="002A7A34" w:rsidRPr="00686CD4" w:rsidRDefault="002A7A34" w:rsidP="000A2E34">
      <w:pPr>
        <w:pStyle w:val="SingleTxtG"/>
        <w:spacing w:after="100" w:line="238" w:lineRule="atLeast"/>
        <w:rPr>
          <w:lang w:val="fr-FR"/>
        </w:rPr>
      </w:pPr>
      <w:r w:rsidRPr="00686CD4">
        <w:rPr>
          <w:lang w:val="fr-FR"/>
        </w:rPr>
        <w:t>66.</w:t>
      </w:r>
      <w:r w:rsidRPr="00686CD4">
        <w:rPr>
          <w:lang w:val="fr-FR"/>
        </w:rPr>
        <w:tab/>
      </w:r>
      <w:r>
        <w:rPr>
          <w:lang w:val="fr-FR"/>
        </w:rPr>
        <w:t xml:space="preserve">Le </w:t>
      </w:r>
      <w:r w:rsidRPr="00686CD4">
        <w:rPr>
          <w:lang w:val="fr-FR"/>
        </w:rPr>
        <w:t>«</w:t>
      </w:r>
      <w:r>
        <w:rPr>
          <w:lang w:val="fr-FR"/>
        </w:rPr>
        <w:t> </w:t>
      </w:r>
      <w:r w:rsidRPr="00686CD4">
        <w:rPr>
          <w:lang w:val="fr-FR"/>
        </w:rPr>
        <w:t>Manuel de procédures destiné aux réseaux d</w:t>
      </w:r>
      <w:r>
        <w:rPr>
          <w:lang w:val="fr-FR"/>
        </w:rPr>
        <w:t>’</w:t>
      </w:r>
      <w:r w:rsidRPr="00686CD4">
        <w:rPr>
          <w:lang w:val="fr-FR"/>
        </w:rPr>
        <w:t>intervention intersectorielle et multidisciplinaire de lutte contre la violence familiale et la traite des êtres humains</w:t>
      </w:r>
      <w:r>
        <w:rPr>
          <w:lang w:val="fr-FR"/>
        </w:rPr>
        <w:t> </w:t>
      </w:r>
      <w:r w:rsidRPr="00686CD4">
        <w:rPr>
          <w:lang w:val="fr-FR"/>
        </w:rPr>
        <w:t>» a également été publié dans le cadre du projet de renforcement d</w:t>
      </w:r>
      <w:r>
        <w:rPr>
          <w:lang w:val="fr-FR"/>
        </w:rPr>
        <w:t>’</w:t>
      </w:r>
      <w:r w:rsidRPr="00686CD4">
        <w:rPr>
          <w:lang w:val="fr-FR"/>
        </w:rPr>
        <w:t>une gestion intégrée des migrations</w:t>
      </w:r>
    </w:p>
    <w:p w:rsidR="002A7A34" w:rsidRPr="00686CD4" w:rsidRDefault="002A7A34" w:rsidP="002A7A34">
      <w:pPr>
        <w:pStyle w:val="SingleTxtG"/>
        <w:rPr>
          <w:lang w:val="fr-FR"/>
        </w:rPr>
      </w:pPr>
      <w:r w:rsidRPr="00686CD4">
        <w:rPr>
          <w:lang w:val="fr-FR"/>
        </w:rPr>
        <w:lastRenderedPageBreak/>
        <w:t>67.</w:t>
      </w:r>
      <w:r w:rsidRPr="00686CD4">
        <w:rPr>
          <w:lang w:val="fr-FR"/>
        </w:rPr>
        <w:tab/>
      </w:r>
      <w:r w:rsidRPr="00A468DE">
        <w:rPr>
          <w:spacing w:val="-2"/>
          <w:lang w:val="fr-FR"/>
        </w:rPr>
        <w:t>Parmi les autres actions de sensibilisation poursuivies par les programmes spéciaux de police de proximité de la Garde nationale républicaine figurent le programme pour la sécurité à l’école, le programme pour la sécurité et le soutien aux personnes âgées de 65 ans et plus</w:t>
      </w:r>
      <w:r w:rsidR="000D57A0">
        <w:rPr>
          <w:spacing w:val="-2"/>
          <w:lang w:val="fr-FR"/>
        </w:rPr>
        <w:t>,</w:t>
      </w:r>
      <w:r w:rsidRPr="00A468DE">
        <w:rPr>
          <w:spacing w:val="-2"/>
          <w:lang w:val="fr-FR"/>
        </w:rPr>
        <w:t xml:space="preserve"> et le programme de soutien aux personnes handicapées, qui ont bénéficié à 54 347 citoyens en</w:t>
      </w:r>
      <w:r w:rsidR="00495D0F" w:rsidRPr="00A468DE">
        <w:rPr>
          <w:spacing w:val="-2"/>
          <w:lang w:val="fr-FR"/>
        </w:rPr>
        <w:t xml:space="preserve"> </w:t>
      </w:r>
      <w:r w:rsidRPr="00A468DE">
        <w:rPr>
          <w:spacing w:val="-2"/>
          <w:lang w:val="fr-FR"/>
        </w:rPr>
        <w:t>2016. La Garde nationale républicaine organise également un cours annuel sur les enquêtes et</w:t>
      </w:r>
      <w:r w:rsidR="00495D0F" w:rsidRPr="00A468DE">
        <w:rPr>
          <w:spacing w:val="-2"/>
          <w:lang w:val="fr-FR"/>
        </w:rPr>
        <w:t xml:space="preserve"> </w:t>
      </w:r>
      <w:r w:rsidRPr="00A468DE">
        <w:rPr>
          <w:spacing w:val="-2"/>
          <w:lang w:val="fr-FR"/>
        </w:rPr>
        <w:t>l’appui à des victimes particulières à l’intention des enquêteurs chargés des affaires de violence familiale, qui couvrent les besoins particuliers des victimes.</w:t>
      </w:r>
    </w:p>
    <w:p w:rsidR="002A7A34" w:rsidRPr="00686CD4" w:rsidRDefault="002A7A34" w:rsidP="00A46E3A">
      <w:pPr>
        <w:pStyle w:val="H23G"/>
        <w:jc w:val="both"/>
        <w:rPr>
          <w:lang w:val="fr-FR"/>
        </w:rPr>
      </w:pPr>
      <w:r>
        <w:rPr>
          <w:lang w:val="fr-FR"/>
        </w:rPr>
        <w:tab/>
      </w:r>
      <w:r w:rsidRPr="00686CD4">
        <w:rPr>
          <w:lang w:val="fr-FR"/>
        </w:rPr>
        <w:t>4.</w:t>
      </w:r>
      <w:r w:rsidRPr="00686CD4">
        <w:rPr>
          <w:lang w:val="fr-FR"/>
        </w:rPr>
        <w:tab/>
      </w:r>
      <w:r w:rsidRPr="00686CD4">
        <w:rPr>
          <w:bCs/>
          <w:lang w:val="fr-FR"/>
        </w:rPr>
        <w:t>Compte tenu des précédentes observations finales du Comité (par. 19 et 21), donner les informations actualisées ci-après relatives à la traite des êtres humains pour la période considérée</w:t>
      </w:r>
      <w:r w:rsidR="00495D0F">
        <w:rPr>
          <w:bCs/>
          <w:lang w:val="fr-FR"/>
        </w:rPr>
        <w:t> :</w:t>
      </w:r>
      <w:bookmarkStart w:id="16" w:name="_Toc532494619"/>
      <w:bookmarkEnd w:id="16"/>
    </w:p>
    <w:p w:rsidR="002A7A34" w:rsidRPr="00686CD4" w:rsidRDefault="002A7A34" w:rsidP="00A46E3A">
      <w:pPr>
        <w:pStyle w:val="H23G"/>
        <w:jc w:val="both"/>
        <w:rPr>
          <w:lang w:val="fr-FR"/>
        </w:rPr>
      </w:pPr>
      <w:r w:rsidRPr="00686CD4">
        <w:rPr>
          <w:lang w:val="fr-FR"/>
        </w:rPr>
        <w:tab/>
      </w:r>
      <w:r w:rsidRPr="00686CD4">
        <w:rPr>
          <w:lang w:val="fr-FR"/>
        </w:rPr>
        <w:tab/>
      </w:r>
      <w:r w:rsidRPr="00686CD4">
        <w:rPr>
          <w:lang w:val="fr-FR"/>
        </w:rPr>
        <w:tab/>
        <w:t>a)</w:t>
      </w:r>
      <w:r w:rsidRPr="00686CD4">
        <w:rPr>
          <w:lang w:val="fr-FR"/>
        </w:rPr>
        <w:tab/>
      </w:r>
      <w:r w:rsidRPr="00686CD4">
        <w:rPr>
          <w:bCs/>
          <w:lang w:val="fr-FR"/>
        </w:rPr>
        <w:t>Des données statistiques annuelles, ventilées par âge, sexe, pays d</w:t>
      </w:r>
      <w:r>
        <w:rPr>
          <w:bCs/>
          <w:lang w:val="fr-FR"/>
        </w:rPr>
        <w:t>’</w:t>
      </w:r>
      <w:r w:rsidRPr="00686CD4">
        <w:rPr>
          <w:bCs/>
          <w:lang w:val="fr-FR"/>
        </w:rPr>
        <w:t>origine et secteur d</w:t>
      </w:r>
      <w:r>
        <w:rPr>
          <w:bCs/>
          <w:lang w:val="fr-FR"/>
        </w:rPr>
        <w:t>’</w:t>
      </w:r>
      <w:r w:rsidRPr="00686CD4">
        <w:rPr>
          <w:bCs/>
          <w:lang w:val="fr-FR"/>
        </w:rPr>
        <w:t xml:space="preserve">emploi de la victime, sur le nombre de </w:t>
      </w:r>
      <w:r>
        <w:rPr>
          <w:bCs/>
          <w:lang w:val="fr-FR"/>
        </w:rPr>
        <w:t>victimes de traite</w:t>
      </w:r>
      <w:r w:rsidRPr="00686CD4">
        <w:rPr>
          <w:bCs/>
          <w:lang w:val="fr-FR"/>
        </w:rPr>
        <w:t xml:space="preserve"> et le nombre de plaintes déposées ou de signalements enregistrés par la police concernant ce type d</w:t>
      </w:r>
      <w:r>
        <w:rPr>
          <w:bCs/>
          <w:lang w:val="fr-FR"/>
        </w:rPr>
        <w:t>’</w:t>
      </w:r>
      <w:r w:rsidRPr="00686CD4">
        <w:rPr>
          <w:bCs/>
          <w:lang w:val="fr-FR"/>
        </w:rPr>
        <w:t>infraction, le nombre de personnes qui ont fait l</w:t>
      </w:r>
      <w:r>
        <w:rPr>
          <w:bCs/>
          <w:lang w:val="fr-FR"/>
        </w:rPr>
        <w:t>’</w:t>
      </w:r>
      <w:r w:rsidRPr="00686CD4">
        <w:rPr>
          <w:bCs/>
          <w:lang w:val="fr-FR"/>
        </w:rPr>
        <w:t>objet d</w:t>
      </w:r>
      <w:r>
        <w:rPr>
          <w:bCs/>
          <w:lang w:val="fr-FR"/>
        </w:rPr>
        <w:t>’</w:t>
      </w:r>
      <w:r w:rsidRPr="00686CD4">
        <w:rPr>
          <w:bCs/>
          <w:lang w:val="fr-FR"/>
        </w:rPr>
        <w:t>une enquête en précisant le nombre de ces enquêtes qui ont donné lieu à des poursuites et à des condamnations, et les peines infligées aux auteurs de tels faits qui ont été reconnus coupables</w:t>
      </w:r>
      <w:r w:rsidR="00495D0F">
        <w:rPr>
          <w:bCs/>
          <w:lang w:val="fr-FR"/>
        </w:rPr>
        <w:t> ;</w:t>
      </w:r>
      <w:bookmarkStart w:id="17" w:name="_Toc532494620"/>
      <w:bookmarkEnd w:id="17"/>
    </w:p>
    <w:p w:rsidR="002A7A34" w:rsidRPr="00686CD4" w:rsidRDefault="002A7A34" w:rsidP="00A468DE">
      <w:pPr>
        <w:pStyle w:val="SingleTxtG"/>
        <w:rPr>
          <w:lang w:val="fr-FR"/>
        </w:rPr>
      </w:pPr>
      <w:r w:rsidRPr="00686CD4">
        <w:rPr>
          <w:lang w:val="fr-FR"/>
        </w:rPr>
        <w:t>68.</w:t>
      </w:r>
      <w:r w:rsidRPr="00686CD4">
        <w:rPr>
          <w:lang w:val="fr-FR"/>
        </w:rPr>
        <w:tab/>
        <w:t>Voir l</w:t>
      </w:r>
      <w:r>
        <w:rPr>
          <w:lang w:val="fr-FR"/>
        </w:rPr>
        <w:t>’</w:t>
      </w:r>
      <w:r w:rsidRPr="00686CD4">
        <w:rPr>
          <w:lang w:val="fr-FR"/>
        </w:rPr>
        <w:t>annexe</w:t>
      </w:r>
      <w:r>
        <w:rPr>
          <w:lang w:val="fr-FR"/>
        </w:rPr>
        <w:t> </w:t>
      </w:r>
      <w:r w:rsidRPr="00686CD4">
        <w:rPr>
          <w:lang w:val="fr-FR"/>
        </w:rPr>
        <w:t xml:space="preserve">III qui présente les statistiques officielles </w:t>
      </w:r>
      <w:r>
        <w:rPr>
          <w:lang w:val="fr-FR"/>
        </w:rPr>
        <w:t xml:space="preserve">sur </w:t>
      </w:r>
      <w:r w:rsidRPr="00686CD4">
        <w:rPr>
          <w:lang w:val="fr-FR"/>
        </w:rPr>
        <w:t>la criminalité communiquée</w:t>
      </w:r>
      <w:r>
        <w:rPr>
          <w:lang w:val="fr-FR"/>
        </w:rPr>
        <w:t>s</w:t>
      </w:r>
      <w:r w:rsidRPr="00686CD4">
        <w:rPr>
          <w:lang w:val="fr-FR"/>
        </w:rPr>
        <w:t xml:space="preserve"> par le </w:t>
      </w:r>
      <w:r>
        <w:rPr>
          <w:lang w:val="fr-FR"/>
        </w:rPr>
        <w:t>M</w:t>
      </w:r>
      <w:r w:rsidRPr="00686CD4">
        <w:rPr>
          <w:lang w:val="fr-FR"/>
        </w:rPr>
        <w:t>inistère de la justice, et plus particulièrement le</w:t>
      </w:r>
      <w:r>
        <w:rPr>
          <w:lang w:val="fr-FR"/>
        </w:rPr>
        <w:t>s</w:t>
      </w:r>
      <w:r w:rsidRPr="00686CD4">
        <w:rPr>
          <w:lang w:val="fr-FR"/>
        </w:rPr>
        <w:t xml:space="preserve"> tableau</w:t>
      </w:r>
      <w:r>
        <w:rPr>
          <w:lang w:val="fr-FR"/>
        </w:rPr>
        <w:t>x </w:t>
      </w:r>
      <w:r w:rsidRPr="00686CD4">
        <w:rPr>
          <w:lang w:val="fr-FR"/>
        </w:rPr>
        <w:t>III, IV et</w:t>
      </w:r>
      <w:r>
        <w:rPr>
          <w:lang w:val="fr-FR"/>
        </w:rPr>
        <w:t> </w:t>
      </w:r>
      <w:r w:rsidRPr="00686CD4">
        <w:rPr>
          <w:lang w:val="fr-FR"/>
        </w:rPr>
        <w:t xml:space="preserve">V. </w:t>
      </w:r>
    </w:p>
    <w:p w:rsidR="002A7A34" w:rsidRPr="00686CD4" w:rsidRDefault="002A7A34" w:rsidP="00A468DE">
      <w:pPr>
        <w:pStyle w:val="SingleTxtG"/>
        <w:rPr>
          <w:lang w:val="fr-FR"/>
        </w:rPr>
      </w:pPr>
      <w:r w:rsidRPr="00686CD4">
        <w:rPr>
          <w:lang w:val="fr-FR"/>
        </w:rPr>
        <w:t>69.</w:t>
      </w:r>
      <w:r w:rsidRPr="00686CD4">
        <w:rPr>
          <w:lang w:val="fr-FR"/>
        </w:rPr>
        <w:tab/>
        <w:t>Selon l</w:t>
      </w:r>
      <w:r>
        <w:rPr>
          <w:lang w:val="fr-FR"/>
        </w:rPr>
        <w:t>’</w:t>
      </w:r>
      <w:r w:rsidRPr="00686CD4">
        <w:rPr>
          <w:lang w:val="fr-FR"/>
        </w:rPr>
        <w:t>Observatoire de la traite d</w:t>
      </w:r>
      <w:r>
        <w:rPr>
          <w:lang w:val="fr-FR"/>
        </w:rPr>
        <w:t>’</w:t>
      </w:r>
      <w:r w:rsidRPr="00686CD4">
        <w:rPr>
          <w:lang w:val="fr-FR"/>
        </w:rPr>
        <w:t>êtres humains, les données les plus récentes, qui remonte</w:t>
      </w:r>
      <w:r>
        <w:rPr>
          <w:lang w:val="fr-FR"/>
        </w:rPr>
        <w:t>nt</w:t>
      </w:r>
      <w:r w:rsidRPr="00686CD4">
        <w:rPr>
          <w:lang w:val="fr-FR"/>
        </w:rPr>
        <w:t xml:space="preserve"> à août 2017, et l</w:t>
      </w:r>
      <w:r>
        <w:rPr>
          <w:lang w:val="fr-FR"/>
        </w:rPr>
        <w:t>’</w:t>
      </w:r>
      <w:r w:rsidRPr="00686CD4">
        <w:rPr>
          <w:lang w:val="fr-FR"/>
        </w:rPr>
        <w:t>échantillon d</w:t>
      </w:r>
      <w:r>
        <w:rPr>
          <w:lang w:val="fr-FR"/>
        </w:rPr>
        <w:t xml:space="preserve">es « victimes </w:t>
      </w:r>
      <w:r w:rsidRPr="00686CD4">
        <w:rPr>
          <w:lang w:val="fr-FR"/>
        </w:rPr>
        <w:t>confirmées par les autorités compétentes</w:t>
      </w:r>
      <w:r>
        <w:rPr>
          <w:lang w:val="fr-FR"/>
        </w:rPr>
        <w:t> </w:t>
      </w:r>
      <w:r w:rsidRPr="00686CD4">
        <w:rPr>
          <w:lang w:val="fr-FR"/>
        </w:rPr>
        <w:t>» pour la période allant de</w:t>
      </w:r>
      <w:r>
        <w:rPr>
          <w:lang w:val="fr-FR"/>
        </w:rPr>
        <w:t> </w:t>
      </w:r>
      <w:r w:rsidRPr="00686CD4">
        <w:rPr>
          <w:lang w:val="fr-FR"/>
        </w:rPr>
        <w:t>2013 à 2016</w:t>
      </w:r>
      <w:r w:rsidR="00495D0F">
        <w:rPr>
          <w:lang w:val="fr-FR"/>
        </w:rPr>
        <w:t xml:space="preserve"> </w:t>
      </w:r>
      <w:r w:rsidRPr="00686CD4">
        <w:rPr>
          <w:lang w:val="fr-FR"/>
        </w:rPr>
        <w:t xml:space="preserve"> </w:t>
      </w:r>
      <w:r>
        <w:rPr>
          <w:lang w:val="fr-FR"/>
        </w:rPr>
        <w:t xml:space="preserve">se présentent comme </w:t>
      </w:r>
      <w:r w:rsidRPr="00686CD4">
        <w:rPr>
          <w:lang w:val="fr-FR"/>
        </w:rPr>
        <w:t>suit</w:t>
      </w:r>
      <w:r w:rsidR="00495D0F">
        <w:rPr>
          <w:lang w:val="fr-FR"/>
        </w:rPr>
        <w:t> :</w:t>
      </w:r>
    </w:p>
    <w:p w:rsidR="002A7A34" w:rsidRPr="00686CD4" w:rsidRDefault="002A7A34" w:rsidP="00A468DE">
      <w:pPr>
        <w:pStyle w:val="SingleTxtG"/>
        <w:ind w:firstLine="567"/>
        <w:rPr>
          <w:lang w:val="fr-FR"/>
        </w:rPr>
      </w:pPr>
      <w:r w:rsidRPr="00686CD4">
        <w:rPr>
          <w:lang w:val="fr-FR"/>
        </w:rPr>
        <w:t>1)</w:t>
      </w:r>
      <w:r w:rsidRPr="00686CD4">
        <w:rPr>
          <w:lang w:val="fr-FR"/>
        </w:rPr>
        <w:tab/>
      </w:r>
      <w:r>
        <w:rPr>
          <w:lang w:val="fr-FR"/>
        </w:rPr>
        <w:t>N</w:t>
      </w:r>
      <w:r w:rsidRPr="00686CD4">
        <w:rPr>
          <w:lang w:val="fr-FR"/>
        </w:rPr>
        <w:t xml:space="preserve">ombre total de victimes confirmées par les autorités compétentes </w:t>
      </w:r>
      <w:r w:rsidR="004C02F5">
        <w:rPr>
          <w:lang w:val="fr-FR"/>
        </w:rPr>
        <w:t>− </w:t>
      </w:r>
      <w:r>
        <w:rPr>
          <w:lang w:val="fr-FR"/>
        </w:rPr>
        <w:t>2</w:t>
      </w:r>
      <w:r w:rsidRPr="00686CD4">
        <w:rPr>
          <w:lang w:val="fr-FR"/>
        </w:rPr>
        <w:t>013</w:t>
      </w:r>
      <w:r w:rsidR="00202E7C">
        <w:rPr>
          <w:lang w:val="fr-FR"/>
        </w:rPr>
        <w:noBreakHyphen/>
      </w:r>
      <w:r w:rsidRPr="00686CD4">
        <w:rPr>
          <w:lang w:val="fr-FR"/>
        </w:rPr>
        <w:t>2016</w:t>
      </w:r>
      <w:r w:rsidR="00495D0F">
        <w:rPr>
          <w:lang w:val="fr-FR"/>
        </w:rPr>
        <w:t> :</w:t>
      </w:r>
      <w:r>
        <w:rPr>
          <w:lang w:val="fr-FR"/>
        </w:rPr>
        <w:t xml:space="preserve"> </w:t>
      </w:r>
      <w:r w:rsidRPr="00686CD4">
        <w:rPr>
          <w:lang w:val="fr-FR"/>
        </w:rPr>
        <w:t>389)</w:t>
      </w:r>
      <w:r w:rsidR="00495D0F">
        <w:rPr>
          <w:lang w:val="fr-FR"/>
        </w:rPr>
        <w:t> :</w:t>
      </w:r>
    </w:p>
    <w:p w:rsidR="002A7A34" w:rsidRPr="00686CD4" w:rsidRDefault="002A7A34" w:rsidP="00A468DE">
      <w:pPr>
        <w:pStyle w:val="SingleTxtG"/>
        <w:ind w:left="1701" w:firstLine="567"/>
        <w:rPr>
          <w:lang w:val="fr-FR"/>
        </w:rPr>
      </w:pPr>
      <w:r w:rsidRPr="00686CD4">
        <w:rPr>
          <w:lang w:val="fr-FR"/>
        </w:rPr>
        <w:t>a)</w:t>
      </w:r>
      <w:r w:rsidRPr="00686CD4">
        <w:rPr>
          <w:lang w:val="fr-FR"/>
        </w:rPr>
        <w:tab/>
      </w:r>
      <w:r w:rsidRPr="0041727C">
        <w:rPr>
          <w:u w:val="single"/>
          <w:lang w:val="fr-FR"/>
        </w:rPr>
        <w:t>Nombre de victimes par an</w:t>
      </w:r>
      <w:r w:rsidR="00495D0F" w:rsidRPr="00497203">
        <w:rPr>
          <w:lang w:val="fr-FR"/>
        </w:rPr>
        <w:t> :</w:t>
      </w:r>
      <w:r w:rsidRPr="00686CD4">
        <w:rPr>
          <w:lang w:val="fr-FR"/>
        </w:rPr>
        <w:t xml:space="preserve"> 150</w:t>
      </w:r>
      <w:r>
        <w:rPr>
          <w:lang w:val="fr-FR"/>
        </w:rPr>
        <w:t xml:space="preserve"> en 2013</w:t>
      </w:r>
      <w:r w:rsidR="00495D0F">
        <w:rPr>
          <w:lang w:val="fr-FR"/>
        </w:rPr>
        <w:t> ;</w:t>
      </w:r>
      <w:r w:rsidRPr="00686CD4">
        <w:rPr>
          <w:lang w:val="fr-FR"/>
        </w:rPr>
        <w:t xml:space="preserve"> </w:t>
      </w:r>
      <w:r>
        <w:rPr>
          <w:lang w:val="fr-FR"/>
        </w:rPr>
        <w:t xml:space="preserve">58 </w:t>
      </w:r>
      <w:r w:rsidR="00B545C2">
        <w:rPr>
          <w:lang w:val="fr-FR"/>
        </w:rPr>
        <w:t xml:space="preserve">en </w:t>
      </w:r>
      <w:r w:rsidRPr="00686CD4">
        <w:rPr>
          <w:lang w:val="fr-FR"/>
        </w:rPr>
        <w:t>2014</w:t>
      </w:r>
      <w:r w:rsidR="00495D0F">
        <w:rPr>
          <w:lang w:val="fr-FR"/>
        </w:rPr>
        <w:t> ;</w:t>
      </w:r>
      <w:r w:rsidRPr="00686CD4">
        <w:rPr>
          <w:lang w:val="fr-FR"/>
        </w:rPr>
        <w:t xml:space="preserve"> </w:t>
      </w:r>
      <w:r>
        <w:rPr>
          <w:lang w:val="fr-FR"/>
        </w:rPr>
        <w:t xml:space="preserve">49 </w:t>
      </w:r>
      <w:r w:rsidR="00B545C2">
        <w:rPr>
          <w:lang w:val="fr-FR"/>
        </w:rPr>
        <w:t xml:space="preserve">en </w:t>
      </w:r>
      <w:r w:rsidRPr="00686CD4">
        <w:rPr>
          <w:lang w:val="fr-FR"/>
        </w:rPr>
        <w:t>2015</w:t>
      </w:r>
      <w:r w:rsidR="00495D0F">
        <w:rPr>
          <w:lang w:val="fr-FR"/>
        </w:rPr>
        <w:t> ;</w:t>
      </w:r>
      <w:r w:rsidRPr="00686CD4">
        <w:rPr>
          <w:lang w:val="fr-FR"/>
        </w:rPr>
        <w:t xml:space="preserve"> </w:t>
      </w:r>
      <w:r>
        <w:rPr>
          <w:lang w:val="fr-FR"/>
        </w:rPr>
        <w:t xml:space="preserve">132 </w:t>
      </w:r>
      <w:r w:rsidR="00B545C2">
        <w:rPr>
          <w:lang w:val="fr-FR"/>
        </w:rPr>
        <w:t xml:space="preserve">en </w:t>
      </w:r>
      <w:r w:rsidRPr="00686CD4">
        <w:rPr>
          <w:lang w:val="fr-FR"/>
        </w:rPr>
        <w:t>2016</w:t>
      </w:r>
      <w:r w:rsidR="000D57A0">
        <w:rPr>
          <w:lang w:val="fr-FR"/>
        </w:rPr>
        <w:t> ;</w:t>
      </w:r>
    </w:p>
    <w:p w:rsidR="002A7A34" w:rsidRPr="00686CD4" w:rsidRDefault="002A7A34" w:rsidP="00A468DE">
      <w:pPr>
        <w:pStyle w:val="SingleTxtG"/>
        <w:ind w:left="1701" w:firstLine="567"/>
        <w:rPr>
          <w:lang w:val="fr-FR"/>
        </w:rPr>
      </w:pPr>
      <w:r w:rsidRPr="00686CD4">
        <w:rPr>
          <w:lang w:val="fr-FR"/>
        </w:rPr>
        <w:t>b)</w:t>
      </w:r>
      <w:r w:rsidRPr="00686CD4">
        <w:rPr>
          <w:lang w:val="fr-FR"/>
        </w:rPr>
        <w:tab/>
      </w:r>
      <w:r w:rsidRPr="0041727C">
        <w:rPr>
          <w:u w:val="single"/>
          <w:lang w:val="fr-FR"/>
        </w:rPr>
        <w:t>Nombre de victimes par âge</w:t>
      </w:r>
      <w:r w:rsidR="00495D0F" w:rsidRPr="00497203">
        <w:rPr>
          <w:lang w:val="fr-FR"/>
        </w:rPr>
        <w:t> :</w:t>
      </w:r>
      <w:r w:rsidRPr="00686CD4">
        <w:rPr>
          <w:lang w:val="fr-FR"/>
        </w:rPr>
        <w:t xml:space="preserve"> la majorité des vict</w:t>
      </w:r>
      <w:r>
        <w:rPr>
          <w:lang w:val="fr-FR"/>
        </w:rPr>
        <w:t>imes confirmées sont des adultes puisque l’on recense </w:t>
      </w:r>
      <w:r w:rsidRPr="00686CD4">
        <w:rPr>
          <w:lang w:val="fr-FR"/>
        </w:rPr>
        <w:t>346</w:t>
      </w:r>
      <w:r>
        <w:rPr>
          <w:lang w:val="fr-FR"/>
        </w:rPr>
        <w:t xml:space="preserve"> adultes et 43</w:t>
      </w:r>
      <w:r w:rsidR="00495D0F">
        <w:rPr>
          <w:lang w:val="fr-FR"/>
        </w:rPr>
        <w:t xml:space="preserve"> </w:t>
      </w:r>
      <w:r>
        <w:rPr>
          <w:lang w:val="fr-FR"/>
        </w:rPr>
        <w:t>mineurs</w:t>
      </w:r>
      <w:r w:rsidRPr="00686CD4">
        <w:rPr>
          <w:lang w:val="fr-FR"/>
        </w:rPr>
        <w:t xml:space="preserve">. </w:t>
      </w:r>
      <w:r>
        <w:rPr>
          <w:lang w:val="fr-FR"/>
        </w:rPr>
        <w:t>Nombre de victimes adultes par an</w:t>
      </w:r>
      <w:r w:rsidR="00495D0F">
        <w:t> :</w:t>
      </w:r>
      <w:r>
        <w:rPr>
          <w:lang w:val="fr-FR"/>
        </w:rPr>
        <w:t xml:space="preserve"> 130 </w:t>
      </w:r>
      <w:r w:rsidR="00B545C2">
        <w:rPr>
          <w:lang w:val="fr-FR"/>
        </w:rPr>
        <w:t xml:space="preserve">en </w:t>
      </w:r>
      <w:r>
        <w:rPr>
          <w:lang w:val="fr-FR"/>
        </w:rPr>
        <w:t>2013</w:t>
      </w:r>
      <w:r w:rsidR="00495D0F">
        <w:rPr>
          <w:lang w:val="fr-FR"/>
        </w:rPr>
        <w:t> ;</w:t>
      </w:r>
      <w:r>
        <w:rPr>
          <w:lang w:val="fr-FR"/>
        </w:rPr>
        <w:t xml:space="preserve"> 45 </w:t>
      </w:r>
      <w:r w:rsidR="00B545C2">
        <w:rPr>
          <w:lang w:val="fr-FR"/>
        </w:rPr>
        <w:t xml:space="preserve">en </w:t>
      </w:r>
      <w:r>
        <w:rPr>
          <w:lang w:val="fr-FR"/>
        </w:rPr>
        <w:t>2014</w:t>
      </w:r>
      <w:r w:rsidR="00495D0F">
        <w:rPr>
          <w:lang w:val="fr-FR"/>
        </w:rPr>
        <w:t> ;</w:t>
      </w:r>
      <w:r>
        <w:rPr>
          <w:lang w:val="fr-FR"/>
        </w:rPr>
        <w:t xml:space="preserve"> 42 </w:t>
      </w:r>
      <w:r w:rsidR="00B545C2">
        <w:rPr>
          <w:lang w:val="fr-FR"/>
        </w:rPr>
        <w:t xml:space="preserve">en </w:t>
      </w:r>
      <w:r>
        <w:rPr>
          <w:lang w:val="fr-FR"/>
        </w:rPr>
        <w:t>2015</w:t>
      </w:r>
      <w:r w:rsidR="00495D0F">
        <w:rPr>
          <w:lang w:val="fr-FR"/>
        </w:rPr>
        <w:t> ;</w:t>
      </w:r>
      <w:r>
        <w:rPr>
          <w:lang w:val="fr-FR"/>
        </w:rPr>
        <w:t xml:space="preserve"> 129 </w:t>
      </w:r>
      <w:r w:rsidR="00B545C2">
        <w:rPr>
          <w:lang w:val="fr-FR"/>
        </w:rPr>
        <w:t xml:space="preserve">en </w:t>
      </w:r>
      <w:r>
        <w:rPr>
          <w:lang w:val="fr-FR"/>
        </w:rPr>
        <w:t>2016. Nombre d’enfants victimes par an</w:t>
      </w:r>
      <w:r w:rsidR="00495D0F">
        <w:rPr>
          <w:lang w:val="fr-FR"/>
        </w:rPr>
        <w:t> :</w:t>
      </w:r>
      <w:r w:rsidRPr="00686CD4">
        <w:rPr>
          <w:lang w:val="fr-FR"/>
        </w:rPr>
        <w:t xml:space="preserve"> </w:t>
      </w:r>
      <w:r>
        <w:rPr>
          <w:lang w:val="fr-FR"/>
        </w:rPr>
        <w:t xml:space="preserve">20 </w:t>
      </w:r>
      <w:r w:rsidR="00B545C2">
        <w:rPr>
          <w:lang w:val="fr-FR"/>
        </w:rPr>
        <w:t xml:space="preserve">en </w:t>
      </w:r>
      <w:r w:rsidRPr="00686CD4">
        <w:rPr>
          <w:lang w:val="fr-FR"/>
        </w:rPr>
        <w:t>2013</w:t>
      </w:r>
      <w:r w:rsidR="00495D0F">
        <w:rPr>
          <w:lang w:val="fr-FR"/>
        </w:rPr>
        <w:t> ;</w:t>
      </w:r>
      <w:r>
        <w:rPr>
          <w:lang w:val="fr-FR"/>
        </w:rPr>
        <w:t xml:space="preserve"> 13 </w:t>
      </w:r>
      <w:r w:rsidR="00B545C2">
        <w:rPr>
          <w:lang w:val="fr-FR"/>
        </w:rPr>
        <w:t xml:space="preserve">en </w:t>
      </w:r>
      <w:r>
        <w:rPr>
          <w:lang w:val="fr-FR"/>
        </w:rPr>
        <w:t>2014</w:t>
      </w:r>
      <w:r w:rsidR="00495D0F">
        <w:rPr>
          <w:lang w:val="fr-FR"/>
        </w:rPr>
        <w:t> ;</w:t>
      </w:r>
      <w:r>
        <w:rPr>
          <w:lang w:val="fr-FR"/>
        </w:rPr>
        <w:t xml:space="preserve"> 7 </w:t>
      </w:r>
      <w:r w:rsidR="00B545C2">
        <w:rPr>
          <w:lang w:val="fr-FR"/>
        </w:rPr>
        <w:t xml:space="preserve">en </w:t>
      </w:r>
      <w:r>
        <w:rPr>
          <w:lang w:val="fr-FR"/>
        </w:rPr>
        <w:t>2015</w:t>
      </w:r>
      <w:r w:rsidR="00495D0F">
        <w:rPr>
          <w:lang w:val="fr-FR"/>
        </w:rPr>
        <w:t> ;</w:t>
      </w:r>
      <w:r>
        <w:rPr>
          <w:lang w:val="fr-FR"/>
        </w:rPr>
        <w:t xml:space="preserve"> 3</w:t>
      </w:r>
      <w:r w:rsidR="000D57A0">
        <w:rPr>
          <w:lang w:val="fr-FR"/>
        </w:rPr>
        <w:t xml:space="preserve"> </w:t>
      </w:r>
      <w:r>
        <w:rPr>
          <w:lang w:val="fr-FR"/>
        </w:rPr>
        <w:t>en</w:t>
      </w:r>
      <w:r w:rsidR="00495D0F">
        <w:rPr>
          <w:lang w:val="fr-FR"/>
        </w:rPr>
        <w:t xml:space="preserve"> </w:t>
      </w:r>
      <w:r>
        <w:rPr>
          <w:lang w:val="fr-FR"/>
        </w:rPr>
        <w:t>2016</w:t>
      </w:r>
      <w:r w:rsidR="000D57A0">
        <w:rPr>
          <w:lang w:val="fr-FR"/>
        </w:rPr>
        <w:t> ;</w:t>
      </w:r>
    </w:p>
    <w:p w:rsidR="002A7A34" w:rsidRPr="00686CD4" w:rsidRDefault="002A7A34" w:rsidP="00A468DE">
      <w:pPr>
        <w:pStyle w:val="SingleTxtG"/>
        <w:ind w:left="1701" w:firstLine="567"/>
        <w:rPr>
          <w:lang w:val="fr-FR"/>
        </w:rPr>
      </w:pPr>
      <w:r w:rsidRPr="00686CD4">
        <w:rPr>
          <w:lang w:val="fr-FR"/>
        </w:rPr>
        <w:t>c)</w:t>
      </w:r>
      <w:r w:rsidRPr="00686CD4">
        <w:rPr>
          <w:lang w:val="fr-FR"/>
        </w:rPr>
        <w:tab/>
      </w:r>
      <w:r w:rsidRPr="0041727C">
        <w:rPr>
          <w:u w:val="single"/>
          <w:lang w:val="fr-FR"/>
        </w:rPr>
        <w:t>Répartition par sexe</w:t>
      </w:r>
      <w:r w:rsidR="00495D0F" w:rsidRPr="00497203">
        <w:rPr>
          <w:lang w:val="fr-FR"/>
        </w:rPr>
        <w:t> :</w:t>
      </w:r>
      <w:r w:rsidRPr="00686CD4">
        <w:rPr>
          <w:lang w:val="fr-FR"/>
        </w:rPr>
        <w:t xml:space="preserve"> la majorité des victimes confirmées sont de sexe masculin</w:t>
      </w:r>
      <w:r>
        <w:rPr>
          <w:lang w:val="fr-FR"/>
        </w:rPr>
        <w:t>.</w:t>
      </w:r>
      <w:r w:rsidRPr="00686CD4">
        <w:rPr>
          <w:lang w:val="fr-FR"/>
        </w:rPr>
        <w:t xml:space="preserve"> Le nombre de victimes confirmées </w:t>
      </w:r>
      <w:r>
        <w:rPr>
          <w:lang w:val="fr-FR"/>
        </w:rPr>
        <w:t>de sexe masculin est de 272 tandis que celui de victimes confirmées de sexe féminin est de </w:t>
      </w:r>
      <w:r w:rsidRPr="00686CD4">
        <w:rPr>
          <w:lang w:val="fr-FR"/>
        </w:rPr>
        <w:t>115</w:t>
      </w:r>
      <w:r>
        <w:rPr>
          <w:lang w:val="fr-FR"/>
        </w:rPr>
        <w:t>. Nombre de victimes de sexe masculin par an</w:t>
      </w:r>
      <w:r w:rsidR="00495D0F">
        <w:rPr>
          <w:lang w:val="fr-FR"/>
        </w:rPr>
        <w:t> :</w:t>
      </w:r>
      <w:r w:rsidRPr="00686CD4">
        <w:rPr>
          <w:lang w:val="fr-FR"/>
        </w:rPr>
        <w:t xml:space="preserve"> </w:t>
      </w:r>
      <w:r>
        <w:rPr>
          <w:lang w:val="fr-FR"/>
        </w:rPr>
        <w:t xml:space="preserve">104 </w:t>
      </w:r>
      <w:r w:rsidR="00B545C2">
        <w:rPr>
          <w:lang w:val="fr-FR"/>
        </w:rPr>
        <w:t xml:space="preserve">en </w:t>
      </w:r>
      <w:r>
        <w:rPr>
          <w:lang w:val="fr-FR"/>
        </w:rPr>
        <w:t>2013</w:t>
      </w:r>
      <w:r w:rsidR="00495D0F">
        <w:rPr>
          <w:lang w:val="fr-FR"/>
        </w:rPr>
        <w:t> ;</w:t>
      </w:r>
      <w:r>
        <w:rPr>
          <w:lang w:val="fr-FR"/>
        </w:rPr>
        <w:t xml:space="preserve"> 32 </w:t>
      </w:r>
      <w:r w:rsidR="00B545C2">
        <w:rPr>
          <w:lang w:val="fr-FR"/>
        </w:rPr>
        <w:t xml:space="preserve">en </w:t>
      </w:r>
      <w:r>
        <w:rPr>
          <w:lang w:val="fr-FR"/>
        </w:rPr>
        <w:t>2014</w:t>
      </w:r>
      <w:r w:rsidR="00495D0F">
        <w:rPr>
          <w:lang w:val="fr-FR"/>
        </w:rPr>
        <w:t> ;</w:t>
      </w:r>
      <w:r>
        <w:rPr>
          <w:lang w:val="fr-FR"/>
        </w:rPr>
        <w:t xml:space="preserve"> 29 </w:t>
      </w:r>
      <w:r w:rsidR="00B545C2">
        <w:rPr>
          <w:lang w:val="fr-FR"/>
        </w:rPr>
        <w:t xml:space="preserve">en </w:t>
      </w:r>
      <w:r>
        <w:rPr>
          <w:lang w:val="fr-FR"/>
        </w:rPr>
        <w:t>2015</w:t>
      </w:r>
      <w:r w:rsidR="00495D0F">
        <w:rPr>
          <w:lang w:val="fr-FR"/>
        </w:rPr>
        <w:t> ;</w:t>
      </w:r>
      <w:r>
        <w:rPr>
          <w:lang w:val="fr-FR"/>
        </w:rPr>
        <w:t xml:space="preserve"> 107</w:t>
      </w:r>
      <w:r w:rsidR="00B9710D">
        <w:rPr>
          <w:lang w:val="fr-FR"/>
        </w:rPr>
        <w:t xml:space="preserve"> </w:t>
      </w:r>
      <w:r w:rsidR="00B545C2">
        <w:rPr>
          <w:lang w:val="fr-FR"/>
        </w:rPr>
        <w:t xml:space="preserve">en </w:t>
      </w:r>
      <w:r>
        <w:rPr>
          <w:lang w:val="fr-FR"/>
        </w:rPr>
        <w:t>2016. Nombre de victimes de sexe féminin par an</w:t>
      </w:r>
      <w:r w:rsidR="00495D0F">
        <w:rPr>
          <w:lang w:val="fr-FR"/>
        </w:rPr>
        <w:t> :</w:t>
      </w:r>
      <w:r w:rsidRPr="00686CD4">
        <w:rPr>
          <w:lang w:val="fr-FR"/>
        </w:rPr>
        <w:t xml:space="preserve"> </w:t>
      </w:r>
      <w:r w:rsidR="000D57A0">
        <w:rPr>
          <w:lang w:val="fr-FR"/>
        </w:rPr>
        <w:t>46</w:t>
      </w:r>
      <w:r>
        <w:rPr>
          <w:lang w:val="fr-FR"/>
        </w:rPr>
        <w:t xml:space="preserve"> </w:t>
      </w:r>
      <w:r w:rsidR="00B545C2">
        <w:rPr>
          <w:lang w:val="fr-FR"/>
        </w:rPr>
        <w:t xml:space="preserve">en </w:t>
      </w:r>
      <w:r>
        <w:rPr>
          <w:lang w:val="fr-FR"/>
        </w:rPr>
        <w:t>2013</w:t>
      </w:r>
      <w:r w:rsidR="00495D0F">
        <w:rPr>
          <w:lang w:val="fr-FR"/>
        </w:rPr>
        <w:t> ;</w:t>
      </w:r>
      <w:r>
        <w:rPr>
          <w:lang w:val="fr-FR"/>
        </w:rPr>
        <w:t xml:space="preserve"> 26 </w:t>
      </w:r>
      <w:r w:rsidR="00B545C2">
        <w:rPr>
          <w:lang w:val="fr-FR"/>
        </w:rPr>
        <w:t xml:space="preserve">en </w:t>
      </w:r>
      <w:r>
        <w:rPr>
          <w:lang w:val="fr-FR"/>
        </w:rPr>
        <w:t>2014</w:t>
      </w:r>
      <w:r w:rsidR="00495D0F">
        <w:rPr>
          <w:lang w:val="fr-FR"/>
        </w:rPr>
        <w:t> ;</w:t>
      </w:r>
      <w:r>
        <w:rPr>
          <w:lang w:val="fr-FR"/>
        </w:rPr>
        <w:t xml:space="preserve"> 20 </w:t>
      </w:r>
      <w:r w:rsidR="00B545C2">
        <w:rPr>
          <w:lang w:val="fr-FR"/>
        </w:rPr>
        <w:t xml:space="preserve">en </w:t>
      </w:r>
      <w:r>
        <w:rPr>
          <w:lang w:val="fr-FR"/>
        </w:rPr>
        <w:t>2015</w:t>
      </w:r>
      <w:r w:rsidR="00495D0F">
        <w:rPr>
          <w:lang w:val="fr-FR"/>
        </w:rPr>
        <w:t> ;</w:t>
      </w:r>
      <w:r>
        <w:rPr>
          <w:lang w:val="fr-FR"/>
        </w:rPr>
        <w:t xml:space="preserve"> 23 </w:t>
      </w:r>
      <w:r w:rsidR="00B545C2">
        <w:rPr>
          <w:lang w:val="fr-FR"/>
        </w:rPr>
        <w:t xml:space="preserve">en </w:t>
      </w:r>
      <w:r>
        <w:rPr>
          <w:lang w:val="fr-FR"/>
        </w:rPr>
        <w:t xml:space="preserve">2016. </w:t>
      </w:r>
      <w:r w:rsidRPr="00686CD4">
        <w:rPr>
          <w:lang w:val="fr-FR"/>
        </w:rPr>
        <w:t xml:space="preserve">Le sexe des victimes </w:t>
      </w:r>
      <w:r>
        <w:rPr>
          <w:lang w:val="fr-FR"/>
        </w:rPr>
        <w:t xml:space="preserve">ne figure toujours pas dans certains registres pour l’année 2016 </w:t>
      </w:r>
      <w:r w:rsidRPr="00686CD4">
        <w:rPr>
          <w:lang w:val="fr-FR"/>
        </w:rPr>
        <w:t>(données protégées par le secret statistique)</w:t>
      </w:r>
      <w:r w:rsidR="00495D0F">
        <w:rPr>
          <w:lang w:val="fr-FR"/>
        </w:rPr>
        <w:t> ;</w:t>
      </w:r>
    </w:p>
    <w:p w:rsidR="002A7A34" w:rsidRPr="00686CD4" w:rsidRDefault="002A7A34" w:rsidP="00A468DE">
      <w:pPr>
        <w:pStyle w:val="SingleTxtG"/>
        <w:keepNext/>
        <w:ind w:left="1701" w:firstLine="567"/>
        <w:rPr>
          <w:lang w:val="fr-FR"/>
        </w:rPr>
      </w:pPr>
      <w:r w:rsidRPr="00686CD4">
        <w:rPr>
          <w:lang w:val="fr-FR"/>
        </w:rPr>
        <w:t>d)</w:t>
      </w:r>
      <w:r w:rsidRPr="00686CD4">
        <w:rPr>
          <w:lang w:val="fr-FR"/>
        </w:rPr>
        <w:tab/>
      </w:r>
      <w:r w:rsidRPr="0041727C">
        <w:rPr>
          <w:u w:val="single"/>
          <w:lang w:val="fr-FR"/>
        </w:rPr>
        <w:t>Répartition par pays d</w:t>
      </w:r>
      <w:r>
        <w:rPr>
          <w:u w:val="single"/>
          <w:lang w:val="fr-FR"/>
        </w:rPr>
        <w:t>’</w:t>
      </w:r>
      <w:r w:rsidRPr="0041727C">
        <w:rPr>
          <w:u w:val="single"/>
          <w:lang w:val="fr-FR"/>
        </w:rPr>
        <w:t>origine</w:t>
      </w:r>
      <w:r w:rsidR="00495D0F" w:rsidRPr="00497203">
        <w:rPr>
          <w:lang w:val="fr-FR"/>
        </w:rPr>
        <w:t> :</w:t>
      </w:r>
      <w:r w:rsidRPr="00686CD4">
        <w:rPr>
          <w:lang w:val="fr-FR"/>
        </w:rPr>
        <w:t xml:space="preserve"> le Portugal est principalement un pays de destination (</w:t>
      </w:r>
      <w:r>
        <w:rPr>
          <w:lang w:val="fr-FR"/>
        </w:rPr>
        <w:t>279 </w:t>
      </w:r>
      <w:r w:rsidRPr="00686CD4">
        <w:rPr>
          <w:lang w:val="fr-FR"/>
        </w:rPr>
        <w:t>victimes) et dans une moindre mesure un pays d</w:t>
      </w:r>
      <w:r>
        <w:rPr>
          <w:lang w:val="fr-FR"/>
        </w:rPr>
        <w:t>’</w:t>
      </w:r>
      <w:r w:rsidRPr="00686CD4">
        <w:rPr>
          <w:lang w:val="fr-FR"/>
        </w:rPr>
        <w:t>origine (62</w:t>
      </w:r>
      <w:r>
        <w:rPr>
          <w:lang w:val="fr-FR"/>
        </w:rPr>
        <w:t> </w:t>
      </w:r>
      <w:r w:rsidRPr="00686CD4">
        <w:rPr>
          <w:lang w:val="fr-FR"/>
        </w:rPr>
        <w:t>victimes) Il constitue dans une mesure encore plus limitée un pays de transit (48</w:t>
      </w:r>
      <w:r>
        <w:rPr>
          <w:lang w:val="fr-FR"/>
        </w:rPr>
        <w:t> </w:t>
      </w:r>
      <w:r w:rsidRPr="00686CD4">
        <w:rPr>
          <w:lang w:val="fr-FR"/>
        </w:rPr>
        <w:t>victimes)</w:t>
      </w:r>
      <w:r>
        <w:rPr>
          <w:lang w:val="fr-FR"/>
        </w:rPr>
        <w:t>.</w:t>
      </w:r>
      <w:r w:rsidR="00495D0F">
        <w:rPr>
          <w:lang w:val="fr-FR"/>
        </w:rPr>
        <w:t xml:space="preserve"> </w:t>
      </w:r>
      <w:r>
        <w:rPr>
          <w:lang w:val="fr-FR"/>
        </w:rPr>
        <w:t>Nombre de victimes par an</w:t>
      </w:r>
      <w:r w:rsidR="00B9710D">
        <w:rPr>
          <w:lang w:val="fr-FR"/>
        </w:rPr>
        <w:t xml:space="preserve"> et</w:t>
      </w:r>
      <w:r>
        <w:rPr>
          <w:lang w:val="fr-FR"/>
        </w:rPr>
        <w:t xml:space="preserve"> par catégorie</w:t>
      </w:r>
      <w:r w:rsidR="00495D0F">
        <w:rPr>
          <w:lang w:val="fr-FR"/>
        </w:rPr>
        <w:t> :</w:t>
      </w:r>
    </w:p>
    <w:p w:rsidR="002A7A34" w:rsidRPr="00686CD4" w:rsidRDefault="002A7A34" w:rsidP="00A468DE">
      <w:pPr>
        <w:pStyle w:val="SingleTxtG"/>
        <w:ind w:left="2268"/>
        <w:rPr>
          <w:lang w:val="fr-FR"/>
        </w:rPr>
      </w:pPr>
      <w:r w:rsidRPr="00686CD4">
        <w:rPr>
          <w:lang w:val="fr-FR"/>
        </w:rPr>
        <w:t>i)</w:t>
      </w:r>
      <w:r w:rsidRPr="00686CD4">
        <w:rPr>
          <w:lang w:val="fr-FR"/>
        </w:rPr>
        <w:tab/>
      </w:r>
      <w:r>
        <w:rPr>
          <w:lang w:val="fr-FR"/>
        </w:rPr>
        <w:t xml:space="preserve">Pays de destination </w:t>
      </w:r>
      <w:r w:rsidR="00B9710D">
        <w:rPr>
          <w:lang w:val="fr-FR"/>
        </w:rPr>
        <w:t>−</w:t>
      </w:r>
      <w:r w:rsidRPr="00686CD4">
        <w:rPr>
          <w:lang w:val="fr-FR"/>
        </w:rPr>
        <w:t xml:space="preserve"> </w:t>
      </w:r>
      <w:r>
        <w:rPr>
          <w:lang w:val="fr-FR"/>
        </w:rPr>
        <w:t xml:space="preserve">120 </w:t>
      </w:r>
      <w:r w:rsidR="00B545C2">
        <w:rPr>
          <w:lang w:val="fr-FR"/>
        </w:rPr>
        <w:t xml:space="preserve">en </w:t>
      </w:r>
      <w:r>
        <w:rPr>
          <w:lang w:val="fr-FR"/>
        </w:rPr>
        <w:t>2013</w:t>
      </w:r>
      <w:r w:rsidR="00495D0F">
        <w:rPr>
          <w:lang w:val="fr-FR"/>
        </w:rPr>
        <w:t> ;</w:t>
      </w:r>
      <w:r>
        <w:rPr>
          <w:lang w:val="fr-FR"/>
        </w:rPr>
        <w:t xml:space="preserve"> 32 </w:t>
      </w:r>
      <w:r w:rsidR="00B545C2">
        <w:rPr>
          <w:lang w:val="fr-FR"/>
        </w:rPr>
        <w:t xml:space="preserve">en </w:t>
      </w:r>
      <w:r>
        <w:rPr>
          <w:lang w:val="fr-FR"/>
        </w:rPr>
        <w:t>2014</w:t>
      </w:r>
      <w:r w:rsidR="00495D0F">
        <w:rPr>
          <w:lang w:val="fr-FR"/>
        </w:rPr>
        <w:t> ;</w:t>
      </w:r>
      <w:r>
        <w:rPr>
          <w:lang w:val="fr-FR"/>
        </w:rPr>
        <w:t xml:space="preserve"> 28 </w:t>
      </w:r>
      <w:r w:rsidR="00B545C2">
        <w:rPr>
          <w:lang w:val="fr-FR"/>
        </w:rPr>
        <w:t xml:space="preserve">en </w:t>
      </w:r>
      <w:r>
        <w:rPr>
          <w:lang w:val="fr-FR"/>
        </w:rPr>
        <w:t>2015</w:t>
      </w:r>
      <w:r w:rsidR="00495D0F">
        <w:rPr>
          <w:lang w:val="fr-FR"/>
        </w:rPr>
        <w:t> ;</w:t>
      </w:r>
      <w:r>
        <w:rPr>
          <w:lang w:val="fr-FR"/>
        </w:rPr>
        <w:t xml:space="preserve"> 99 en 2016</w:t>
      </w:r>
      <w:r w:rsidR="00495D0F">
        <w:rPr>
          <w:lang w:val="fr-FR"/>
        </w:rPr>
        <w:t> ;</w:t>
      </w:r>
    </w:p>
    <w:p w:rsidR="002A7A34" w:rsidRPr="00686CD4" w:rsidRDefault="002A7A34" w:rsidP="00A468DE">
      <w:pPr>
        <w:pStyle w:val="SingleTxtG"/>
        <w:ind w:left="2268"/>
        <w:rPr>
          <w:lang w:val="fr-FR"/>
        </w:rPr>
      </w:pPr>
      <w:r w:rsidRPr="00686CD4">
        <w:rPr>
          <w:lang w:val="fr-FR"/>
        </w:rPr>
        <w:t>ii)</w:t>
      </w:r>
      <w:r w:rsidRPr="00686CD4">
        <w:rPr>
          <w:lang w:val="fr-FR"/>
        </w:rPr>
        <w:tab/>
      </w:r>
      <w:r>
        <w:rPr>
          <w:lang w:val="fr-FR"/>
        </w:rPr>
        <w:t xml:space="preserve">Pays d’origine </w:t>
      </w:r>
      <w:r w:rsidR="00497203">
        <w:rPr>
          <w:lang w:val="fr-FR"/>
        </w:rPr>
        <w:t>−</w:t>
      </w:r>
      <w:r w:rsidRPr="00686CD4">
        <w:rPr>
          <w:lang w:val="fr-FR"/>
        </w:rPr>
        <w:t xml:space="preserve"> </w:t>
      </w:r>
      <w:r>
        <w:rPr>
          <w:lang w:val="fr-FR"/>
        </w:rPr>
        <w:t>3 en 2013</w:t>
      </w:r>
      <w:r w:rsidR="00495D0F">
        <w:rPr>
          <w:lang w:val="fr-FR"/>
        </w:rPr>
        <w:t> ;</w:t>
      </w:r>
      <w:r w:rsidRPr="00686CD4">
        <w:rPr>
          <w:lang w:val="fr-FR"/>
        </w:rPr>
        <w:t xml:space="preserve"> </w:t>
      </w:r>
      <w:r>
        <w:rPr>
          <w:lang w:val="fr-FR"/>
        </w:rPr>
        <w:t xml:space="preserve">8 </w:t>
      </w:r>
      <w:r w:rsidR="00B545C2">
        <w:rPr>
          <w:lang w:val="fr-FR"/>
        </w:rPr>
        <w:t xml:space="preserve">en </w:t>
      </w:r>
      <w:r w:rsidRPr="00686CD4">
        <w:rPr>
          <w:lang w:val="fr-FR"/>
        </w:rPr>
        <w:t>2014</w:t>
      </w:r>
      <w:r w:rsidR="00495D0F">
        <w:rPr>
          <w:lang w:val="fr-FR"/>
        </w:rPr>
        <w:t> ;</w:t>
      </w:r>
      <w:r w:rsidRPr="00686CD4">
        <w:rPr>
          <w:lang w:val="fr-FR"/>
        </w:rPr>
        <w:t xml:space="preserve"> </w:t>
      </w:r>
      <w:r>
        <w:rPr>
          <w:lang w:val="fr-FR"/>
        </w:rPr>
        <w:t xml:space="preserve">18 </w:t>
      </w:r>
      <w:r w:rsidR="00B545C2">
        <w:rPr>
          <w:lang w:val="fr-FR"/>
        </w:rPr>
        <w:t xml:space="preserve">en </w:t>
      </w:r>
      <w:r w:rsidRPr="00686CD4">
        <w:rPr>
          <w:lang w:val="fr-FR"/>
        </w:rPr>
        <w:t>2015</w:t>
      </w:r>
      <w:r w:rsidR="00495D0F">
        <w:rPr>
          <w:lang w:val="fr-FR"/>
        </w:rPr>
        <w:t> ;</w:t>
      </w:r>
      <w:r w:rsidRPr="00686CD4">
        <w:rPr>
          <w:lang w:val="fr-FR"/>
        </w:rPr>
        <w:t xml:space="preserve"> </w:t>
      </w:r>
      <w:r>
        <w:rPr>
          <w:lang w:val="fr-FR"/>
        </w:rPr>
        <w:t>33 en</w:t>
      </w:r>
      <w:r w:rsidR="00495D0F">
        <w:rPr>
          <w:lang w:val="fr-FR"/>
        </w:rPr>
        <w:t xml:space="preserve"> </w:t>
      </w:r>
      <w:r w:rsidRPr="00686CD4">
        <w:rPr>
          <w:lang w:val="fr-FR"/>
        </w:rPr>
        <w:t>2016</w:t>
      </w:r>
      <w:r w:rsidR="00495D0F">
        <w:rPr>
          <w:lang w:val="fr-FR"/>
        </w:rPr>
        <w:t> ;</w:t>
      </w:r>
    </w:p>
    <w:p w:rsidR="002A7A34" w:rsidRPr="00686CD4" w:rsidRDefault="002A7A34" w:rsidP="00A468DE">
      <w:pPr>
        <w:pStyle w:val="SingleTxtG"/>
        <w:ind w:left="2268"/>
        <w:rPr>
          <w:lang w:val="fr-FR"/>
        </w:rPr>
      </w:pPr>
      <w:r w:rsidRPr="00686CD4">
        <w:rPr>
          <w:lang w:val="fr-FR"/>
        </w:rPr>
        <w:t>ii</w:t>
      </w:r>
      <w:r w:rsidR="00B9710D">
        <w:rPr>
          <w:lang w:val="fr-FR"/>
        </w:rPr>
        <w:t>i</w:t>
      </w:r>
      <w:r w:rsidRPr="00686CD4">
        <w:rPr>
          <w:lang w:val="fr-FR"/>
        </w:rPr>
        <w:t>)</w:t>
      </w:r>
      <w:r w:rsidRPr="00686CD4">
        <w:rPr>
          <w:lang w:val="fr-FR"/>
        </w:rPr>
        <w:tab/>
      </w:r>
      <w:r>
        <w:rPr>
          <w:lang w:val="fr-FR"/>
        </w:rPr>
        <w:t>Pays de transit</w:t>
      </w:r>
      <w:r w:rsidR="00497203">
        <w:rPr>
          <w:lang w:val="fr-FR"/>
        </w:rPr>
        <w:t xml:space="preserve"> −</w:t>
      </w:r>
      <w:r w:rsidRPr="00686CD4">
        <w:rPr>
          <w:lang w:val="fr-FR"/>
        </w:rPr>
        <w:t xml:space="preserve"> </w:t>
      </w:r>
      <w:r>
        <w:rPr>
          <w:lang w:val="fr-FR"/>
        </w:rPr>
        <w:t xml:space="preserve">27 </w:t>
      </w:r>
      <w:r w:rsidR="00B545C2">
        <w:rPr>
          <w:lang w:val="fr-FR"/>
        </w:rPr>
        <w:t xml:space="preserve">en </w:t>
      </w:r>
      <w:r>
        <w:rPr>
          <w:lang w:val="fr-FR"/>
        </w:rPr>
        <w:t>2013</w:t>
      </w:r>
      <w:r w:rsidR="00495D0F">
        <w:rPr>
          <w:lang w:val="fr-FR"/>
        </w:rPr>
        <w:t> ;</w:t>
      </w:r>
      <w:r>
        <w:rPr>
          <w:lang w:val="fr-FR"/>
        </w:rPr>
        <w:t xml:space="preserve"> 18 </w:t>
      </w:r>
      <w:r w:rsidR="00B545C2">
        <w:rPr>
          <w:lang w:val="fr-FR"/>
        </w:rPr>
        <w:t xml:space="preserve">en </w:t>
      </w:r>
      <w:r>
        <w:rPr>
          <w:lang w:val="fr-FR"/>
        </w:rPr>
        <w:t>2014</w:t>
      </w:r>
      <w:r w:rsidR="00495D0F">
        <w:rPr>
          <w:lang w:val="fr-FR"/>
        </w:rPr>
        <w:t> ;</w:t>
      </w:r>
      <w:r>
        <w:rPr>
          <w:lang w:val="fr-FR"/>
        </w:rPr>
        <w:t xml:space="preserve"> 3 en </w:t>
      </w:r>
      <w:r w:rsidRPr="00686CD4">
        <w:rPr>
          <w:lang w:val="fr-FR"/>
        </w:rPr>
        <w:t>2015</w:t>
      </w:r>
      <w:r w:rsidR="00495D0F">
        <w:rPr>
          <w:lang w:val="fr-FR"/>
        </w:rPr>
        <w:t> ;</w:t>
      </w:r>
      <w:r w:rsidRPr="00686CD4">
        <w:rPr>
          <w:lang w:val="fr-FR"/>
        </w:rPr>
        <w:t xml:space="preserve"> </w:t>
      </w:r>
      <w:r>
        <w:rPr>
          <w:lang w:val="fr-FR"/>
        </w:rPr>
        <w:t xml:space="preserve">0 </w:t>
      </w:r>
      <w:r w:rsidR="00B545C2">
        <w:rPr>
          <w:lang w:val="fr-FR"/>
        </w:rPr>
        <w:t xml:space="preserve">en </w:t>
      </w:r>
      <w:r>
        <w:rPr>
          <w:lang w:val="fr-FR"/>
        </w:rPr>
        <w:t>2016.</w:t>
      </w:r>
      <w:r w:rsidRPr="00686CD4">
        <w:rPr>
          <w:lang w:val="fr-FR"/>
        </w:rPr>
        <w:t xml:space="preserve"> Voir le tableau</w:t>
      </w:r>
      <w:r>
        <w:rPr>
          <w:lang w:val="fr-FR"/>
        </w:rPr>
        <w:t> </w:t>
      </w:r>
      <w:r w:rsidRPr="00686CD4">
        <w:rPr>
          <w:lang w:val="fr-FR"/>
        </w:rPr>
        <w:t>VI de l</w:t>
      </w:r>
      <w:r>
        <w:rPr>
          <w:lang w:val="fr-FR"/>
        </w:rPr>
        <w:t>’</w:t>
      </w:r>
      <w:r w:rsidRPr="00686CD4">
        <w:rPr>
          <w:lang w:val="fr-FR"/>
        </w:rPr>
        <w:t>annexe</w:t>
      </w:r>
      <w:r>
        <w:rPr>
          <w:lang w:val="fr-FR"/>
        </w:rPr>
        <w:t> </w:t>
      </w:r>
      <w:r w:rsidRPr="00686CD4">
        <w:rPr>
          <w:lang w:val="fr-FR"/>
        </w:rPr>
        <w:t>III qui indique les pays d</w:t>
      </w:r>
      <w:r>
        <w:rPr>
          <w:lang w:val="fr-FR"/>
        </w:rPr>
        <w:t>’</w:t>
      </w:r>
      <w:r w:rsidRPr="00686CD4">
        <w:rPr>
          <w:lang w:val="fr-FR"/>
        </w:rPr>
        <w:t xml:space="preserve">origine (de citoyenneté) </w:t>
      </w:r>
      <w:r>
        <w:rPr>
          <w:lang w:val="fr-FR"/>
        </w:rPr>
        <w:t>pour chaque année</w:t>
      </w:r>
      <w:r w:rsidR="00497203">
        <w:rPr>
          <w:lang w:val="fr-FR"/>
        </w:rPr>
        <w:t> ;</w:t>
      </w:r>
    </w:p>
    <w:p w:rsidR="002A7A34" w:rsidRPr="00686CD4" w:rsidRDefault="002A7A34" w:rsidP="00A468DE">
      <w:pPr>
        <w:pStyle w:val="SingleTxtG"/>
        <w:ind w:left="1701" w:firstLine="567"/>
        <w:rPr>
          <w:lang w:val="fr-FR"/>
        </w:rPr>
      </w:pPr>
      <w:r w:rsidRPr="00686CD4">
        <w:rPr>
          <w:lang w:val="fr-FR"/>
        </w:rPr>
        <w:t>e)</w:t>
      </w:r>
      <w:r w:rsidRPr="00686CD4">
        <w:rPr>
          <w:lang w:val="fr-FR"/>
        </w:rPr>
        <w:tab/>
      </w:r>
      <w:r w:rsidRPr="0029392D">
        <w:rPr>
          <w:u w:val="single"/>
          <w:lang w:val="fr-FR"/>
        </w:rPr>
        <w:t>Objet/secteur d</w:t>
      </w:r>
      <w:r>
        <w:rPr>
          <w:u w:val="single"/>
          <w:lang w:val="fr-FR"/>
        </w:rPr>
        <w:t>’</w:t>
      </w:r>
      <w:r w:rsidRPr="0029392D">
        <w:rPr>
          <w:u w:val="single"/>
          <w:lang w:val="fr-FR"/>
        </w:rPr>
        <w:t>exploitation</w:t>
      </w:r>
      <w:r w:rsidR="00495D0F">
        <w:rPr>
          <w:lang w:val="fr-FR"/>
        </w:rPr>
        <w:t> :</w:t>
      </w:r>
      <w:r w:rsidRPr="00686CD4">
        <w:rPr>
          <w:lang w:val="fr-FR"/>
        </w:rPr>
        <w:t xml:space="preserve"> la traite</w:t>
      </w:r>
      <w:r>
        <w:rPr>
          <w:lang w:val="fr-FR"/>
        </w:rPr>
        <w:t xml:space="preserve"> d’êtres humains a</w:t>
      </w:r>
      <w:r w:rsidRPr="00686CD4">
        <w:rPr>
          <w:lang w:val="fr-FR"/>
        </w:rPr>
        <w:t xml:space="preserve"> principalement </w:t>
      </w:r>
      <w:r>
        <w:rPr>
          <w:lang w:val="fr-FR"/>
        </w:rPr>
        <w:t xml:space="preserve">un objet économique, </w:t>
      </w:r>
      <w:r w:rsidRPr="00686CD4">
        <w:rPr>
          <w:lang w:val="fr-FR"/>
        </w:rPr>
        <w:t xml:space="preserve">essentiellement dans le secteur agricole où la demande de </w:t>
      </w:r>
      <w:r>
        <w:rPr>
          <w:lang w:val="fr-FR"/>
        </w:rPr>
        <w:t>travailleurs a augmenté</w:t>
      </w:r>
      <w:r w:rsidRPr="00686CD4">
        <w:rPr>
          <w:lang w:val="fr-FR"/>
        </w:rPr>
        <w:t xml:space="preserve"> (</w:t>
      </w:r>
      <w:r w:rsidR="004E167E">
        <w:rPr>
          <w:lang w:val="fr-FR"/>
        </w:rPr>
        <w:t>v</w:t>
      </w:r>
      <w:r w:rsidRPr="00686CD4">
        <w:rPr>
          <w:lang w:val="fr-FR"/>
        </w:rPr>
        <w:t>oir le tableau</w:t>
      </w:r>
      <w:r>
        <w:rPr>
          <w:lang w:val="fr-FR"/>
        </w:rPr>
        <w:t> </w:t>
      </w:r>
      <w:r w:rsidRPr="00686CD4">
        <w:rPr>
          <w:lang w:val="fr-FR"/>
        </w:rPr>
        <w:t>VII de l</w:t>
      </w:r>
      <w:r>
        <w:rPr>
          <w:lang w:val="fr-FR"/>
        </w:rPr>
        <w:t>’</w:t>
      </w:r>
      <w:r w:rsidRPr="00686CD4">
        <w:rPr>
          <w:lang w:val="fr-FR"/>
        </w:rPr>
        <w:t>annexe</w:t>
      </w:r>
      <w:r>
        <w:rPr>
          <w:lang w:val="fr-FR"/>
        </w:rPr>
        <w:t> </w:t>
      </w:r>
      <w:r w:rsidRPr="00686CD4">
        <w:rPr>
          <w:lang w:val="fr-FR"/>
        </w:rPr>
        <w:t>III)</w:t>
      </w:r>
      <w:r w:rsidR="004E167E">
        <w:rPr>
          <w:lang w:val="fr-FR"/>
        </w:rPr>
        <w:t>.</w:t>
      </w:r>
      <w:r w:rsidRPr="00686CD4">
        <w:rPr>
          <w:lang w:val="fr-FR"/>
        </w:rPr>
        <w:t xml:space="preserve"> </w:t>
      </w:r>
    </w:p>
    <w:p w:rsidR="002A7A34" w:rsidRPr="00686CD4" w:rsidRDefault="002A7A34" w:rsidP="00A468DE">
      <w:pPr>
        <w:pStyle w:val="SingleTxtG"/>
        <w:keepLines/>
        <w:rPr>
          <w:lang w:val="fr-FR"/>
        </w:rPr>
      </w:pPr>
      <w:r w:rsidRPr="00686CD4">
        <w:rPr>
          <w:lang w:val="fr-FR"/>
        </w:rPr>
        <w:lastRenderedPageBreak/>
        <w:t>70.</w:t>
      </w:r>
      <w:r w:rsidRPr="00686CD4">
        <w:rPr>
          <w:lang w:val="fr-FR"/>
        </w:rPr>
        <w:tab/>
        <w:t>Il convient de noter que les informations statistiques susmentionnées concernent</w:t>
      </w:r>
      <w:r w:rsidR="00495D0F">
        <w:rPr>
          <w:lang w:val="fr-FR"/>
        </w:rPr>
        <w:t> :</w:t>
      </w:r>
      <w:r w:rsidRPr="00686CD4">
        <w:rPr>
          <w:lang w:val="fr-FR"/>
        </w:rPr>
        <w:t xml:space="preserve"> a)</w:t>
      </w:r>
      <w:r w:rsidR="00102CAC">
        <w:rPr>
          <w:lang w:val="fr-FR"/>
        </w:rPr>
        <w:t> </w:t>
      </w:r>
      <w:r w:rsidRPr="00686CD4">
        <w:rPr>
          <w:lang w:val="fr-FR"/>
        </w:rPr>
        <w:t xml:space="preserve">la traite de nationaux et </w:t>
      </w:r>
      <w:r>
        <w:rPr>
          <w:lang w:val="fr-FR"/>
        </w:rPr>
        <w:t>d’</w:t>
      </w:r>
      <w:r w:rsidRPr="00686CD4">
        <w:rPr>
          <w:lang w:val="fr-FR"/>
        </w:rPr>
        <w:t xml:space="preserve">étrangers au </w:t>
      </w:r>
      <w:r>
        <w:rPr>
          <w:lang w:val="fr-FR"/>
        </w:rPr>
        <w:t>Portugal</w:t>
      </w:r>
      <w:r w:rsidR="00495D0F">
        <w:rPr>
          <w:lang w:val="fr-FR"/>
        </w:rPr>
        <w:t> ;</w:t>
      </w:r>
      <w:r w:rsidRPr="00686CD4">
        <w:rPr>
          <w:lang w:val="fr-FR"/>
        </w:rPr>
        <w:t xml:space="preserve"> b) les victimes détectées en transit</w:t>
      </w:r>
      <w:r w:rsidR="00495D0F">
        <w:rPr>
          <w:lang w:val="fr-FR"/>
        </w:rPr>
        <w:t> ;</w:t>
      </w:r>
      <w:r w:rsidRPr="00686CD4">
        <w:rPr>
          <w:lang w:val="fr-FR"/>
        </w:rPr>
        <w:t xml:space="preserve"> c)</w:t>
      </w:r>
      <w:r>
        <w:rPr>
          <w:lang w:val="fr-FR"/>
        </w:rPr>
        <w:t> </w:t>
      </w:r>
      <w:r w:rsidRPr="00686CD4">
        <w:rPr>
          <w:lang w:val="fr-FR"/>
        </w:rPr>
        <w:t xml:space="preserve">les nationaux </w:t>
      </w:r>
      <w:r>
        <w:rPr>
          <w:lang w:val="fr-FR"/>
        </w:rPr>
        <w:t>victimes de traite</w:t>
      </w:r>
      <w:r w:rsidRPr="00686CD4">
        <w:rPr>
          <w:lang w:val="fr-FR"/>
        </w:rPr>
        <w:t xml:space="preserve"> à l</w:t>
      </w:r>
      <w:r>
        <w:rPr>
          <w:lang w:val="fr-FR"/>
        </w:rPr>
        <w:t>’</w:t>
      </w:r>
      <w:r w:rsidRPr="00686CD4">
        <w:rPr>
          <w:lang w:val="fr-FR"/>
        </w:rPr>
        <w:t xml:space="preserve">étranger. Les données </w:t>
      </w:r>
      <w:r>
        <w:rPr>
          <w:lang w:val="fr-FR"/>
        </w:rPr>
        <w:t>pour </w:t>
      </w:r>
      <w:r w:rsidRPr="00686CD4">
        <w:rPr>
          <w:lang w:val="fr-FR"/>
        </w:rPr>
        <w:t>2017</w:t>
      </w:r>
      <w:r>
        <w:rPr>
          <w:lang w:val="fr-FR"/>
        </w:rPr>
        <w:t xml:space="preserve"> sont en cours d’analyse</w:t>
      </w:r>
      <w:r w:rsidRPr="00686CD4">
        <w:rPr>
          <w:lang w:val="fr-FR"/>
        </w:rPr>
        <w:t xml:space="preserve"> </w:t>
      </w:r>
      <w:r>
        <w:rPr>
          <w:lang w:val="fr-FR"/>
        </w:rPr>
        <w:t xml:space="preserve">et </w:t>
      </w:r>
      <w:r w:rsidRPr="00686CD4">
        <w:rPr>
          <w:lang w:val="fr-FR"/>
        </w:rPr>
        <w:t xml:space="preserve">ne sont </w:t>
      </w:r>
      <w:r>
        <w:rPr>
          <w:lang w:val="fr-FR"/>
        </w:rPr>
        <w:t xml:space="preserve">donc </w:t>
      </w:r>
      <w:r w:rsidRPr="00686CD4">
        <w:rPr>
          <w:lang w:val="fr-FR"/>
        </w:rPr>
        <w:t>pas encore disponibles</w:t>
      </w:r>
      <w:r w:rsidR="00A468DE">
        <w:rPr>
          <w:lang w:val="fr-FR"/>
        </w:rPr>
        <w:t>.</w:t>
      </w:r>
    </w:p>
    <w:p w:rsidR="002A7A34" w:rsidRPr="00686CD4" w:rsidRDefault="002A7A34" w:rsidP="00A468DE">
      <w:pPr>
        <w:pStyle w:val="H23G"/>
        <w:jc w:val="both"/>
        <w:rPr>
          <w:lang w:val="fr-FR"/>
        </w:rPr>
      </w:pPr>
      <w:r w:rsidRPr="00686CD4">
        <w:rPr>
          <w:lang w:val="fr-FR"/>
        </w:rPr>
        <w:tab/>
      </w:r>
      <w:r w:rsidRPr="00686CD4">
        <w:rPr>
          <w:lang w:val="fr-FR"/>
        </w:rPr>
        <w:tab/>
      </w:r>
      <w:r w:rsidRPr="00686CD4">
        <w:rPr>
          <w:lang w:val="fr-FR"/>
        </w:rPr>
        <w:tab/>
        <w:t>b)</w:t>
      </w:r>
      <w:r w:rsidRPr="00686CD4">
        <w:rPr>
          <w:lang w:val="fr-FR"/>
        </w:rPr>
        <w:tab/>
      </w:r>
      <w:r w:rsidRPr="00686CD4">
        <w:rPr>
          <w:bCs/>
          <w:lang w:val="fr-FR"/>
        </w:rPr>
        <w:t>Des données à jour sur les mesures de réparation accessibles aux victimes, notamment l</w:t>
      </w:r>
      <w:r>
        <w:rPr>
          <w:bCs/>
          <w:lang w:val="fr-FR"/>
        </w:rPr>
        <w:t>’</w:t>
      </w:r>
      <w:r w:rsidRPr="00686CD4">
        <w:rPr>
          <w:bCs/>
          <w:lang w:val="fr-FR"/>
        </w:rPr>
        <w:t>aide juridictionnelle, médicale et psychologique ainsi que les programmes visant à fournir une assistance à moyen et à long terme, le nombre de foyers d</w:t>
      </w:r>
      <w:r>
        <w:rPr>
          <w:bCs/>
          <w:lang w:val="fr-FR"/>
        </w:rPr>
        <w:t>’</w:t>
      </w:r>
      <w:r w:rsidRPr="00686CD4">
        <w:rPr>
          <w:bCs/>
          <w:lang w:val="fr-FR"/>
        </w:rPr>
        <w:t>accueil, y compris pour les hommes et les enfants, et leur taux d</w:t>
      </w:r>
      <w:r>
        <w:rPr>
          <w:bCs/>
          <w:lang w:val="fr-FR"/>
        </w:rPr>
        <w:t>’</w:t>
      </w:r>
      <w:r w:rsidRPr="00686CD4">
        <w:rPr>
          <w:bCs/>
          <w:lang w:val="fr-FR"/>
        </w:rPr>
        <w:t>occupation, la procédure permettant d</w:t>
      </w:r>
      <w:r>
        <w:rPr>
          <w:bCs/>
          <w:lang w:val="fr-FR"/>
        </w:rPr>
        <w:t>’</w:t>
      </w:r>
      <w:r w:rsidRPr="00686CD4">
        <w:rPr>
          <w:bCs/>
          <w:lang w:val="fr-FR"/>
        </w:rPr>
        <w:t>obtenir une indemnisation, le pourcentage de cas dans lesquels une indemnisation a été accordée ainsi que son montant moyen, et les efforts faits pour informer les victimes de leur droit d</w:t>
      </w:r>
      <w:r>
        <w:rPr>
          <w:bCs/>
          <w:lang w:val="fr-FR"/>
        </w:rPr>
        <w:t>’</w:t>
      </w:r>
      <w:r w:rsidRPr="00686CD4">
        <w:rPr>
          <w:bCs/>
          <w:lang w:val="fr-FR"/>
        </w:rPr>
        <w:t>obtenir une indemnisation</w:t>
      </w:r>
      <w:r w:rsidR="00495D0F">
        <w:rPr>
          <w:bCs/>
          <w:lang w:val="fr-FR"/>
        </w:rPr>
        <w:t> ;</w:t>
      </w:r>
      <w:bookmarkStart w:id="18" w:name="_Toc532494621"/>
      <w:bookmarkEnd w:id="18"/>
    </w:p>
    <w:p w:rsidR="002A7A34" w:rsidRPr="00686CD4" w:rsidRDefault="002A7A34" w:rsidP="00A468DE">
      <w:pPr>
        <w:pStyle w:val="H23G"/>
        <w:jc w:val="both"/>
        <w:rPr>
          <w:lang w:val="fr-FR"/>
        </w:rPr>
      </w:pPr>
      <w:r w:rsidRPr="00686CD4">
        <w:rPr>
          <w:lang w:val="fr-FR"/>
        </w:rPr>
        <w:tab/>
      </w:r>
      <w:r w:rsidRPr="00686CD4">
        <w:rPr>
          <w:lang w:val="fr-FR"/>
        </w:rPr>
        <w:tab/>
        <w:t>Décrire l</w:t>
      </w:r>
      <w:r>
        <w:rPr>
          <w:lang w:val="fr-FR"/>
        </w:rPr>
        <w:t>’</w:t>
      </w:r>
      <w:r w:rsidRPr="00686CD4">
        <w:rPr>
          <w:lang w:val="fr-FR"/>
        </w:rPr>
        <w:t>action menée pour délivrer des permis de séjour renouvelables, même lorsque la victime n</w:t>
      </w:r>
      <w:r>
        <w:rPr>
          <w:lang w:val="fr-FR"/>
        </w:rPr>
        <w:t>’</w:t>
      </w:r>
      <w:r w:rsidRPr="00686CD4">
        <w:rPr>
          <w:lang w:val="fr-FR"/>
        </w:rPr>
        <w:t xml:space="preserve">est pas en mesure de coopérer avec les autorités, et pour accorder une protection contre le renvoi à toutes les victimes et à tous les témoins de </w:t>
      </w:r>
      <w:r>
        <w:rPr>
          <w:lang w:val="fr-FR"/>
        </w:rPr>
        <w:t>faits de</w:t>
      </w:r>
      <w:r w:rsidRPr="00686CD4">
        <w:rPr>
          <w:lang w:val="fr-FR"/>
        </w:rPr>
        <w:t xml:space="preserve"> traite, en particulier lorsque ces personnes risquent de subir des actes de torture dans leur pays d</w:t>
      </w:r>
      <w:r>
        <w:rPr>
          <w:lang w:val="fr-FR"/>
        </w:rPr>
        <w:t>’</w:t>
      </w:r>
      <w:r w:rsidRPr="00686CD4">
        <w:rPr>
          <w:lang w:val="fr-FR"/>
        </w:rPr>
        <w:t xml:space="preserve">origine. </w:t>
      </w:r>
      <w:r w:rsidRPr="00686CD4">
        <w:rPr>
          <w:bCs/>
          <w:lang w:val="fr-FR"/>
        </w:rPr>
        <w:t>Indiquer également les mesures prises pour venir en aide aux victimes qui signalent des faits de traite à la police et les protéger.</w:t>
      </w:r>
      <w:bookmarkStart w:id="19" w:name="_Toc532494622"/>
      <w:bookmarkEnd w:id="19"/>
    </w:p>
    <w:p w:rsidR="002A7A34" w:rsidRPr="00686CD4" w:rsidRDefault="002A7A34" w:rsidP="002A7A34">
      <w:pPr>
        <w:pStyle w:val="H4G"/>
        <w:rPr>
          <w:lang w:val="fr-FR"/>
        </w:rPr>
      </w:pPr>
      <w:r w:rsidRPr="00686CD4">
        <w:rPr>
          <w:lang w:val="fr-FR"/>
        </w:rPr>
        <w:tab/>
      </w:r>
      <w:r w:rsidRPr="00686CD4">
        <w:rPr>
          <w:lang w:val="fr-FR"/>
        </w:rPr>
        <w:tab/>
      </w:r>
      <w:r w:rsidRPr="00686CD4">
        <w:rPr>
          <w:iCs/>
          <w:lang w:val="fr-FR"/>
        </w:rPr>
        <w:t>Voies de recours</w:t>
      </w:r>
    </w:p>
    <w:p w:rsidR="002A7A34" w:rsidRPr="00686CD4" w:rsidRDefault="002A7A34" w:rsidP="00A468DE">
      <w:pPr>
        <w:pStyle w:val="SingleTxtG"/>
        <w:rPr>
          <w:lang w:val="fr-FR"/>
        </w:rPr>
      </w:pPr>
      <w:r w:rsidRPr="00686CD4">
        <w:rPr>
          <w:lang w:val="fr-FR"/>
        </w:rPr>
        <w:t>71.</w:t>
      </w:r>
      <w:r w:rsidRPr="00686CD4">
        <w:rPr>
          <w:lang w:val="fr-FR"/>
        </w:rPr>
        <w:tab/>
        <w:t xml:space="preserve">Tous les étrangers </w:t>
      </w:r>
      <w:r>
        <w:rPr>
          <w:lang w:val="fr-FR"/>
        </w:rPr>
        <w:t>victimes de traite</w:t>
      </w:r>
      <w:r w:rsidRPr="00686CD4">
        <w:rPr>
          <w:lang w:val="fr-FR"/>
        </w:rPr>
        <w:t>, y compris les ressortissants de l</w:t>
      </w:r>
      <w:r>
        <w:rPr>
          <w:lang w:val="fr-FR"/>
        </w:rPr>
        <w:t>’</w:t>
      </w:r>
      <w:r w:rsidRPr="00686CD4">
        <w:rPr>
          <w:lang w:val="fr-FR"/>
        </w:rPr>
        <w:t>Union européenne ou de l</w:t>
      </w:r>
      <w:r>
        <w:rPr>
          <w:lang w:val="fr-FR"/>
        </w:rPr>
        <w:t>’</w:t>
      </w:r>
      <w:r w:rsidRPr="00686CD4">
        <w:rPr>
          <w:lang w:val="fr-FR"/>
        </w:rPr>
        <w:t>espace économique européen</w:t>
      </w:r>
      <w:r>
        <w:rPr>
          <w:lang w:val="fr-FR"/>
        </w:rPr>
        <w:t>,</w:t>
      </w:r>
      <w:r w:rsidRPr="00686CD4">
        <w:rPr>
          <w:lang w:val="fr-FR"/>
        </w:rPr>
        <w:t xml:space="preserve"> ont droit à </w:t>
      </w:r>
      <w:r>
        <w:rPr>
          <w:lang w:val="fr-FR"/>
        </w:rPr>
        <w:t>bénéficier d’</w:t>
      </w:r>
      <w:r w:rsidRPr="00686CD4">
        <w:rPr>
          <w:lang w:val="fr-FR"/>
        </w:rPr>
        <w:t>un</w:t>
      </w:r>
      <w:r>
        <w:rPr>
          <w:lang w:val="fr-FR"/>
        </w:rPr>
        <w:t>e</w:t>
      </w:r>
      <w:r w:rsidRPr="00686CD4">
        <w:rPr>
          <w:lang w:val="fr-FR"/>
        </w:rPr>
        <w:t xml:space="preserve"> </w:t>
      </w:r>
      <w:r>
        <w:rPr>
          <w:lang w:val="fr-FR"/>
        </w:rPr>
        <w:t xml:space="preserve">période </w:t>
      </w:r>
      <w:r w:rsidRPr="00686CD4">
        <w:rPr>
          <w:lang w:val="fr-FR"/>
        </w:rPr>
        <w:t>de rétablissement et de réflexion et son</w:t>
      </w:r>
      <w:r>
        <w:rPr>
          <w:lang w:val="fr-FR"/>
        </w:rPr>
        <w:t>t</w:t>
      </w:r>
      <w:r w:rsidRPr="00686CD4">
        <w:rPr>
          <w:lang w:val="fr-FR"/>
        </w:rPr>
        <w:t xml:space="preserve"> hébergé</w:t>
      </w:r>
      <w:r>
        <w:rPr>
          <w:lang w:val="fr-FR"/>
        </w:rPr>
        <w:t>s</w:t>
      </w:r>
      <w:r w:rsidRPr="00686CD4">
        <w:rPr>
          <w:lang w:val="fr-FR"/>
        </w:rPr>
        <w:t xml:space="preserve"> dans des foyers ouverts </w:t>
      </w:r>
      <w:r>
        <w:rPr>
          <w:lang w:val="fr-FR"/>
        </w:rPr>
        <w:t xml:space="preserve">à cette fin </w:t>
      </w:r>
      <w:r w:rsidRPr="00686CD4">
        <w:rPr>
          <w:lang w:val="fr-FR"/>
        </w:rPr>
        <w:t xml:space="preserve">au Portugal. Les victimes jouissent de </w:t>
      </w:r>
      <w:r>
        <w:rPr>
          <w:lang w:val="fr-FR"/>
        </w:rPr>
        <w:t>c</w:t>
      </w:r>
      <w:r w:rsidRPr="00686CD4">
        <w:rPr>
          <w:lang w:val="fr-FR"/>
        </w:rPr>
        <w:t>es droits, qu</w:t>
      </w:r>
      <w:r>
        <w:rPr>
          <w:lang w:val="fr-FR"/>
        </w:rPr>
        <w:t>’</w:t>
      </w:r>
      <w:r w:rsidRPr="00686CD4">
        <w:rPr>
          <w:lang w:val="fr-FR"/>
        </w:rPr>
        <w:t>elle</w:t>
      </w:r>
      <w:r>
        <w:rPr>
          <w:lang w:val="fr-FR"/>
        </w:rPr>
        <w:t>s</w:t>
      </w:r>
      <w:r w:rsidRPr="00686CD4">
        <w:rPr>
          <w:lang w:val="fr-FR"/>
        </w:rPr>
        <w:t xml:space="preserve"> coopèrent </w:t>
      </w:r>
      <w:r>
        <w:rPr>
          <w:lang w:val="fr-FR"/>
        </w:rPr>
        <w:t xml:space="preserve">ou </w:t>
      </w:r>
      <w:r w:rsidRPr="00686CD4">
        <w:rPr>
          <w:lang w:val="fr-FR"/>
        </w:rPr>
        <w:t>non</w:t>
      </w:r>
      <w:r>
        <w:rPr>
          <w:lang w:val="fr-FR"/>
        </w:rPr>
        <w:t>,</w:t>
      </w:r>
      <w:r w:rsidRPr="00686CD4">
        <w:rPr>
          <w:lang w:val="fr-FR"/>
        </w:rPr>
        <w:t xml:space="preserve"> et avant de </w:t>
      </w:r>
      <w:r>
        <w:rPr>
          <w:lang w:val="fr-FR"/>
        </w:rPr>
        <w:t xml:space="preserve">présenter </w:t>
      </w:r>
      <w:r w:rsidRPr="00686CD4">
        <w:rPr>
          <w:lang w:val="fr-FR"/>
        </w:rPr>
        <w:t>toute déclaration officielle aux enquêteurs.</w:t>
      </w:r>
    </w:p>
    <w:p w:rsidR="002A7A34" w:rsidRPr="00686CD4" w:rsidRDefault="002A7A34" w:rsidP="00A468DE">
      <w:pPr>
        <w:pStyle w:val="SingleTxtG"/>
        <w:rPr>
          <w:lang w:val="fr-FR"/>
        </w:rPr>
      </w:pPr>
      <w:r w:rsidRPr="00686CD4">
        <w:rPr>
          <w:lang w:val="fr-FR"/>
        </w:rPr>
        <w:t>72.</w:t>
      </w:r>
      <w:r w:rsidRPr="00686CD4">
        <w:rPr>
          <w:lang w:val="fr-FR"/>
        </w:rPr>
        <w:tab/>
        <w:t>Les victimes présumées de traite (ressortissant</w:t>
      </w:r>
      <w:r>
        <w:rPr>
          <w:lang w:val="fr-FR"/>
        </w:rPr>
        <w:t>s</w:t>
      </w:r>
      <w:r w:rsidRPr="00686CD4">
        <w:rPr>
          <w:lang w:val="fr-FR"/>
        </w:rPr>
        <w:t xml:space="preserve"> portugais, ressortissant</w:t>
      </w:r>
      <w:r>
        <w:rPr>
          <w:lang w:val="fr-FR"/>
        </w:rPr>
        <w:t>s</w:t>
      </w:r>
      <w:r w:rsidRPr="00686CD4">
        <w:rPr>
          <w:lang w:val="fr-FR"/>
        </w:rPr>
        <w:t xml:space="preserve"> de l</w:t>
      </w:r>
      <w:r>
        <w:rPr>
          <w:lang w:val="fr-FR"/>
        </w:rPr>
        <w:t>’U</w:t>
      </w:r>
      <w:r w:rsidRPr="00686CD4">
        <w:rPr>
          <w:lang w:val="fr-FR"/>
        </w:rPr>
        <w:t>nion européenne ou de l</w:t>
      </w:r>
      <w:r>
        <w:rPr>
          <w:lang w:val="fr-FR"/>
        </w:rPr>
        <w:t>’</w:t>
      </w:r>
      <w:r w:rsidRPr="00686CD4">
        <w:rPr>
          <w:lang w:val="fr-FR"/>
        </w:rPr>
        <w:t xml:space="preserve">espace économique européen, ou </w:t>
      </w:r>
      <w:r>
        <w:rPr>
          <w:lang w:val="fr-FR"/>
        </w:rPr>
        <w:t xml:space="preserve">ressortissants </w:t>
      </w:r>
      <w:r w:rsidRPr="00686CD4">
        <w:rPr>
          <w:lang w:val="fr-FR"/>
        </w:rPr>
        <w:t>de pays non membres de l</w:t>
      </w:r>
      <w:r>
        <w:rPr>
          <w:lang w:val="fr-FR"/>
        </w:rPr>
        <w:t>’U</w:t>
      </w:r>
      <w:r w:rsidRPr="00686CD4">
        <w:rPr>
          <w:lang w:val="fr-FR"/>
        </w:rPr>
        <w:t>nion européenne) bénéficie</w:t>
      </w:r>
      <w:r>
        <w:rPr>
          <w:lang w:val="fr-FR"/>
        </w:rPr>
        <w:t>nt</w:t>
      </w:r>
      <w:r w:rsidRPr="00686CD4">
        <w:rPr>
          <w:lang w:val="fr-FR"/>
        </w:rPr>
        <w:t xml:space="preserve"> d</w:t>
      </w:r>
      <w:r>
        <w:rPr>
          <w:lang w:val="fr-FR"/>
        </w:rPr>
        <w:t>’</w:t>
      </w:r>
      <w:r w:rsidRPr="00686CD4">
        <w:rPr>
          <w:lang w:val="fr-FR"/>
        </w:rPr>
        <w:t xml:space="preserve">un programme de protection et de sécurité (qui leur donne </w:t>
      </w:r>
      <w:r>
        <w:rPr>
          <w:lang w:val="fr-FR"/>
        </w:rPr>
        <w:t xml:space="preserve">droit </w:t>
      </w:r>
      <w:r w:rsidRPr="00686CD4">
        <w:rPr>
          <w:lang w:val="fr-FR"/>
        </w:rPr>
        <w:t xml:space="preserve">à un </w:t>
      </w:r>
      <w:r>
        <w:rPr>
          <w:lang w:val="fr-FR"/>
        </w:rPr>
        <w:t>héberge</w:t>
      </w:r>
      <w:r w:rsidRPr="00686CD4">
        <w:rPr>
          <w:lang w:val="fr-FR"/>
        </w:rPr>
        <w:t xml:space="preserve">ment, </w:t>
      </w:r>
      <w:r>
        <w:rPr>
          <w:lang w:val="fr-FR"/>
        </w:rPr>
        <w:t xml:space="preserve">à une indemnité </w:t>
      </w:r>
      <w:r w:rsidRPr="00686CD4">
        <w:rPr>
          <w:lang w:val="fr-FR"/>
        </w:rPr>
        <w:t>de subsistance, à des traitements médicaux adaptés et d</w:t>
      </w:r>
      <w:r>
        <w:rPr>
          <w:lang w:val="fr-FR"/>
        </w:rPr>
        <w:t>’</w:t>
      </w:r>
      <w:r w:rsidRPr="00686CD4">
        <w:rPr>
          <w:lang w:val="fr-FR"/>
        </w:rPr>
        <w:t xml:space="preserve">urgence, à une aide psychologique, à une protection, </w:t>
      </w:r>
      <w:r>
        <w:rPr>
          <w:lang w:val="fr-FR"/>
        </w:rPr>
        <w:t xml:space="preserve">à </w:t>
      </w:r>
      <w:r w:rsidRPr="00686CD4">
        <w:rPr>
          <w:lang w:val="fr-FR"/>
        </w:rPr>
        <w:t>des services de traduction et d</w:t>
      </w:r>
      <w:r>
        <w:rPr>
          <w:lang w:val="fr-FR"/>
        </w:rPr>
        <w:t>’</w:t>
      </w:r>
      <w:r w:rsidRPr="00686CD4">
        <w:rPr>
          <w:lang w:val="fr-FR"/>
        </w:rPr>
        <w:t>interprétation ainsi qu</w:t>
      </w:r>
      <w:r>
        <w:rPr>
          <w:lang w:val="fr-FR"/>
        </w:rPr>
        <w:t>’</w:t>
      </w:r>
      <w:r w:rsidRPr="00686CD4">
        <w:rPr>
          <w:lang w:val="fr-FR"/>
        </w:rPr>
        <w:t>à une aide juridictionnelle, conformément à la loi)</w:t>
      </w:r>
      <w:r>
        <w:rPr>
          <w:lang w:val="fr-FR"/>
        </w:rPr>
        <w:t>.</w:t>
      </w:r>
      <w:r w:rsidR="00495D0F">
        <w:rPr>
          <w:lang w:val="fr-FR"/>
        </w:rPr>
        <w:t xml:space="preserve"> </w:t>
      </w:r>
      <w:r>
        <w:rPr>
          <w:lang w:val="fr-FR"/>
        </w:rPr>
        <w:t xml:space="preserve">Dès que </w:t>
      </w:r>
      <w:r w:rsidRPr="00686CD4">
        <w:rPr>
          <w:lang w:val="fr-FR"/>
        </w:rPr>
        <w:t xml:space="preserve">la situation de la victime </w:t>
      </w:r>
      <w:r>
        <w:rPr>
          <w:lang w:val="fr-FR"/>
        </w:rPr>
        <w:t>est devenue plus stable</w:t>
      </w:r>
      <w:r w:rsidRPr="00686CD4">
        <w:rPr>
          <w:lang w:val="fr-FR"/>
        </w:rPr>
        <w:t>, cette dernière prépare un projet</w:t>
      </w:r>
      <w:r>
        <w:rPr>
          <w:lang w:val="fr-FR"/>
        </w:rPr>
        <w:t xml:space="preserve"> de vie</w:t>
      </w:r>
      <w:r w:rsidRPr="00686CD4">
        <w:rPr>
          <w:lang w:val="fr-FR"/>
        </w:rPr>
        <w:t xml:space="preserve"> avec l</w:t>
      </w:r>
      <w:r>
        <w:rPr>
          <w:lang w:val="fr-FR"/>
        </w:rPr>
        <w:t>’</w:t>
      </w:r>
      <w:r w:rsidRPr="00686CD4">
        <w:rPr>
          <w:lang w:val="fr-FR"/>
        </w:rPr>
        <w:t xml:space="preserve">équipe du foyer. </w:t>
      </w:r>
      <w:r>
        <w:rPr>
          <w:lang w:val="fr-FR"/>
        </w:rPr>
        <w:t>L</w:t>
      </w:r>
      <w:r w:rsidRPr="00686CD4">
        <w:rPr>
          <w:lang w:val="fr-FR"/>
        </w:rPr>
        <w:t>e foyer d</w:t>
      </w:r>
      <w:r>
        <w:rPr>
          <w:lang w:val="fr-FR"/>
        </w:rPr>
        <w:t>’</w:t>
      </w:r>
      <w:r w:rsidRPr="00686CD4">
        <w:rPr>
          <w:lang w:val="fr-FR"/>
        </w:rPr>
        <w:t xml:space="preserve">accueil et </w:t>
      </w:r>
      <w:r>
        <w:rPr>
          <w:lang w:val="fr-FR"/>
        </w:rPr>
        <w:t xml:space="preserve">le </w:t>
      </w:r>
      <w:r w:rsidRPr="00686CD4">
        <w:rPr>
          <w:lang w:val="fr-FR"/>
        </w:rPr>
        <w:t>centre de protection aide</w:t>
      </w:r>
      <w:r>
        <w:rPr>
          <w:lang w:val="fr-FR"/>
        </w:rPr>
        <w:t>nt, dans la mesure du possible,</w:t>
      </w:r>
      <w:r w:rsidRPr="00686CD4">
        <w:rPr>
          <w:lang w:val="fr-FR"/>
        </w:rPr>
        <w:t xml:space="preserve"> les victimes à poursuivre des études ou une formation professionnelle ou </w:t>
      </w:r>
      <w:r>
        <w:rPr>
          <w:lang w:val="fr-FR"/>
        </w:rPr>
        <w:t xml:space="preserve">encore </w:t>
      </w:r>
      <w:r w:rsidRPr="00686CD4">
        <w:rPr>
          <w:lang w:val="fr-FR"/>
        </w:rPr>
        <w:t>à trouver un emploi.</w:t>
      </w:r>
    </w:p>
    <w:p w:rsidR="002A7A34" w:rsidRPr="00686CD4" w:rsidRDefault="002A7A34" w:rsidP="00A468DE">
      <w:pPr>
        <w:pStyle w:val="SingleTxtG"/>
        <w:rPr>
          <w:lang w:val="fr-FR"/>
        </w:rPr>
      </w:pPr>
      <w:r w:rsidRPr="00686CD4">
        <w:rPr>
          <w:lang w:val="fr-FR"/>
        </w:rPr>
        <w:t>73.</w:t>
      </w:r>
      <w:r w:rsidRPr="00686CD4">
        <w:rPr>
          <w:lang w:val="fr-FR"/>
        </w:rPr>
        <w:tab/>
        <w:t>Le Portugal compte actuellement quatre de ces foyers</w:t>
      </w:r>
      <w:r w:rsidR="00495D0F">
        <w:rPr>
          <w:lang w:val="fr-FR"/>
        </w:rPr>
        <w:t> :</w:t>
      </w:r>
      <w:r w:rsidRPr="00686CD4">
        <w:rPr>
          <w:lang w:val="fr-FR"/>
        </w:rPr>
        <w:t xml:space="preserve"> un pour les hommes, deux pour les femmes, qui héberge</w:t>
      </w:r>
      <w:r>
        <w:rPr>
          <w:lang w:val="fr-FR"/>
        </w:rPr>
        <w:t>nt</w:t>
      </w:r>
      <w:r w:rsidRPr="00686CD4">
        <w:rPr>
          <w:lang w:val="fr-FR"/>
        </w:rPr>
        <w:t xml:space="preserve"> également </w:t>
      </w:r>
      <w:r>
        <w:rPr>
          <w:lang w:val="fr-FR"/>
        </w:rPr>
        <w:t>l</w:t>
      </w:r>
      <w:r w:rsidRPr="00686CD4">
        <w:rPr>
          <w:lang w:val="fr-FR"/>
        </w:rPr>
        <w:t>es enfants mineurs</w:t>
      </w:r>
      <w:r>
        <w:rPr>
          <w:lang w:val="fr-FR"/>
        </w:rPr>
        <w:t>,</w:t>
      </w:r>
      <w:r w:rsidRPr="00686CD4">
        <w:rPr>
          <w:lang w:val="fr-FR"/>
        </w:rPr>
        <w:t xml:space="preserve"> et un pour les enfants </w:t>
      </w:r>
      <w:r>
        <w:rPr>
          <w:lang w:val="fr-FR"/>
        </w:rPr>
        <w:t>victimes de traite</w:t>
      </w:r>
      <w:r w:rsidRPr="00686CD4">
        <w:rPr>
          <w:lang w:val="fr-FR"/>
        </w:rPr>
        <w:t>. Leur taux d</w:t>
      </w:r>
      <w:r>
        <w:rPr>
          <w:lang w:val="fr-FR"/>
        </w:rPr>
        <w:t>’</w:t>
      </w:r>
      <w:r w:rsidRPr="00686CD4">
        <w:rPr>
          <w:lang w:val="fr-FR"/>
        </w:rPr>
        <w:t>occupation est proche de 90</w:t>
      </w:r>
      <w:r>
        <w:rPr>
          <w:lang w:val="fr-FR"/>
        </w:rPr>
        <w:t> </w:t>
      </w:r>
      <w:r w:rsidRPr="00686CD4">
        <w:rPr>
          <w:lang w:val="fr-FR"/>
        </w:rPr>
        <w:t>%</w:t>
      </w:r>
    </w:p>
    <w:p w:rsidR="002A7A34" w:rsidRPr="00686CD4" w:rsidRDefault="002A7A34" w:rsidP="00A468DE">
      <w:pPr>
        <w:pStyle w:val="SingleTxtG"/>
        <w:rPr>
          <w:lang w:val="fr-FR"/>
        </w:rPr>
      </w:pPr>
      <w:r w:rsidRPr="00686CD4">
        <w:rPr>
          <w:lang w:val="fr-FR"/>
        </w:rPr>
        <w:t>74.</w:t>
      </w:r>
      <w:r w:rsidRPr="00686CD4">
        <w:rPr>
          <w:lang w:val="fr-FR"/>
        </w:rPr>
        <w:tab/>
        <w:t>Une brochure expliquant les dispositions de la loi sur l</w:t>
      </w:r>
      <w:r>
        <w:rPr>
          <w:lang w:val="fr-FR"/>
        </w:rPr>
        <w:t>’</w:t>
      </w:r>
      <w:r w:rsidRPr="00686CD4">
        <w:rPr>
          <w:lang w:val="fr-FR"/>
        </w:rPr>
        <w:t>indemnisation des victimes de délinquance violente et de violence intrafamiliale a été publiée dans le but d</w:t>
      </w:r>
      <w:r>
        <w:rPr>
          <w:lang w:val="fr-FR"/>
        </w:rPr>
        <w:t>’</w:t>
      </w:r>
      <w:r w:rsidRPr="00686CD4">
        <w:rPr>
          <w:lang w:val="fr-FR"/>
        </w:rPr>
        <w:t xml:space="preserve">informer les </w:t>
      </w:r>
      <w:r>
        <w:rPr>
          <w:lang w:val="fr-FR"/>
        </w:rPr>
        <w:t>victimes de traite</w:t>
      </w:r>
      <w:r w:rsidRPr="00686CD4">
        <w:rPr>
          <w:lang w:val="fr-FR"/>
        </w:rPr>
        <w:t xml:space="preserve"> de leurs droits </w:t>
      </w:r>
      <w:r>
        <w:rPr>
          <w:lang w:val="fr-FR"/>
        </w:rPr>
        <w:t>en la matière</w:t>
      </w:r>
      <w:r w:rsidRPr="00686CD4">
        <w:rPr>
          <w:lang w:val="fr-FR"/>
        </w:rPr>
        <w:t>. Cette brochure est disponible en cinq langues (anglais, français</w:t>
      </w:r>
      <w:r>
        <w:rPr>
          <w:lang w:val="fr-FR"/>
        </w:rPr>
        <w:t>,</w:t>
      </w:r>
      <w:r w:rsidRPr="00686CD4">
        <w:rPr>
          <w:lang w:val="fr-FR"/>
        </w:rPr>
        <w:t xml:space="preserve"> portugais, roumain</w:t>
      </w:r>
      <w:r>
        <w:rPr>
          <w:lang w:val="fr-FR"/>
        </w:rPr>
        <w:t xml:space="preserve"> et</w:t>
      </w:r>
      <w:r w:rsidRPr="00686CD4">
        <w:rPr>
          <w:lang w:val="fr-FR"/>
        </w:rPr>
        <w:t xml:space="preserve"> russe)</w:t>
      </w:r>
      <w:r>
        <w:rPr>
          <w:lang w:val="fr-FR"/>
        </w:rPr>
        <w:t>.</w:t>
      </w:r>
    </w:p>
    <w:p w:rsidR="002A7A34" w:rsidRPr="00686CD4" w:rsidRDefault="002A7A34" w:rsidP="00A468DE">
      <w:pPr>
        <w:pStyle w:val="SingleTxtG"/>
        <w:rPr>
          <w:lang w:val="fr-FR"/>
        </w:rPr>
      </w:pPr>
      <w:r w:rsidRPr="00686CD4">
        <w:rPr>
          <w:lang w:val="fr-FR"/>
        </w:rPr>
        <w:t>75.</w:t>
      </w:r>
      <w:r w:rsidRPr="00686CD4">
        <w:rPr>
          <w:lang w:val="fr-FR"/>
        </w:rPr>
        <w:tab/>
        <w:t xml:space="preserve">Voir les réponses </w:t>
      </w:r>
      <w:r>
        <w:rPr>
          <w:lang w:val="fr-FR"/>
        </w:rPr>
        <w:t xml:space="preserve">données </w:t>
      </w:r>
      <w:r w:rsidRPr="00686CD4">
        <w:rPr>
          <w:lang w:val="fr-FR"/>
        </w:rPr>
        <w:t>au paragraphe 3</w:t>
      </w:r>
      <w:r>
        <w:rPr>
          <w:lang w:val="fr-FR"/>
        </w:rPr>
        <w:t> </w:t>
      </w:r>
      <w:r w:rsidRPr="00686CD4">
        <w:rPr>
          <w:lang w:val="fr-FR"/>
        </w:rPr>
        <w:t>b) et</w:t>
      </w:r>
      <w:r w:rsidR="00495D0F">
        <w:rPr>
          <w:lang w:val="fr-FR"/>
        </w:rPr>
        <w:t xml:space="preserve"> </w:t>
      </w:r>
      <w:r w:rsidRPr="00686CD4">
        <w:rPr>
          <w:lang w:val="fr-FR"/>
        </w:rPr>
        <w:t>aux paragraphes</w:t>
      </w:r>
      <w:r>
        <w:rPr>
          <w:lang w:val="fr-FR"/>
        </w:rPr>
        <w:t> </w:t>
      </w:r>
      <w:r w:rsidRPr="00686CD4">
        <w:rPr>
          <w:lang w:val="fr-FR"/>
        </w:rPr>
        <w:t>17 à</w:t>
      </w:r>
      <w:r>
        <w:rPr>
          <w:lang w:val="fr-FR"/>
        </w:rPr>
        <w:t> </w:t>
      </w:r>
      <w:r w:rsidRPr="00686CD4">
        <w:rPr>
          <w:lang w:val="fr-FR"/>
        </w:rPr>
        <w:t xml:space="preserve">20 du </w:t>
      </w:r>
      <w:r>
        <w:rPr>
          <w:lang w:val="fr-FR"/>
        </w:rPr>
        <w:t xml:space="preserve">rapport </w:t>
      </w:r>
      <w:r w:rsidRPr="00686CD4">
        <w:rPr>
          <w:lang w:val="fr-FR"/>
        </w:rPr>
        <w:t>CAT/C/PRT/CO/5-6/</w:t>
      </w:r>
      <w:r w:rsidR="00102CAC">
        <w:rPr>
          <w:lang w:val="fr-FR"/>
        </w:rPr>
        <w:t>A</w:t>
      </w:r>
      <w:r w:rsidRPr="00686CD4">
        <w:rPr>
          <w:lang w:val="fr-FR"/>
        </w:rPr>
        <w:t>dd</w:t>
      </w:r>
      <w:r w:rsidR="00102CAC">
        <w:rPr>
          <w:lang w:val="fr-FR"/>
        </w:rPr>
        <w:t>.</w:t>
      </w:r>
      <w:r w:rsidRPr="00686CD4">
        <w:rPr>
          <w:lang w:val="fr-FR"/>
        </w:rPr>
        <w:t xml:space="preserve">3 </w:t>
      </w:r>
      <w:r>
        <w:rPr>
          <w:lang w:val="fr-FR"/>
        </w:rPr>
        <w:t xml:space="preserve">ainsi que le </w:t>
      </w:r>
      <w:r w:rsidRPr="00686CD4">
        <w:rPr>
          <w:lang w:val="fr-FR"/>
        </w:rPr>
        <w:t>tableau</w:t>
      </w:r>
      <w:r>
        <w:rPr>
          <w:lang w:val="fr-FR"/>
        </w:rPr>
        <w:t> </w:t>
      </w:r>
      <w:r w:rsidRPr="00686CD4">
        <w:rPr>
          <w:lang w:val="fr-FR"/>
        </w:rPr>
        <w:t>VIII</w:t>
      </w:r>
      <w:r>
        <w:rPr>
          <w:lang w:val="fr-FR"/>
        </w:rPr>
        <w:t xml:space="preserve"> </w:t>
      </w:r>
      <w:r w:rsidRPr="00686CD4">
        <w:rPr>
          <w:lang w:val="fr-FR"/>
        </w:rPr>
        <w:t>de l</w:t>
      </w:r>
      <w:r>
        <w:rPr>
          <w:lang w:val="fr-FR"/>
        </w:rPr>
        <w:t>’</w:t>
      </w:r>
      <w:r w:rsidRPr="00686CD4">
        <w:rPr>
          <w:lang w:val="fr-FR"/>
        </w:rPr>
        <w:t>annexe</w:t>
      </w:r>
      <w:r>
        <w:rPr>
          <w:lang w:val="fr-FR"/>
        </w:rPr>
        <w:t> </w:t>
      </w:r>
      <w:r w:rsidRPr="00686CD4">
        <w:rPr>
          <w:lang w:val="fr-FR"/>
        </w:rPr>
        <w:t>III</w:t>
      </w:r>
      <w:r>
        <w:rPr>
          <w:lang w:val="fr-FR"/>
        </w:rPr>
        <w:t xml:space="preserve"> qui </w:t>
      </w:r>
      <w:r w:rsidRPr="00686CD4">
        <w:rPr>
          <w:lang w:val="fr-FR"/>
        </w:rPr>
        <w:t>présent</w:t>
      </w:r>
      <w:r>
        <w:rPr>
          <w:lang w:val="fr-FR"/>
        </w:rPr>
        <w:t>e</w:t>
      </w:r>
      <w:r w:rsidRPr="00686CD4">
        <w:rPr>
          <w:lang w:val="fr-FR"/>
        </w:rPr>
        <w:t xml:space="preserve"> les données officielles sur les demandes d</w:t>
      </w:r>
      <w:r>
        <w:rPr>
          <w:lang w:val="fr-FR"/>
        </w:rPr>
        <w:t>’</w:t>
      </w:r>
      <w:r w:rsidRPr="00686CD4">
        <w:rPr>
          <w:lang w:val="fr-FR"/>
        </w:rPr>
        <w:t>indemnisation communiquées par le Ministère de la justice.</w:t>
      </w:r>
    </w:p>
    <w:p w:rsidR="002A7A34" w:rsidRPr="00686CD4" w:rsidRDefault="002A7A34" w:rsidP="00A468DE">
      <w:pPr>
        <w:pStyle w:val="SingleTxtG"/>
        <w:rPr>
          <w:lang w:val="fr-FR"/>
        </w:rPr>
      </w:pPr>
      <w:r w:rsidRPr="00686CD4">
        <w:rPr>
          <w:lang w:val="fr-FR"/>
        </w:rPr>
        <w:t>76.</w:t>
      </w:r>
      <w:r w:rsidRPr="00686CD4">
        <w:rPr>
          <w:lang w:val="fr-FR"/>
        </w:rPr>
        <w:tab/>
      </w:r>
      <w:r>
        <w:rPr>
          <w:lang w:val="fr-FR"/>
        </w:rPr>
        <w:t>L</w:t>
      </w:r>
      <w:r w:rsidRPr="00686CD4">
        <w:rPr>
          <w:lang w:val="fr-FR"/>
        </w:rPr>
        <w:t xml:space="preserve">es </w:t>
      </w:r>
      <w:r>
        <w:rPr>
          <w:lang w:val="fr-FR"/>
        </w:rPr>
        <w:t xml:space="preserve">victimes de traite </w:t>
      </w:r>
      <w:r w:rsidRPr="00686CD4">
        <w:rPr>
          <w:lang w:val="fr-FR"/>
        </w:rPr>
        <w:t xml:space="preserve">rentrent dans trois grandes catégories. La première </w:t>
      </w:r>
      <w:r>
        <w:rPr>
          <w:lang w:val="fr-FR"/>
        </w:rPr>
        <w:t xml:space="preserve">comprend </w:t>
      </w:r>
      <w:r w:rsidRPr="00686CD4">
        <w:rPr>
          <w:lang w:val="fr-FR"/>
        </w:rPr>
        <w:t>deux femmes attirées au Portugal par la promesse d</w:t>
      </w:r>
      <w:r>
        <w:rPr>
          <w:lang w:val="fr-FR"/>
        </w:rPr>
        <w:t>’</w:t>
      </w:r>
      <w:r w:rsidRPr="00686CD4">
        <w:rPr>
          <w:lang w:val="fr-FR"/>
        </w:rPr>
        <w:t xml:space="preserve">un emploi et contraintes de se prostituer. </w:t>
      </w:r>
      <w:r>
        <w:rPr>
          <w:lang w:val="fr-FR"/>
        </w:rPr>
        <w:t xml:space="preserve">Ces dernières </w:t>
      </w:r>
      <w:r w:rsidRPr="00686CD4">
        <w:rPr>
          <w:lang w:val="fr-FR"/>
        </w:rPr>
        <w:t>ont reçu un soutien financier et leurs frais de voyage et le retour dans leur pays a été financé par la Commission de protection des victimes de la criminalité.</w:t>
      </w:r>
    </w:p>
    <w:p w:rsidR="002A7A34" w:rsidRPr="00686CD4" w:rsidRDefault="002A7A34" w:rsidP="00C37205">
      <w:pPr>
        <w:pStyle w:val="SingleTxtG"/>
        <w:rPr>
          <w:lang w:val="fr-FR"/>
        </w:rPr>
      </w:pPr>
      <w:r w:rsidRPr="00686CD4">
        <w:rPr>
          <w:lang w:val="fr-FR"/>
        </w:rPr>
        <w:t>77.</w:t>
      </w:r>
      <w:r w:rsidRPr="00686CD4">
        <w:rPr>
          <w:lang w:val="fr-FR"/>
        </w:rPr>
        <w:tab/>
        <w:t>Un groupe plus important</w:t>
      </w:r>
      <w:r>
        <w:rPr>
          <w:lang w:val="fr-FR"/>
        </w:rPr>
        <w:t xml:space="preserve"> comprend </w:t>
      </w:r>
      <w:r w:rsidRPr="00686CD4">
        <w:rPr>
          <w:lang w:val="fr-FR"/>
        </w:rPr>
        <w:t>six</w:t>
      </w:r>
      <w:r>
        <w:rPr>
          <w:lang w:val="fr-FR"/>
        </w:rPr>
        <w:t xml:space="preserve"> victimes de traite</w:t>
      </w:r>
      <w:r w:rsidRPr="00686CD4">
        <w:rPr>
          <w:lang w:val="fr-FR"/>
        </w:rPr>
        <w:t xml:space="preserve"> réduites en servitude</w:t>
      </w:r>
      <w:r>
        <w:rPr>
          <w:lang w:val="fr-FR"/>
        </w:rPr>
        <w:t>,</w:t>
      </w:r>
      <w:r w:rsidRPr="00686CD4">
        <w:rPr>
          <w:lang w:val="fr-FR"/>
        </w:rPr>
        <w:t xml:space="preserve"> </w:t>
      </w:r>
      <w:r>
        <w:rPr>
          <w:lang w:val="fr-FR"/>
        </w:rPr>
        <w:t xml:space="preserve">travaillant </w:t>
      </w:r>
      <w:r w:rsidRPr="00686CD4">
        <w:rPr>
          <w:lang w:val="fr-FR"/>
        </w:rPr>
        <w:t>sans être rémunérée</w:t>
      </w:r>
      <w:r>
        <w:rPr>
          <w:lang w:val="fr-FR"/>
        </w:rPr>
        <w:t>s,</w:t>
      </w:r>
      <w:r w:rsidRPr="00686CD4">
        <w:rPr>
          <w:lang w:val="fr-FR"/>
        </w:rPr>
        <w:t xml:space="preserve"> ou en </w:t>
      </w:r>
      <w:r>
        <w:rPr>
          <w:lang w:val="fr-FR"/>
        </w:rPr>
        <w:t>l’</w:t>
      </w:r>
      <w:r w:rsidRPr="00686CD4">
        <w:rPr>
          <w:lang w:val="fr-FR"/>
        </w:rPr>
        <w:t>étant très peu</w:t>
      </w:r>
      <w:r>
        <w:rPr>
          <w:lang w:val="fr-FR"/>
        </w:rPr>
        <w:t>,</w:t>
      </w:r>
      <w:r w:rsidRPr="00686CD4">
        <w:rPr>
          <w:lang w:val="fr-FR"/>
        </w:rPr>
        <w:t xml:space="preserve"> et </w:t>
      </w:r>
      <w:r>
        <w:rPr>
          <w:lang w:val="fr-FR"/>
        </w:rPr>
        <w:t xml:space="preserve">sous la </w:t>
      </w:r>
      <w:r w:rsidRPr="00686CD4">
        <w:rPr>
          <w:lang w:val="fr-FR"/>
        </w:rPr>
        <w:t>menac</w:t>
      </w:r>
      <w:r>
        <w:rPr>
          <w:lang w:val="fr-FR"/>
        </w:rPr>
        <w:t>e</w:t>
      </w:r>
      <w:r w:rsidRPr="00686CD4">
        <w:rPr>
          <w:lang w:val="fr-FR"/>
        </w:rPr>
        <w:t xml:space="preserve"> de punition.</w:t>
      </w:r>
    </w:p>
    <w:p w:rsidR="002A7A34" w:rsidRPr="00686CD4" w:rsidRDefault="002A7A34" w:rsidP="00C37205">
      <w:pPr>
        <w:pStyle w:val="SingleTxtG"/>
        <w:rPr>
          <w:lang w:val="fr-FR"/>
        </w:rPr>
      </w:pPr>
      <w:r w:rsidRPr="00686CD4">
        <w:rPr>
          <w:lang w:val="fr-FR"/>
        </w:rPr>
        <w:lastRenderedPageBreak/>
        <w:t>78.</w:t>
      </w:r>
      <w:r w:rsidRPr="00686CD4">
        <w:rPr>
          <w:lang w:val="fr-FR"/>
        </w:rPr>
        <w:tab/>
      </w:r>
      <w:r>
        <w:rPr>
          <w:lang w:val="fr-FR"/>
        </w:rPr>
        <w:t>U</w:t>
      </w:r>
      <w:r w:rsidRPr="00686CD4">
        <w:rPr>
          <w:lang w:val="fr-FR"/>
        </w:rPr>
        <w:t>n revenu mensuel</w:t>
      </w:r>
      <w:r>
        <w:rPr>
          <w:lang w:val="fr-FR"/>
        </w:rPr>
        <w:t xml:space="preserve"> a été versé</w:t>
      </w:r>
      <w:r w:rsidRPr="00686CD4">
        <w:rPr>
          <w:lang w:val="fr-FR"/>
        </w:rPr>
        <w:t xml:space="preserve"> </w:t>
      </w:r>
      <w:r>
        <w:rPr>
          <w:lang w:val="fr-FR"/>
        </w:rPr>
        <w:t>à ces victimes</w:t>
      </w:r>
      <w:r w:rsidRPr="00686CD4">
        <w:rPr>
          <w:lang w:val="fr-FR"/>
        </w:rPr>
        <w:t xml:space="preserve"> jusqu</w:t>
      </w:r>
      <w:r>
        <w:rPr>
          <w:lang w:val="fr-FR"/>
        </w:rPr>
        <w:t>’</w:t>
      </w:r>
      <w:r w:rsidRPr="00686CD4">
        <w:rPr>
          <w:lang w:val="fr-FR"/>
        </w:rPr>
        <w:t>à ce qu</w:t>
      </w:r>
      <w:r>
        <w:rPr>
          <w:lang w:val="fr-FR"/>
        </w:rPr>
        <w:t>’</w:t>
      </w:r>
      <w:r w:rsidRPr="00686CD4">
        <w:rPr>
          <w:lang w:val="fr-FR"/>
        </w:rPr>
        <w:t>elle</w:t>
      </w:r>
      <w:r>
        <w:rPr>
          <w:lang w:val="fr-FR"/>
        </w:rPr>
        <w:t>s</w:t>
      </w:r>
      <w:r w:rsidRPr="00686CD4">
        <w:rPr>
          <w:lang w:val="fr-FR"/>
        </w:rPr>
        <w:t xml:space="preserve"> soi</w:t>
      </w:r>
      <w:r>
        <w:rPr>
          <w:lang w:val="fr-FR"/>
        </w:rPr>
        <w:t>en</w:t>
      </w:r>
      <w:r w:rsidRPr="00686CD4">
        <w:rPr>
          <w:lang w:val="fr-FR"/>
        </w:rPr>
        <w:t>t devenue</w:t>
      </w:r>
      <w:r>
        <w:rPr>
          <w:lang w:val="fr-FR"/>
        </w:rPr>
        <w:t>s</w:t>
      </w:r>
      <w:r w:rsidRPr="00686CD4">
        <w:rPr>
          <w:lang w:val="fr-FR"/>
        </w:rPr>
        <w:t xml:space="preserve"> autonome</w:t>
      </w:r>
      <w:r>
        <w:rPr>
          <w:lang w:val="fr-FR"/>
        </w:rPr>
        <w:t>s</w:t>
      </w:r>
      <w:r w:rsidRPr="00686CD4">
        <w:rPr>
          <w:lang w:val="fr-FR"/>
        </w:rPr>
        <w:t xml:space="preserve"> et en mesure de rentrer dans leur pays</w:t>
      </w:r>
      <w:r>
        <w:rPr>
          <w:lang w:val="fr-FR"/>
        </w:rPr>
        <w:t>, ce qui a pris six mois dans certains cas, mais plus longtemps dans d’autres</w:t>
      </w:r>
      <w:r w:rsidRPr="00686CD4">
        <w:rPr>
          <w:lang w:val="fr-FR"/>
        </w:rPr>
        <w:t>.</w:t>
      </w:r>
    </w:p>
    <w:p w:rsidR="002A7A34" w:rsidRPr="00686CD4" w:rsidRDefault="002A7A34" w:rsidP="00C37205">
      <w:pPr>
        <w:pStyle w:val="SingleTxtG"/>
        <w:rPr>
          <w:lang w:val="fr-FR"/>
        </w:rPr>
      </w:pPr>
      <w:r w:rsidRPr="00686CD4">
        <w:rPr>
          <w:lang w:val="fr-FR"/>
        </w:rPr>
        <w:t>79.</w:t>
      </w:r>
      <w:r w:rsidRPr="00686CD4">
        <w:rPr>
          <w:lang w:val="fr-FR"/>
        </w:rPr>
        <w:tab/>
      </w:r>
      <w:r>
        <w:rPr>
          <w:lang w:val="fr-FR"/>
        </w:rPr>
        <w:t>Le dernier groupe se compose</w:t>
      </w:r>
      <w:r w:rsidRPr="00686CD4">
        <w:rPr>
          <w:lang w:val="fr-FR"/>
        </w:rPr>
        <w:t xml:space="preserve"> d</w:t>
      </w:r>
      <w:r>
        <w:rPr>
          <w:lang w:val="fr-FR"/>
        </w:rPr>
        <w:t>’</w:t>
      </w:r>
      <w:r w:rsidRPr="00686CD4">
        <w:rPr>
          <w:lang w:val="fr-FR"/>
        </w:rPr>
        <w:t xml:space="preserve">enfants </w:t>
      </w:r>
      <w:r>
        <w:rPr>
          <w:lang w:val="fr-FR"/>
        </w:rPr>
        <w:t xml:space="preserve">exploités </w:t>
      </w:r>
      <w:r w:rsidRPr="00686CD4">
        <w:rPr>
          <w:lang w:val="fr-FR"/>
        </w:rPr>
        <w:t xml:space="preserve">à des fins de mendicité, </w:t>
      </w:r>
      <w:r>
        <w:rPr>
          <w:lang w:val="fr-FR"/>
        </w:rPr>
        <w:t xml:space="preserve">au titre desquels des </w:t>
      </w:r>
      <w:r w:rsidRPr="00686CD4">
        <w:rPr>
          <w:lang w:val="fr-FR"/>
        </w:rPr>
        <w:t>poursuites pénales</w:t>
      </w:r>
      <w:r>
        <w:rPr>
          <w:lang w:val="fr-FR"/>
        </w:rPr>
        <w:t xml:space="preserve"> ont été engagées devant </w:t>
      </w:r>
      <w:r w:rsidRPr="00686CD4">
        <w:rPr>
          <w:lang w:val="fr-FR"/>
        </w:rPr>
        <w:t>les tribunaux.</w:t>
      </w:r>
    </w:p>
    <w:p w:rsidR="002A7A34" w:rsidRPr="00686CD4" w:rsidRDefault="002A7A34" w:rsidP="00C37205">
      <w:pPr>
        <w:pStyle w:val="SingleTxtG"/>
        <w:keepNext/>
        <w:rPr>
          <w:lang w:val="fr-FR"/>
        </w:rPr>
      </w:pPr>
      <w:r w:rsidRPr="00686CD4">
        <w:rPr>
          <w:lang w:val="fr-FR"/>
        </w:rPr>
        <w:t>80.</w:t>
      </w:r>
      <w:r w:rsidRPr="00686CD4">
        <w:rPr>
          <w:lang w:val="fr-FR"/>
        </w:rPr>
        <w:tab/>
      </w:r>
      <w:r>
        <w:rPr>
          <w:lang w:val="fr-FR"/>
        </w:rPr>
        <w:t>I</w:t>
      </w:r>
      <w:r w:rsidRPr="00686CD4">
        <w:rPr>
          <w:lang w:val="fr-FR"/>
        </w:rPr>
        <w:t>l convient de souligner que</w:t>
      </w:r>
      <w:r>
        <w:rPr>
          <w:lang w:val="fr-FR"/>
        </w:rPr>
        <w:t>, dans le cadre d</w:t>
      </w:r>
      <w:r w:rsidRPr="00686CD4">
        <w:rPr>
          <w:lang w:val="fr-FR"/>
        </w:rPr>
        <w:t xml:space="preserve">es mesures prises pour aider et protéger les victimes et les témoins de </w:t>
      </w:r>
      <w:r>
        <w:rPr>
          <w:lang w:val="fr-FR"/>
        </w:rPr>
        <w:t>faits de</w:t>
      </w:r>
      <w:r w:rsidRPr="00686CD4">
        <w:rPr>
          <w:lang w:val="fr-FR"/>
        </w:rPr>
        <w:t xml:space="preserve"> traite</w:t>
      </w:r>
      <w:r>
        <w:rPr>
          <w:lang w:val="fr-FR"/>
        </w:rPr>
        <w:t xml:space="preserve">, </w:t>
      </w:r>
      <w:r w:rsidRPr="00686CD4">
        <w:rPr>
          <w:lang w:val="fr-FR"/>
        </w:rPr>
        <w:t>la Police criminelle prévoit</w:t>
      </w:r>
      <w:r w:rsidR="00495D0F">
        <w:rPr>
          <w:lang w:val="fr-FR"/>
        </w:rPr>
        <w:t xml:space="preserve"> </w:t>
      </w:r>
      <w:r>
        <w:rPr>
          <w:lang w:val="fr-FR"/>
        </w:rPr>
        <w:t>de</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Procéder à u</w:t>
      </w:r>
      <w:r w:rsidRPr="00686CD4">
        <w:rPr>
          <w:lang w:val="fr-FR"/>
        </w:rPr>
        <w:t>n suivi attentif et personn</w:t>
      </w:r>
      <w:r>
        <w:rPr>
          <w:lang w:val="fr-FR"/>
        </w:rPr>
        <w:t>alisé</w:t>
      </w:r>
      <w:r w:rsidRPr="00686CD4">
        <w:rPr>
          <w:lang w:val="fr-FR"/>
        </w:rPr>
        <w:t xml:space="preserve"> des victimes, dans le but d</w:t>
      </w:r>
      <w:r>
        <w:rPr>
          <w:lang w:val="fr-FR"/>
        </w:rPr>
        <w:t>’</w:t>
      </w:r>
      <w:r w:rsidRPr="00686CD4">
        <w:rPr>
          <w:lang w:val="fr-FR"/>
        </w:rPr>
        <w:t>assurer leur sécurité et d</w:t>
      </w:r>
      <w:r>
        <w:rPr>
          <w:lang w:val="fr-FR"/>
        </w:rPr>
        <w:t>’</w:t>
      </w:r>
      <w:r w:rsidRPr="00686CD4">
        <w:rPr>
          <w:lang w:val="fr-FR"/>
        </w:rPr>
        <w:t>obtenir des témoignages valides pouvant être utilisés dans une audience, sur la base de déclaration</w:t>
      </w:r>
      <w:r>
        <w:rPr>
          <w:lang w:val="fr-FR"/>
        </w:rPr>
        <w:t>s</w:t>
      </w:r>
      <w:r w:rsidRPr="00686CD4">
        <w:rPr>
          <w:lang w:val="fr-FR"/>
        </w:rPr>
        <w:t xml:space="preserve"> pour mémoire (art</w:t>
      </w:r>
      <w:r w:rsidR="00102CAC">
        <w:rPr>
          <w:lang w:val="fr-FR"/>
        </w:rPr>
        <w:t>.</w:t>
      </w:r>
      <w:r>
        <w:rPr>
          <w:lang w:val="fr-FR"/>
        </w:rPr>
        <w:t> </w:t>
      </w:r>
      <w:r w:rsidRPr="00686CD4">
        <w:rPr>
          <w:lang w:val="fr-FR"/>
        </w:rPr>
        <w:t xml:space="preserve">271 du </w:t>
      </w:r>
      <w:r>
        <w:rPr>
          <w:lang w:val="fr-FR"/>
        </w:rPr>
        <w:t>C</w:t>
      </w:r>
      <w:r w:rsidRPr="00686CD4">
        <w:rPr>
          <w:lang w:val="fr-FR"/>
        </w:rPr>
        <w:t xml:space="preserve">ode de procédure pénale) </w:t>
      </w:r>
      <w:r w:rsidR="008F2AD9">
        <w:rPr>
          <w:lang w:val="fr-FR"/>
        </w:rPr>
        <w:t>−</w:t>
      </w:r>
      <w:r w:rsidRPr="00686CD4">
        <w:rPr>
          <w:lang w:val="fr-FR"/>
        </w:rPr>
        <w:t xml:space="preserve"> et aussi de réduire au minimum toute victimisation secondaire</w:t>
      </w:r>
      <w:r w:rsidR="00495D0F">
        <w:rPr>
          <w:lang w:val="fr-FR"/>
        </w:rPr>
        <w:t> ;</w:t>
      </w:r>
      <w:r w:rsidRPr="00686CD4">
        <w:rPr>
          <w:lang w:val="fr-FR"/>
        </w:rPr>
        <w:t xml:space="preserve">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Fi</w:t>
      </w:r>
      <w:r w:rsidRPr="00686CD4">
        <w:rPr>
          <w:lang w:val="fr-FR"/>
        </w:rPr>
        <w:t>nance</w:t>
      </w:r>
      <w:r>
        <w:rPr>
          <w:lang w:val="fr-FR"/>
        </w:rPr>
        <w:t>r</w:t>
      </w:r>
      <w:r w:rsidRPr="00686CD4">
        <w:rPr>
          <w:lang w:val="fr-FR"/>
        </w:rPr>
        <w:t xml:space="preserve"> </w:t>
      </w:r>
      <w:r>
        <w:rPr>
          <w:lang w:val="fr-FR"/>
        </w:rPr>
        <w:t>l</w:t>
      </w:r>
      <w:r w:rsidRPr="00686CD4">
        <w:rPr>
          <w:lang w:val="fr-FR"/>
        </w:rPr>
        <w:t>es dépenses de</w:t>
      </w:r>
      <w:r>
        <w:rPr>
          <w:lang w:val="fr-FR"/>
        </w:rPr>
        <w:t>s</w:t>
      </w:r>
      <w:r w:rsidRPr="00686CD4">
        <w:rPr>
          <w:lang w:val="fr-FR"/>
        </w:rPr>
        <w:t xml:space="preserve"> victime</w:t>
      </w:r>
      <w:r>
        <w:rPr>
          <w:lang w:val="fr-FR"/>
        </w:rPr>
        <w:t>s</w:t>
      </w:r>
      <w:r w:rsidRPr="00686CD4">
        <w:rPr>
          <w:lang w:val="fr-FR"/>
        </w:rPr>
        <w:t xml:space="preserve"> (logement, alimentation et transport)</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Communi</w:t>
      </w:r>
      <w:r>
        <w:rPr>
          <w:lang w:val="fr-FR"/>
        </w:rPr>
        <w:t xml:space="preserve">quer et </w:t>
      </w:r>
      <w:r w:rsidRPr="00686CD4">
        <w:rPr>
          <w:lang w:val="fr-FR"/>
        </w:rPr>
        <w:t>collab</w:t>
      </w:r>
      <w:r>
        <w:rPr>
          <w:lang w:val="fr-FR"/>
        </w:rPr>
        <w:t xml:space="preserve">orer </w:t>
      </w:r>
      <w:r w:rsidRPr="00686CD4">
        <w:rPr>
          <w:lang w:val="fr-FR"/>
        </w:rPr>
        <w:t>avec les organisations non gouvernementales et d</w:t>
      </w:r>
      <w:r>
        <w:rPr>
          <w:lang w:val="fr-FR"/>
        </w:rPr>
        <w:t>’</w:t>
      </w:r>
      <w:r w:rsidRPr="00686CD4">
        <w:rPr>
          <w:lang w:val="fr-FR"/>
        </w:rPr>
        <w:t>autres institutions d</w:t>
      </w:r>
      <w:r>
        <w:rPr>
          <w:lang w:val="fr-FR"/>
        </w:rPr>
        <w:t>’</w:t>
      </w:r>
      <w:r w:rsidRPr="00686CD4">
        <w:rPr>
          <w:lang w:val="fr-FR"/>
        </w:rPr>
        <w:t>aide aux victimes</w:t>
      </w:r>
      <w:r>
        <w:rPr>
          <w:lang w:val="fr-FR"/>
        </w:rPr>
        <w:t>.</w:t>
      </w:r>
      <w:r w:rsidRPr="00686CD4">
        <w:rPr>
          <w:lang w:val="fr-FR"/>
        </w:rPr>
        <w:t xml:space="preserve"> </w:t>
      </w:r>
      <w:r>
        <w:rPr>
          <w:lang w:val="fr-FR"/>
        </w:rPr>
        <w:t>C</w:t>
      </w:r>
      <w:r w:rsidRPr="00686CD4">
        <w:rPr>
          <w:lang w:val="fr-FR"/>
        </w:rPr>
        <w:t>ontact</w:t>
      </w:r>
      <w:r>
        <w:rPr>
          <w:lang w:val="fr-FR"/>
        </w:rPr>
        <w:t xml:space="preserve">er </w:t>
      </w:r>
      <w:r w:rsidRPr="00686CD4">
        <w:rPr>
          <w:lang w:val="fr-FR"/>
        </w:rPr>
        <w:t>les autorités du pays d</w:t>
      </w:r>
      <w:r>
        <w:rPr>
          <w:lang w:val="fr-FR"/>
        </w:rPr>
        <w:t>’</w:t>
      </w:r>
      <w:r w:rsidRPr="00686CD4">
        <w:rPr>
          <w:lang w:val="fr-FR"/>
        </w:rPr>
        <w:t>origine</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A</w:t>
      </w:r>
      <w:r>
        <w:rPr>
          <w:lang w:val="fr-FR"/>
        </w:rPr>
        <w:t>ssurer l’a</w:t>
      </w:r>
      <w:r w:rsidRPr="00686CD4">
        <w:rPr>
          <w:lang w:val="fr-FR"/>
        </w:rPr>
        <w:t>p</w:t>
      </w:r>
      <w:r>
        <w:rPr>
          <w:lang w:val="fr-FR"/>
        </w:rPr>
        <w:t>p</w:t>
      </w:r>
      <w:r w:rsidRPr="00686CD4">
        <w:rPr>
          <w:lang w:val="fr-FR"/>
        </w:rPr>
        <w:t>lication des manuels et des instructions des entités spécialisées en ce domaine ainsi que ceux produits par l</w:t>
      </w:r>
      <w:r>
        <w:rPr>
          <w:lang w:val="fr-FR"/>
        </w:rPr>
        <w:t>’</w:t>
      </w:r>
      <w:r w:rsidRPr="00686CD4">
        <w:rPr>
          <w:lang w:val="fr-FR"/>
        </w:rPr>
        <w:t>École de police criminelle dans le cadre des formations continues en interne</w:t>
      </w:r>
      <w:r w:rsidR="00C37205">
        <w:rPr>
          <w:lang w:val="fr-FR"/>
        </w:rPr>
        <w:t>.</w:t>
      </w:r>
    </w:p>
    <w:p w:rsidR="002A7A34" w:rsidRPr="00686CD4" w:rsidRDefault="002A7A34" w:rsidP="002A7A34">
      <w:pPr>
        <w:pStyle w:val="SingleTxtG"/>
        <w:rPr>
          <w:lang w:val="fr-FR"/>
        </w:rPr>
      </w:pPr>
      <w:r w:rsidRPr="00686CD4">
        <w:rPr>
          <w:lang w:val="fr-FR"/>
        </w:rPr>
        <w:t>81.</w:t>
      </w:r>
      <w:r w:rsidRPr="00686CD4">
        <w:rPr>
          <w:lang w:val="fr-FR"/>
        </w:rPr>
        <w:tab/>
        <w:t xml:space="preserve">La </w:t>
      </w:r>
      <w:r>
        <w:rPr>
          <w:lang w:val="fr-FR"/>
        </w:rPr>
        <w:t>P</w:t>
      </w:r>
      <w:r w:rsidRPr="00686CD4">
        <w:rPr>
          <w:lang w:val="fr-FR"/>
        </w:rPr>
        <w:t xml:space="preserve">olice criminelle </w:t>
      </w:r>
      <w:r>
        <w:rPr>
          <w:lang w:val="fr-FR"/>
        </w:rPr>
        <w:t xml:space="preserve">assure </w:t>
      </w:r>
      <w:r w:rsidRPr="00686CD4">
        <w:rPr>
          <w:lang w:val="fr-FR"/>
        </w:rPr>
        <w:t>également des cours sur la traite d</w:t>
      </w:r>
      <w:r>
        <w:rPr>
          <w:lang w:val="fr-FR"/>
        </w:rPr>
        <w:t>’</w:t>
      </w:r>
      <w:r w:rsidRPr="00686CD4">
        <w:rPr>
          <w:lang w:val="fr-FR"/>
        </w:rPr>
        <w:t>êtres humains dans le cadre de la formation initiale des élèves inspecteurs</w:t>
      </w:r>
      <w:r>
        <w:rPr>
          <w:lang w:val="fr-FR"/>
        </w:rPr>
        <w:t xml:space="preserve">, </w:t>
      </w:r>
      <w:r w:rsidRPr="00686CD4">
        <w:rPr>
          <w:lang w:val="fr-FR"/>
        </w:rPr>
        <w:t>des formations organisées à des fins d</w:t>
      </w:r>
      <w:r>
        <w:rPr>
          <w:lang w:val="fr-FR"/>
        </w:rPr>
        <w:t>’</w:t>
      </w:r>
      <w:r w:rsidRPr="00686CD4">
        <w:rPr>
          <w:lang w:val="fr-FR"/>
        </w:rPr>
        <w:t xml:space="preserve">avancement pour les inspecteurs en chef et les coordonnateurs des enquêtes pénales </w:t>
      </w:r>
      <w:r>
        <w:rPr>
          <w:lang w:val="fr-FR"/>
        </w:rPr>
        <w:t xml:space="preserve">et des </w:t>
      </w:r>
      <w:r w:rsidRPr="00686CD4">
        <w:rPr>
          <w:lang w:val="fr-FR"/>
        </w:rPr>
        <w:t>cours de</w:t>
      </w:r>
      <w:r>
        <w:rPr>
          <w:lang w:val="fr-FR"/>
        </w:rPr>
        <w:t xml:space="preserve"> </w:t>
      </w:r>
      <w:r w:rsidRPr="00686CD4">
        <w:rPr>
          <w:lang w:val="fr-FR"/>
        </w:rPr>
        <w:t xml:space="preserve">formation permanente. </w:t>
      </w:r>
      <w:r>
        <w:rPr>
          <w:lang w:val="fr-FR"/>
        </w:rPr>
        <w:t xml:space="preserve">Ces cours couvrent essentiellement les </w:t>
      </w:r>
      <w:r w:rsidRPr="00686CD4">
        <w:rPr>
          <w:lang w:val="fr-FR"/>
        </w:rPr>
        <w:t>enquêtes sur la traite d</w:t>
      </w:r>
      <w:r>
        <w:rPr>
          <w:lang w:val="fr-FR"/>
        </w:rPr>
        <w:t>’</w:t>
      </w:r>
      <w:r w:rsidRPr="00686CD4">
        <w:rPr>
          <w:lang w:val="fr-FR"/>
        </w:rPr>
        <w:t xml:space="preserve">êtres humains, </w:t>
      </w:r>
      <w:r>
        <w:rPr>
          <w:lang w:val="fr-FR"/>
        </w:rPr>
        <w:t>l’</w:t>
      </w:r>
      <w:r w:rsidRPr="00686CD4">
        <w:rPr>
          <w:lang w:val="fr-FR"/>
        </w:rPr>
        <w:t>identifi</w:t>
      </w:r>
      <w:r>
        <w:rPr>
          <w:lang w:val="fr-FR"/>
        </w:rPr>
        <w:t xml:space="preserve">cation des </w:t>
      </w:r>
      <w:r w:rsidRPr="00686CD4">
        <w:rPr>
          <w:lang w:val="fr-FR"/>
        </w:rPr>
        <w:t xml:space="preserve">victimes et </w:t>
      </w:r>
      <w:r>
        <w:rPr>
          <w:lang w:val="fr-FR"/>
        </w:rPr>
        <w:t xml:space="preserve">la </w:t>
      </w:r>
      <w:r w:rsidRPr="00686CD4">
        <w:rPr>
          <w:lang w:val="fr-FR"/>
        </w:rPr>
        <w:t>poursui</w:t>
      </w:r>
      <w:r>
        <w:rPr>
          <w:lang w:val="fr-FR"/>
        </w:rPr>
        <w:t>te</w:t>
      </w:r>
      <w:r w:rsidRPr="00686CD4">
        <w:rPr>
          <w:lang w:val="fr-FR"/>
        </w:rPr>
        <w:t xml:space="preserve"> </w:t>
      </w:r>
      <w:r>
        <w:rPr>
          <w:lang w:val="fr-FR"/>
        </w:rPr>
        <w:t>d</w:t>
      </w:r>
      <w:r w:rsidRPr="00686CD4">
        <w:rPr>
          <w:lang w:val="fr-FR"/>
        </w:rPr>
        <w:t xml:space="preserve">es auteurs de ces </w:t>
      </w:r>
      <w:r>
        <w:rPr>
          <w:lang w:val="fr-FR"/>
        </w:rPr>
        <w:t>infraction</w:t>
      </w:r>
      <w:r w:rsidRPr="00686CD4">
        <w:rPr>
          <w:lang w:val="fr-FR"/>
        </w:rPr>
        <w:t>s. Des cours de formation sur les infractions sexuelles sont</w:t>
      </w:r>
      <w:r>
        <w:rPr>
          <w:lang w:val="fr-FR"/>
        </w:rPr>
        <w:t xml:space="preserve"> aussi </w:t>
      </w:r>
      <w:r w:rsidRPr="00686CD4">
        <w:rPr>
          <w:lang w:val="fr-FR"/>
        </w:rPr>
        <w:t>donnés</w:t>
      </w:r>
      <w:r>
        <w:rPr>
          <w:lang w:val="fr-FR"/>
        </w:rPr>
        <w:t xml:space="preserve"> et p</w:t>
      </w:r>
      <w:r w:rsidRPr="00686CD4">
        <w:rPr>
          <w:lang w:val="fr-FR"/>
        </w:rPr>
        <w:t>lusieurs actions de sensibilisation à la traite d</w:t>
      </w:r>
      <w:r w:rsidR="008F2AD9">
        <w:rPr>
          <w:lang w:val="fr-FR"/>
        </w:rPr>
        <w:t>’</w:t>
      </w:r>
      <w:r w:rsidRPr="00686CD4">
        <w:rPr>
          <w:lang w:val="fr-FR"/>
        </w:rPr>
        <w:t>êtres humains, en particulier dans le domaine de l</w:t>
      </w:r>
      <w:r>
        <w:rPr>
          <w:lang w:val="fr-FR"/>
        </w:rPr>
        <w:t>’</w:t>
      </w:r>
      <w:r w:rsidRPr="00686CD4">
        <w:rPr>
          <w:lang w:val="fr-FR"/>
        </w:rPr>
        <w:t xml:space="preserve">exploitation </w:t>
      </w:r>
      <w:r>
        <w:rPr>
          <w:lang w:val="fr-FR"/>
        </w:rPr>
        <w:t>économique</w:t>
      </w:r>
      <w:r w:rsidRPr="00686CD4">
        <w:rPr>
          <w:lang w:val="fr-FR"/>
        </w:rPr>
        <w:t>, ont été organisé</w:t>
      </w:r>
      <w:r>
        <w:rPr>
          <w:lang w:val="fr-FR"/>
        </w:rPr>
        <w:t>es</w:t>
      </w:r>
      <w:r w:rsidRPr="00686CD4">
        <w:rPr>
          <w:lang w:val="fr-FR"/>
        </w:rPr>
        <w:t>.</w:t>
      </w:r>
    </w:p>
    <w:p w:rsidR="002A7A34" w:rsidRPr="00686CD4" w:rsidRDefault="002A7A34" w:rsidP="002A7A34">
      <w:pPr>
        <w:pStyle w:val="SingleTxtG"/>
        <w:rPr>
          <w:lang w:val="fr-FR"/>
        </w:rPr>
      </w:pPr>
      <w:r w:rsidRPr="00686CD4">
        <w:rPr>
          <w:lang w:val="fr-FR"/>
        </w:rPr>
        <w:t>82.</w:t>
      </w:r>
      <w:r w:rsidRPr="00686CD4">
        <w:rPr>
          <w:lang w:val="fr-FR"/>
        </w:rPr>
        <w:tab/>
        <w:t xml:space="preserve">Les organismes de la </w:t>
      </w:r>
      <w:r w:rsidR="008F2AD9">
        <w:rPr>
          <w:lang w:val="fr-FR"/>
        </w:rPr>
        <w:t>P</w:t>
      </w:r>
      <w:r w:rsidRPr="00686CD4">
        <w:rPr>
          <w:lang w:val="fr-FR"/>
        </w:rPr>
        <w:t>olice criminelle qui enquête</w:t>
      </w:r>
      <w:r>
        <w:rPr>
          <w:lang w:val="fr-FR"/>
        </w:rPr>
        <w:t>nt</w:t>
      </w:r>
      <w:r w:rsidRPr="00686CD4">
        <w:rPr>
          <w:lang w:val="fr-FR"/>
        </w:rPr>
        <w:t xml:space="preserve"> sur les affaires de traite d</w:t>
      </w:r>
      <w:r>
        <w:rPr>
          <w:lang w:val="fr-FR"/>
        </w:rPr>
        <w:t>’</w:t>
      </w:r>
      <w:r w:rsidRPr="00686CD4">
        <w:rPr>
          <w:lang w:val="fr-FR"/>
        </w:rPr>
        <w:t>êtres humains participent au projet EMPACT de l</w:t>
      </w:r>
      <w:r>
        <w:rPr>
          <w:lang w:val="fr-FR"/>
        </w:rPr>
        <w:t>’</w:t>
      </w:r>
      <w:r w:rsidRPr="00686CD4">
        <w:rPr>
          <w:lang w:val="fr-FR"/>
        </w:rPr>
        <w:t>Agence de l</w:t>
      </w:r>
      <w:r>
        <w:rPr>
          <w:lang w:val="fr-FR"/>
        </w:rPr>
        <w:t>’</w:t>
      </w:r>
      <w:r w:rsidRPr="00686CD4">
        <w:rPr>
          <w:lang w:val="fr-FR"/>
        </w:rPr>
        <w:t>Union européenne pour la coopération des services répressifs (Europol) dans le domaine de la traite</w:t>
      </w:r>
      <w:r>
        <w:rPr>
          <w:lang w:val="fr-FR"/>
        </w:rPr>
        <w:t xml:space="preserve">. Ils collaborent aussi, </w:t>
      </w:r>
      <w:r w:rsidRPr="00686CD4">
        <w:rPr>
          <w:lang w:val="fr-FR"/>
        </w:rPr>
        <w:t>par l</w:t>
      </w:r>
      <w:r>
        <w:rPr>
          <w:lang w:val="fr-FR"/>
        </w:rPr>
        <w:t>’</w:t>
      </w:r>
      <w:r w:rsidRPr="00686CD4">
        <w:rPr>
          <w:lang w:val="fr-FR"/>
        </w:rPr>
        <w:t>intermédiaire d</w:t>
      </w:r>
      <w:r>
        <w:rPr>
          <w:lang w:val="fr-FR"/>
        </w:rPr>
        <w:t>’</w:t>
      </w:r>
      <w:r w:rsidRPr="00686CD4">
        <w:rPr>
          <w:lang w:val="fr-FR"/>
        </w:rPr>
        <w:t>Europol et d</w:t>
      </w:r>
      <w:r>
        <w:rPr>
          <w:lang w:val="fr-FR"/>
        </w:rPr>
        <w:t>’</w:t>
      </w:r>
      <w:r w:rsidR="00B3465F">
        <w:rPr>
          <w:lang w:val="fr-FR"/>
        </w:rPr>
        <w:t>INTERPOL</w:t>
      </w:r>
      <w:r w:rsidRPr="00686CD4">
        <w:rPr>
          <w:lang w:val="fr-FR"/>
        </w:rPr>
        <w:t xml:space="preserve"> et, si nécessaire, sur une base bilatérale, aux enquêtes en cours</w:t>
      </w:r>
      <w:r w:rsidR="008F2AD9">
        <w:rPr>
          <w:lang w:val="fr-FR"/>
        </w:rPr>
        <w:t>.</w:t>
      </w:r>
    </w:p>
    <w:p w:rsidR="002A7A34" w:rsidRPr="00686CD4" w:rsidRDefault="002A7A34" w:rsidP="002A7A34">
      <w:pPr>
        <w:pStyle w:val="SingleTxtG"/>
        <w:rPr>
          <w:lang w:val="fr-FR"/>
        </w:rPr>
      </w:pPr>
      <w:r w:rsidRPr="00686CD4">
        <w:rPr>
          <w:lang w:val="fr-FR"/>
        </w:rPr>
        <w:t>83.</w:t>
      </w:r>
      <w:r w:rsidRPr="00686CD4">
        <w:rPr>
          <w:lang w:val="fr-FR"/>
        </w:rPr>
        <w:tab/>
        <w:t>Le Centre des études judiciaires organise des cours de formation portant sur la traite d</w:t>
      </w:r>
      <w:r>
        <w:rPr>
          <w:lang w:val="fr-FR"/>
        </w:rPr>
        <w:t>’</w:t>
      </w:r>
      <w:r w:rsidRPr="00686CD4">
        <w:rPr>
          <w:lang w:val="fr-FR"/>
        </w:rPr>
        <w:t>êtres humains à l</w:t>
      </w:r>
      <w:r>
        <w:rPr>
          <w:lang w:val="fr-FR"/>
        </w:rPr>
        <w:t>’</w:t>
      </w:r>
      <w:r w:rsidRPr="00686CD4">
        <w:rPr>
          <w:lang w:val="fr-FR"/>
        </w:rPr>
        <w:t>intention des procureurs et des juges</w:t>
      </w:r>
      <w:r w:rsidR="00495D0F">
        <w:rPr>
          <w:lang w:val="fr-FR"/>
        </w:rPr>
        <w:t> ;</w:t>
      </w:r>
      <w:r w:rsidRPr="00686CD4">
        <w:rPr>
          <w:lang w:val="fr-FR"/>
        </w:rPr>
        <w:t xml:space="preserve"> une formation a de surcroît été récemment </w:t>
      </w:r>
      <w:r>
        <w:rPr>
          <w:lang w:val="fr-FR"/>
        </w:rPr>
        <w:t xml:space="preserve">dispensée </w:t>
      </w:r>
      <w:r w:rsidRPr="00686CD4">
        <w:rPr>
          <w:lang w:val="fr-FR"/>
        </w:rPr>
        <w:t>à tous les inspecteurs de l</w:t>
      </w:r>
      <w:r>
        <w:rPr>
          <w:lang w:val="fr-FR"/>
        </w:rPr>
        <w:t>’</w:t>
      </w:r>
      <w:r w:rsidRPr="00686CD4">
        <w:rPr>
          <w:lang w:val="fr-FR"/>
        </w:rPr>
        <w:t>Autorité chargée des conditions de travail</w:t>
      </w:r>
      <w:r w:rsidR="00495D0F">
        <w:rPr>
          <w:lang w:val="fr-FR"/>
        </w:rPr>
        <w:t xml:space="preserve"> </w:t>
      </w:r>
      <w:r w:rsidRPr="00686CD4">
        <w:rPr>
          <w:lang w:val="fr-FR"/>
        </w:rPr>
        <w:t>(ACT)</w:t>
      </w:r>
      <w:r w:rsidR="008F2AD9">
        <w:rPr>
          <w:lang w:val="fr-FR"/>
        </w:rPr>
        <w:t>.</w:t>
      </w:r>
    </w:p>
    <w:p w:rsidR="002A7A34" w:rsidRPr="00686CD4" w:rsidRDefault="002A7A34" w:rsidP="002A7A34">
      <w:pPr>
        <w:pStyle w:val="H4G"/>
        <w:rPr>
          <w:lang w:val="fr-FR"/>
        </w:rPr>
      </w:pPr>
      <w:r w:rsidRPr="00686CD4">
        <w:rPr>
          <w:lang w:val="fr-FR"/>
        </w:rPr>
        <w:tab/>
      </w:r>
      <w:r w:rsidRPr="00686CD4">
        <w:rPr>
          <w:lang w:val="fr-FR"/>
        </w:rPr>
        <w:tab/>
      </w:r>
      <w:r w:rsidRPr="00686CD4">
        <w:rPr>
          <w:iCs/>
          <w:lang w:val="fr-FR"/>
        </w:rPr>
        <w:t>Permis de séjour renouvelables et protection contre le renvoi</w:t>
      </w:r>
    </w:p>
    <w:p w:rsidR="002A7A34" w:rsidRPr="00686CD4" w:rsidRDefault="002A7A34" w:rsidP="002A7A34">
      <w:pPr>
        <w:pStyle w:val="SingleTxtG"/>
        <w:rPr>
          <w:lang w:val="fr-FR"/>
        </w:rPr>
      </w:pPr>
      <w:r w:rsidRPr="00686CD4">
        <w:rPr>
          <w:lang w:val="fr-FR"/>
        </w:rPr>
        <w:t>84.</w:t>
      </w:r>
      <w:r w:rsidRPr="00686CD4">
        <w:rPr>
          <w:lang w:val="fr-FR"/>
        </w:rPr>
        <w:tab/>
        <w:t xml:space="preserve">Le </w:t>
      </w:r>
      <w:r>
        <w:rPr>
          <w:lang w:val="fr-FR"/>
        </w:rPr>
        <w:t>S</w:t>
      </w:r>
      <w:r w:rsidRPr="00686CD4">
        <w:rPr>
          <w:lang w:val="fr-FR"/>
        </w:rPr>
        <w:t>ervice de l</w:t>
      </w:r>
      <w:r>
        <w:rPr>
          <w:lang w:val="fr-FR"/>
        </w:rPr>
        <w:t>’</w:t>
      </w:r>
      <w:r w:rsidRPr="00686CD4">
        <w:rPr>
          <w:lang w:val="fr-FR"/>
        </w:rPr>
        <w:t>immigration et des frontières s</w:t>
      </w:r>
      <w:r>
        <w:rPr>
          <w:lang w:val="fr-FR"/>
        </w:rPr>
        <w:t>’</w:t>
      </w:r>
      <w:r w:rsidRPr="00686CD4">
        <w:rPr>
          <w:lang w:val="fr-FR"/>
        </w:rPr>
        <w:t>emploie dans toute la mesure du possible à délivrer des permis de séjour renouvelables</w:t>
      </w:r>
      <w:r>
        <w:rPr>
          <w:lang w:val="fr-FR"/>
        </w:rPr>
        <w:t>.</w:t>
      </w:r>
      <w:r w:rsidRPr="00686CD4">
        <w:rPr>
          <w:lang w:val="fr-FR"/>
        </w:rPr>
        <w:t xml:space="preserve"> Un permis de séjour peut être attribué dans certains cas à des ressortissants de pays tiers</w:t>
      </w:r>
      <w:r>
        <w:rPr>
          <w:lang w:val="fr-FR"/>
        </w:rPr>
        <w:t>,</w:t>
      </w:r>
      <w:r w:rsidRPr="00686CD4">
        <w:rPr>
          <w:lang w:val="fr-FR"/>
        </w:rPr>
        <w:t xml:space="preserve"> </w:t>
      </w:r>
      <w:r>
        <w:rPr>
          <w:lang w:val="fr-FR"/>
        </w:rPr>
        <w:t>même si ces derniers ne coopèrent pas avec les autorités</w:t>
      </w:r>
      <w:r w:rsidRPr="00686CD4">
        <w:rPr>
          <w:lang w:val="fr-FR"/>
        </w:rPr>
        <w:t>.</w:t>
      </w:r>
    </w:p>
    <w:p w:rsidR="002A7A34" w:rsidRPr="00686CD4" w:rsidRDefault="002A7A34" w:rsidP="002A7A34">
      <w:pPr>
        <w:pStyle w:val="SingleTxtG"/>
        <w:rPr>
          <w:lang w:val="fr-FR"/>
        </w:rPr>
      </w:pPr>
      <w:r w:rsidRPr="00686CD4">
        <w:rPr>
          <w:lang w:val="fr-FR"/>
        </w:rPr>
        <w:t>85.</w:t>
      </w:r>
      <w:r w:rsidRPr="00686CD4">
        <w:rPr>
          <w:lang w:val="fr-FR"/>
        </w:rPr>
        <w:tab/>
        <w:t xml:space="preserve">Lorsque des victimes de traite </w:t>
      </w:r>
      <w:r>
        <w:rPr>
          <w:lang w:val="fr-FR"/>
        </w:rPr>
        <w:t xml:space="preserve">ou </w:t>
      </w:r>
      <w:r w:rsidRPr="00686CD4">
        <w:rPr>
          <w:lang w:val="fr-FR"/>
        </w:rPr>
        <w:t>d</w:t>
      </w:r>
      <w:r>
        <w:rPr>
          <w:lang w:val="fr-FR"/>
        </w:rPr>
        <w:t>e</w:t>
      </w:r>
      <w:r w:rsidRPr="00686CD4">
        <w:rPr>
          <w:lang w:val="fr-FR"/>
        </w:rPr>
        <w:t xml:space="preserve"> trafic illicite de migrants doivent demeurer au Portugal, un permis de séjour leur est attribué en vertu de l</w:t>
      </w:r>
      <w:r>
        <w:rPr>
          <w:lang w:val="fr-FR"/>
        </w:rPr>
        <w:t>’</w:t>
      </w:r>
      <w:r w:rsidRPr="00686CD4">
        <w:rPr>
          <w:lang w:val="fr-FR"/>
        </w:rPr>
        <w:t>article</w:t>
      </w:r>
      <w:r w:rsidR="00093A8E">
        <w:rPr>
          <w:lang w:val="fr-FR"/>
        </w:rPr>
        <w:t> </w:t>
      </w:r>
      <w:r w:rsidRPr="00686CD4">
        <w:rPr>
          <w:lang w:val="fr-FR"/>
        </w:rPr>
        <w:t>109 de la loi</w:t>
      </w:r>
      <w:r>
        <w:rPr>
          <w:lang w:val="fr-FR"/>
        </w:rPr>
        <w:t xml:space="preserve"> </w:t>
      </w:r>
      <w:r w:rsidR="00093A8E" w:rsidRPr="000D5167">
        <w:rPr>
          <w:rFonts w:eastAsia="MS Mincho"/>
          <w:lang w:val="fr-FR"/>
        </w:rPr>
        <w:t>n</w:t>
      </w:r>
      <w:r w:rsidR="00093A8E" w:rsidRPr="000D5167">
        <w:rPr>
          <w:rFonts w:eastAsia="MS Mincho"/>
          <w:vertAlign w:val="superscript"/>
          <w:lang w:val="fr-FR"/>
        </w:rPr>
        <w:t>o</w:t>
      </w:r>
      <w:r w:rsidR="00093A8E">
        <w:rPr>
          <w:lang w:val="fr-FR"/>
        </w:rPr>
        <w:t> </w:t>
      </w:r>
      <w:r w:rsidRPr="00686CD4">
        <w:rPr>
          <w:lang w:val="fr-FR"/>
        </w:rPr>
        <w:t>23/2007 du 4</w:t>
      </w:r>
      <w:r>
        <w:rPr>
          <w:lang w:val="fr-FR"/>
        </w:rPr>
        <w:t> </w:t>
      </w:r>
      <w:r w:rsidRPr="00686CD4">
        <w:rPr>
          <w:lang w:val="fr-FR"/>
        </w:rPr>
        <w:t>juillet, qui établit le cadre juridique de l</w:t>
      </w:r>
      <w:r>
        <w:rPr>
          <w:lang w:val="fr-FR"/>
        </w:rPr>
        <w:t>’</w:t>
      </w:r>
      <w:r w:rsidRPr="00686CD4">
        <w:rPr>
          <w:lang w:val="fr-FR"/>
        </w:rPr>
        <w:t>entrée</w:t>
      </w:r>
      <w:r>
        <w:rPr>
          <w:lang w:val="fr-FR"/>
        </w:rPr>
        <w:t xml:space="preserve">, du séjour et de la sortie </w:t>
      </w:r>
      <w:r w:rsidRPr="00686CD4">
        <w:rPr>
          <w:lang w:val="fr-FR"/>
        </w:rPr>
        <w:t>d</w:t>
      </w:r>
      <w:r>
        <w:rPr>
          <w:lang w:val="fr-FR"/>
        </w:rPr>
        <w:t>’</w:t>
      </w:r>
      <w:r w:rsidRPr="00686CD4">
        <w:rPr>
          <w:lang w:val="fr-FR"/>
        </w:rPr>
        <w:t xml:space="preserve">étrangers </w:t>
      </w:r>
      <w:r>
        <w:rPr>
          <w:lang w:val="fr-FR"/>
        </w:rPr>
        <w:t xml:space="preserve">du </w:t>
      </w:r>
      <w:r w:rsidRPr="00686CD4">
        <w:rPr>
          <w:lang w:val="fr-FR"/>
        </w:rPr>
        <w:t>territoire national</w:t>
      </w:r>
      <w:r>
        <w:rPr>
          <w:lang w:val="fr-FR"/>
        </w:rPr>
        <w:t xml:space="preserve"> et de leur renvoi</w:t>
      </w:r>
      <w:r w:rsidRPr="00686CD4">
        <w:rPr>
          <w:lang w:val="fr-FR"/>
        </w:rPr>
        <w:t xml:space="preserve">. </w:t>
      </w:r>
    </w:p>
    <w:p w:rsidR="002A7A34" w:rsidRPr="00686CD4" w:rsidRDefault="002A7A34" w:rsidP="002A7A34">
      <w:pPr>
        <w:pStyle w:val="SingleTxtG"/>
        <w:rPr>
          <w:lang w:val="fr-FR"/>
        </w:rPr>
      </w:pPr>
      <w:r w:rsidRPr="00686CD4">
        <w:rPr>
          <w:lang w:val="fr-FR"/>
        </w:rPr>
        <w:t>86.</w:t>
      </w:r>
      <w:r w:rsidRPr="00686CD4">
        <w:rPr>
          <w:lang w:val="fr-FR"/>
        </w:rPr>
        <w:tab/>
      </w:r>
      <w:r>
        <w:rPr>
          <w:lang w:val="fr-FR"/>
        </w:rPr>
        <w:t xml:space="preserve">En vertu de </w:t>
      </w:r>
      <w:r w:rsidRPr="00686CD4">
        <w:rPr>
          <w:lang w:val="fr-FR"/>
        </w:rPr>
        <w:t>l</w:t>
      </w:r>
      <w:r>
        <w:rPr>
          <w:lang w:val="fr-FR"/>
        </w:rPr>
        <w:t>’a</w:t>
      </w:r>
      <w:r w:rsidRPr="00686CD4">
        <w:rPr>
          <w:lang w:val="fr-FR"/>
        </w:rPr>
        <w:t>rticle</w:t>
      </w:r>
      <w:r>
        <w:rPr>
          <w:lang w:val="fr-FR"/>
        </w:rPr>
        <w:t> </w:t>
      </w:r>
      <w:r w:rsidRPr="00686CD4">
        <w:rPr>
          <w:lang w:val="fr-FR"/>
        </w:rPr>
        <w:t>143</w:t>
      </w:r>
      <w:r w:rsidR="00093A8E">
        <w:rPr>
          <w:lang w:val="fr-FR"/>
        </w:rPr>
        <w:t> </w:t>
      </w:r>
      <w:r w:rsidRPr="00686CD4">
        <w:rPr>
          <w:lang w:val="fr-FR"/>
        </w:rPr>
        <w:t xml:space="preserve">1) de </w:t>
      </w:r>
      <w:r>
        <w:rPr>
          <w:lang w:val="fr-FR"/>
        </w:rPr>
        <w:t xml:space="preserve">cette même </w:t>
      </w:r>
      <w:r w:rsidRPr="00686CD4">
        <w:rPr>
          <w:lang w:val="fr-FR"/>
        </w:rPr>
        <w:t>loi, les ressortissants étrangers sont à l</w:t>
      </w:r>
      <w:r>
        <w:rPr>
          <w:lang w:val="fr-FR"/>
        </w:rPr>
        <w:t>’</w:t>
      </w:r>
      <w:r w:rsidRPr="00686CD4">
        <w:rPr>
          <w:lang w:val="fr-FR"/>
        </w:rPr>
        <w:t>abri d</w:t>
      </w:r>
      <w:r>
        <w:rPr>
          <w:lang w:val="fr-FR"/>
        </w:rPr>
        <w:t>’</w:t>
      </w:r>
      <w:r w:rsidRPr="00686CD4">
        <w:rPr>
          <w:lang w:val="fr-FR"/>
        </w:rPr>
        <w:t>un renvoi dans le</w:t>
      </w:r>
      <w:r>
        <w:rPr>
          <w:lang w:val="fr-FR"/>
        </w:rPr>
        <w:t>ur</w:t>
      </w:r>
      <w:r w:rsidRPr="00686CD4">
        <w:rPr>
          <w:lang w:val="fr-FR"/>
        </w:rPr>
        <w:t xml:space="preserve"> pays </w:t>
      </w:r>
      <w:r>
        <w:rPr>
          <w:lang w:val="fr-FR"/>
        </w:rPr>
        <w:t xml:space="preserve">où ils </w:t>
      </w:r>
      <w:r w:rsidRPr="00686CD4">
        <w:rPr>
          <w:lang w:val="fr-FR"/>
        </w:rPr>
        <w:t>peuvent faire l</w:t>
      </w:r>
      <w:r>
        <w:rPr>
          <w:lang w:val="fr-FR"/>
        </w:rPr>
        <w:t>’</w:t>
      </w:r>
      <w:r w:rsidRPr="00686CD4">
        <w:rPr>
          <w:lang w:val="fr-FR"/>
        </w:rPr>
        <w:t>objet de persécution</w:t>
      </w:r>
      <w:r>
        <w:rPr>
          <w:lang w:val="fr-FR"/>
        </w:rPr>
        <w:t>s</w:t>
      </w:r>
      <w:r w:rsidRPr="00686CD4">
        <w:rPr>
          <w:lang w:val="fr-FR"/>
        </w:rPr>
        <w:t xml:space="preserve"> </w:t>
      </w:r>
      <w:r>
        <w:rPr>
          <w:lang w:val="fr-FR"/>
        </w:rPr>
        <w:t xml:space="preserve">et être </w:t>
      </w:r>
      <w:r w:rsidRPr="00686CD4">
        <w:rPr>
          <w:lang w:val="fr-FR"/>
        </w:rPr>
        <w:t>exposé</w:t>
      </w:r>
      <w:r>
        <w:rPr>
          <w:lang w:val="fr-FR"/>
        </w:rPr>
        <w:t>s</w:t>
      </w:r>
      <w:r w:rsidRPr="00686CD4">
        <w:rPr>
          <w:lang w:val="fr-FR"/>
        </w:rPr>
        <w:t xml:space="preserve"> à un risque de torture, de traitement inhumain ou dégradant</w:t>
      </w:r>
      <w:r>
        <w:rPr>
          <w:lang w:val="fr-FR"/>
        </w:rPr>
        <w:t>, comme en dispose l’article </w:t>
      </w:r>
      <w:r w:rsidRPr="00686CD4">
        <w:rPr>
          <w:lang w:val="fr-FR"/>
        </w:rPr>
        <w:t>3</w:t>
      </w:r>
      <w:r w:rsidR="00093A8E">
        <w:rPr>
          <w:lang w:val="fr-FR"/>
        </w:rPr>
        <w:t> </w:t>
      </w:r>
      <w:r w:rsidRPr="005143DB">
        <w:rPr>
          <w:lang w:val="fr-FR"/>
        </w:rPr>
        <w:t>2)</w:t>
      </w:r>
      <w:r w:rsidRPr="00686CD4">
        <w:rPr>
          <w:lang w:val="fr-FR"/>
        </w:rPr>
        <w:t xml:space="preserve"> de la Convention européenne des droits de l</w:t>
      </w:r>
      <w:r>
        <w:rPr>
          <w:lang w:val="fr-FR"/>
        </w:rPr>
        <w:t>’</w:t>
      </w:r>
      <w:r w:rsidRPr="00686CD4">
        <w:rPr>
          <w:lang w:val="fr-FR"/>
        </w:rPr>
        <w:t>homme.</w:t>
      </w:r>
    </w:p>
    <w:p w:rsidR="002A7A34" w:rsidRPr="00686CD4" w:rsidRDefault="002A7A34" w:rsidP="002A7A34">
      <w:pPr>
        <w:pStyle w:val="SingleTxtG"/>
        <w:rPr>
          <w:lang w:val="fr-FR"/>
        </w:rPr>
      </w:pPr>
      <w:r w:rsidRPr="00686CD4">
        <w:rPr>
          <w:lang w:val="fr-FR"/>
        </w:rPr>
        <w:t>87.</w:t>
      </w:r>
      <w:r w:rsidRPr="00686CD4">
        <w:rPr>
          <w:lang w:val="fr-FR"/>
        </w:rPr>
        <w:tab/>
      </w:r>
      <w:r>
        <w:rPr>
          <w:lang w:val="fr-FR"/>
        </w:rPr>
        <w:t>Les victimes de traite</w:t>
      </w:r>
      <w:r w:rsidRPr="00686CD4">
        <w:rPr>
          <w:lang w:val="fr-FR"/>
        </w:rPr>
        <w:t xml:space="preserve"> </w:t>
      </w:r>
      <w:r>
        <w:rPr>
          <w:lang w:val="fr-FR"/>
        </w:rPr>
        <w:t>bénéficient d’une protection contre leur renvoi. L</w:t>
      </w:r>
      <w:r w:rsidRPr="00686CD4">
        <w:rPr>
          <w:lang w:val="fr-FR"/>
        </w:rPr>
        <w:t xml:space="preserve">a procédure de renvoi des victimes </w:t>
      </w:r>
      <w:r>
        <w:rPr>
          <w:lang w:val="fr-FR"/>
        </w:rPr>
        <w:t xml:space="preserve">a été </w:t>
      </w:r>
      <w:r w:rsidRPr="00686CD4">
        <w:rPr>
          <w:lang w:val="fr-FR"/>
        </w:rPr>
        <w:t>inclus</w:t>
      </w:r>
      <w:r>
        <w:rPr>
          <w:lang w:val="fr-FR"/>
        </w:rPr>
        <w:t>e</w:t>
      </w:r>
      <w:r w:rsidRPr="00686CD4">
        <w:rPr>
          <w:lang w:val="fr-FR"/>
        </w:rPr>
        <w:t xml:space="preserve"> dans </w:t>
      </w:r>
      <w:r>
        <w:rPr>
          <w:lang w:val="fr-FR"/>
        </w:rPr>
        <w:t>la version révisée du M</w:t>
      </w:r>
      <w:r w:rsidRPr="00686CD4">
        <w:rPr>
          <w:lang w:val="fr-FR"/>
        </w:rPr>
        <w:t>écanisme national d</w:t>
      </w:r>
      <w:r>
        <w:rPr>
          <w:lang w:val="fr-FR"/>
        </w:rPr>
        <w:t>’</w:t>
      </w:r>
      <w:r w:rsidRPr="00686CD4">
        <w:rPr>
          <w:lang w:val="fr-FR"/>
        </w:rPr>
        <w:t>orientation</w:t>
      </w:r>
      <w:r>
        <w:rPr>
          <w:lang w:val="fr-FR"/>
        </w:rPr>
        <w:t>.</w:t>
      </w:r>
      <w:r w:rsidRPr="00686CD4">
        <w:rPr>
          <w:lang w:val="fr-FR"/>
        </w:rPr>
        <w:t xml:space="preserve"> L</w:t>
      </w:r>
      <w:r>
        <w:rPr>
          <w:lang w:val="fr-FR"/>
        </w:rPr>
        <w:t>’</w:t>
      </w:r>
      <w:r w:rsidRPr="00686CD4">
        <w:rPr>
          <w:lang w:val="fr-FR"/>
        </w:rPr>
        <w:t>organisation non gouvernementale pour la planification familiale (</w:t>
      </w:r>
      <w:r w:rsidRPr="008F2AD9">
        <w:rPr>
          <w:lang w:val="fr-FR"/>
        </w:rPr>
        <w:t>APF</w:t>
      </w:r>
      <w:r w:rsidRPr="00686CD4">
        <w:rPr>
          <w:lang w:val="fr-FR"/>
        </w:rPr>
        <w:t xml:space="preserve">), qui coordonne les équipes multidisciplinaires spécialisées </w:t>
      </w:r>
      <w:r>
        <w:rPr>
          <w:lang w:val="fr-FR"/>
        </w:rPr>
        <w:t xml:space="preserve">organisées au niveau </w:t>
      </w:r>
      <w:r w:rsidRPr="00686CD4">
        <w:rPr>
          <w:lang w:val="fr-FR"/>
        </w:rPr>
        <w:t>régional pour aide</w:t>
      </w:r>
      <w:r>
        <w:rPr>
          <w:lang w:val="fr-FR"/>
        </w:rPr>
        <w:t>r</w:t>
      </w:r>
      <w:r w:rsidRPr="00686CD4">
        <w:rPr>
          <w:lang w:val="fr-FR"/>
        </w:rPr>
        <w:t xml:space="preserve"> </w:t>
      </w:r>
      <w:r>
        <w:rPr>
          <w:lang w:val="fr-FR"/>
        </w:rPr>
        <w:t>les victimes de traite,</w:t>
      </w:r>
      <w:r w:rsidRPr="00686CD4">
        <w:rPr>
          <w:lang w:val="fr-FR"/>
        </w:rPr>
        <w:t xml:space="preserve"> </w:t>
      </w:r>
      <w:r>
        <w:rPr>
          <w:lang w:val="fr-FR"/>
        </w:rPr>
        <w:t xml:space="preserve">est </w:t>
      </w:r>
      <w:r w:rsidRPr="00686CD4">
        <w:rPr>
          <w:lang w:val="fr-FR"/>
        </w:rPr>
        <w:t>chargé</w:t>
      </w:r>
      <w:r>
        <w:rPr>
          <w:lang w:val="fr-FR"/>
        </w:rPr>
        <w:t>e</w:t>
      </w:r>
      <w:r w:rsidRPr="00686CD4">
        <w:rPr>
          <w:lang w:val="fr-FR"/>
        </w:rPr>
        <w:t xml:space="preserve"> de coordonner le retour des victimes, au besoin </w:t>
      </w:r>
      <w:r w:rsidRPr="00686CD4">
        <w:rPr>
          <w:lang w:val="fr-FR"/>
        </w:rPr>
        <w:lastRenderedPageBreak/>
        <w:t>en coopération avec la Commission nationale pour la citoyenneté et l</w:t>
      </w:r>
      <w:r>
        <w:rPr>
          <w:lang w:val="fr-FR"/>
        </w:rPr>
        <w:t>’</w:t>
      </w:r>
      <w:r w:rsidRPr="00686CD4">
        <w:rPr>
          <w:lang w:val="fr-FR"/>
        </w:rPr>
        <w:t>égalité des sexes. Les équipes multidisciplinaires assurent un soutien psychosocial aux victimes qui souhaitent rentrer dans leur pays, s</w:t>
      </w:r>
      <w:r>
        <w:rPr>
          <w:lang w:val="fr-FR"/>
        </w:rPr>
        <w:t>’</w:t>
      </w:r>
      <w:r w:rsidRPr="00686CD4">
        <w:rPr>
          <w:lang w:val="fr-FR"/>
        </w:rPr>
        <w:t xml:space="preserve">occupent des questions financières, sécuritaires et logistiques de leur voyage et coordonnent leur action avec les organisations pertinentes dans le pays de retour. </w:t>
      </w:r>
      <w:r>
        <w:rPr>
          <w:lang w:val="fr-FR"/>
        </w:rPr>
        <w:t>Elles évaluent aussi l</w:t>
      </w:r>
      <w:r w:rsidRPr="00686CD4">
        <w:rPr>
          <w:lang w:val="fr-FR"/>
        </w:rPr>
        <w:t xml:space="preserve">es risques </w:t>
      </w:r>
      <w:r>
        <w:rPr>
          <w:lang w:val="fr-FR"/>
        </w:rPr>
        <w:t xml:space="preserve">sur </w:t>
      </w:r>
      <w:r w:rsidRPr="00686CD4">
        <w:rPr>
          <w:lang w:val="fr-FR"/>
        </w:rPr>
        <w:t>la base des informations communiquées par la police. Des contacts sont pris avec les autorités et les ONG du pays de retour, dans le but de déterminer l</w:t>
      </w:r>
      <w:r>
        <w:rPr>
          <w:lang w:val="fr-FR"/>
        </w:rPr>
        <w:t>’</w:t>
      </w:r>
      <w:r w:rsidRPr="00686CD4">
        <w:rPr>
          <w:lang w:val="fr-FR"/>
        </w:rPr>
        <w:t>appui qui sera fourni après le retour. Le Bureau du Rapporteur national, l</w:t>
      </w:r>
      <w:r>
        <w:rPr>
          <w:lang w:val="fr-FR"/>
        </w:rPr>
        <w:t>’</w:t>
      </w:r>
      <w:r w:rsidRPr="00686CD4">
        <w:rPr>
          <w:lang w:val="fr-FR"/>
        </w:rPr>
        <w:t>Organisation internationale pour les migrations (OIM), les représentations diplomatiques et les ONG participent fréquemment à l</w:t>
      </w:r>
      <w:r>
        <w:rPr>
          <w:lang w:val="fr-FR"/>
        </w:rPr>
        <w:t>’</w:t>
      </w:r>
      <w:r w:rsidRPr="00686CD4">
        <w:rPr>
          <w:lang w:val="fr-FR"/>
        </w:rPr>
        <w:t xml:space="preserve">évaluation des risques et à la préparation des retours. </w:t>
      </w:r>
    </w:p>
    <w:p w:rsidR="002A7A34" w:rsidRPr="00686CD4" w:rsidRDefault="002A7A34" w:rsidP="002A7A34">
      <w:pPr>
        <w:pStyle w:val="SingleTxtG"/>
        <w:rPr>
          <w:lang w:val="fr-FR"/>
        </w:rPr>
      </w:pPr>
      <w:r w:rsidRPr="00686CD4">
        <w:rPr>
          <w:lang w:val="fr-FR"/>
        </w:rPr>
        <w:t>88.</w:t>
      </w:r>
      <w:r w:rsidRPr="00686CD4">
        <w:rPr>
          <w:lang w:val="fr-FR"/>
        </w:rPr>
        <w:tab/>
        <w:t xml:space="preserve">Le </w:t>
      </w:r>
      <w:r>
        <w:rPr>
          <w:lang w:val="fr-FR"/>
        </w:rPr>
        <w:t>S</w:t>
      </w:r>
      <w:r w:rsidRPr="00686CD4">
        <w:rPr>
          <w:lang w:val="fr-FR"/>
        </w:rPr>
        <w:t>ervice de l</w:t>
      </w:r>
      <w:r>
        <w:rPr>
          <w:lang w:val="fr-FR"/>
        </w:rPr>
        <w:t>’</w:t>
      </w:r>
      <w:r w:rsidRPr="00686CD4">
        <w:rPr>
          <w:lang w:val="fr-FR"/>
        </w:rPr>
        <w:t>immigration et des frontières et l</w:t>
      </w:r>
      <w:r>
        <w:rPr>
          <w:lang w:val="fr-FR"/>
        </w:rPr>
        <w:t>’</w:t>
      </w:r>
      <w:r w:rsidRPr="00686CD4">
        <w:rPr>
          <w:lang w:val="fr-FR"/>
        </w:rPr>
        <w:t>OIM ont signé un</w:t>
      </w:r>
      <w:r>
        <w:rPr>
          <w:lang w:val="fr-FR"/>
        </w:rPr>
        <w:t xml:space="preserve"> p</w:t>
      </w:r>
      <w:r w:rsidRPr="00686CD4">
        <w:rPr>
          <w:lang w:val="fr-FR"/>
        </w:rPr>
        <w:t>rotocole pour l</w:t>
      </w:r>
      <w:r>
        <w:rPr>
          <w:lang w:val="fr-FR"/>
        </w:rPr>
        <w:t>’</w:t>
      </w:r>
      <w:r w:rsidRPr="00686CD4">
        <w:rPr>
          <w:lang w:val="fr-FR"/>
        </w:rPr>
        <w:t>aide au retour volontaire des étrangers</w:t>
      </w:r>
      <w:r>
        <w:rPr>
          <w:lang w:val="fr-FR"/>
        </w:rPr>
        <w:t>,</w:t>
      </w:r>
      <w:r w:rsidRPr="00686CD4">
        <w:rPr>
          <w:lang w:val="fr-FR"/>
        </w:rPr>
        <w:t xml:space="preserve"> qui </w:t>
      </w:r>
      <w:r>
        <w:rPr>
          <w:lang w:val="fr-FR"/>
        </w:rPr>
        <w:t xml:space="preserve">donne </w:t>
      </w:r>
      <w:r w:rsidRPr="00686CD4">
        <w:rPr>
          <w:lang w:val="fr-FR"/>
        </w:rPr>
        <w:t xml:space="preserve">la priorité aux </w:t>
      </w:r>
      <w:r>
        <w:rPr>
          <w:lang w:val="fr-FR"/>
        </w:rPr>
        <w:t>victimes de traite</w:t>
      </w:r>
      <w:r w:rsidRPr="00686CD4">
        <w:rPr>
          <w:lang w:val="fr-FR"/>
        </w:rPr>
        <w:t>. Les</w:t>
      </w:r>
      <w:r w:rsidR="008F2AD9">
        <w:rPr>
          <w:lang w:val="fr-FR"/>
        </w:rPr>
        <w:t> </w:t>
      </w:r>
      <w:r w:rsidRPr="00686CD4">
        <w:rPr>
          <w:lang w:val="fr-FR"/>
        </w:rPr>
        <w:t>autorités portugaises ont également participé au projet CARE (2013</w:t>
      </w:r>
      <w:r>
        <w:rPr>
          <w:lang w:val="fr-FR"/>
        </w:rPr>
        <w:t>-</w:t>
      </w:r>
      <w:r w:rsidRPr="00686CD4">
        <w:rPr>
          <w:lang w:val="fr-FR"/>
        </w:rPr>
        <w:t xml:space="preserve">2015) </w:t>
      </w:r>
      <w:r>
        <w:rPr>
          <w:lang w:val="fr-FR"/>
        </w:rPr>
        <w:t>de</w:t>
      </w:r>
      <w:r w:rsidRPr="00686CD4">
        <w:rPr>
          <w:lang w:val="fr-FR"/>
        </w:rPr>
        <w:t xml:space="preserve"> l</w:t>
      </w:r>
      <w:r>
        <w:rPr>
          <w:lang w:val="fr-FR"/>
        </w:rPr>
        <w:t>’</w:t>
      </w:r>
      <w:r w:rsidRPr="00686CD4">
        <w:rPr>
          <w:lang w:val="fr-FR"/>
        </w:rPr>
        <w:t xml:space="preserve">OIM </w:t>
      </w:r>
      <w:r>
        <w:rPr>
          <w:lang w:val="fr-FR"/>
        </w:rPr>
        <w:t xml:space="preserve">qui avait pour objet de </w:t>
      </w:r>
      <w:r w:rsidRPr="00686CD4">
        <w:rPr>
          <w:lang w:val="fr-FR"/>
        </w:rPr>
        <w:t xml:space="preserve">mettre en place un mécanisme coordonné et intégré pour le retour des </w:t>
      </w:r>
      <w:r>
        <w:rPr>
          <w:lang w:val="fr-FR"/>
        </w:rPr>
        <w:t>victimes de traite</w:t>
      </w:r>
      <w:r w:rsidRPr="00686CD4">
        <w:rPr>
          <w:lang w:val="fr-FR"/>
        </w:rPr>
        <w:t xml:space="preserve"> dans des pays non membres de l</w:t>
      </w:r>
      <w:r>
        <w:rPr>
          <w:lang w:val="fr-FR"/>
        </w:rPr>
        <w:t>’U</w:t>
      </w:r>
      <w:r w:rsidRPr="00686CD4">
        <w:rPr>
          <w:lang w:val="fr-FR"/>
        </w:rPr>
        <w:t>nion européenne. Il est apparu</w:t>
      </w:r>
      <w:r>
        <w:rPr>
          <w:lang w:val="fr-FR"/>
        </w:rPr>
        <w:t>,</w:t>
      </w:r>
      <w:r w:rsidRPr="00686CD4">
        <w:rPr>
          <w:lang w:val="fr-FR"/>
        </w:rPr>
        <w:t xml:space="preserve"> dans le cadre du projet CARE</w:t>
      </w:r>
      <w:r>
        <w:rPr>
          <w:lang w:val="fr-FR"/>
        </w:rPr>
        <w:t>,</w:t>
      </w:r>
      <w:r w:rsidRPr="00686CD4">
        <w:rPr>
          <w:lang w:val="fr-FR"/>
        </w:rPr>
        <w:t xml:space="preserve"> que les parties prenantes nationales qui aident les </w:t>
      </w:r>
      <w:r>
        <w:rPr>
          <w:lang w:val="fr-FR"/>
        </w:rPr>
        <w:t>victimes de traite</w:t>
      </w:r>
      <w:r w:rsidRPr="00686CD4">
        <w:rPr>
          <w:lang w:val="fr-FR"/>
        </w:rPr>
        <w:t xml:space="preserve"> n</w:t>
      </w:r>
      <w:r>
        <w:rPr>
          <w:lang w:val="fr-FR"/>
        </w:rPr>
        <w:t>’</w:t>
      </w:r>
      <w:r w:rsidRPr="00686CD4">
        <w:rPr>
          <w:lang w:val="fr-FR"/>
        </w:rPr>
        <w:t>on</w:t>
      </w:r>
      <w:r>
        <w:rPr>
          <w:lang w:val="fr-FR"/>
        </w:rPr>
        <w:t xml:space="preserve">t </w:t>
      </w:r>
      <w:r w:rsidRPr="00686CD4">
        <w:rPr>
          <w:lang w:val="fr-FR"/>
        </w:rPr>
        <w:t>qu</w:t>
      </w:r>
      <w:r>
        <w:rPr>
          <w:lang w:val="fr-FR"/>
        </w:rPr>
        <w:t>’</w:t>
      </w:r>
      <w:r w:rsidRPr="00686CD4">
        <w:rPr>
          <w:lang w:val="fr-FR"/>
        </w:rPr>
        <w:t>une connaissance succincte du processus de retour et que les entités organisant ce retour ont peu d</w:t>
      </w:r>
      <w:r>
        <w:rPr>
          <w:lang w:val="fr-FR"/>
        </w:rPr>
        <w:t>’</w:t>
      </w:r>
      <w:r w:rsidRPr="00686CD4">
        <w:rPr>
          <w:lang w:val="fr-FR"/>
        </w:rPr>
        <w:t xml:space="preserve">informations sur la traite des êtres humains. </w:t>
      </w:r>
    </w:p>
    <w:p w:rsidR="002A7A34" w:rsidRPr="00686CD4" w:rsidRDefault="002A7A34" w:rsidP="002A7A34">
      <w:pPr>
        <w:pStyle w:val="H4G"/>
        <w:rPr>
          <w:lang w:val="fr-FR"/>
        </w:rPr>
      </w:pPr>
      <w:r w:rsidRPr="00686CD4">
        <w:rPr>
          <w:lang w:val="fr-FR"/>
        </w:rPr>
        <w:tab/>
      </w:r>
      <w:r w:rsidRPr="00686CD4">
        <w:rPr>
          <w:lang w:val="fr-FR"/>
        </w:rPr>
        <w:tab/>
      </w:r>
      <w:r w:rsidRPr="00686CD4">
        <w:rPr>
          <w:iCs/>
          <w:lang w:val="fr-FR"/>
        </w:rPr>
        <w:t>Protection des victimes qui se déclarent</w:t>
      </w:r>
    </w:p>
    <w:p w:rsidR="002A7A34" w:rsidRPr="00686CD4" w:rsidRDefault="002A7A34" w:rsidP="00093A8E">
      <w:pPr>
        <w:pStyle w:val="SingleTxtG"/>
        <w:rPr>
          <w:lang w:val="fr-FR"/>
        </w:rPr>
      </w:pPr>
      <w:r w:rsidRPr="00686CD4">
        <w:rPr>
          <w:lang w:val="fr-FR"/>
        </w:rPr>
        <w:t>89.</w:t>
      </w:r>
      <w:r w:rsidRPr="00686CD4">
        <w:rPr>
          <w:lang w:val="fr-FR"/>
        </w:rPr>
        <w:tab/>
        <w:t xml:space="preserve">Les victimes qui </w:t>
      </w:r>
      <w:r>
        <w:rPr>
          <w:lang w:val="fr-FR"/>
        </w:rPr>
        <w:t xml:space="preserve">déclarent faire l’objet </w:t>
      </w:r>
      <w:r w:rsidRPr="00686CD4">
        <w:rPr>
          <w:lang w:val="fr-FR"/>
        </w:rPr>
        <w:t>de traite ne peuvent pas faire l</w:t>
      </w:r>
      <w:r>
        <w:rPr>
          <w:lang w:val="fr-FR"/>
        </w:rPr>
        <w:t>’</w:t>
      </w:r>
      <w:r w:rsidRPr="00686CD4">
        <w:rPr>
          <w:lang w:val="fr-FR"/>
        </w:rPr>
        <w:t xml:space="preserve">objet </w:t>
      </w:r>
      <w:r>
        <w:rPr>
          <w:lang w:val="fr-FR"/>
        </w:rPr>
        <w:t xml:space="preserve">d’un ordre </w:t>
      </w:r>
      <w:r w:rsidRPr="00686CD4">
        <w:rPr>
          <w:lang w:val="fr-FR"/>
        </w:rPr>
        <w:t>d</w:t>
      </w:r>
      <w:r>
        <w:rPr>
          <w:lang w:val="fr-FR"/>
        </w:rPr>
        <w:t>’</w:t>
      </w:r>
      <w:r w:rsidRPr="00686CD4">
        <w:rPr>
          <w:lang w:val="fr-FR"/>
        </w:rPr>
        <w:t>expulsion</w:t>
      </w:r>
      <w:r w:rsidR="00495D0F">
        <w:rPr>
          <w:lang w:val="fr-FR"/>
        </w:rPr>
        <w:t> :</w:t>
      </w:r>
      <w:r w:rsidRPr="00686CD4">
        <w:rPr>
          <w:lang w:val="fr-FR"/>
        </w:rPr>
        <w:t xml:space="preserve"> elle</w:t>
      </w:r>
      <w:r>
        <w:rPr>
          <w:lang w:val="fr-FR"/>
        </w:rPr>
        <w:t>s</w:t>
      </w:r>
      <w:r w:rsidRPr="00686CD4">
        <w:rPr>
          <w:lang w:val="fr-FR"/>
        </w:rPr>
        <w:t xml:space="preserve"> </w:t>
      </w:r>
      <w:r>
        <w:rPr>
          <w:lang w:val="fr-FR"/>
        </w:rPr>
        <w:t xml:space="preserve">ont droit à une période </w:t>
      </w:r>
      <w:r w:rsidRPr="00686CD4">
        <w:rPr>
          <w:lang w:val="fr-FR"/>
        </w:rPr>
        <w:t xml:space="preserve">de rétablissement et de réflexion qui peut </w:t>
      </w:r>
      <w:r>
        <w:rPr>
          <w:lang w:val="fr-FR"/>
        </w:rPr>
        <w:t xml:space="preserve">aller jusqu’à </w:t>
      </w:r>
      <w:r w:rsidR="008A6606">
        <w:rPr>
          <w:lang w:val="fr-FR"/>
        </w:rPr>
        <w:t xml:space="preserve">soixante </w:t>
      </w:r>
      <w:r w:rsidRPr="00686CD4">
        <w:rPr>
          <w:lang w:val="fr-FR"/>
        </w:rPr>
        <w:t>jours</w:t>
      </w:r>
      <w:r>
        <w:rPr>
          <w:lang w:val="fr-FR"/>
        </w:rPr>
        <w:t>, ainsi qu’</w:t>
      </w:r>
      <w:r w:rsidRPr="00686CD4">
        <w:rPr>
          <w:lang w:val="fr-FR"/>
        </w:rPr>
        <w:t>à des soins médicaux d</w:t>
      </w:r>
      <w:r>
        <w:rPr>
          <w:lang w:val="fr-FR"/>
        </w:rPr>
        <w:t>’</w:t>
      </w:r>
      <w:r w:rsidRPr="00686CD4">
        <w:rPr>
          <w:lang w:val="fr-FR"/>
        </w:rPr>
        <w:t>urgence, à une assistance psychologique, à une protection, à des services d</w:t>
      </w:r>
      <w:r>
        <w:rPr>
          <w:lang w:val="fr-FR"/>
        </w:rPr>
        <w:t>’</w:t>
      </w:r>
      <w:r w:rsidRPr="00686CD4">
        <w:rPr>
          <w:lang w:val="fr-FR"/>
        </w:rPr>
        <w:t>interprétation et à une aide juridictionnelle. Ce délai peut être prolongé lorsque la victime est un enfant si cela est dans l</w:t>
      </w:r>
      <w:r>
        <w:rPr>
          <w:lang w:val="fr-FR"/>
        </w:rPr>
        <w:t>’</w:t>
      </w:r>
      <w:r w:rsidRPr="00686CD4">
        <w:rPr>
          <w:lang w:val="fr-FR"/>
        </w:rPr>
        <w:t xml:space="preserve">intérêt supérieur de ce dernier. </w:t>
      </w:r>
    </w:p>
    <w:p w:rsidR="002A7A34" w:rsidRPr="00686CD4" w:rsidRDefault="002A7A34" w:rsidP="00093A8E">
      <w:pPr>
        <w:pStyle w:val="SingleTxtG"/>
        <w:rPr>
          <w:lang w:val="fr-FR"/>
        </w:rPr>
      </w:pPr>
      <w:r w:rsidRPr="00686CD4">
        <w:rPr>
          <w:lang w:val="fr-FR"/>
        </w:rPr>
        <w:t>90.</w:t>
      </w:r>
      <w:r w:rsidRPr="00686CD4">
        <w:rPr>
          <w:lang w:val="fr-FR"/>
        </w:rPr>
        <w:tab/>
        <w:t xml:space="preserve">La loi </w:t>
      </w:r>
      <w:r w:rsidR="008A6606" w:rsidRPr="000D5167">
        <w:rPr>
          <w:rFonts w:eastAsia="MS Mincho"/>
          <w:lang w:val="fr-FR"/>
        </w:rPr>
        <w:t>n</w:t>
      </w:r>
      <w:r w:rsidR="008A6606" w:rsidRPr="000D5167">
        <w:rPr>
          <w:rFonts w:eastAsia="MS Mincho"/>
          <w:vertAlign w:val="superscript"/>
          <w:lang w:val="fr-FR"/>
        </w:rPr>
        <w:t>o</w:t>
      </w:r>
      <w:r w:rsidR="008A6606">
        <w:rPr>
          <w:lang w:val="fr-FR"/>
        </w:rPr>
        <w:t> </w:t>
      </w:r>
      <w:r w:rsidRPr="00686CD4">
        <w:rPr>
          <w:lang w:val="fr-FR"/>
        </w:rPr>
        <w:t>93/99 du 14</w:t>
      </w:r>
      <w:r>
        <w:rPr>
          <w:lang w:val="fr-FR"/>
        </w:rPr>
        <w:t> </w:t>
      </w:r>
      <w:r w:rsidRPr="00686CD4">
        <w:rPr>
          <w:lang w:val="fr-FR"/>
        </w:rPr>
        <w:t>juillet sur la mise en œuvre de mesures de protection des témoins dans les procédures pénales dispose que les témoins d</w:t>
      </w:r>
      <w:r>
        <w:rPr>
          <w:lang w:val="fr-FR"/>
        </w:rPr>
        <w:t>’</w:t>
      </w:r>
      <w:r w:rsidRPr="00686CD4">
        <w:rPr>
          <w:lang w:val="fr-FR"/>
        </w:rPr>
        <w:t>infractions pénales, y</w:t>
      </w:r>
      <w:r w:rsidR="00093A8E">
        <w:rPr>
          <w:lang w:val="fr-FR"/>
        </w:rPr>
        <w:t> </w:t>
      </w:r>
      <w:r w:rsidRPr="00686CD4">
        <w:rPr>
          <w:lang w:val="fr-FR"/>
        </w:rPr>
        <w:t xml:space="preserve">compris </w:t>
      </w:r>
      <w:r>
        <w:rPr>
          <w:lang w:val="fr-FR"/>
        </w:rPr>
        <w:t xml:space="preserve">de faits </w:t>
      </w:r>
      <w:r w:rsidRPr="00686CD4">
        <w:rPr>
          <w:lang w:val="fr-FR"/>
        </w:rPr>
        <w:t>de traite d</w:t>
      </w:r>
      <w:r>
        <w:rPr>
          <w:lang w:val="fr-FR"/>
        </w:rPr>
        <w:t>’</w:t>
      </w:r>
      <w:r w:rsidRPr="00686CD4">
        <w:rPr>
          <w:lang w:val="fr-FR"/>
        </w:rPr>
        <w:t>êtres humains, bénéficient des mesures générales de protection</w:t>
      </w:r>
      <w:r w:rsidR="00495D0F">
        <w:rPr>
          <w:lang w:val="fr-FR"/>
        </w:rPr>
        <w:t xml:space="preserve"> </w:t>
      </w:r>
      <w:r w:rsidRPr="00686CD4">
        <w:rPr>
          <w:lang w:val="fr-FR"/>
        </w:rPr>
        <w:t>dans le cadre des procédures (</w:t>
      </w:r>
      <w:r>
        <w:rPr>
          <w:lang w:val="fr-FR"/>
        </w:rPr>
        <w:t xml:space="preserve">notamment </w:t>
      </w:r>
      <w:r w:rsidRPr="00686CD4">
        <w:rPr>
          <w:lang w:val="fr-FR"/>
        </w:rPr>
        <w:t>le respect de leur anonymat, la dissimulation de leur apparence et de leur adresse, la disto</w:t>
      </w:r>
      <w:r>
        <w:rPr>
          <w:lang w:val="fr-FR"/>
        </w:rPr>
        <w:t>r</w:t>
      </w:r>
      <w:r w:rsidRPr="00686CD4">
        <w:rPr>
          <w:lang w:val="fr-FR"/>
        </w:rPr>
        <w:t xml:space="preserve">sion de leur voix, </w:t>
      </w:r>
      <w:r>
        <w:rPr>
          <w:lang w:val="fr-FR"/>
        </w:rPr>
        <w:t xml:space="preserve">leur hébergement </w:t>
      </w:r>
      <w:r w:rsidRPr="00686CD4">
        <w:rPr>
          <w:lang w:val="fr-FR"/>
        </w:rPr>
        <w:t xml:space="preserve">en </w:t>
      </w:r>
      <w:r>
        <w:rPr>
          <w:lang w:val="fr-FR"/>
        </w:rPr>
        <w:t xml:space="preserve">un </w:t>
      </w:r>
      <w:r w:rsidRPr="00686CD4">
        <w:rPr>
          <w:lang w:val="fr-FR"/>
        </w:rPr>
        <w:t>lieu s</w:t>
      </w:r>
      <w:r>
        <w:rPr>
          <w:lang w:val="fr-FR"/>
        </w:rPr>
        <w:t>û</w:t>
      </w:r>
      <w:r w:rsidRPr="00686CD4">
        <w:rPr>
          <w:lang w:val="fr-FR"/>
        </w:rPr>
        <w:t xml:space="preserve">r, la protection par la police des membres de leur famille et de leurs parents proches, la délivrance de documents officiels </w:t>
      </w:r>
      <w:r>
        <w:rPr>
          <w:lang w:val="fr-FR"/>
        </w:rPr>
        <w:t>établis à des noms différents</w:t>
      </w:r>
      <w:r w:rsidRPr="00686CD4">
        <w:rPr>
          <w:lang w:val="fr-FR"/>
        </w:rPr>
        <w:t>, la modification de leur visage ou de leur l</w:t>
      </w:r>
      <w:r>
        <w:rPr>
          <w:lang w:val="fr-FR"/>
        </w:rPr>
        <w:t>’</w:t>
      </w:r>
      <w:r w:rsidRPr="00686CD4">
        <w:rPr>
          <w:lang w:val="fr-FR"/>
        </w:rPr>
        <w:t xml:space="preserve">apparence physique </w:t>
      </w:r>
      <w:r>
        <w:rPr>
          <w:lang w:val="fr-FR"/>
        </w:rPr>
        <w:t xml:space="preserve">par </w:t>
      </w:r>
      <w:r w:rsidRPr="00686CD4">
        <w:rPr>
          <w:lang w:val="fr-FR"/>
        </w:rPr>
        <w:t>la chirurgie plastique, l</w:t>
      </w:r>
      <w:r>
        <w:rPr>
          <w:lang w:val="fr-FR"/>
        </w:rPr>
        <w:t>’</w:t>
      </w:r>
      <w:r w:rsidRPr="00686CD4">
        <w:rPr>
          <w:lang w:val="fr-FR"/>
        </w:rPr>
        <w:t>installation à une nouvelle adresse dans le pays ou à l</w:t>
      </w:r>
      <w:r>
        <w:rPr>
          <w:lang w:val="fr-FR"/>
        </w:rPr>
        <w:t>’</w:t>
      </w:r>
      <w:r w:rsidRPr="00686CD4">
        <w:rPr>
          <w:lang w:val="fr-FR"/>
        </w:rPr>
        <w:t>étranger)</w:t>
      </w:r>
      <w:r>
        <w:rPr>
          <w:lang w:val="fr-FR"/>
        </w:rPr>
        <w:t>. L</w:t>
      </w:r>
      <w:r w:rsidRPr="00686CD4">
        <w:rPr>
          <w:lang w:val="fr-FR"/>
        </w:rPr>
        <w:t xml:space="preserve">e Code de procédure pénale </w:t>
      </w:r>
      <w:r>
        <w:rPr>
          <w:lang w:val="fr-FR"/>
        </w:rPr>
        <w:t xml:space="preserve">limite aussi </w:t>
      </w:r>
      <w:r w:rsidRPr="00686CD4">
        <w:rPr>
          <w:lang w:val="fr-FR"/>
        </w:rPr>
        <w:t>la divulgation des actes de procédure en cas de poursuites pour des infractions de traite d</w:t>
      </w:r>
      <w:r>
        <w:rPr>
          <w:lang w:val="fr-FR"/>
        </w:rPr>
        <w:t>’</w:t>
      </w:r>
      <w:r w:rsidRPr="00686CD4">
        <w:rPr>
          <w:lang w:val="fr-FR"/>
        </w:rPr>
        <w:t>êtres humains (</w:t>
      </w:r>
      <w:r>
        <w:rPr>
          <w:lang w:val="fr-FR"/>
        </w:rPr>
        <w:t>a</w:t>
      </w:r>
      <w:r w:rsidRPr="00686CD4">
        <w:rPr>
          <w:lang w:val="fr-FR"/>
        </w:rPr>
        <w:t>rt</w:t>
      </w:r>
      <w:r w:rsidR="008A6606">
        <w:rPr>
          <w:lang w:val="fr-FR"/>
        </w:rPr>
        <w:t>.</w:t>
      </w:r>
      <w:r>
        <w:rPr>
          <w:lang w:val="fr-FR"/>
        </w:rPr>
        <w:t> </w:t>
      </w:r>
      <w:r w:rsidRPr="00686CD4">
        <w:rPr>
          <w:lang w:val="fr-FR"/>
        </w:rPr>
        <w:t>87</w:t>
      </w:r>
      <w:r w:rsidR="008A6606">
        <w:rPr>
          <w:lang w:val="fr-FR"/>
        </w:rPr>
        <w:t> </w:t>
      </w:r>
      <w:r w:rsidRPr="00686CD4">
        <w:rPr>
          <w:lang w:val="fr-FR"/>
        </w:rPr>
        <w:t xml:space="preserve">3)), et </w:t>
      </w:r>
      <w:r>
        <w:rPr>
          <w:lang w:val="fr-FR"/>
        </w:rPr>
        <w:t xml:space="preserve">dispose </w:t>
      </w:r>
      <w:r w:rsidRPr="00686CD4">
        <w:rPr>
          <w:lang w:val="fr-FR"/>
        </w:rPr>
        <w:t>que les victimes peuvent faire des déclarations qui seront utilisées ultér</w:t>
      </w:r>
      <w:r>
        <w:rPr>
          <w:lang w:val="fr-FR"/>
        </w:rPr>
        <w:t>ieure</w:t>
      </w:r>
      <w:r w:rsidRPr="00686CD4">
        <w:rPr>
          <w:lang w:val="fr-FR"/>
        </w:rPr>
        <w:t>men</w:t>
      </w:r>
      <w:r>
        <w:rPr>
          <w:lang w:val="fr-FR"/>
        </w:rPr>
        <w:t>t</w:t>
      </w:r>
      <w:r w:rsidRPr="00686CD4">
        <w:rPr>
          <w:lang w:val="fr-FR"/>
        </w:rPr>
        <w:t xml:space="preserve"> d</w:t>
      </w:r>
      <w:r>
        <w:rPr>
          <w:lang w:val="fr-FR"/>
        </w:rPr>
        <w:t xml:space="preserve">ans </w:t>
      </w:r>
      <w:r w:rsidRPr="00686CD4">
        <w:rPr>
          <w:lang w:val="fr-FR"/>
        </w:rPr>
        <w:t>le cadre de procédures judiciaires (</w:t>
      </w:r>
      <w:r>
        <w:rPr>
          <w:lang w:val="fr-FR"/>
        </w:rPr>
        <w:t>a</w:t>
      </w:r>
      <w:r w:rsidRPr="00686CD4">
        <w:rPr>
          <w:lang w:val="fr-FR"/>
        </w:rPr>
        <w:t>rt</w:t>
      </w:r>
      <w:r w:rsidR="008A6606">
        <w:rPr>
          <w:lang w:val="fr-FR"/>
        </w:rPr>
        <w:t>.</w:t>
      </w:r>
      <w:r>
        <w:rPr>
          <w:lang w:val="fr-FR"/>
        </w:rPr>
        <w:t> </w:t>
      </w:r>
      <w:r w:rsidRPr="00686CD4">
        <w:rPr>
          <w:lang w:val="fr-FR"/>
        </w:rPr>
        <w:t>271) ou être entendu</w:t>
      </w:r>
      <w:r w:rsidR="008F2AD9">
        <w:rPr>
          <w:lang w:val="fr-FR"/>
        </w:rPr>
        <w:t>e</w:t>
      </w:r>
      <w:r w:rsidRPr="00686CD4">
        <w:rPr>
          <w:lang w:val="fr-FR"/>
        </w:rPr>
        <w:t xml:space="preserve">s par </w:t>
      </w:r>
      <w:proofErr w:type="spellStart"/>
      <w:r w:rsidRPr="00686CD4">
        <w:rPr>
          <w:lang w:val="fr-FR"/>
        </w:rPr>
        <w:t>vidéoconférence</w:t>
      </w:r>
      <w:proofErr w:type="spellEnd"/>
      <w:r w:rsidRPr="00686CD4">
        <w:rPr>
          <w:lang w:val="fr-FR"/>
        </w:rPr>
        <w:t xml:space="preserve"> si elles ne peuvent pas assister au procès.</w:t>
      </w:r>
    </w:p>
    <w:p w:rsidR="002A7A34" w:rsidRPr="00686CD4" w:rsidRDefault="002A7A34" w:rsidP="002A7A34">
      <w:pPr>
        <w:pStyle w:val="SingleTxtG"/>
        <w:rPr>
          <w:lang w:val="fr-FR"/>
        </w:rPr>
      </w:pPr>
      <w:r w:rsidRPr="00686CD4">
        <w:rPr>
          <w:lang w:val="fr-FR"/>
        </w:rPr>
        <w:t>91.</w:t>
      </w:r>
      <w:r w:rsidRPr="00686CD4">
        <w:rPr>
          <w:lang w:val="fr-FR"/>
        </w:rPr>
        <w:tab/>
        <w:t xml:space="preserve">Le Portugal poursuit ses efforts </w:t>
      </w:r>
      <w:r>
        <w:rPr>
          <w:lang w:val="fr-FR"/>
        </w:rPr>
        <w:t xml:space="preserve">pour faciliter le retour des </w:t>
      </w:r>
      <w:r w:rsidRPr="00686CD4">
        <w:rPr>
          <w:lang w:val="fr-FR"/>
        </w:rPr>
        <w:t xml:space="preserve">victimes </w:t>
      </w:r>
      <w:r>
        <w:rPr>
          <w:lang w:val="fr-FR"/>
        </w:rPr>
        <w:t>étrangères de traite</w:t>
      </w:r>
      <w:r w:rsidRPr="00686CD4">
        <w:rPr>
          <w:lang w:val="fr-FR"/>
        </w:rPr>
        <w:t xml:space="preserve"> sur son territoire national ou de</w:t>
      </w:r>
      <w:r>
        <w:rPr>
          <w:lang w:val="fr-FR"/>
        </w:rPr>
        <w:t>s</w:t>
      </w:r>
      <w:r w:rsidRPr="00686CD4">
        <w:rPr>
          <w:lang w:val="fr-FR"/>
        </w:rPr>
        <w:t xml:space="preserve"> victimes </w:t>
      </w:r>
      <w:r>
        <w:rPr>
          <w:lang w:val="fr-FR"/>
        </w:rPr>
        <w:t>portugaises de traite</w:t>
      </w:r>
      <w:r w:rsidRPr="00686CD4">
        <w:rPr>
          <w:lang w:val="fr-FR"/>
        </w:rPr>
        <w:t xml:space="preserve"> à l</w:t>
      </w:r>
      <w:r>
        <w:rPr>
          <w:lang w:val="fr-FR"/>
        </w:rPr>
        <w:t>’</w:t>
      </w:r>
      <w:r w:rsidRPr="00686CD4">
        <w:rPr>
          <w:lang w:val="fr-FR"/>
        </w:rPr>
        <w:t>étranger. Ces efforts sont menés</w:t>
      </w:r>
      <w:r w:rsidRPr="00E25749">
        <w:rPr>
          <w:lang w:val="fr-FR"/>
        </w:rPr>
        <w:t xml:space="preserve"> </w:t>
      </w:r>
      <w:r w:rsidRPr="00686CD4">
        <w:rPr>
          <w:lang w:val="fr-FR"/>
        </w:rPr>
        <w:t>en collaboration avec</w:t>
      </w:r>
      <w:r>
        <w:rPr>
          <w:lang w:val="fr-FR"/>
        </w:rPr>
        <w:t xml:space="preserve">, respectivement, </w:t>
      </w:r>
      <w:r w:rsidRPr="00686CD4">
        <w:rPr>
          <w:lang w:val="fr-FR"/>
        </w:rPr>
        <w:t>les bureaux de l</w:t>
      </w:r>
      <w:r>
        <w:rPr>
          <w:lang w:val="fr-FR"/>
        </w:rPr>
        <w:t>’</w:t>
      </w:r>
      <w:r w:rsidRPr="00686CD4">
        <w:rPr>
          <w:lang w:val="fr-FR"/>
        </w:rPr>
        <w:t>OIM au Portugal et en Bulgarie</w:t>
      </w:r>
      <w:r>
        <w:rPr>
          <w:lang w:val="fr-FR"/>
        </w:rPr>
        <w:t xml:space="preserve"> </w:t>
      </w:r>
      <w:r w:rsidRPr="00686CD4">
        <w:rPr>
          <w:lang w:val="fr-FR"/>
        </w:rPr>
        <w:t xml:space="preserve">et </w:t>
      </w:r>
      <w:r>
        <w:rPr>
          <w:lang w:val="fr-FR"/>
        </w:rPr>
        <w:t xml:space="preserve">avec </w:t>
      </w:r>
      <w:r w:rsidRPr="00686CD4">
        <w:rPr>
          <w:lang w:val="fr-FR"/>
        </w:rPr>
        <w:t>l</w:t>
      </w:r>
      <w:r>
        <w:rPr>
          <w:lang w:val="fr-FR"/>
        </w:rPr>
        <w:t>’</w:t>
      </w:r>
      <w:r w:rsidRPr="00686CD4">
        <w:rPr>
          <w:lang w:val="fr-FR"/>
        </w:rPr>
        <w:t xml:space="preserve">Association </w:t>
      </w:r>
      <w:r>
        <w:rPr>
          <w:lang w:val="fr-FR"/>
        </w:rPr>
        <w:t xml:space="preserve">pour la planification familiale, ou </w:t>
      </w:r>
      <w:r w:rsidRPr="00686CD4">
        <w:rPr>
          <w:lang w:val="fr-FR"/>
        </w:rPr>
        <w:t>avec l</w:t>
      </w:r>
      <w:r>
        <w:rPr>
          <w:lang w:val="fr-FR"/>
        </w:rPr>
        <w:t>’</w:t>
      </w:r>
      <w:r w:rsidRPr="00686CD4">
        <w:rPr>
          <w:lang w:val="fr-FR"/>
        </w:rPr>
        <w:t>appui du consulat portugais en Espagne.</w:t>
      </w:r>
    </w:p>
    <w:p w:rsidR="002A7A34" w:rsidRPr="00686CD4" w:rsidRDefault="002A7A34" w:rsidP="002A7A34">
      <w:pPr>
        <w:pStyle w:val="SingleTxtG"/>
        <w:rPr>
          <w:lang w:val="fr-FR"/>
        </w:rPr>
      </w:pPr>
      <w:r w:rsidRPr="00686CD4">
        <w:rPr>
          <w:lang w:val="fr-FR"/>
        </w:rPr>
        <w:t>92.</w:t>
      </w:r>
      <w:r w:rsidRPr="00686CD4">
        <w:rPr>
          <w:lang w:val="fr-FR"/>
        </w:rPr>
        <w:tab/>
        <w:t xml:space="preserve">Chaque service des forces de sécurité </w:t>
      </w:r>
      <w:r>
        <w:rPr>
          <w:lang w:val="fr-FR"/>
        </w:rPr>
        <w:t>a</w:t>
      </w:r>
      <w:r w:rsidRPr="00686CD4">
        <w:rPr>
          <w:lang w:val="fr-FR"/>
        </w:rPr>
        <w:t xml:space="preserve"> son propre réseau de bureaux opérant dans les conditions requises, </w:t>
      </w:r>
      <w:r>
        <w:rPr>
          <w:lang w:val="fr-FR"/>
        </w:rPr>
        <w:t xml:space="preserve">c’est-à-dire en assurant </w:t>
      </w:r>
      <w:r w:rsidRPr="00686CD4">
        <w:rPr>
          <w:lang w:val="fr-FR"/>
        </w:rPr>
        <w:t>l</w:t>
      </w:r>
      <w:r>
        <w:rPr>
          <w:lang w:val="fr-FR"/>
        </w:rPr>
        <w:t>’</w:t>
      </w:r>
      <w:r w:rsidRPr="00686CD4">
        <w:rPr>
          <w:lang w:val="fr-FR"/>
        </w:rPr>
        <w:t xml:space="preserve">admission des victimes </w:t>
      </w:r>
      <w:r>
        <w:rPr>
          <w:lang w:val="fr-FR"/>
        </w:rPr>
        <w:t>en toute confidentialité</w:t>
      </w:r>
      <w:r w:rsidRPr="00686CD4">
        <w:rPr>
          <w:lang w:val="fr-FR"/>
        </w:rPr>
        <w:t>. Les victimes particulièrement vulnérables peuvent bénéficier de mesures de protection.</w:t>
      </w:r>
    </w:p>
    <w:p w:rsidR="002A7A34" w:rsidRPr="00686CD4" w:rsidRDefault="002A7A34" w:rsidP="002A7A34">
      <w:pPr>
        <w:pStyle w:val="SingleTxtG"/>
        <w:rPr>
          <w:lang w:val="fr-FR"/>
        </w:rPr>
      </w:pPr>
      <w:r w:rsidRPr="00686CD4">
        <w:rPr>
          <w:lang w:val="fr-FR"/>
        </w:rPr>
        <w:t>93.</w:t>
      </w:r>
      <w:r w:rsidRPr="00686CD4">
        <w:rPr>
          <w:lang w:val="fr-FR"/>
        </w:rPr>
        <w:tab/>
        <w:t>Soucieux de contribuer à l</w:t>
      </w:r>
      <w:r>
        <w:rPr>
          <w:lang w:val="fr-FR"/>
        </w:rPr>
        <w:t>’</w:t>
      </w:r>
      <w:r w:rsidRPr="00686CD4">
        <w:rPr>
          <w:lang w:val="fr-FR"/>
        </w:rPr>
        <w:t>élimination de la traite d</w:t>
      </w:r>
      <w:r>
        <w:rPr>
          <w:lang w:val="fr-FR"/>
        </w:rPr>
        <w:t>’</w:t>
      </w:r>
      <w:r w:rsidRPr="00686CD4">
        <w:rPr>
          <w:lang w:val="fr-FR"/>
        </w:rPr>
        <w:t>êtres humains, le Service de l</w:t>
      </w:r>
      <w:r>
        <w:rPr>
          <w:lang w:val="fr-FR"/>
        </w:rPr>
        <w:t>’immigration et des frontières a</w:t>
      </w:r>
      <w:r w:rsidRPr="00686CD4">
        <w:rPr>
          <w:lang w:val="fr-FR"/>
        </w:rPr>
        <w:t xml:space="preserve"> constitu</w:t>
      </w:r>
      <w:r>
        <w:rPr>
          <w:lang w:val="fr-FR"/>
        </w:rPr>
        <w:t>é</w:t>
      </w:r>
      <w:r w:rsidRPr="00686CD4">
        <w:rPr>
          <w:lang w:val="fr-FR"/>
        </w:rPr>
        <w:t xml:space="preserve"> une équipe spécialement formée </w:t>
      </w:r>
      <w:r>
        <w:rPr>
          <w:lang w:val="fr-FR"/>
        </w:rPr>
        <w:t>à cette fin</w:t>
      </w:r>
      <w:r w:rsidRPr="00686CD4">
        <w:rPr>
          <w:lang w:val="fr-FR"/>
        </w:rPr>
        <w:t>. Ses</w:t>
      </w:r>
      <w:r w:rsidR="00E82371">
        <w:rPr>
          <w:lang w:val="fr-FR"/>
        </w:rPr>
        <w:t> </w:t>
      </w:r>
      <w:r w:rsidRPr="00686CD4">
        <w:rPr>
          <w:lang w:val="fr-FR"/>
        </w:rPr>
        <w:t xml:space="preserve">interventions privilégient la perspective des victimes, leur signalement et leur identification ainsi que les interventions </w:t>
      </w:r>
      <w:r>
        <w:rPr>
          <w:lang w:val="fr-FR"/>
        </w:rPr>
        <w:t xml:space="preserve">menées à des fins </w:t>
      </w:r>
      <w:r w:rsidRPr="00686CD4">
        <w:rPr>
          <w:lang w:val="fr-FR"/>
        </w:rPr>
        <w:t xml:space="preserve">de protection et </w:t>
      </w:r>
      <w:r>
        <w:rPr>
          <w:lang w:val="fr-FR"/>
        </w:rPr>
        <w:t>d’</w:t>
      </w:r>
      <w:r w:rsidRPr="00686CD4">
        <w:rPr>
          <w:lang w:val="fr-FR"/>
        </w:rPr>
        <w:t>aide</w:t>
      </w:r>
      <w:r w:rsidR="00E82371">
        <w:rPr>
          <w:lang w:val="fr-FR"/>
        </w:rPr>
        <w:t>.</w:t>
      </w:r>
    </w:p>
    <w:p w:rsidR="002A7A34" w:rsidRPr="00686CD4" w:rsidRDefault="002A7A34" w:rsidP="001D477A">
      <w:pPr>
        <w:pStyle w:val="H23G"/>
        <w:jc w:val="both"/>
        <w:rPr>
          <w:lang w:val="fr-FR"/>
        </w:rPr>
      </w:pPr>
      <w:r w:rsidRPr="00686CD4">
        <w:rPr>
          <w:lang w:val="fr-FR"/>
        </w:rPr>
        <w:lastRenderedPageBreak/>
        <w:tab/>
      </w:r>
      <w:r w:rsidRPr="00686CD4">
        <w:rPr>
          <w:lang w:val="fr-FR"/>
        </w:rPr>
        <w:tab/>
      </w:r>
      <w:r w:rsidRPr="00686CD4">
        <w:rPr>
          <w:lang w:val="fr-FR"/>
        </w:rPr>
        <w:tab/>
        <w:t>c)</w:t>
      </w:r>
      <w:r w:rsidRPr="00686CD4">
        <w:rPr>
          <w:lang w:val="fr-FR"/>
        </w:rPr>
        <w:tab/>
        <w:t>Mesures prises pour renforcer la prévention de la traite ainsi que les enquêtes et les sanctions s</w:t>
      </w:r>
      <w:r>
        <w:rPr>
          <w:lang w:val="fr-FR"/>
        </w:rPr>
        <w:t>’</w:t>
      </w:r>
      <w:r w:rsidRPr="00686CD4">
        <w:rPr>
          <w:lang w:val="fr-FR"/>
        </w:rPr>
        <w:t>y rapportant, en particulier pour ce qui est de la traite à des fins d</w:t>
      </w:r>
      <w:r>
        <w:rPr>
          <w:lang w:val="fr-FR"/>
        </w:rPr>
        <w:t>’</w:t>
      </w:r>
      <w:r w:rsidRPr="00686CD4">
        <w:rPr>
          <w:lang w:val="fr-FR"/>
        </w:rPr>
        <w:t>exploitation économique, ainsi que pour améliorer l</w:t>
      </w:r>
      <w:r>
        <w:rPr>
          <w:lang w:val="fr-FR"/>
        </w:rPr>
        <w:t>’</w:t>
      </w:r>
      <w:r w:rsidRPr="00686CD4">
        <w:rPr>
          <w:lang w:val="fr-FR"/>
        </w:rPr>
        <w:t>identification des victimes et la coopération internationale entre les pays d</w:t>
      </w:r>
      <w:r>
        <w:rPr>
          <w:lang w:val="fr-FR"/>
        </w:rPr>
        <w:t>’</w:t>
      </w:r>
      <w:r w:rsidRPr="00686CD4">
        <w:rPr>
          <w:lang w:val="fr-FR"/>
        </w:rPr>
        <w:t>origine, de transit et de destination. Indiquer également les mesures prises pour s</w:t>
      </w:r>
      <w:r>
        <w:rPr>
          <w:lang w:val="fr-FR"/>
        </w:rPr>
        <w:t>’</w:t>
      </w:r>
      <w:r w:rsidRPr="00686CD4">
        <w:rPr>
          <w:lang w:val="fr-FR"/>
        </w:rPr>
        <w:t>attaquer aux causes profondes de la traite des enfants et pour enquêter plus efficacement sur les enlèvements d</w:t>
      </w:r>
      <w:r>
        <w:rPr>
          <w:lang w:val="fr-FR"/>
        </w:rPr>
        <w:t>’</w:t>
      </w:r>
      <w:r w:rsidRPr="00686CD4">
        <w:rPr>
          <w:lang w:val="fr-FR"/>
        </w:rPr>
        <w:t>enfants, la prostitution des enfants et la pornographie mettant en scène des enfants. Fournir également une évaluation des effets qu</w:t>
      </w:r>
      <w:r>
        <w:rPr>
          <w:lang w:val="fr-FR"/>
        </w:rPr>
        <w:t>’</w:t>
      </w:r>
      <w:r w:rsidRPr="00686CD4">
        <w:rPr>
          <w:lang w:val="fr-FR"/>
        </w:rPr>
        <w:t>a eu</w:t>
      </w:r>
      <w:r>
        <w:rPr>
          <w:lang w:val="fr-FR"/>
        </w:rPr>
        <w:t>s</w:t>
      </w:r>
      <w:r w:rsidRPr="00686CD4">
        <w:rPr>
          <w:lang w:val="fr-FR"/>
        </w:rPr>
        <w:t xml:space="preserve"> le deuxième Plan national de lutte contre la traite des êtres humains à cet égard et expliquer comment le troisième Plan d</w:t>
      </w:r>
      <w:r>
        <w:rPr>
          <w:lang w:val="fr-FR"/>
        </w:rPr>
        <w:t>’</w:t>
      </w:r>
      <w:r w:rsidRPr="00686CD4">
        <w:rPr>
          <w:lang w:val="fr-FR"/>
        </w:rPr>
        <w:t xml:space="preserve">action national (2014-2016) comble les lacunes qui ont été recensées. </w:t>
      </w:r>
      <w:r w:rsidRPr="00686CD4">
        <w:rPr>
          <w:bCs/>
          <w:lang w:val="fr-FR"/>
        </w:rPr>
        <w:t>Préciser si l</w:t>
      </w:r>
      <w:r>
        <w:rPr>
          <w:bCs/>
          <w:lang w:val="fr-FR"/>
        </w:rPr>
        <w:t>’</w:t>
      </w:r>
      <w:r w:rsidRPr="00686CD4">
        <w:rPr>
          <w:bCs/>
          <w:lang w:val="fr-FR"/>
        </w:rPr>
        <w:t>État partie a élaboré une méthode pour évaluer l</w:t>
      </w:r>
      <w:r>
        <w:rPr>
          <w:bCs/>
          <w:lang w:val="fr-FR"/>
        </w:rPr>
        <w:t>’</w:t>
      </w:r>
      <w:r w:rsidRPr="00686CD4">
        <w:rPr>
          <w:bCs/>
          <w:lang w:val="fr-FR"/>
        </w:rPr>
        <w:t>efficacité et les effets de toutes les actions menées dans ce domaine</w:t>
      </w:r>
      <w:r w:rsidR="00495D0F">
        <w:rPr>
          <w:bCs/>
          <w:lang w:val="fr-FR"/>
        </w:rPr>
        <w:t> ;</w:t>
      </w:r>
      <w:bookmarkStart w:id="20" w:name="_Toc532494623"/>
      <w:bookmarkEnd w:id="20"/>
    </w:p>
    <w:p w:rsidR="002A7A34" w:rsidRPr="00686CD4" w:rsidRDefault="002A7A34" w:rsidP="001D477A">
      <w:pPr>
        <w:pStyle w:val="H4G"/>
        <w:rPr>
          <w:lang w:val="fr-FR"/>
        </w:rPr>
      </w:pPr>
      <w:r w:rsidRPr="00686CD4">
        <w:rPr>
          <w:lang w:val="fr-FR"/>
        </w:rPr>
        <w:tab/>
      </w:r>
      <w:r w:rsidRPr="00686CD4">
        <w:rPr>
          <w:lang w:val="fr-FR"/>
        </w:rPr>
        <w:tab/>
        <w:t>Mesures de prévention et enquêtes</w:t>
      </w:r>
    </w:p>
    <w:p w:rsidR="002A7A34" w:rsidRPr="00686CD4" w:rsidRDefault="002A7A34" w:rsidP="001D477A">
      <w:pPr>
        <w:pStyle w:val="SingleTxtG"/>
        <w:rPr>
          <w:lang w:val="fr-FR"/>
        </w:rPr>
      </w:pPr>
      <w:r w:rsidRPr="00686CD4">
        <w:rPr>
          <w:lang w:val="fr-FR"/>
        </w:rPr>
        <w:t>94.</w:t>
      </w:r>
      <w:r w:rsidRPr="00686CD4">
        <w:rPr>
          <w:lang w:val="fr-FR"/>
        </w:rPr>
        <w:tab/>
        <w:t>Voir aussi les renseignements donnés dans la réponse au paragraphe</w:t>
      </w:r>
      <w:r w:rsidR="00495D0F">
        <w:rPr>
          <w:lang w:val="fr-FR"/>
        </w:rPr>
        <w:t xml:space="preserve"> </w:t>
      </w:r>
      <w:r w:rsidRPr="00686CD4">
        <w:rPr>
          <w:lang w:val="fr-FR"/>
        </w:rPr>
        <w:t>4 b) ci-dessus.</w:t>
      </w:r>
    </w:p>
    <w:p w:rsidR="002A7A34" w:rsidRPr="00686CD4" w:rsidRDefault="002A7A34" w:rsidP="001D477A">
      <w:pPr>
        <w:pStyle w:val="SingleTxtG"/>
        <w:rPr>
          <w:lang w:val="fr-FR"/>
        </w:rPr>
      </w:pPr>
      <w:r w:rsidRPr="00686CD4">
        <w:rPr>
          <w:lang w:val="fr-FR"/>
        </w:rPr>
        <w:t>95.</w:t>
      </w:r>
      <w:r w:rsidRPr="00686CD4">
        <w:rPr>
          <w:lang w:val="fr-FR"/>
        </w:rPr>
        <w:tab/>
        <w:t xml:space="preserve">Le troisième </w:t>
      </w:r>
      <w:r>
        <w:rPr>
          <w:lang w:val="fr-FR"/>
        </w:rPr>
        <w:t>Pl</w:t>
      </w:r>
      <w:r w:rsidRPr="00686CD4">
        <w:rPr>
          <w:lang w:val="fr-FR"/>
        </w:rPr>
        <w:t>an national de prévention et de lutte contre la traite des êtres humains (2014</w:t>
      </w:r>
      <w:r w:rsidR="001D477A">
        <w:rPr>
          <w:lang w:val="fr-FR"/>
        </w:rPr>
        <w:noBreakHyphen/>
      </w:r>
      <w:r w:rsidRPr="00686CD4">
        <w:rPr>
          <w:lang w:val="fr-FR"/>
        </w:rPr>
        <w:t xml:space="preserve">2017) comporte </w:t>
      </w:r>
      <w:r w:rsidR="001D477A">
        <w:rPr>
          <w:lang w:val="fr-FR"/>
        </w:rPr>
        <w:t xml:space="preserve">cinq </w:t>
      </w:r>
      <w:r w:rsidRPr="00686CD4">
        <w:rPr>
          <w:lang w:val="fr-FR"/>
        </w:rPr>
        <w:t>domaines d</w:t>
      </w:r>
      <w:r>
        <w:rPr>
          <w:lang w:val="fr-FR"/>
        </w:rPr>
        <w:t>’</w:t>
      </w:r>
      <w:r w:rsidRPr="00686CD4">
        <w:rPr>
          <w:lang w:val="fr-FR"/>
        </w:rPr>
        <w:t>intervention stratégique et 53</w:t>
      </w:r>
      <w:r>
        <w:rPr>
          <w:lang w:val="fr-FR"/>
        </w:rPr>
        <w:t> </w:t>
      </w:r>
      <w:r w:rsidRPr="00686CD4">
        <w:rPr>
          <w:lang w:val="fr-FR"/>
        </w:rPr>
        <w:t xml:space="preserve">mesures conçues pour </w:t>
      </w:r>
      <w:r>
        <w:rPr>
          <w:lang w:val="fr-FR"/>
        </w:rPr>
        <w:t xml:space="preserve">mener une </w:t>
      </w:r>
      <w:r w:rsidRPr="00686CD4">
        <w:rPr>
          <w:lang w:val="fr-FR"/>
        </w:rPr>
        <w:t xml:space="preserve">lutte </w:t>
      </w:r>
      <w:r>
        <w:rPr>
          <w:lang w:val="fr-FR"/>
        </w:rPr>
        <w:t xml:space="preserve">intégrée </w:t>
      </w:r>
      <w:r w:rsidRPr="00686CD4">
        <w:rPr>
          <w:lang w:val="fr-FR"/>
        </w:rPr>
        <w:t xml:space="preserve">contre la traite, notamment </w:t>
      </w:r>
      <w:r>
        <w:rPr>
          <w:lang w:val="fr-FR"/>
        </w:rPr>
        <w:t xml:space="preserve">dans les domaines de </w:t>
      </w:r>
      <w:r w:rsidRPr="00686CD4">
        <w:rPr>
          <w:lang w:val="fr-FR"/>
        </w:rPr>
        <w:t xml:space="preserve">la protection, </w:t>
      </w:r>
      <w:r>
        <w:rPr>
          <w:lang w:val="fr-FR"/>
        </w:rPr>
        <w:t xml:space="preserve">de </w:t>
      </w:r>
      <w:r w:rsidRPr="00686CD4">
        <w:rPr>
          <w:lang w:val="fr-FR"/>
        </w:rPr>
        <w:t xml:space="preserve">la prévention et </w:t>
      </w:r>
      <w:r>
        <w:rPr>
          <w:lang w:val="fr-FR"/>
        </w:rPr>
        <w:t xml:space="preserve">de </w:t>
      </w:r>
      <w:r w:rsidRPr="00686CD4">
        <w:rPr>
          <w:lang w:val="fr-FR"/>
        </w:rPr>
        <w:t>l</w:t>
      </w:r>
      <w:r>
        <w:rPr>
          <w:lang w:val="fr-FR"/>
        </w:rPr>
        <w:t>’</w:t>
      </w:r>
      <w:r w:rsidRPr="00686CD4">
        <w:rPr>
          <w:lang w:val="fr-FR"/>
        </w:rPr>
        <w:t>aide aux victimes.</w:t>
      </w:r>
    </w:p>
    <w:p w:rsidR="002A7A34" w:rsidRPr="00686CD4" w:rsidRDefault="002A7A34" w:rsidP="001D477A">
      <w:pPr>
        <w:pStyle w:val="SingleTxtG"/>
        <w:rPr>
          <w:lang w:val="fr-FR"/>
        </w:rPr>
      </w:pPr>
      <w:r w:rsidRPr="00686CD4">
        <w:rPr>
          <w:lang w:val="fr-FR"/>
        </w:rPr>
        <w:t>96.</w:t>
      </w:r>
      <w:r w:rsidRPr="00686CD4">
        <w:rPr>
          <w:lang w:val="fr-FR"/>
        </w:rPr>
        <w:tab/>
        <w:t xml:space="preserve">Ce </w:t>
      </w:r>
      <w:r w:rsidR="00E82371">
        <w:rPr>
          <w:lang w:val="fr-FR"/>
        </w:rPr>
        <w:t>p</w:t>
      </w:r>
      <w:r w:rsidRPr="00686CD4">
        <w:rPr>
          <w:lang w:val="fr-FR"/>
        </w:rPr>
        <w:t>lan promeut également le renforcement des inspections du travail effectué</w:t>
      </w:r>
      <w:r>
        <w:rPr>
          <w:lang w:val="fr-FR"/>
        </w:rPr>
        <w:t>es</w:t>
      </w:r>
      <w:r w:rsidRPr="00686CD4">
        <w:rPr>
          <w:lang w:val="fr-FR"/>
        </w:rPr>
        <w:t xml:space="preserve"> à titre préventif, qui </w:t>
      </w:r>
      <w:r>
        <w:rPr>
          <w:lang w:val="fr-FR"/>
        </w:rPr>
        <w:t xml:space="preserve">visent </w:t>
      </w:r>
      <w:r w:rsidRPr="00686CD4">
        <w:rPr>
          <w:lang w:val="fr-FR"/>
        </w:rPr>
        <w:t>plus particulièrement les secteurs présentant des risques élevés comme l</w:t>
      </w:r>
      <w:r>
        <w:rPr>
          <w:lang w:val="fr-FR"/>
        </w:rPr>
        <w:t>’</w:t>
      </w:r>
      <w:r w:rsidRPr="00686CD4">
        <w:rPr>
          <w:lang w:val="fr-FR"/>
        </w:rPr>
        <w:t>agriculture, l</w:t>
      </w:r>
      <w:r>
        <w:rPr>
          <w:lang w:val="fr-FR"/>
        </w:rPr>
        <w:t>’</w:t>
      </w:r>
      <w:r w:rsidRPr="00686CD4">
        <w:rPr>
          <w:lang w:val="fr-FR"/>
        </w:rPr>
        <w:t xml:space="preserve">hôtellerie et </w:t>
      </w:r>
      <w:r>
        <w:rPr>
          <w:lang w:val="fr-FR"/>
        </w:rPr>
        <w:t>l</w:t>
      </w:r>
      <w:r w:rsidRPr="00686CD4">
        <w:rPr>
          <w:lang w:val="fr-FR"/>
        </w:rPr>
        <w:t xml:space="preserve">es loisirs. Il </w:t>
      </w:r>
      <w:r>
        <w:rPr>
          <w:lang w:val="fr-FR"/>
        </w:rPr>
        <w:t xml:space="preserve">promeut aussi </w:t>
      </w:r>
      <w:r w:rsidRPr="00686CD4">
        <w:rPr>
          <w:lang w:val="fr-FR"/>
        </w:rPr>
        <w:t>l</w:t>
      </w:r>
      <w:r>
        <w:rPr>
          <w:lang w:val="fr-FR"/>
        </w:rPr>
        <w:t>’</w:t>
      </w:r>
      <w:r w:rsidRPr="00686CD4">
        <w:rPr>
          <w:lang w:val="fr-FR"/>
        </w:rPr>
        <w:t xml:space="preserve">application des meilleures pratiques dans le domaine de la responsabilité sociale des entreprises. </w:t>
      </w:r>
    </w:p>
    <w:p w:rsidR="002A7A34" w:rsidRPr="00686CD4" w:rsidRDefault="002A7A34" w:rsidP="001D477A">
      <w:pPr>
        <w:pStyle w:val="SingleTxtG"/>
        <w:rPr>
          <w:lang w:val="fr-FR"/>
        </w:rPr>
      </w:pPr>
      <w:r w:rsidRPr="00686CD4">
        <w:rPr>
          <w:lang w:val="fr-FR"/>
        </w:rPr>
        <w:t>97.</w:t>
      </w:r>
      <w:r w:rsidRPr="00686CD4">
        <w:rPr>
          <w:lang w:val="fr-FR"/>
        </w:rPr>
        <w:tab/>
        <w:t>À titre d</w:t>
      </w:r>
      <w:r>
        <w:rPr>
          <w:lang w:val="fr-FR"/>
        </w:rPr>
        <w:t>’</w:t>
      </w:r>
      <w:r w:rsidRPr="00686CD4">
        <w:rPr>
          <w:lang w:val="fr-FR"/>
        </w:rPr>
        <w:t xml:space="preserve">exemple, </w:t>
      </w:r>
      <w:r w:rsidRPr="003A62C6">
        <w:rPr>
          <w:lang w:val="fr-FR"/>
        </w:rPr>
        <w:t>l</w:t>
      </w:r>
      <w:r>
        <w:rPr>
          <w:lang w:val="fr-FR"/>
        </w:rPr>
        <w:t>’</w:t>
      </w:r>
      <w:r w:rsidRPr="003A62C6">
        <w:rPr>
          <w:lang w:val="fr-FR"/>
        </w:rPr>
        <w:t xml:space="preserve">Autorité chargée des conditions de travail </w:t>
      </w:r>
      <w:r w:rsidRPr="00686CD4">
        <w:rPr>
          <w:lang w:val="fr-FR"/>
        </w:rPr>
        <w:t>a lancé en</w:t>
      </w:r>
      <w:r w:rsidR="001D477A">
        <w:rPr>
          <w:lang w:val="fr-FR"/>
        </w:rPr>
        <w:t xml:space="preserve"> </w:t>
      </w:r>
      <w:r w:rsidRPr="00686CD4">
        <w:rPr>
          <w:lang w:val="fr-FR"/>
        </w:rPr>
        <w:t xml:space="preserve">2014 une campagne nationale portant sur le travail non déclaré. Cette campagne a donné lieu à </w:t>
      </w:r>
      <w:r>
        <w:rPr>
          <w:lang w:val="fr-FR"/>
        </w:rPr>
        <w:t xml:space="preserve">la tenue de </w:t>
      </w:r>
      <w:r w:rsidRPr="00686CD4">
        <w:rPr>
          <w:lang w:val="fr-FR"/>
        </w:rPr>
        <w:t>129</w:t>
      </w:r>
      <w:r>
        <w:rPr>
          <w:lang w:val="fr-FR"/>
        </w:rPr>
        <w:t> </w:t>
      </w:r>
      <w:r w:rsidRPr="00686CD4">
        <w:rPr>
          <w:lang w:val="fr-FR"/>
        </w:rPr>
        <w:t>sessions auxquelles ont participé environ 6</w:t>
      </w:r>
      <w:r>
        <w:rPr>
          <w:lang w:val="fr-FR"/>
        </w:rPr>
        <w:t> </w:t>
      </w:r>
      <w:r w:rsidRPr="00686CD4">
        <w:rPr>
          <w:lang w:val="fr-FR"/>
        </w:rPr>
        <w:t>607</w:t>
      </w:r>
      <w:r>
        <w:rPr>
          <w:lang w:val="fr-FR"/>
        </w:rPr>
        <w:t> </w:t>
      </w:r>
      <w:r w:rsidRPr="00686CD4">
        <w:rPr>
          <w:lang w:val="fr-FR"/>
        </w:rPr>
        <w:t>personnes appartenant à différents groupes cibles, à savoir</w:t>
      </w:r>
      <w:r w:rsidR="00495D0F">
        <w:rPr>
          <w:lang w:val="fr-FR"/>
        </w:rPr>
        <w:t> :</w:t>
      </w:r>
      <w:r w:rsidRPr="00686CD4">
        <w:rPr>
          <w:lang w:val="fr-FR"/>
        </w:rPr>
        <w:t xml:space="preserve"> les travailleurs et leurs représentants</w:t>
      </w:r>
      <w:r w:rsidR="00495D0F">
        <w:rPr>
          <w:lang w:val="fr-FR"/>
        </w:rPr>
        <w:t> ;</w:t>
      </w:r>
      <w:r w:rsidRPr="00686CD4">
        <w:rPr>
          <w:lang w:val="fr-FR"/>
        </w:rPr>
        <w:t xml:space="preserve"> </w:t>
      </w:r>
      <w:r>
        <w:rPr>
          <w:lang w:val="fr-FR"/>
        </w:rPr>
        <w:t>l</w:t>
      </w:r>
      <w:r w:rsidRPr="00686CD4">
        <w:rPr>
          <w:lang w:val="fr-FR"/>
        </w:rPr>
        <w:t>es employeurs et leurs représentants</w:t>
      </w:r>
      <w:r w:rsidR="00495D0F">
        <w:rPr>
          <w:lang w:val="fr-FR"/>
        </w:rPr>
        <w:t> ;</w:t>
      </w:r>
      <w:r w:rsidRPr="00686CD4">
        <w:rPr>
          <w:lang w:val="fr-FR"/>
        </w:rPr>
        <w:t xml:space="preserve"> </w:t>
      </w:r>
      <w:r>
        <w:rPr>
          <w:lang w:val="fr-FR"/>
        </w:rPr>
        <w:t>l</w:t>
      </w:r>
      <w:r w:rsidRPr="00686CD4">
        <w:rPr>
          <w:lang w:val="fr-FR"/>
        </w:rPr>
        <w:t>es personnes travaillant pour compte propre</w:t>
      </w:r>
      <w:r w:rsidR="00495D0F">
        <w:rPr>
          <w:lang w:val="fr-FR"/>
        </w:rPr>
        <w:t> ;</w:t>
      </w:r>
      <w:r w:rsidRPr="00686CD4">
        <w:rPr>
          <w:lang w:val="fr-FR"/>
        </w:rPr>
        <w:t xml:space="preserve"> </w:t>
      </w:r>
      <w:r>
        <w:rPr>
          <w:lang w:val="fr-FR"/>
        </w:rPr>
        <w:t>l</w:t>
      </w:r>
      <w:r w:rsidRPr="00686CD4">
        <w:rPr>
          <w:lang w:val="fr-FR"/>
        </w:rPr>
        <w:t>es étudiants en leur qualité de futur</w:t>
      </w:r>
      <w:r>
        <w:rPr>
          <w:lang w:val="fr-FR"/>
        </w:rPr>
        <w:t>s</w:t>
      </w:r>
      <w:r w:rsidRPr="00686CD4">
        <w:rPr>
          <w:lang w:val="fr-FR"/>
        </w:rPr>
        <w:t xml:space="preserve"> travailleur</w:t>
      </w:r>
      <w:r>
        <w:rPr>
          <w:lang w:val="fr-FR"/>
        </w:rPr>
        <w:t>s</w:t>
      </w:r>
      <w:r w:rsidRPr="00686CD4">
        <w:rPr>
          <w:lang w:val="fr-FR"/>
        </w:rPr>
        <w:t xml:space="preserve"> ou employeur</w:t>
      </w:r>
      <w:r>
        <w:rPr>
          <w:lang w:val="fr-FR"/>
        </w:rPr>
        <w:t>s,</w:t>
      </w:r>
      <w:r w:rsidRPr="00686CD4">
        <w:rPr>
          <w:lang w:val="fr-FR"/>
        </w:rPr>
        <w:t xml:space="preserve"> et le public en général. L</w:t>
      </w:r>
      <w:r>
        <w:rPr>
          <w:lang w:val="fr-FR"/>
        </w:rPr>
        <w:t>’A</w:t>
      </w:r>
      <w:r w:rsidRPr="00686CD4">
        <w:rPr>
          <w:lang w:val="fr-FR"/>
        </w:rPr>
        <w:t xml:space="preserve">utorité participe également à des sessions de sensibilisation pour prévenir la traite dans le contexte des entreprises. Le </w:t>
      </w:r>
      <w:r>
        <w:rPr>
          <w:lang w:val="fr-FR"/>
        </w:rPr>
        <w:t>S</w:t>
      </w:r>
      <w:r w:rsidRPr="00686CD4">
        <w:rPr>
          <w:lang w:val="fr-FR"/>
        </w:rPr>
        <w:t>ervice de l</w:t>
      </w:r>
      <w:r>
        <w:rPr>
          <w:lang w:val="fr-FR"/>
        </w:rPr>
        <w:t>’</w:t>
      </w:r>
      <w:r w:rsidRPr="00686CD4">
        <w:rPr>
          <w:lang w:val="fr-FR"/>
        </w:rPr>
        <w:t xml:space="preserve">immigration et des frontières contribue </w:t>
      </w:r>
      <w:r>
        <w:rPr>
          <w:lang w:val="fr-FR"/>
        </w:rPr>
        <w:t xml:space="preserve">aussi </w:t>
      </w:r>
      <w:r w:rsidRPr="00686CD4">
        <w:rPr>
          <w:lang w:val="fr-FR"/>
        </w:rPr>
        <w:t>à décourager la demande en menant des campagnes de sensibilisation axée</w:t>
      </w:r>
      <w:r>
        <w:rPr>
          <w:lang w:val="fr-FR"/>
        </w:rPr>
        <w:t>s</w:t>
      </w:r>
      <w:r w:rsidRPr="00686CD4">
        <w:rPr>
          <w:lang w:val="fr-FR"/>
        </w:rPr>
        <w:t xml:space="preserve"> sur les entreprises des secteurs exposés à d</w:t>
      </w:r>
      <w:r>
        <w:rPr>
          <w:lang w:val="fr-FR"/>
        </w:rPr>
        <w:t>’</w:t>
      </w:r>
      <w:r w:rsidRPr="00686CD4">
        <w:rPr>
          <w:lang w:val="fr-FR"/>
        </w:rPr>
        <w:t>importants risques de traite d</w:t>
      </w:r>
      <w:r>
        <w:rPr>
          <w:lang w:val="fr-FR"/>
        </w:rPr>
        <w:t>’</w:t>
      </w:r>
      <w:r w:rsidRPr="00686CD4">
        <w:rPr>
          <w:lang w:val="fr-FR"/>
        </w:rPr>
        <w:t>êtres humains.</w:t>
      </w:r>
    </w:p>
    <w:p w:rsidR="002A7A34" w:rsidRPr="00686CD4" w:rsidRDefault="002A7A34" w:rsidP="001D477A">
      <w:pPr>
        <w:pStyle w:val="SingleTxtG"/>
        <w:rPr>
          <w:lang w:val="fr-FR"/>
        </w:rPr>
      </w:pPr>
      <w:r w:rsidRPr="00686CD4">
        <w:rPr>
          <w:lang w:val="fr-FR"/>
        </w:rPr>
        <w:t>98.</w:t>
      </w:r>
      <w:r w:rsidRPr="00686CD4">
        <w:rPr>
          <w:lang w:val="fr-FR"/>
        </w:rPr>
        <w:tab/>
        <w:t>D</w:t>
      </w:r>
      <w:r>
        <w:rPr>
          <w:lang w:val="fr-FR"/>
        </w:rPr>
        <w:t>iverses</w:t>
      </w:r>
      <w:r w:rsidRPr="00686CD4">
        <w:rPr>
          <w:lang w:val="fr-FR"/>
        </w:rPr>
        <w:t xml:space="preserve"> ONG ont </w:t>
      </w:r>
      <w:r>
        <w:rPr>
          <w:lang w:val="fr-FR"/>
        </w:rPr>
        <w:t xml:space="preserve">mené </w:t>
      </w:r>
      <w:r w:rsidRPr="00686CD4">
        <w:rPr>
          <w:lang w:val="fr-FR"/>
        </w:rPr>
        <w:t>un certain nombre d</w:t>
      </w:r>
      <w:r>
        <w:rPr>
          <w:lang w:val="fr-FR"/>
        </w:rPr>
        <w:t>’</w:t>
      </w:r>
      <w:r w:rsidRPr="00686CD4">
        <w:rPr>
          <w:lang w:val="fr-FR"/>
        </w:rPr>
        <w:t>activités pour réduire la demande</w:t>
      </w:r>
      <w:r>
        <w:rPr>
          <w:lang w:val="fr-FR"/>
        </w:rPr>
        <w:t xml:space="preserve">. C’est le cas, notamment, de </w:t>
      </w:r>
      <w:r w:rsidRPr="00686CD4">
        <w:rPr>
          <w:lang w:val="fr-FR"/>
        </w:rPr>
        <w:t>l</w:t>
      </w:r>
      <w:r>
        <w:rPr>
          <w:lang w:val="fr-FR"/>
        </w:rPr>
        <w:t xml:space="preserve">’Association pour la planification familiale, qui assure des formations </w:t>
      </w:r>
      <w:r w:rsidRPr="00686CD4">
        <w:rPr>
          <w:lang w:val="fr-FR"/>
        </w:rPr>
        <w:t>aux entreprises et aux associations commerciales ou industrielles pour attirer l</w:t>
      </w:r>
      <w:r>
        <w:rPr>
          <w:lang w:val="fr-FR"/>
        </w:rPr>
        <w:t>’</w:t>
      </w:r>
      <w:r w:rsidRPr="00686CD4">
        <w:rPr>
          <w:lang w:val="fr-FR"/>
        </w:rPr>
        <w:t xml:space="preserve">attention sur le risque de recruter des </w:t>
      </w:r>
      <w:r>
        <w:rPr>
          <w:lang w:val="fr-FR"/>
        </w:rPr>
        <w:t>victimes de traite</w:t>
      </w:r>
      <w:r w:rsidRPr="00686CD4">
        <w:rPr>
          <w:lang w:val="fr-FR"/>
        </w:rPr>
        <w:t xml:space="preserve">. Cette formation </w:t>
      </w:r>
      <w:r>
        <w:rPr>
          <w:lang w:val="fr-FR"/>
        </w:rPr>
        <w:t xml:space="preserve">est </w:t>
      </w:r>
      <w:r w:rsidRPr="00686CD4">
        <w:rPr>
          <w:lang w:val="fr-FR"/>
        </w:rPr>
        <w:t xml:space="preserve">dispensée dans les régions dans lesquelles le risque de traite est plus élevé. Le projet </w:t>
      </w:r>
      <w:proofErr w:type="spellStart"/>
      <w:r w:rsidRPr="00686CD4">
        <w:rPr>
          <w:lang w:val="fr-FR"/>
        </w:rPr>
        <w:t>Briseis</w:t>
      </w:r>
      <w:proofErr w:type="spellEnd"/>
      <w:r>
        <w:rPr>
          <w:lang w:val="fr-FR"/>
        </w:rPr>
        <w:t xml:space="preserve">, </w:t>
      </w:r>
      <w:r w:rsidRPr="00686CD4">
        <w:rPr>
          <w:lang w:val="fr-FR"/>
        </w:rPr>
        <w:t>mis en œuvre par l</w:t>
      </w:r>
      <w:r>
        <w:rPr>
          <w:lang w:val="fr-FR"/>
        </w:rPr>
        <w:t>’</w:t>
      </w:r>
      <w:r w:rsidRPr="00686CD4">
        <w:rPr>
          <w:lang w:val="fr-FR"/>
        </w:rPr>
        <w:t>Association portugaise d</w:t>
      </w:r>
      <w:r>
        <w:rPr>
          <w:lang w:val="fr-FR"/>
        </w:rPr>
        <w:t>’</w:t>
      </w:r>
      <w:r w:rsidRPr="00686CD4">
        <w:rPr>
          <w:lang w:val="fr-FR"/>
        </w:rPr>
        <w:t>appui aux victimes (</w:t>
      </w:r>
      <w:proofErr w:type="spellStart"/>
      <w:r w:rsidRPr="003747B5">
        <w:rPr>
          <w:i/>
          <w:lang w:val="fr-FR"/>
        </w:rPr>
        <w:t>Associação</w:t>
      </w:r>
      <w:proofErr w:type="spellEnd"/>
      <w:r w:rsidRPr="003747B5">
        <w:rPr>
          <w:i/>
          <w:lang w:val="fr-FR"/>
        </w:rPr>
        <w:t xml:space="preserve"> Portuguesa de </w:t>
      </w:r>
      <w:proofErr w:type="spellStart"/>
      <w:r w:rsidRPr="003747B5">
        <w:rPr>
          <w:i/>
          <w:lang w:val="fr-FR"/>
        </w:rPr>
        <w:t>Apoio</w:t>
      </w:r>
      <w:proofErr w:type="spellEnd"/>
      <w:r w:rsidRPr="003747B5">
        <w:rPr>
          <w:i/>
          <w:lang w:val="fr-FR"/>
        </w:rPr>
        <w:t xml:space="preserve"> à </w:t>
      </w:r>
      <w:proofErr w:type="spellStart"/>
      <w:r w:rsidRPr="003747B5">
        <w:rPr>
          <w:i/>
          <w:lang w:val="fr-FR"/>
        </w:rPr>
        <w:t>Vítima</w:t>
      </w:r>
      <w:proofErr w:type="spellEnd"/>
      <w:r>
        <w:rPr>
          <w:lang w:val="fr-FR"/>
        </w:rPr>
        <w:t xml:space="preserve"> </w:t>
      </w:r>
      <w:r w:rsidR="001D477A">
        <w:rPr>
          <w:lang w:val="fr-FR"/>
        </w:rPr>
        <w:t>−</w:t>
      </w:r>
      <w:r w:rsidRPr="00686CD4">
        <w:rPr>
          <w:lang w:val="fr-FR"/>
        </w:rPr>
        <w:t xml:space="preserve"> APAV) </w:t>
      </w:r>
      <w:r>
        <w:rPr>
          <w:lang w:val="fr-FR"/>
        </w:rPr>
        <w:t xml:space="preserve">et qui a </w:t>
      </w:r>
      <w:r w:rsidRPr="00686CD4">
        <w:rPr>
          <w:lang w:val="fr-FR"/>
        </w:rPr>
        <w:t>pour principal objectif d</w:t>
      </w:r>
      <w:r>
        <w:rPr>
          <w:lang w:val="fr-FR"/>
        </w:rPr>
        <w:t>’</w:t>
      </w:r>
      <w:r w:rsidRPr="00686CD4">
        <w:rPr>
          <w:lang w:val="fr-FR"/>
        </w:rPr>
        <w:t>associer le secteur privé à la lutte contre la traite à des fins d</w:t>
      </w:r>
      <w:r>
        <w:rPr>
          <w:lang w:val="fr-FR"/>
        </w:rPr>
        <w:t>’</w:t>
      </w:r>
      <w:r w:rsidRPr="00686CD4">
        <w:rPr>
          <w:lang w:val="fr-FR"/>
        </w:rPr>
        <w:t>exploitation économique</w:t>
      </w:r>
      <w:r>
        <w:rPr>
          <w:lang w:val="fr-FR"/>
        </w:rPr>
        <w:t>,</w:t>
      </w:r>
      <w:r w:rsidRPr="00686CD4">
        <w:rPr>
          <w:lang w:val="fr-FR"/>
        </w:rPr>
        <w:t xml:space="preserve"> offre de surcroît des formations aux représentants du secteur privé et </w:t>
      </w:r>
      <w:r>
        <w:rPr>
          <w:lang w:val="fr-FR"/>
        </w:rPr>
        <w:t>s’</w:t>
      </w:r>
      <w:r w:rsidRPr="00686CD4">
        <w:rPr>
          <w:lang w:val="fr-FR"/>
        </w:rPr>
        <w:t xml:space="preserve">emploie à décourager la demande de travail ou de services de </w:t>
      </w:r>
      <w:r>
        <w:rPr>
          <w:lang w:val="fr-FR"/>
        </w:rPr>
        <w:t>victimes de traite</w:t>
      </w:r>
      <w:r w:rsidRPr="00686CD4">
        <w:rPr>
          <w:lang w:val="fr-FR"/>
        </w:rPr>
        <w:t xml:space="preserve">. </w:t>
      </w:r>
    </w:p>
    <w:p w:rsidR="002A7A34" w:rsidRPr="00686CD4" w:rsidRDefault="002A7A34" w:rsidP="001D477A">
      <w:pPr>
        <w:pStyle w:val="SingleTxtG"/>
        <w:rPr>
          <w:lang w:val="fr-FR"/>
        </w:rPr>
      </w:pPr>
      <w:r w:rsidRPr="00686CD4">
        <w:rPr>
          <w:lang w:val="fr-FR"/>
        </w:rPr>
        <w:t>99.</w:t>
      </w:r>
      <w:r w:rsidRPr="00686CD4">
        <w:rPr>
          <w:lang w:val="fr-FR"/>
        </w:rPr>
        <w:tab/>
        <w:t>En</w:t>
      </w:r>
      <w:r w:rsidR="001D477A">
        <w:rPr>
          <w:lang w:val="fr-FR"/>
        </w:rPr>
        <w:t xml:space="preserve"> </w:t>
      </w:r>
      <w:r w:rsidRPr="00686CD4">
        <w:rPr>
          <w:lang w:val="fr-FR"/>
        </w:rPr>
        <w:t xml:space="preserve">2013, les organisations membres du </w:t>
      </w:r>
      <w:r>
        <w:rPr>
          <w:lang w:val="fr-FR"/>
        </w:rPr>
        <w:t>R</w:t>
      </w:r>
      <w:r w:rsidRPr="00686CD4">
        <w:rPr>
          <w:lang w:val="fr-FR"/>
        </w:rPr>
        <w:t xml:space="preserve">éseau national de soutien et de protection des </w:t>
      </w:r>
      <w:r>
        <w:rPr>
          <w:lang w:val="fr-FR"/>
        </w:rPr>
        <w:t>victimes de traite</w:t>
      </w:r>
      <w:r w:rsidRPr="00686CD4">
        <w:rPr>
          <w:lang w:val="fr-FR"/>
        </w:rPr>
        <w:t xml:space="preserve"> ont entrepris d</w:t>
      </w:r>
      <w:r>
        <w:rPr>
          <w:lang w:val="fr-FR"/>
        </w:rPr>
        <w:t>’</w:t>
      </w:r>
      <w:r w:rsidRPr="00686CD4">
        <w:rPr>
          <w:lang w:val="fr-FR"/>
        </w:rPr>
        <w:t>actualiser le mécanisme national d</w:t>
      </w:r>
      <w:r>
        <w:rPr>
          <w:lang w:val="fr-FR"/>
        </w:rPr>
        <w:t>’</w:t>
      </w:r>
      <w:r w:rsidRPr="00686CD4">
        <w:rPr>
          <w:lang w:val="fr-FR"/>
        </w:rPr>
        <w:t>orientation. Elles</w:t>
      </w:r>
      <w:r w:rsidR="001D477A">
        <w:rPr>
          <w:lang w:val="fr-FR"/>
        </w:rPr>
        <w:t> </w:t>
      </w:r>
      <w:r w:rsidRPr="00686CD4">
        <w:rPr>
          <w:lang w:val="fr-FR"/>
        </w:rPr>
        <w:t>ont</w:t>
      </w:r>
      <w:r>
        <w:rPr>
          <w:lang w:val="fr-FR"/>
        </w:rPr>
        <w:t>,</w:t>
      </w:r>
      <w:r w:rsidRPr="00686CD4">
        <w:rPr>
          <w:lang w:val="fr-FR"/>
        </w:rPr>
        <w:t xml:space="preserve"> à cet effet</w:t>
      </w:r>
      <w:r>
        <w:rPr>
          <w:lang w:val="fr-FR"/>
        </w:rPr>
        <w:t>,</w:t>
      </w:r>
      <w:r w:rsidRPr="00686CD4">
        <w:rPr>
          <w:lang w:val="fr-FR"/>
        </w:rPr>
        <w:t xml:space="preserve"> </w:t>
      </w:r>
      <w:r>
        <w:rPr>
          <w:lang w:val="fr-FR"/>
        </w:rPr>
        <w:t xml:space="preserve">considéré </w:t>
      </w:r>
      <w:r w:rsidRPr="00686CD4">
        <w:rPr>
          <w:lang w:val="fr-FR"/>
        </w:rPr>
        <w:t>l</w:t>
      </w:r>
      <w:r>
        <w:rPr>
          <w:lang w:val="fr-FR"/>
        </w:rPr>
        <w:t>’</w:t>
      </w:r>
      <w:r w:rsidRPr="00686CD4">
        <w:rPr>
          <w:lang w:val="fr-FR"/>
        </w:rPr>
        <w:t xml:space="preserve">évolution récente de la traite et ont adapté les procédures suivies dans le cadre du mécanisme national en fonction des changements </w:t>
      </w:r>
      <w:r>
        <w:rPr>
          <w:lang w:val="fr-FR"/>
        </w:rPr>
        <w:t xml:space="preserve">d’ordre </w:t>
      </w:r>
      <w:r w:rsidRPr="00686CD4">
        <w:rPr>
          <w:lang w:val="fr-FR"/>
        </w:rPr>
        <w:t>législatif et institutionnel survenus depuis</w:t>
      </w:r>
      <w:r w:rsidR="001D477A">
        <w:rPr>
          <w:lang w:val="fr-FR"/>
        </w:rPr>
        <w:t xml:space="preserve"> </w:t>
      </w:r>
      <w:r w:rsidRPr="00686CD4">
        <w:rPr>
          <w:lang w:val="fr-FR"/>
        </w:rPr>
        <w:t xml:space="preserve">2008. Le </w:t>
      </w:r>
      <w:r>
        <w:rPr>
          <w:lang w:val="fr-FR"/>
        </w:rPr>
        <w:t>M</w:t>
      </w:r>
      <w:r w:rsidRPr="00686CD4">
        <w:rPr>
          <w:lang w:val="fr-FR"/>
        </w:rPr>
        <w:t>écanisme national d</w:t>
      </w:r>
      <w:r>
        <w:rPr>
          <w:lang w:val="fr-FR"/>
        </w:rPr>
        <w:t>’</w:t>
      </w:r>
      <w:r w:rsidRPr="00686CD4">
        <w:rPr>
          <w:lang w:val="fr-FR"/>
        </w:rPr>
        <w:t>orientation</w:t>
      </w:r>
      <w:r>
        <w:rPr>
          <w:lang w:val="fr-FR"/>
        </w:rPr>
        <w:t xml:space="preserve"> </w:t>
      </w:r>
      <w:r w:rsidRPr="00686CD4">
        <w:rPr>
          <w:lang w:val="fr-FR"/>
        </w:rPr>
        <w:t>a été approuvé</w:t>
      </w:r>
      <w:r>
        <w:rPr>
          <w:lang w:val="fr-FR"/>
        </w:rPr>
        <w:t>,</w:t>
      </w:r>
      <w:r w:rsidRPr="00686CD4">
        <w:rPr>
          <w:lang w:val="fr-FR"/>
        </w:rPr>
        <w:t xml:space="preserve"> tel que révisé</w:t>
      </w:r>
      <w:r>
        <w:rPr>
          <w:lang w:val="fr-FR"/>
        </w:rPr>
        <w:t>,</w:t>
      </w:r>
      <w:r w:rsidR="00495D0F">
        <w:rPr>
          <w:lang w:val="fr-FR"/>
        </w:rPr>
        <w:t xml:space="preserve"> </w:t>
      </w:r>
      <w:r w:rsidRPr="00686CD4">
        <w:rPr>
          <w:lang w:val="fr-FR"/>
        </w:rPr>
        <w:t>en</w:t>
      </w:r>
      <w:r w:rsidR="001D477A">
        <w:rPr>
          <w:lang w:val="fr-FR"/>
        </w:rPr>
        <w:t xml:space="preserve"> </w:t>
      </w:r>
      <w:r w:rsidRPr="00686CD4">
        <w:rPr>
          <w:lang w:val="fr-FR"/>
        </w:rPr>
        <w:t xml:space="preserve">2014. </w:t>
      </w:r>
    </w:p>
    <w:p w:rsidR="002A7A34" w:rsidRPr="00686CD4" w:rsidRDefault="002A7A34" w:rsidP="00CA701C">
      <w:pPr>
        <w:pStyle w:val="SingleTxtG"/>
        <w:spacing w:after="100"/>
        <w:rPr>
          <w:lang w:val="fr-FR"/>
        </w:rPr>
      </w:pPr>
      <w:r w:rsidRPr="00686CD4">
        <w:rPr>
          <w:lang w:val="fr-FR"/>
        </w:rPr>
        <w:t>100.</w:t>
      </w:r>
      <w:r w:rsidRPr="00686CD4">
        <w:rPr>
          <w:lang w:val="fr-FR"/>
        </w:rPr>
        <w:tab/>
      </w:r>
      <w:r>
        <w:rPr>
          <w:lang w:val="fr-FR"/>
        </w:rPr>
        <w:t>L</w:t>
      </w:r>
      <w:r w:rsidRPr="00686CD4">
        <w:rPr>
          <w:lang w:val="fr-FR"/>
        </w:rPr>
        <w:t xml:space="preserve">e </w:t>
      </w:r>
      <w:r>
        <w:rPr>
          <w:lang w:val="fr-FR"/>
        </w:rPr>
        <w:t>Méc</w:t>
      </w:r>
      <w:r w:rsidRPr="00686CD4">
        <w:rPr>
          <w:lang w:val="fr-FR"/>
        </w:rPr>
        <w:t xml:space="preserve">anisme </w:t>
      </w:r>
      <w:r>
        <w:rPr>
          <w:lang w:val="fr-FR"/>
        </w:rPr>
        <w:t xml:space="preserve">national d’orientation </w:t>
      </w:r>
      <w:r w:rsidRPr="00686CD4">
        <w:rPr>
          <w:lang w:val="fr-FR"/>
        </w:rPr>
        <w:t xml:space="preserve">définit les procédures </w:t>
      </w:r>
      <w:r>
        <w:rPr>
          <w:lang w:val="fr-FR"/>
        </w:rPr>
        <w:t xml:space="preserve">à suivre pour </w:t>
      </w:r>
      <w:r w:rsidRPr="00686CD4">
        <w:rPr>
          <w:lang w:val="fr-FR"/>
        </w:rPr>
        <w:t>signale</w:t>
      </w:r>
      <w:r>
        <w:rPr>
          <w:lang w:val="fr-FR"/>
        </w:rPr>
        <w:t>r</w:t>
      </w:r>
      <w:r w:rsidRPr="00686CD4">
        <w:rPr>
          <w:lang w:val="fr-FR"/>
        </w:rPr>
        <w:t xml:space="preserve"> </w:t>
      </w:r>
      <w:r>
        <w:rPr>
          <w:lang w:val="fr-FR"/>
        </w:rPr>
        <w:t>l</w:t>
      </w:r>
      <w:r w:rsidRPr="00686CD4">
        <w:rPr>
          <w:lang w:val="fr-FR"/>
        </w:rPr>
        <w:t>es victimes présumées, identifi</w:t>
      </w:r>
      <w:r>
        <w:rPr>
          <w:lang w:val="fr-FR"/>
        </w:rPr>
        <w:t>er ces dernières et leur apporter une aide</w:t>
      </w:r>
      <w:r w:rsidRPr="00686CD4">
        <w:rPr>
          <w:lang w:val="fr-FR"/>
        </w:rPr>
        <w:t xml:space="preserve">, </w:t>
      </w:r>
      <w:r>
        <w:rPr>
          <w:lang w:val="fr-FR"/>
        </w:rPr>
        <w:t xml:space="preserve">et attribue </w:t>
      </w:r>
      <w:r w:rsidRPr="00686CD4">
        <w:rPr>
          <w:lang w:val="fr-FR"/>
        </w:rPr>
        <w:t xml:space="preserve">les rôles et les responsabilités aux différentes parties prenantes concernées. Le diagramme décrivant ce mécanisme a été publié en même temps que des directives pour le signalement des victimes présumées </w:t>
      </w:r>
      <w:r>
        <w:rPr>
          <w:lang w:val="fr-FR"/>
        </w:rPr>
        <w:t>de traite</w:t>
      </w:r>
      <w:r w:rsidRPr="00686CD4">
        <w:rPr>
          <w:lang w:val="fr-FR"/>
        </w:rPr>
        <w:t xml:space="preserve">. Trois </w:t>
      </w:r>
      <w:r>
        <w:rPr>
          <w:lang w:val="fr-FR"/>
        </w:rPr>
        <w:t xml:space="preserve">outils conçus pour </w:t>
      </w:r>
      <w:r w:rsidRPr="00686CD4">
        <w:rPr>
          <w:lang w:val="fr-FR"/>
        </w:rPr>
        <w:t>identifi</w:t>
      </w:r>
      <w:r>
        <w:rPr>
          <w:lang w:val="fr-FR"/>
        </w:rPr>
        <w:t xml:space="preserve">er </w:t>
      </w:r>
      <w:r w:rsidRPr="00686CD4">
        <w:rPr>
          <w:lang w:val="fr-FR"/>
        </w:rPr>
        <w:t>au premier niveau les victimes de différentes formes de traite (respectivement l</w:t>
      </w:r>
      <w:r>
        <w:rPr>
          <w:lang w:val="fr-FR"/>
        </w:rPr>
        <w:t>’</w:t>
      </w:r>
      <w:r w:rsidRPr="00686CD4">
        <w:rPr>
          <w:lang w:val="fr-FR"/>
        </w:rPr>
        <w:t>exploitation sexuelle, l</w:t>
      </w:r>
      <w:r>
        <w:rPr>
          <w:lang w:val="fr-FR"/>
        </w:rPr>
        <w:t>’</w:t>
      </w:r>
      <w:r w:rsidRPr="00686CD4">
        <w:rPr>
          <w:lang w:val="fr-FR"/>
        </w:rPr>
        <w:t>exploitation économique et la mendicité forcée et autre</w:t>
      </w:r>
      <w:r>
        <w:rPr>
          <w:lang w:val="fr-FR"/>
        </w:rPr>
        <w:t>s</w:t>
      </w:r>
      <w:r w:rsidRPr="00686CD4">
        <w:rPr>
          <w:lang w:val="fr-FR"/>
        </w:rPr>
        <w:t xml:space="preserve"> activités illicite</w:t>
      </w:r>
      <w:r>
        <w:rPr>
          <w:lang w:val="fr-FR"/>
        </w:rPr>
        <w:t>s</w:t>
      </w:r>
      <w:r w:rsidRPr="00686CD4">
        <w:rPr>
          <w:lang w:val="fr-FR"/>
        </w:rPr>
        <w:t>)</w:t>
      </w:r>
      <w:r>
        <w:rPr>
          <w:lang w:val="fr-FR"/>
        </w:rPr>
        <w:t xml:space="preserve">, parmi lesquels, des </w:t>
      </w:r>
      <w:r w:rsidRPr="00230AD5">
        <w:rPr>
          <w:lang w:val="fr-FR"/>
        </w:rPr>
        <w:lastRenderedPageBreak/>
        <w:t>indicateurs officiels pour l</w:t>
      </w:r>
      <w:r>
        <w:rPr>
          <w:lang w:val="fr-FR"/>
        </w:rPr>
        <w:t>’</w:t>
      </w:r>
      <w:r w:rsidRPr="00230AD5">
        <w:rPr>
          <w:lang w:val="fr-FR"/>
        </w:rPr>
        <w:t>identification de</w:t>
      </w:r>
      <w:r>
        <w:rPr>
          <w:lang w:val="fr-FR"/>
        </w:rPr>
        <w:t xml:space="preserve"> ce</w:t>
      </w:r>
      <w:r w:rsidRPr="00230AD5">
        <w:rPr>
          <w:lang w:val="fr-FR"/>
        </w:rPr>
        <w:t>s victimes</w:t>
      </w:r>
      <w:r>
        <w:rPr>
          <w:lang w:val="fr-FR"/>
        </w:rPr>
        <w:t>,</w:t>
      </w:r>
      <w:r w:rsidRPr="00686CD4">
        <w:rPr>
          <w:lang w:val="fr-FR"/>
        </w:rPr>
        <w:t xml:space="preserve"> ont été mis au point dans le cadre du projet pour l</w:t>
      </w:r>
      <w:r>
        <w:rPr>
          <w:lang w:val="fr-FR"/>
        </w:rPr>
        <w:t>’</w:t>
      </w:r>
      <w:r w:rsidRPr="00686CD4">
        <w:rPr>
          <w:lang w:val="fr-FR"/>
        </w:rPr>
        <w:t xml:space="preserve">élaboration de directives et de procédures communes </w:t>
      </w:r>
      <w:r w:rsidRPr="00230AD5">
        <w:rPr>
          <w:lang w:val="fr-FR"/>
        </w:rPr>
        <w:t>d</w:t>
      </w:r>
      <w:r>
        <w:rPr>
          <w:lang w:val="fr-FR"/>
        </w:rPr>
        <w:t>’</w:t>
      </w:r>
      <w:r w:rsidRPr="00230AD5">
        <w:rPr>
          <w:lang w:val="fr-FR"/>
        </w:rPr>
        <w:t xml:space="preserve">identification des </w:t>
      </w:r>
      <w:r>
        <w:rPr>
          <w:lang w:val="fr-FR"/>
        </w:rPr>
        <w:t>victimes de traite</w:t>
      </w:r>
      <w:r w:rsidRPr="00230AD5">
        <w:rPr>
          <w:lang w:val="fr-FR"/>
        </w:rPr>
        <w:t xml:space="preserve"> financé par l</w:t>
      </w:r>
      <w:r>
        <w:rPr>
          <w:lang w:val="fr-FR"/>
        </w:rPr>
        <w:t>’</w:t>
      </w:r>
      <w:r w:rsidRPr="00230AD5">
        <w:rPr>
          <w:lang w:val="fr-FR"/>
        </w:rPr>
        <w:t>Union européenne (</w:t>
      </w:r>
      <w:proofErr w:type="spellStart"/>
      <w:r w:rsidRPr="00230AD5">
        <w:rPr>
          <w:lang w:val="fr-FR"/>
        </w:rPr>
        <w:t>CoGuideID</w:t>
      </w:r>
      <w:proofErr w:type="spellEnd"/>
      <w:r w:rsidR="00A664FF">
        <w:rPr>
          <w:lang w:val="fr-FR"/>
        </w:rPr>
        <w:t>−THB</w:t>
      </w:r>
      <w:r w:rsidRPr="00230AD5">
        <w:rPr>
          <w:lang w:val="fr-FR"/>
        </w:rPr>
        <w:t>) en</w:t>
      </w:r>
      <w:r w:rsidR="00CA701C">
        <w:rPr>
          <w:lang w:val="fr-FR"/>
        </w:rPr>
        <w:t xml:space="preserve"> </w:t>
      </w:r>
      <w:r w:rsidRPr="00230AD5">
        <w:rPr>
          <w:lang w:val="fr-FR"/>
        </w:rPr>
        <w:t xml:space="preserve">2013. Les lignes directrices et les outils ont été communiqués à toutes les parties prenantes participant au </w:t>
      </w:r>
      <w:r>
        <w:rPr>
          <w:lang w:val="fr-FR"/>
        </w:rPr>
        <w:t>M</w:t>
      </w:r>
      <w:r w:rsidRPr="00230AD5">
        <w:rPr>
          <w:lang w:val="fr-FR"/>
        </w:rPr>
        <w:t>écanisme national d</w:t>
      </w:r>
      <w:r>
        <w:rPr>
          <w:lang w:val="fr-FR"/>
        </w:rPr>
        <w:t>’</w:t>
      </w:r>
      <w:r w:rsidRPr="00230AD5">
        <w:rPr>
          <w:lang w:val="fr-FR"/>
        </w:rPr>
        <w:t>orientation</w:t>
      </w:r>
      <w:r>
        <w:rPr>
          <w:lang w:val="fr-FR"/>
        </w:rPr>
        <w:t>.</w:t>
      </w:r>
      <w:r w:rsidRPr="00230AD5">
        <w:rPr>
          <w:lang w:val="fr-FR"/>
        </w:rPr>
        <w:t xml:space="preserve"> D</w:t>
      </w:r>
      <w:r>
        <w:rPr>
          <w:lang w:val="fr-FR"/>
        </w:rPr>
        <w:t>’</w:t>
      </w:r>
      <w:r w:rsidRPr="00230AD5">
        <w:rPr>
          <w:lang w:val="fr-FR"/>
        </w:rPr>
        <w:t>autres outils peuvent être employés à des fins de prévention et d</w:t>
      </w:r>
      <w:r>
        <w:rPr>
          <w:lang w:val="fr-FR"/>
        </w:rPr>
        <w:t>’</w:t>
      </w:r>
      <w:r w:rsidRPr="00230AD5">
        <w:rPr>
          <w:lang w:val="fr-FR"/>
        </w:rPr>
        <w:t>enquête</w:t>
      </w:r>
      <w:r w:rsidR="00495D0F">
        <w:rPr>
          <w:lang w:val="fr-FR"/>
        </w:rPr>
        <w:t> ;</w:t>
      </w:r>
      <w:r w:rsidRPr="00230AD5">
        <w:rPr>
          <w:lang w:val="fr-FR"/>
        </w:rPr>
        <w:t xml:space="preserve"> il s</w:t>
      </w:r>
      <w:r>
        <w:rPr>
          <w:lang w:val="fr-FR"/>
        </w:rPr>
        <w:t>’</w:t>
      </w:r>
      <w:r w:rsidRPr="00230AD5">
        <w:rPr>
          <w:lang w:val="fr-FR"/>
        </w:rPr>
        <w:t xml:space="preserve">agit notamment de la version révisée de la </w:t>
      </w:r>
      <w:r>
        <w:rPr>
          <w:lang w:val="fr-FR"/>
        </w:rPr>
        <w:t xml:space="preserve">fiche signalétique </w:t>
      </w:r>
      <w:r w:rsidRPr="00230AD5">
        <w:rPr>
          <w:lang w:val="fr-FR"/>
        </w:rPr>
        <w:t xml:space="preserve">des </w:t>
      </w:r>
      <w:r>
        <w:rPr>
          <w:lang w:val="fr-FR"/>
        </w:rPr>
        <w:t>victimes de traite</w:t>
      </w:r>
      <w:r w:rsidRPr="00230AD5">
        <w:rPr>
          <w:lang w:val="fr-FR"/>
        </w:rPr>
        <w:t xml:space="preserve"> qui contient des informations de base sur la traite d</w:t>
      </w:r>
      <w:r>
        <w:rPr>
          <w:lang w:val="fr-FR"/>
        </w:rPr>
        <w:t>’</w:t>
      </w:r>
      <w:r w:rsidRPr="00230AD5">
        <w:rPr>
          <w:lang w:val="fr-FR"/>
        </w:rPr>
        <w:t xml:space="preserve">êtres humains ainsi que les coordonnées des </w:t>
      </w:r>
      <w:r>
        <w:rPr>
          <w:lang w:val="fr-FR"/>
        </w:rPr>
        <w:t xml:space="preserve">points de contact </w:t>
      </w:r>
      <w:r w:rsidRPr="00230AD5">
        <w:rPr>
          <w:lang w:val="fr-FR"/>
        </w:rPr>
        <w:t>auxquels</w:t>
      </w:r>
      <w:r w:rsidRPr="00686CD4">
        <w:rPr>
          <w:lang w:val="fr-FR"/>
        </w:rPr>
        <w:t xml:space="preserve"> doivent être adressés les déclarations de cas présumés de traite, une brochure expliquant leurs droits aux </w:t>
      </w:r>
      <w:r>
        <w:rPr>
          <w:lang w:val="fr-FR"/>
        </w:rPr>
        <w:t>victimes de traite</w:t>
      </w:r>
      <w:r w:rsidRPr="00686CD4">
        <w:rPr>
          <w:lang w:val="fr-FR"/>
        </w:rPr>
        <w:t xml:space="preserve"> (en portugais, en anglais, en français, en roumain et en russe) et une traduction en portugais d</w:t>
      </w:r>
      <w:r>
        <w:rPr>
          <w:lang w:val="fr-FR"/>
        </w:rPr>
        <w:t xml:space="preserve">e la publication de </w:t>
      </w:r>
      <w:r w:rsidRPr="008A3B78">
        <w:rPr>
          <w:lang w:val="fr-FR"/>
        </w:rPr>
        <w:t>l</w:t>
      </w:r>
      <w:r>
        <w:rPr>
          <w:lang w:val="fr-FR"/>
        </w:rPr>
        <w:t>’</w:t>
      </w:r>
      <w:r w:rsidRPr="008A3B78">
        <w:rPr>
          <w:lang w:val="fr-FR"/>
        </w:rPr>
        <w:t>Office des Nations Unies contre le crime et la drogue (UNODC</w:t>
      </w:r>
      <w:r>
        <w:rPr>
          <w:lang w:val="fr-FR"/>
        </w:rPr>
        <w:t>)</w:t>
      </w:r>
      <w:r w:rsidRPr="008A3B78">
        <w:rPr>
          <w:lang w:val="fr-FR"/>
        </w:rPr>
        <w:t xml:space="preserve"> </w:t>
      </w:r>
      <w:r w:rsidRPr="00686CD4">
        <w:rPr>
          <w:lang w:val="fr-FR"/>
        </w:rPr>
        <w:t>intitulé</w:t>
      </w:r>
      <w:r>
        <w:rPr>
          <w:lang w:val="fr-FR"/>
        </w:rPr>
        <w:t>e</w:t>
      </w:r>
      <w:r w:rsidRPr="00686CD4">
        <w:rPr>
          <w:lang w:val="fr-FR"/>
        </w:rPr>
        <w:t xml:space="preserve"> </w:t>
      </w:r>
      <w:r>
        <w:rPr>
          <w:lang w:val="fr-FR"/>
        </w:rPr>
        <w:t>« </w:t>
      </w:r>
      <w:r w:rsidRPr="00686CD4">
        <w:rPr>
          <w:lang w:val="fr-FR"/>
        </w:rPr>
        <w:t>Manuel de premier secours à l</w:t>
      </w:r>
      <w:r>
        <w:rPr>
          <w:lang w:val="fr-FR"/>
        </w:rPr>
        <w:t>’</w:t>
      </w:r>
      <w:r w:rsidRPr="00686CD4">
        <w:rPr>
          <w:lang w:val="fr-FR"/>
        </w:rPr>
        <w:t>usage des agents de détection</w:t>
      </w:r>
      <w:r>
        <w:rPr>
          <w:lang w:val="fr-FR"/>
        </w:rPr>
        <w:t xml:space="preserve"> </w:t>
      </w:r>
      <w:r w:rsidRPr="00686CD4">
        <w:rPr>
          <w:lang w:val="fr-FR"/>
        </w:rPr>
        <w:t>et de répression de première ligne face à des cas de traite des êtres humains</w:t>
      </w:r>
      <w:r>
        <w:rPr>
          <w:lang w:val="fr-FR"/>
        </w:rPr>
        <w:t> »</w:t>
      </w:r>
      <w:r w:rsidRPr="00686CD4">
        <w:rPr>
          <w:lang w:val="fr-FR"/>
        </w:rPr>
        <w:t>.</w:t>
      </w:r>
    </w:p>
    <w:p w:rsidR="002A7A34" w:rsidRPr="00686CD4" w:rsidRDefault="002A7A34" w:rsidP="00CA701C">
      <w:pPr>
        <w:pStyle w:val="SingleTxtG"/>
        <w:spacing w:after="100"/>
        <w:rPr>
          <w:lang w:val="fr-FR"/>
        </w:rPr>
      </w:pPr>
      <w:r>
        <w:rPr>
          <w:lang w:val="fr-FR"/>
        </w:rPr>
        <w:t>101.</w:t>
      </w:r>
      <w:r>
        <w:rPr>
          <w:lang w:val="fr-FR"/>
        </w:rPr>
        <w:tab/>
      </w:r>
      <w:r w:rsidRPr="00686CD4">
        <w:rPr>
          <w:lang w:val="fr-FR"/>
        </w:rPr>
        <w:t>Il convient aussi de mentionner l</w:t>
      </w:r>
      <w:r>
        <w:rPr>
          <w:lang w:val="fr-FR"/>
        </w:rPr>
        <w:t>’</w:t>
      </w:r>
      <w:r w:rsidRPr="00686CD4">
        <w:rPr>
          <w:lang w:val="fr-FR"/>
        </w:rPr>
        <w:t xml:space="preserve">opération </w:t>
      </w:r>
      <w:r w:rsidR="00A664FF">
        <w:rPr>
          <w:lang w:val="fr-FR"/>
        </w:rPr>
        <w:t xml:space="preserve">« Ferme sûre » </w:t>
      </w:r>
      <w:r>
        <w:rPr>
          <w:lang w:val="fr-FR"/>
        </w:rPr>
        <w:t xml:space="preserve">montée </w:t>
      </w:r>
      <w:r w:rsidRPr="00686CD4">
        <w:rPr>
          <w:lang w:val="fr-FR"/>
        </w:rPr>
        <w:t>chaque année par la Garde nationale républicaine entre le 1</w:t>
      </w:r>
      <w:r w:rsidRPr="00610DF5">
        <w:rPr>
          <w:vertAlign w:val="superscript"/>
          <w:lang w:val="fr-FR"/>
        </w:rPr>
        <w:t>er</w:t>
      </w:r>
      <w:r>
        <w:rPr>
          <w:lang w:val="fr-FR"/>
        </w:rPr>
        <w:t> </w:t>
      </w:r>
      <w:r w:rsidRPr="00686CD4">
        <w:rPr>
          <w:lang w:val="fr-FR"/>
        </w:rPr>
        <w:t>novembre et le 31</w:t>
      </w:r>
      <w:r>
        <w:rPr>
          <w:lang w:val="fr-FR"/>
        </w:rPr>
        <w:t> </w:t>
      </w:r>
      <w:r w:rsidRPr="00686CD4">
        <w:rPr>
          <w:lang w:val="fr-FR"/>
        </w:rPr>
        <w:t xml:space="preserve">janvier pour </w:t>
      </w:r>
      <w:r>
        <w:rPr>
          <w:lang w:val="fr-FR"/>
        </w:rPr>
        <w:t>assurer la poursuite des activités</w:t>
      </w:r>
      <w:r w:rsidRPr="00686CD4">
        <w:rPr>
          <w:lang w:val="fr-FR"/>
        </w:rPr>
        <w:t xml:space="preserve"> agricole</w:t>
      </w:r>
      <w:r>
        <w:rPr>
          <w:lang w:val="fr-FR"/>
        </w:rPr>
        <w:t>s</w:t>
      </w:r>
      <w:r w:rsidRPr="00686CD4">
        <w:rPr>
          <w:lang w:val="fr-FR"/>
        </w:rPr>
        <w:t xml:space="preserve"> dans de bonnes conditions de sécurité, </w:t>
      </w:r>
      <w:r>
        <w:rPr>
          <w:lang w:val="fr-FR"/>
        </w:rPr>
        <w:t xml:space="preserve">qui vise à </w:t>
      </w:r>
      <w:r w:rsidRPr="00686CD4">
        <w:rPr>
          <w:lang w:val="fr-FR"/>
        </w:rPr>
        <w:t>prévenir la criminalité et plus particulièrement la traite d</w:t>
      </w:r>
      <w:r>
        <w:rPr>
          <w:lang w:val="fr-FR"/>
        </w:rPr>
        <w:t>’</w:t>
      </w:r>
      <w:r w:rsidRPr="00686CD4">
        <w:rPr>
          <w:lang w:val="fr-FR"/>
        </w:rPr>
        <w:t>êtres humains à des fins d</w:t>
      </w:r>
      <w:r>
        <w:rPr>
          <w:lang w:val="fr-FR"/>
        </w:rPr>
        <w:t>’</w:t>
      </w:r>
      <w:r w:rsidRPr="00686CD4">
        <w:rPr>
          <w:lang w:val="fr-FR"/>
        </w:rPr>
        <w:t xml:space="preserve">exploitation </w:t>
      </w:r>
      <w:r>
        <w:rPr>
          <w:lang w:val="fr-FR"/>
        </w:rPr>
        <w:t xml:space="preserve">économique. </w:t>
      </w:r>
      <w:r w:rsidRPr="00686CD4">
        <w:rPr>
          <w:lang w:val="fr-FR"/>
        </w:rPr>
        <w:t>Cette opération a touché</w:t>
      </w:r>
      <w:r w:rsidR="00495D0F">
        <w:rPr>
          <w:lang w:val="fr-FR"/>
        </w:rPr>
        <w:t xml:space="preserve"> </w:t>
      </w:r>
      <w:r w:rsidRPr="00686CD4">
        <w:rPr>
          <w:lang w:val="fr-FR"/>
        </w:rPr>
        <w:t>22</w:t>
      </w:r>
      <w:r>
        <w:rPr>
          <w:lang w:val="fr-FR"/>
        </w:rPr>
        <w:t> </w:t>
      </w:r>
      <w:r w:rsidRPr="00686CD4">
        <w:rPr>
          <w:lang w:val="fr-FR"/>
        </w:rPr>
        <w:t>426</w:t>
      </w:r>
      <w:r>
        <w:rPr>
          <w:lang w:val="fr-FR"/>
        </w:rPr>
        <w:t xml:space="preserve"> personnes </w:t>
      </w:r>
      <w:r w:rsidR="00B545C2">
        <w:rPr>
          <w:lang w:val="fr-FR"/>
        </w:rPr>
        <w:t xml:space="preserve">en </w:t>
      </w:r>
      <w:r w:rsidRPr="00686CD4">
        <w:rPr>
          <w:lang w:val="fr-FR"/>
        </w:rPr>
        <w:t xml:space="preserve">2016. </w:t>
      </w:r>
    </w:p>
    <w:p w:rsidR="002A7A34" w:rsidRPr="00686CD4" w:rsidRDefault="002A7A34" w:rsidP="00CA701C">
      <w:pPr>
        <w:pStyle w:val="SingleTxtG"/>
        <w:spacing w:after="100"/>
        <w:rPr>
          <w:lang w:val="fr-FR"/>
        </w:rPr>
      </w:pPr>
      <w:r w:rsidRPr="00686CD4">
        <w:rPr>
          <w:lang w:val="fr-FR"/>
        </w:rPr>
        <w:t>102.</w:t>
      </w:r>
      <w:r w:rsidRPr="00686CD4">
        <w:rPr>
          <w:lang w:val="fr-FR"/>
        </w:rPr>
        <w:tab/>
        <w:t xml:space="preserve">Les autres mesures prises concernent notamment la mise </w:t>
      </w:r>
      <w:r>
        <w:rPr>
          <w:lang w:val="fr-FR"/>
        </w:rPr>
        <w:t xml:space="preserve">en place </w:t>
      </w:r>
      <w:r w:rsidRPr="00686CD4">
        <w:rPr>
          <w:lang w:val="fr-FR"/>
        </w:rPr>
        <w:t>de méthodes d</w:t>
      </w:r>
      <w:r>
        <w:rPr>
          <w:lang w:val="fr-FR"/>
        </w:rPr>
        <w:t>’</w:t>
      </w:r>
      <w:r w:rsidRPr="00686CD4">
        <w:rPr>
          <w:lang w:val="fr-FR"/>
        </w:rPr>
        <w:t>enquête spéciale</w:t>
      </w:r>
      <w:r>
        <w:rPr>
          <w:lang w:val="fr-FR"/>
        </w:rPr>
        <w:t>s</w:t>
      </w:r>
      <w:r w:rsidRPr="00686CD4">
        <w:rPr>
          <w:lang w:val="fr-FR"/>
        </w:rPr>
        <w:t>, notamment la constitution d</w:t>
      </w:r>
      <w:r>
        <w:rPr>
          <w:lang w:val="fr-FR"/>
        </w:rPr>
        <w:t>’</w:t>
      </w:r>
      <w:r w:rsidRPr="00686CD4">
        <w:rPr>
          <w:lang w:val="fr-FR"/>
        </w:rPr>
        <w:t>équipes d</w:t>
      </w:r>
      <w:r>
        <w:rPr>
          <w:lang w:val="fr-FR"/>
        </w:rPr>
        <w:t>’</w:t>
      </w:r>
      <w:r w:rsidRPr="00686CD4">
        <w:rPr>
          <w:lang w:val="fr-FR"/>
        </w:rPr>
        <w:t>enquêtes conjointes en application de la loi</w:t>
      </w:r>
      <w:r w:rsidR="00495D0F">
        <w:rPr>
          <w:lang w:val="fr-FR"/>
        </w:rPr>
        <w:t xml:space="preserve"> </w:t>
      </w:r>
      <w:r w:rsidR="00CA701C" w:rsidRPr="000D5167">
        <w:rPr>
          <w:rFonts w:eastAsia="MS Mincho"/>
          <w:lang w:val="fr-FR"/>
        </w:rPr>
        <w:t>n</w:t>
      </w:r>
      <w:r w:rsidR="00CA701C" w:rsidRPr="000D5167">
        <w:rPr>
          <w:rFonts w:eastAsia="MS Mincho"/>
          <w:vertAlign w:val="superscript"/>
          <w:lang w:val="fr-FR"/>
        </w:rPr>
        <w:t>o</w:t>
      </w:r>
      <w:r w:rsidR="00CA701C">
        <w:rPr>
          <w:lang w:val="fr-FR"/>
        </w:rPr>
        <w:t> </w:t>
      </w:r>
      <w:r w:rsidRPr="00686CD4">
        <w:rPr>
          <w:lang w:val="fr-FR"/>
        </w:rPr>
        <w:t>144/99 relative à la coopération judiciaire internationale, et la promotion d</w:t>
      </w:r>
      <w:r>
        <w:rPr>
          <w:lang w:val="fr-FR"/>
        </w:rPr>
        <w:t>’</w:t>
      </w:r>
      <w:r w:rsidRPr="00686CD4">
        <w:rPr>
          <w:lang w:val="fr-FR"/>
        </w:rPr>
        <w:t>accords de sécurité locaux</w:t>
      </w:r>
      <w:r>
        <w:rPr>
          <w:lang w:val="fr-FR"/>
        </w:rPr>
        <w:t xml:space="preserve">. L’accord de ce type, </w:t>
      </w:r>
      <w:r w:rsidRPr="00686CD4">
        <w:rPr>
          <w:lang w:val="fr-FR"/>
        </w:rPr>
        <w:t xml:space="preserve">signé par le </w:t>
      </w:r>
      <w:r>
        <w:rPr>
          <w:lang w:val="fr-FR"/>
        </w:rPr>
        <w:t>M</w:t>
      </w:r>
      <w:r w:rsidRPr="00686CD4">
        <w:rPr>
          <w:lang w:val="fr-FR"/>
        </w:rPr>
        <w:t xml:space="preserve">inistère des affaires intérieures et la municipalité de </w:t>
      </w:r>
      <w:proofErr w:type="spellStart"/>
      <w:r w:rsidRPr="00686CD4">
        <w:rPr>
          <w:lang w:val="fr-FR"/>
        </w:rPr>
        <w:t>Serpa</w:t>
      </w:r>
      <w:proofErr w:type="spellEnd"/>
      <w:r>
        <w:rPr>
          <w:lang w:val="fr-FR"/>
        </w:rPr>
        <w:t xml:space="preserve">, par exemple, </w:t>
      </w:r>
      <w:r w:rsidRPr="00686CD4">
        <w:rPr>
          <w:lang w:val="fr-FR"/>
        </w:rPr>
        <w:t xml:space="preserve">prévoit </w:t>
      </w:r>
      <w:r>
        <w:rPr>
          <w:lang w:val="fr-FR"/>
        </w:rPr>
        <w:t xml:space="preserve">la tenue, avec </w:t>
      </w:r>
      <w:r w:rsidRPr="00686CD4">
        <w:rPr>
          <w:lang w:val="fr-FR"/>
        </w:rPr>
        <w:t xml:space="preserve">le </w:t>
      </w:r>
      <w:r>
        <w:rPr>
          <w:lang w:val="fr-FR"/>
        </w:rPr>
        <w:t>S</w:t>
      </w:r>
      <w:r w:rsidRPr="00686CD4">
        <w:rPr>
          <w:lang w:val="fr-FR"/>
        </w:rPr>
        <w:t>ervice de l</w:t>
      </w:r>
      <w:r>
        <w:rPr>
          <w:lang w:val="fr-FR"/>
        </w:rPr>
        <w:t>’</w:t>
      </w:r>
      <w:r w:rsidRPr="00686CD4">
        <w:rPr>
          <w:lang w:val="fr-FR"/>
        </w:rPr>
        <w:t>immigration et des frontières</w:t>
      </w:r>
      <w:r>
        <w:rPr>
          <w:lang w:val="fr-FR"/>
        </w:rPr>
        <w:t xml:space="preserve">, de sessions à l’intention des </w:t>
      </w:r>
      <w:r w:rsidRPr="00686CD4">
        <w:rPr>
          <w:lang w:val="fr-FR"/>
        </w:rPr>
        <w:t xml:space="preserve">entrepreneurs et </w:t>
      </w:r>
      <w:r>
        <w:rPr>
          <w:lang w:val="fr-FR"/>
        </w:rPr>
        <w:t xml:space="preserve">des </w:t>
      </w:r>
      <w:r w:rsidRPr="00686CD4">
        <w:rPr>
          <w:lang w:val="fr-FR"/>
        </w:rPr>
        <w:t>directeurs de coopé</w:t>
      </w:r>
      <w:r>
        <w:rPr>
          <w:lang w:val="fr-FR"/>
        </w:rPr>
        <w:t>ratives agricoles (sur le thème « Qui</w:t>
      </w:r>
      <w:r w:rsidRPr="00686CD4">
        <w:rPr>
          <w:lang w:val="fr-FR"/>
        </w:rPr>
        <w:t xml:space="preserve"> puis-je embaucher</w:t>
      </w:r>
      <w:r>
        <w:rPr>
          <w:lang w:val="fr-FR"/>
        </w:rPr>
        <w:t> </w:t>
      </w:r>
      <w:r w:rsidRPr="00686CD4">
        <w:rPr>
          <w:lang w:val="fr-FR"/>
        </w:rPr>
        <w:t>?</w:t>
      </w:r>
      <w:r>
        <w:rPr>
          <w:lang w:val="fr-FR"/>
        </w:rPr>
        <w:t> »</w:t>
      </w:r>
      <w:r w:rsidRPr="00686CD4">
        <w:rPr>
          <w:lang w:val="fr-FR"/>
        </w:rPr>
        <w:t xml:space="preserve">) </w:t>
      </w:r>
      <w:r>
        <w:rPr>
          <w:lang w:val="fr-FR"/>
        </w:rPr>
        <w:t xml:space="preserve">ainsi que de sessions destinées aux </w:t>
      </w:r>
      <w:r w:rsidRPr="00686CD4">
        <w:rPr>
          <w:lang w:val="fr-FR"/>
        </w:rPr>
        <w:t xml:space="preserve">entrepreneurs et aux travailleurs (sur le thème </w:t>
      </w:r>
      <w:r>
        <w:rPr>
          <w:lang w:val="fr-FR"/>
        </w:rPr>
        <w:t>« L</w:t>
      </w:r>
      <w:r w:rsidRPr="00686CD4">
        <w:rPr>
          <w:lang w:val="fr-FR"/>
        </w:rPr>
        <w:t>a traite d</w:t>
      </w:r>
      <w:r>
        <w:rPr>
          <w:lang w:val="fr-FR"/>
        </w:rPr>
        <w:t>’</w:t>
      </w:r>
      <w:r w:rsidRPr="00686CD4">
        <w:rPr>
          <w:lang w:val="fr-FR"/>
        </w:rPr>
        <w:t>êtres humains à des fins d</w:t>
      </w:r>
      <w:r>
        <w:rPr>
          <w:lang w:val="fr-FR"/>
        </w:rPr>
        <w:t>’</w:t>
      </w:r>
      <w:r w:rsidRPr="00686CD4">
        <w:rPr>
          <w:lang w:val="fr-FR"/>
        </w:rPr>
        <w:t xml:space="preserve">exploitation </w:t>
      </w:r>
      <w:r>
        <w:rPr>
          <w:lang w:val="fr-FR"/>
        </w:rPr>
        <w:t>économique »</w:t>
      </w:r>
      <w:r w:rsidRPr="00686CD4">
        <w:rPr>
          <w:lang w:val="fr-FR"/>
        </w:rPr>
        <w:t>)</w:t>
      </w:r>
      <w:r>
        <w:rPr>
          <w:lang w:val="fr-FR"/>
        </w:rPr>
        <w:t>.</w:t>
      </w:r>
      <w:r w:rsidRPr="00686CD4">
        <w:rPr>
          <w:lang w:val="fr-FR"/>
        </w:rPr>
        <w:t xml:space="preserve"> </w:t>
      </w:r>
    </w:p>
    <w:p w:rsidR="002A7A34" w:rsidRPr="00686CD4" w:rsidRDefault="002A7A34" w:rsidP="00CA701C">
      <w:pPr>
        <w:pStyle w:val="SingleTxtG"/>
        <w:spacing w:after="100"/>
        <w:rPr>
          <w:lang w:val="fr-FR"/>
        </w:rPr>
      </w:pPr>
      <w:r w:rsidRPr="00686CD4">
        <w:rPr>
          <w:lang w:val="fr-FR"/>
        </w:rPr>
        <w:t>103.</w:t>
      </w:r>
      <w:r w:rsidRPr="00686CD4">
        <w:rPr>
          <w:lang w:val="fr-FR"/>
        </w:rPr>
        <w:tab/>
        <w:t xml:space="preserve">Le </w:t>
      </w:r>
      <w:r>
        <w:rPr>
          <w:lang w:val="fr-FR"/>
        </w:rPr>
        <w:t>S</w:t>
      </w:r>
      <w:r w:rsidRPr="00686CD4">
        <w:rPr>
          <w:lang w:val="fr-FR"/>
        </w:rPr>
        <w:t>ervice de l</w:t>
      </w:r>
      <w:r>
        <w:rPr>
          <w:lang w:val="fr-FR"/>
        </w:rPr>
        <w:t>’</w:t>
      </w:r>
      <w:r w:rsidRPr="00686CD4">
        <w:rPr>
          <w:lang w:val="fr-FR"/>
        </w:rPr>
        <w:t xml:space="preserve">immigration et des frontières a contribué activement à la mise en place du troisième </w:t>
      </w:r>
      <w:r>
        <w:rPr>
          <w:lang w:val="fr-FR"/>
        </w:rPr>
        <w:t>Pl</w:t>
      </w:r>
      <w:r w:rsidRPr="00686CD4">
        <w:rPr>
          <w:lang w:val="fr-FR"/>
        </w:rPr>
        <w:t>an national de prévention et de lutte contre la traite des êtres humains (2014</w:t>
      </w:r>
      <w:r>
        <w:rPr>
          <w:lang w:val="fr-FR"/>
        </w:rPr>
        <w:t>-</w:t>
      </w:r>
      <w:r w:rsidRPr="00686CD4">
        <w:rPr>
          <w:lang w:val="fr-FR"/>
        </w:rPr>
        <w:t>2017) en créant un groupe de lutte contre la traite (mesure</w:t>
      </w:r>
      <w:r>
        <w:rPr>
          <w:lang w:val="fr-FR"/>
        </w:rPr>
        <w:t xml:space="preserve"> </w:t>
      </w:r>
      <w:r w:rsidR="00CA701C" w:rsidRPr="000D5167">
        <w:rPr>
          <w:rFonts w:eastAsia="MS Mincho"/>
          <w:lang w:val="fr-FR"/>
        </w:rPr>
        <w:t>n</w:t>
      </w:r>
      <w:r w:rsidR="00CA701C" w:rsidRPr="000D5167">
        <w:rPr>
          <w:rFonts w:eastAsia="MS Mincho"/>
          <w:vertAlign w:val="superscript"/>
          <w:lang w:val="fr-FR"/>
        </w:rPr>
        <w:t>o</w:t>
      </w:r>
      <w:r w:rsidR="00CA701C">
        <w:rPr>
          <w:lang w:val="fr-FR"/>
        </w:rPr>
        <w:t> </w:t>
      </w:r>
      <w:r w:rsidRPr="00686CD4">
        <w:rPr>
          <w:lang w:val="fr-FR"/>
        </w:rPr>
        <w:t>19) et en renforçant les mesures de prévention</w:t>
      </w:r>
      <w:r>
        <w:rPr>
          <w:lang w:val="fr-FR"/>
        </w:rPr>
        <w:t>,</w:t>
      </w:r>
      <w:r w:rsidRPr="00686CD4">
        <w:rPr>
          <w:lang w:val="fr-FR"/>
        </w:rPr>
        <w:t xml:space="preserve"> notamment dans les sites probables d</w:t>
      </w:r>
      <w:r>
        <w:rPr>
          <w:lang w:val="fr-FR"/>
        </w:rPr>
        <w:t>’</w:t>
      </w:r>
      <w:r w:rsidRPr="00686CD4">
        <w:rPr>
          <w:lang w:val="fr-FR"/>
        </w:rPr>
        <w:t xml:space="preserve">exploitation des </w:t>
      </w:r>
      <w:r>
        <w:rPr>
          <w:lang w:val="fr-FR"/>
        </w:rPr>
        <w:t>victimes de traite</w:t>
      </w:r>
      <w:r w:rsidRPr="00686CD4">
        <w:rPr>
          <w:lang w:val="fr-FR"/>
        </w:rPr>
        <w:t>, tels que les lieux de travail agricole, les établissements de divertissement nocturne, les chantiers navals, les restaurants et les voies publiques (mesure</w:t>
      </w:r>
      <w:r>
        <w:rPr>
          <w:lang w:val="fr-FR"/>
        </w:rPr>
        <w:t xml:space="preserve"> </w:t>
      </w:r>
      <w:r w:rsidR="00CA701C" w:rsidRPr="000D5167">
        <w:rPr>
          <w:rFonts w:eastAsia="MS Mincho"/>
          <w:lang w:val="fr-FR"/>
        </w:rPr>
        <w:t>n</w:t>
      </w:r>
      <w:r w:rsidR="00CA701C" w:rsidRPr="000D5167">
        <w:rPr>
          <w:rFonts w:eastAsia="MS Mincho"/>
          <w:vertAlign w:val="superscript"/>
          <w:lang w:val="fr-FR"/>
        </w:rPr>
        <w:t>o</w:t>
      </w:r>
      <w:r w:rsidR="00CA701C">
        <w:rPr>
          <w:lang w:val="fr-FR"/>
        </w:rPr>
        <w:t> </w:t>
      </w:r>
      <w:r w:rsidRPr="00686CD4">
        <w:rPr>
          <w:lang w:val="fr-FR"/>
        </w:rPr>
        <w:t>4)</w:t>
      </w:r>
      <w:r>
        <w:rPr>
          <w:lang w:val="fr-FR"/>
        </w:rPr>
        <w:t>.</w:t>
      </w:r>
      <w:r w:rsidRPr="00686CD4">
        <w:rPr>
          <w:lang w:val="fr-FR"/>
        </w:rPr>
        <w:t xml:space="preserve"> En</w:t>
      </w:r>
      <w:r w:rsidR="00CA701C">
        <w:rPr>
          <w:lang w:val="fr-FR"/>
        </w:rPr>
        <w:t xml:space="preserve"> </w:t>
      </w:r>
      <w:r w:rsidRPr="00686CD4">
        <w:rPr>
          <w:lang w:val="fr-FR"/>
        </w:rPr>
        <w:t xml:space="preserve">2016, le </w:t>
      </w:r>
      <w:r>
        <w:rPr>
          <w:lang w:val="fr-FR"/>
        </w:rPr>
        <w:t>S</w:t>
      </w:r>
      <w:r w:rsidRPr="00686CD4">
        <w:rPr>
          <w:lang w:val="fr-FR"/>
        </w:rPr>
        <w:t>ervice de l</w:t>
      </w:r>
      <w:r>
        <w:rPr>
          <w:lang w:val="fr-FR"/>
        </w:rPr>
        <w:t>’</w:t>
      </w:r>
      <w:r w:rsidRPr="00686CD4">
        <w:rPr>
          <w:lang w:val="fr-FR"/>
        </w:rPr>
        <w:t xml:space="preserve">immigration et des frontières </w:t>
      </w:r>
      <w:r>
        <w:rPr>
          <w:lang w:val="fr-FR"/>
        </w:rPr>
        <w:t>a</w:t>
      </w:r>
      <w:r w:rsidRPr="00686CD4">
        <w:rPr>
          <w:lang w:val="fr-FR"/>
        </w:rPr>
        <w:t xml:space="preserve"> </w:t>
      </w:r>
      <w:r>
        <w:rPr>
          <w:lang w:val="fr-FR"/>
        </w:rPr>
        <w:t>mené</w:t>
      </w:r>
      <w:r w:rsidRPr="00686CD4">
        <w:rPr>
          <w:lang w:val="fr-FR"/>
        </w:rPr>
        <w:t xml:space="preserve"> 1</w:t>
      </w:r>
      <w:r>
        <w:rPr>
          <w:lang w:val="fr-FR"/>
        </w:rPr>
        <w:t> 4</w:t>
      </w:r>
      <w:r w:rsidRPr="00686CD4">
        <w:rPr>
          <w:lang w:val="fr-FR"/>
        </w:rPr>
        <w:t>57</w:t>
      </w:r>
      <w:r>
        <w:rPr>
          <w:lang w:val="fr-FR"/>
        </w:rPr>
        <w:t> </w:t>
      </w:r>
      <w:r w:rsidRPr="00686CD4">
        <w:rPr>
          <w:lang w:val="fr-FR"/>
        </w:rPr>
        <w:t>actions, dont 291</w:t>
      </w:r>
      <w:r w:rsidR="00CA701C">
        <w:rPr>
          <w:lang w:val="fr-FR"/>
        </w:rPr>
        <w:t xml:space="preserve"> </w:t>
      </w:r>
      <w:r w:rsidRPr="00686CD4">
        <w:rPr>
          <w:lang w:val="fr-FR"/>
        </w:rPr>
        <w:t>ont été conçu</w:t>
      </w:r>
      <w:r>
        <w:rPr>
          <w:lang w:val="fr-FR"/>
        </w:rPr>
        <w:t>e</w:t>
      </w:r>
      <w:r w:rsidRPr="00686CD4">
        <w:rPr>
          <w:lang w:val="fr-FR"/>
        </w:rPr>
        <w:t xml:space="preserve">s </w:t>
      </w:r>
      <w:r>
        <w:rPr>
          <w:lang w:val="fr-FR"/>
        </w:rPr>
        <w:t xml:space="preserve">en collaboration avec </w:t>
      </w:r>
      <w:r w:rsidRPr="00686CD4">
        <w:rPr>
          <w:lang w:val="fr-FR"/>
        </w:rPr>
        <w:t>d</w:t>
      </w:r>
      <w:r>
        <w:rPr>
          <w:lang w:val="fr-FR"/>
        </w:rPr>
        <w:t>’</w:t>
      </w:r>
      <w:r w:rsidRPr="00686CD4">
        <w:rPr>
          <w:lang w:val="fr-FR"/>
        </w:rPr>
        <w:t xml:space="preserve">autres entités ou organes de </w:t>
      </w:r>
      <w:r>
        <w:rPr>
          <w:lang w:val="fr-FR"/>
        </w:rPr>
        <w:t>la p</w:t>
      </w:r>
      <w:r w:rsidRPr="00686CD4">
        <w:rPr>
          <w:lang w:val="fr-FR"/>
        </w:rPr>
        <w:t>olice criminelle.</w:t>
      </w:r>
    </w:p>
    <w:p w:rsidR="002A7A34" w:rsidRPr="00686CD4" w:rsidRDefault="002A7A34" w:rsidP="00CA701C">
      <w:pPr>
        <w:pStyle w:val="SingleTxtG"/>
        <w:spacing w:after="100"/>
        <w:rPr>
          <w:lang w:val="fr-FR"/>
        </w:rPr>
      </w:pPr>
      <w:r w:rsidRPr="00686CD4">
        <w:rPr>
          <w:lang w:val="fr-FR"/>
        </w:rPr>
        <w:t>104.</w:t>
      </w:r>
      <w:r w:rsidRPr="00686CD4">
        <w:rPr>
          <w:lang w:val="fr-FR"/>
        </w:rPr>
        <w:tab/>
        <w:t>Les mesures prises par l</w:t>
      </w:r>
      <w:r>
        <w:rPr>
          <w:lang w:val="fr-FR"/>
        </w:rPr>
        <w:t>’O</w:t>
      </w:r>
      <w:r w:rsidRPr="00686CD4">
        <w:rPr>
          <w:lang w:val="fr-FR"/>
        </w:rPr>
        <w:t>bservatoire de la traite des êtres humains pour prévenir cette dernière comprennent</w:t>
      </w:r>
      <w:r w:rsidR="00495D0F">
        <w:rPr>
          <w:lang w:val="fr-FR"/>
        </w:rPr>
        <w:t> :</w:t>
      </w:r>
      <w:r w:rsidRPr="00686CD4">
        <w:rPr>
          <w:lang w:val="fr-FR"/>
        </w:rPr>
        <w:t xml:space="preserve"> l</w:t>
      </w:r>
      <w:r>
        <w:rPr>
          <w:lang w:val="fr-FR"/>
        </w:rPr>
        <w:t>’</w:t>
      </w:r>
      <w:r w:rsidRPr="00686CD4">
        <w:rPr>
          <w:lang w:val="fr-FR"/>
        </w:rPr>
        <w:t>organisation</w:t>
      </w:r>
      <w:r>
        <w:rPr>
          <w:lang w:val="fr-FR"/>
        </w:rPr>
        <w:t>,</w:t>
      </w:r>
      <w:r w:rsidRPr="00686CD4">
        <w:rPr>
          <w:lang w:val="fr-FR"/>
        </w:rPr>
        <w:t xml:space="preserve"> en</w:t>
      </w:r>
      <w:r w:rsidR="00CA701C">
        <w:rPr>
          <w:lang w:val="fr-FR"/>
        </w:rPr>
        <w:t xml:space="preserve"> </w:t>
      </w:r>
      <w:r w:rsidRPr="00686CD4">
        <w:rPr>
          <w:lang w:val="fr-FR"/>
        </w:rPr>
        <w:t>2012, d</w:t>
      </w:r>
      <w:r>
        <w:rPr>
          <w:lang w:val="fr-FR"/>
        </w:rPr>
        <w:t>’</w:t>
      </w:r>
      <w:r w:rsidRPr="00686CD4">
        <w:rPr>
          <w:lang w:val="fr-FR"/>
        </w:rPr>
        <w:t>une conférence internationale sur le thème</w:t>
      </w:r>
      <w:r>
        <w:rPr>
          <w:lang w:val="fr-FR"/>
        </w:rPr>
        <w:t xml:space="preserve"> « </w:t>
      </w:r>
      <w:r w:rsidRPr="00686CD4">
        <w:rPr>
          <w:lang w:val="fr-FR"/>
        </w:rPr>
        <w:t>Servitude domestique et mendicité forcée</w:t>
      </w:r>
      <w:r w:rsidR="00495D0F">
        <w:rPr>
          <w:lang w:val="fr-FR"/>
        </w:rPr>
        <w:t> :</w:t>
      </w:r>
      <w:r w:rsidRPr="00686CD4">
        <w:rPr>
          <w:lang w:val="fr-FR"/>
        </w:rPr>
        <w:t xml:space="preserve"> formes de traite à des fins d</w:t>
      </w:r>
      <w:r>
        <w:rPr>
          <w:lang w:val="fr-FR"/>
        </w:rPr>
        <w:t>’</w:t>
      </w:r>
      <w:r w:rsidRPr="00686CD4">
        <w:rPr>
          <w:lang w:val="fr-FR"/>
        </w:rPr>
        <w:t xml:space="preserve">exploitation </w:t>
      </w:r>
      <w:r>
        <w:rPr>
          <w:lang w:val="fr-FR"/>
        </w:rPr>
        <w:t>économique »</w:t>
      </w:r>
      <w:r w:rsidRPr="00686CD4">
        <w:rPr>
          <w:lang w:val="fr-FR"/>
        </w:rPr>
        <w:t>, avec l</w:t>
      </w:r>
      <w:r>
        <w:rPr>
          <w:lang w:val="fr-FR"/>
        </w:rPr>
        <w:t>’</w:t>
      </w:r>
      <w:r w:rsidRPr="00686CD4">
        <w:rPr>
          <w:lang w:val="fr-FR"/>
        </w:rPr>
        <w:t xml:space="preserve">appui de la Commission du </w:t>
      </w:r>
      <w:r>
        <w:rPr>
          <w:lang w:val="fr-FR"/>
        </w:rPr>
        <w:t>P</w:t>
      </w:r>
      <w:r w:rsidRPr="00686CD4">
        <w:rPr>
          <w:lang w:val="fr-FR"/>
        </w:rPr>
        <w:t>arlement portugais</w:t>
      </w:r>
      <w:r>
        <w:rPr>
          <w:lang w:val="fr-FR"/>
        </w:rPr>
        <w:t xml:space="preserve"> pour l</w:t>
      </w:r>
      <w:r w:rsidRPr="00686CD4">
        <w:rPr>
          <w:lang w:val="fr-FR"/>
        </w:rPr>
        <w:t xml:space="preserve">es affaires constitutionnelles, </w:t>
      </w:r>
      <w:r>
        <w:rPr>
          <w:lang w:val="fr-FR"/>
        </w:rPr>
        <w:t>l</w:t>
      </w:r>
      <w:r w:rsidRPr="00686CD4">
        <w:rPr>
          <w:lang w:val="fr-FR"/>
        </w:rPr>
        <w:t xml:space="preserve">es droits, </w:t>
      </w:r>
      <w:r>
        <w:rPr>
          <w:lang w:val="fr-FR"/>
        </w:rPr>
        <w:t>l</w:t>
      </w:r>
      <w:r w:rsidRPr="00686CD4">
        <w:rPr>
          <w:lang w:val="fr-FR"/>
        </w:rPr>
        <w:t xml:space="preserve">es libertés et </w:t>
      </w:r>
      <w:r>
        <w:rPr>
          <w:lang w:val="fr-FR"/>
        </w:rPr>
        <w:t>l</w:t>
      </w:r>
      <w:r w:rsidRPr="00686CD4">
        <w:rPr>
          <w:lang w:val="fr-FR"/>
        </w:rPr>
        <w:t>es garanties,</w:t>
      </w:r>
      <w:r>
        <w:rPr>
          <w:lang w:val="fr-FR"/>
        </w:rPr>
        <w:t xml:space="preserve"> </w:t>
      </w:r>
      <w:r w:rsidRPr="00686CD4">
        <w:rPr>
          <w:lang w:val="fr-FR"/>
        </w:rPr>
        <w:t>de l</w:t>
      </w:r>
      <w:r>
        <w:rPr>
          <w:lang w:val="fr-FR"/>
        </w:rPr>
        <w:t>’</w:t>
      </w:r>
      <w:r w:rsidRPr="00686CD4">
        <w:rPr>
          <w:lang w:val="fr-FR"/>
        </w:rPr>
        <w:t>OIT, de l</w:t>
      </w:r>
      <w:r>
        <w:rPr>
          <w:lang w:val="fr-FR"/>
        </w:rPr>
        <w:t>’</w:t>
      </w:r>
      <w:r w:rsidRPr="00686CD4">
        <w:rPr>
          <w:lang w:val="fr-FR"/>
        </w:rPr>
        <w:t xml:space="preserve">OIM et </w:t>
      </w:r>
      <w:r>
        <w:rPr>
          <w:lang w:val="fr-FR"/>
        </w:rPr>
        <w:t xml:space="preserve">de </w:t>
      </w:r>
      <w:r w:rsidRPr="00686CD4">
        <w:rPr>
          <w:lang w:val="fr-FR"/>
        </w:rPr>
        <w:t>l</w:t>
      </w:r>
      <w:r>
        <w:rPr>
          <w:lang w:val="fr-FR"/>
        </w:rPr>
        <w:t>’O</w:t>
      </w:r>
      <w:r w:rsidRPr="00686CD4">
        <w:rPr>
          <w:lang w:val="fr-FR"/>
        </w:rPr>
        <w:t xml:space="preserve">rganisation pour la sécurité et la coopération en Europe </w:t>
      </w:r>
      <w:r>
        <w:rPr>
          <w:lang w:val="fr-FR"/>
        </w:rPr>
        <w:t>(</w:t>
      </w:r>
      <w:r w:rsidRPr="00686CD4">
        <w:rPr>
          <w:lang w:val="fr-FR"/>
        </w:rPr>
        <w:t>OSCE)</w:t>
      </w:r>
      <w:r w:rsidR="00495D0F">
        <w:rPr>
          <w:lang w:val="fr-FR"/>
        </w:rPr>
        <w:t> ;</w:t>
      </w:r>
      <w:r w:rsidRPr="00686CD4">
        <w:rPr>
          <w:lang w:val="fr-FR"/>
        </w:rPr>
        <w:t xml:space="preserve"> la présentation à une délégation de Bosnie-Herzégovine du projet de</w:t>
      </w:r>
      <w:r>
        <w:rPr>
          <w:lang w:val="fr-FR"/>
        </w:rPr>
        <w:t> </w:t>
      </w:r>
      <w:r w:rsidRPr="00686CD4">
        <w:rPr>
          <w:lang w:val="fr-FR"/>
        </w:rPr>
        <w:t>2013 sur les enfants en situation de rue</w:t>
      </w:r>
      <w:r w:rsidR="00495D0F">
        <w:rPr>
          <w:lang w:val="fr-FR"/>
        </w:rPr>
        <w:t> ;</w:t>
      </w:r>
      <w:r w:rsidRPr="00686CD4">
        <w:rPr>
          <w:lang w:val="fr-FR"/>
        </w:rPr>
        <w:t xml:space="preserve"> la production en</w:t>
      </w:r>
      <w:r w:rsidR="00CA701C">
        <w:rPr>
          <w:lang w:val="fr-FR"/>
        </w:rPr>
        <w:t xml:space="preserve"> </w:t>
      </w:r>
      <w:r w:rsidRPr="00686CD4">
        <w:rPr>
          <w:lang w:val="fr-FR"/>
        </w:rPr>
        <w:t>2014 de 3</w:t>
      </w:r>
      <w:r w:rsidR="00CA701C">
        <w:rPr>
          <w:lang w:val="fr-FR"/>
        </w:rPr>
        <w:t> </w:t>
      </w:r>
      <w:r w:rsidRPr="00686CD4">
        <w:rPr>
          <w:lang w:val="fr-FR"/>
        </w:rPr>
        <w:t>000</w:t>
      </w:r>
      <w:r w:rsidR="00CA701C">
        <w:rPr>
          <w:lang w:val="fr-FR"/>
        </w:rPr>
        <w:t> </w:t>
      </w:r>
      <w:r>
        <w:rPr>
          <w:lang w:val="fr-FR"/>
        </w:rPr>
        <w:t>documents et fiches signalétiques</w:t>
      </w:r>
      <w:r w:rsidRPr="00686CD4">
        <w:rPr>
          <w:lang w:val="fr-FR"/>
        </w:rPr>
        <w:t xml:space="preserve"> (notamment des dépliants) en vue de 140</w:t>
      </w:r>
      <w:r>
        <w:rPr>
          <w:lang w:val="fr-FR"/>
        </w:rPr>
        <w:t> </w:t>
      </w:r>
      <w:r w:rsidRPr="00686CD4">
        <w:rPr>
          <w:lang w:val="fr-FR"/>
        </w:rPr>
        <w:t xml:space="preserve">campagnes nationales consacrées aux </w:t>
      </w:r>
      <w:r>
        <w:rPr>
          <w:lang w:val="fr-FR"/>
        </w:rPr>
        <w:t>victimes de traite</w:t>
      </w:r>
      <w:r w:rsidRPr="00686CD4">
        <w:rPr>
          <w:lang w:val="fr-FR"/>
        </w:rPr>
        <w:t xml:space="preserve"> dans le cadre du </w:t>
      </w:r>
      <w:r>
        <w:rPr>
          <w:lang w:val="fr-FR"/>
        </w:rPr>
        <w:t>p</w:t>
      </w:r>
      <w:r w:rsidRPr="00686CD4">
        <w:rPr>
          <w:lang w:val="fr-FR"/>
        </w:rPr>
        <w:t>rogramme</w:t>
      </w:r>
      <w:r w:rsidR="00495D0F">
        <w:rPr>
          <w:lang w:val="fr-FR"/>
        </w:rPr>
        <w:t xml:space="preserve"> </w:t>
      </w:r>
      <w:r w:rsidRPr="00686CD4">
        <w:rPr>
          <w:lang w:val="fr-FR"/>
        </w:rPr>
        <w:t>«</w:t>
      </w:r>
      <w:r>
        <w:rPr>
          <w:lang w:val="fr-FR"/>
        </w:rPr>
        <w:t> </w:t>
      </w:r>
      <w:proofErr w:type="spellStart"/>
      <w:r w:rsidRPr="00686CD4">
        <w:rPr>
          <w:lang w:val="fr-FR"/>
        </w:rPr>
        <w:t>Agrisegur</w:t>
      </w:r>
      <w:proofErr w:type="spellEnd"/>
      <w:r>
        <w:rPr>
          <w:lang w:val="fr-FR"/>
        </w:rPr>
        <w:t> </w:t>
      </w:r>
      <w:r w:rsidRPr="00686CD4">
        <w:rPr>
          <w:lang w:val="fr-FR"/>
        </w:rPr>
        <w:t>»</w:t>
      </w:r>
      <w:r w:rsidR="00495D0F">
        <w:rPr>
          <w:lang w:val="fr-FR"/>
        </w:rPr>
        <w:t xml:space="preserve"> ; </w:t>
      </w:r>
      <w:r w:rsidRPr="00686CD4">
        <w:rPr>
          <w:lang w:val="fr-FR"/>
        </w:rPr>
        <w:t xml:space="preserve">le lancement de la </w:t>
      </w:r>
      <w:r>
        <w:rPr>
          <w:lang w:val="fr-FR"/>
        </w:rPr>
        <w:t xml:space="preserve">fiche signalétique </w:t>
      </w:r>
      <w:r w:rsidRPr="00686CD4">
        <w:rPr>
          <w:lang w:val="fr-FR"/>
        </w:rPr>
        <w:t xml:space="preserve">des </w:t>
      </w:r>
      <w:r>
        <w:rPr>
          <w:lang w:val="fr-FR"/>
        </w:rPr>
        <w:t>victimes de traite</w:t>
      </w:r>
      <w:r w:rsidRPr="00686CD4">
        <w:rPr>
          <w:lang w:val="fr-FR"/>
        </w:rPr>
        <w:t xml:space="preserve"> qui a pour objet d</w:t>
      </w:r>
      <w:r>
        <w:rPr>
          <w:lang w:val="fr-FR"/>
        </w:rPr>
        <w:t>’</w:t>
      </w:r>
      <w:r w:rsidRPr="00686CD4">
        <w:rPr>
          <w:lang w:val="fr-FR"/>
        </w:rPr>
        <w:t xml:space="preserve">aider les professionnels à identifier les victimes présumées en leur </w:t>
      </w:r>
      <w:r>
        <w:rPr>
          <w:lang w:val="fr-FR"/>
        </w:rPr>
        <w:t xml:space="preserve">fournissant </w:t>
      </w:r>
      <w:r w:rsidRPr="00686CD4">
        <w:rPr>
          <w:lang w:val="fr-FR"/>
        </w:rPr>
        <w:t>une série d</w:t>
      </w:r>
      <w:r>
        <w:rPr>
          <w:lang w:val="fr-FR"/>
        </w:rPr>
        <w:t>’</w:t>
      </w:r>
      <w:r w:rsidRPr="00686CD4">
        <w:rPr>
          <w:lang w:val="fr-FR"/>
        </w:rPr>
        <w:t>indicateurs (notamment pour les enfants)</w:t>
      </w:r>
      <w:r>
        <w:rPr>
          <w:lang w:val="fr-FR"/>
        </w:rPr>
        <w:t>.</w:t>
      </w:r>
      <w:r w:rsidRPr="00686CD4">
        <w:rPr>
          <w:lang w:val="fr-FR"/>
        </w:rPr>
        <w:t xml:space="preserve"> </w:t>
      </w:r>
      <w:r>
        <w:rPr>
          <w:lang w:val="fr-FR"/>
        </w:rPr>
        <w:t xml:space="preserve">La </w:t>
      </w:r>
      <w:r w:rsidRPr="00686CD4">
        <w:rPr>
          <w:lang w:val="fr-FR"/>
        </w:rPr>
        <w:t xml:space="preserve">troisième version de cette </w:t>
      </w:r>
      <w:r>
        <w:rPr>
          <w:lang w:val="fr-FR"/>
        </w:rPr>
        <w:t xml:space="preserve">fiche, qui </w:t>
      </w:r>
      <w:r w:rsidRPr="00686CD4">
        <w:rPr>
          <w:lang w:val="fr-FR"/>
        </w:rPr>
        <w:t>est maintenant disponible</w:t>
      </w:r>
      <w:r>
        <w:rPr>
          <w:lang w:val="fr-FR"/>
        </w:rPr>
        <w:t>,</w:t>
      </w:r>
      <w:r w:rsidRPr="00686CD4">
        <w:rPr>
          <w:lang w:val="fr-FR"/>
        </w:rPr>
        <w:t xml:space="preserve"> comprend une définition </w:t>
      </w:r>
      <w:r>
        <w:rPr>
          <w:lang w:val="fr-FR"/>
        </w:rPr>
        <w:t xml:space="preserve">actualisée </w:t>
      </w:r>
      <w:r w:rsidRPr="00686CD4">
        <w:rPr>
          <w:lang w:val="fr-FR"/>
        </w:rPr>
        <w:t>de la traite d</w:t>
      </w:r>
      <w:r>
        <w:rPr>
          <w:lang w:val="fr-FR"/>
        </w:rPr>
        <w:t>’</w:t>
      </w:r>
      <w:r w:rsidRPr="00686CD4">
        <w:rPr>
          <w:lang w:val="fr-FR"/>
        </w:rPr>
        <w:t>êtres humains conforme à la version révisée de l</w:t>
      </w:r>
      <w:r>
        <w:rPr>
          <w:lang w:val="fr-FR"/>
        </w:rPr>
        <w:t>’</w:t>
      </w:r>
      <w:r w:rsidRPr="00686CD4">
        <w:rPr>
          <w:lang w:val="fr-FR"/>
        </w:rPr>
        <w:t>article</w:t>
      </w:r>
      <w:r>
        <w:rPr>
          <w:lang w:val="fr-FR"/>
        </w:rPr>
        <w:t> </w:t>
      </w:r>
      <w:r w:rsidRPr="00686CD4">
        <w:rPr>
          <w:lang w:val="fr-FR"/>
        </w:rPr>
        <w:t>160 du Code pénal, en vigueur depuis 2013</w:t>
      </w:r>
      <w:r w:rsidRPr="00F16A9E">
        <w:rPr>
          <w:rStyle w:val="Appelnotedebasdep"/>
        </w:rPr>
        <w:footnoteReference w:id="7"/>
      </w:r>
      <w:r w:rsidRPr="00686CD4">
        <w:rPr>
          <w:lang w:val="fr-FR"/>
        </w:rPr>
        <w:t>.</w:t>
      </w:r>
    </w:p>
    <w:p w:rsidR="002A7A34" w:rsidRPr="00686CD4" w:rsidRDefault="002A7A34" w:rsidP="00CA701C">
      <w:pPr>
        <w:pStyle w:val="H4G"/>
        <w:rPr>
          <w:lang w:val="fr-FR"/>
        </w:rPr>
      </w:pPr>
      <w:r w:rsidRPr="00686CD4">
        <w:rPr>
          <w:lang w:val="fr-FR"/>
        </w:rPr>
        <w:tab/>
      </w:r>
      <w:r w:rsidRPr="00686CD4">
        <w:rPr>
          <w:lang w:val="fr-FR"/>
        </w:rPr>
        <w:tab/>
        <w:t>Traite d</w:t>
      </w:r>
      <w:r>
        <w:rPr>
          <w:lang w:val="fr-FR"/>
        </w:rPr>
        <w:t>’</w:t>
      </w:r>
      <w:r w:rsidRPr="00686CD4">
        <w:rPr>
          <w:lang w:val="fr-FR"/>
        </w:rPr>
        <w:t>enfants</w:t>
      </w:r>
    </w:p>
    <w:p w:rsidR="002A7A34" w:rsidRPr="00686CD4" w:rsidRDefault="002A7A34" w:rsidP="002A7A34">
      <w:pPr>
        <w:pStyle w:val="SingleTxtG"/>
        <w:rPr>
          <w:lang w:val="fr-FR"/>
        </w:rPr>
      </w:pPr>
      <w:r w:rsidRPr="00686CD4">
        <w:rPr>
          <w:lang w:val="fr-FR"/>
        </w:rPr>
        <w:t>105.</w:t>
      </w:r>
      <w:r w:rsidRPr="00686CD4">
        <w:rPr>
          <w:lang w:val="fr-FR"/>
        </w:rPr>
        <w:tab/>
        <w:t xml:space="preserve">Les enfants signalés comme des victimes potentielles </w:t>
      </w:r>
      <w:r>
        <w:rPr>
          <w:lang w:val="fr-FR"/>
        </w:rPr>
        <w:t>de traite</w:t>
      </w:r>
      <w:r w:rsidRPr="00686CD4">
        <w:rPr>
          <w:lang w:val="fr-FR"/>
        </w:rPr>
        <w:t xml:space="preserve"> dans le cadre du nouveau</w:t>
      </w:r>
      <w:r>
        <w:rPr>
          <w:lang w:val="fr-FR"/>
        </w:rPr>
        <w:t xml:space="preserve"> M</w:t>
      </w:r>
      <w:r w:rsidRPr="00686CD4">
        <w:rPr>
          <w:lang w:val="fr-FR"/>
        </w:rPr>
        <w:t>écanisme national d</w:t>
      </w:r>
      <w:r>
        <w:rPr>
          <w:lang w:val="fr-FR"/>
        </w:rPr>
        <w:t>’</w:t>
      </w:r>
      <w:r w:rsidRPr="00686CD4">
        <w:rPr>
          <w:lang w:val="fr-FR"/>
        </w:rPr>
        <w:t>orientation sont pris en charge par la Commission nationale pour la promotion des droits et la protection de l</w:t>
      </w:r>
      <w:r>
        <w:rPr>
          <w:lang w:val="fr-FR"/>
        </w:rPr>
        <w:t>’</w:t>
      </w:r>
      <w:r w:rsidRPr="00686CD4">
        <w:rPr>
          <w:lang w:val="fr-FR"/>
        </w:rPr>
        <w:t xml:space="preserve">enfance et de la jeunesse. Ils sont couverts </w:t>
      </w:r>
      <w:r w:rsidRPr="00686CD4">
        <w:rPr>
          <w:lang w:val="fr-FR"/>
        </w:rPr>
        <w:lastRenderedPageBreak/>
        <w:t xml:space="preserve">par le système de protection des enfants en situation de risque établi par la loi </w:t>
      </w:r>
      <w:r w:rsidR="007274EC" w:rsidRPr="000D5167">
        <w:rPr>
          <w:rFonts w:eastAsia="MS Mincho"/>
          <w:lang w:val="fr-FR"/>
        </w:rPr>
        <w:t>n</w:t>
      </w:r>
      <w:r w:rsidR="007274EC" w:rsidRPr="000D5167">
        <w:rPr>
          <w:rFonts w:eastAsia="MS Mincho"/>
          <w:vertAlign w:val="superscript"/>
          <w:lang w:val="fr-FR"/>
        </w:rPr>
        <w:t>o</w:t>
      </w:r>
      <w:r w:rsidR="007274EC">
        <w:rPr>
          <w:lang w:val="fr-FR"/>
        </w:rPr>
        <w:t> </w:t>
      </w:r>
      <w:r w:rsidRPr="00686CD4">
        <w:rPr>
          <w:lang w:val="fr-FR"/>
        </w:rPr>
        <w:t>147/99, du 1</w:t>
      </w:r>
      <w:r w:rsidRPr="0079516C">
        <w:rPr>
          <w:vertAlign w:val="superscript"/>
          <w:lang w:val="fr-FR"/>
        </w:rPr>
        <w:t>er</w:t>
      </w:r>
      <w:r>
        <w:rPr>
          <w:lang w:val="fr-FR"/>
        </w:rPr>
        <w:t> </w:t>
      </w:r>
      <w:r w:rsidRPr="00686CD4">
        <w:rPr>
          <w:lang w:val="fr-FR"/>
        </w:rPr>
        <w:t xml:space="preserve">septembre relative à la protection des enfants et des jeunes en situation de risque, telle que modifiée par la loi </w:t>
      </w:r>
      <w:r w:rsidR="007274EC" w:rsidRPr="000D5167">
        <w:rPr>
          <w:rFonts w:eastAsia="MS Mincho"/>
          <w:lang w:val="fr-FR"/>
        </w:rPr>
        <w:t>n</w:t>
      </w:r>
      <w:r w:rsidR="007274EC" w:rsidRPr="000D5167">
        <w:rPr>
          <w:rFonts w:eastAsia="MS Mincho"/>
          <w:vertAlign w:val="superscript"/>
          <w:lang w:val="fr-FR"/>
        </w:rPr>
        <w:t>o</w:t>
      </w:r>
      <w:r w:rsidR="007274EC">
        <w:rPr>
          <w:lang w:val="fr-FR"/>
        </w:rPr>
        <w:t> </w:t>
      </w:r>
      <w:r w:rsidRPr="00686CD4">
        <w:rPr>
          <w:lang w:val="fr-FR"/>
        </w:rPr>
        <w:t>142/2015 du 8</w:t>
      </w:r>
      <w:r>
        <w:rPr>
          <w:lang w:val="fr-FR"/>
        </w:rPr>
        <w:t> </w:t>
      </w:r>
      <w:r w:rsidRPr="00686CD4">
        <w:rPr>
          <w:lang w:val="fr-FR"/>
        </w:rPr>
        <w:t xml:space="preserve">septembre. Le Portugal </w:t>
      </w:r>
      <w:r>
        <w:rPr>
          <w:lang w:val="fr-FR"/>
        </w:rPr>
        <w:t xml:space="preserve">compte </w:t>
      </w:r>
      <w:r w:rsidRPr="00686CD4">
        <w:rPr>
          <w:lang w:val="fr-FR"/>
        </w:rPr>
        <w:t>actuellement un foyer d</w:t>
      </w:r>
      <w:r>
        <w:rPr>
          <w:lang w:val="fr-FR"/>
        </w:rPr>
        <w:t>’</w:t>
      </w:r>
      <w:r w:rsidRPr="00686CD4">
        <w:rPr>
          <w:lang w:val="fr-FR"/>
        </w:rPr>
        <w:t xml:space="preserve">accueil réservé aux enfants </w:t>
      </w:r>
      <w:r>
        <w:rPr>
          <w:lang w:val="fr-FR"/>
        </w:rPr>
        <w:t>victimes de traite</w:t>
      </w:r>
      <w:r w:rsidRPr="00686CD4">
        <w:rPr>
          <w:lang w:val="fr-FR"/>
        </w:rPr>
        <w:t>.</w:t>
      </w:r>
    </w:p>
    <w:p w:rsidR="002A7A34" w:rsidRPr="00686CD4" w:rsidRDefault="002A7A34" w:rsidP="002A7A34">
      <w:pPr>
        <w:pStyle w:val="SingleTxtG"/>
        <w:rPr>
          <w:lang w:val="fr-FR"/>
        </w:rPr>
      </w:pPr>
      <w:r w:rsidRPr="00686CD4">
        <w:rPr>
          <w:lang w:val="fr-FR"/>
        </w:rPr>
        <w:t>106.</w:t>
      </w:r>
      <w:r w:rsidRPr="00686CD4">
        <w:rPr>
          <w:lang w:val="fr-FR"/>
        </w:rPr>
        <w:tab/>
        <w:t xml:space="preserve">Le troisième </w:t>
      </w:r>
      <w:r>
        <w:rPr>
          <w:lang w:val="fr-FR"/>
        </w:rPr>
        <w:t>P</w:t>
      </w:r>
      <w:r w:rsidRPr="00686CD4">
        <w:rPr>
          <w:lang w:val="fr-FR"/>
        </w:rPr>
        <w:t>lan national de prévention et de lutte contre la traite d</w:t>
      </w:r>
      <w:r>
        <w:rPr>
          <w:lang w:val="fr-FR"/>
        </w:rPr>
        <w:t>’</w:t>
      </w:r>
      <w:r w:rsidRPr="00686CD4">
        <w:rPr>
          <w:lang w:val="fr-FR"/>
        </w:rPr>
        <w:t>êtres humains (2014</w:t>
      </w:r>
      <w:r>
        <w:rPr>
          <w:lang w:val="fr-FR"/>
        </w:rPr>
        <w:t>-</w:t>
      </w:r>
      <w:r w:rsidRPr="00686CD4">
        <w:rPr>
          <w:lang w:val="fr-FR"/>
        </w:rPr>
        <w:t>2017) accorde une attention particulière à la prévention de la traite d</w:t>
      </w:r>
      <w:r>
        <w:rPr>
          <w:lang w:val="fr-FR"/>
        </w:rPr>
        <w:t>’</w:t>
      </w:r>
      <w:r w:rsidRPr="00686CD4">
        <w:rPr>
          <w:lang w:val="fr-FR"/>
        </w:rPr>
        <w:t xml:space="preserve">enfants, et prévoit cet effet des activités éducatives axées sur les enfants et les jeunes adultes. </w:t>
      </w:r>
    </w:p>
    <w:p w:rsidR="002A7A34" w:rsidRPr="00686CD4" w:rsidRDefault="002A7A34" w:rsidP="002A7A34">
      <w:pPr>
        <w:pStyle w:val="SingleTxtG"/>
        <w:rPr>
          <w:lang w:val="fr-FR"/>
        </w:rPr>
      </w:pPr>
      <w:r w:rsidRPr="00686CD4">
        <w:rPr>
          <w:lang w:val="fr-FR"/>
        </w:rPr>
        <w:t>107.</w:t>
      </w:r>
      <w:r w:rsidRPr="00686CD4">
        <w:rPr>
          <w:lang w:val="fr-FR"/>
        </w:rPr>
        <w:tab/>
        <w:t>En</w:t>
      </w:r>
      <w:r w:rsidR="00CC38C3">
        <w:rPr>
          <w:lang w:val="fr-FR"/>
        </w:rPr>
        <w:t xml:space="preserve"> </w:t>
      </w:r>
      <w:r w:rsidRPr="00686CD4">
        <w:rPr>
          <w:lang w:val="fr-FR"/>
        </w:rPr>
        <w:t>2013, l</w:t>
      </w:r>
      <w:r>
        <w:rPr>
          <w:lang w:val="fr-FR"/>
        </w:rPr>
        <w:t>’</w:t>
      </w:r>
      <w:r w:rsidRPr="00686CD4">
        <w:rPr>
          <w:lang w:val="fr-FR"/>
        </w:rPr>
        <w:t>Observatoire de la traite d</w:t>
      </w:r>
      <w:r>
        <w:rPr>
          <w:lang w:val="fr-FR"/>
        </w:rPr>
        <w:t>’</w:t>
      </w:r>
      <w:r w:rsidRPr="00686CD4">
        <w:rPr>
          <w:lang w:val="fr-FR"/>
        </w:rPr>
        <w:t xml:space="preserve">êtres humains a coordonné </w:t>
      </w:r>
      <w:r>
        <w:rPr>
          <w:lang w:val="fr-FR"/>
        </w:rPr>
        <w:t xml:space="preserve">la préparation </w:t>
      </w:r>
      <w:r w:rsidRPr="00686CD4">
        <w:rPr>
          <w:lang w:val="fr-FR"/>
        </w:rPr>
        <w:t>d</w:t>
      </w:r>
      <w:r>
        <w:rPr>
          <w:lang w:val="fr-FR"/>
        </w:rPr>
        <w:t>’</w:t>
      </w:r>
      <w:r w:rsidRPr="00686CD4">
        <w:rPr>
          <w:lang w:val="fr-FR"/>
        </w:rPr>
        <w:t xml:space="preserve">une brochure </w:t>
      </w:r>
      <w:r>
        <w:rPr>
          <w:lang w:val="fr-FR"/>
        </w:rPr>
        <w:t xml:space="preserve">et d’un dépliant sur </w:t>
      </w:r>
      <w:r w:rsidRPr="00686CD4">
        <w:rPr>
          <w:lang w:val="fr-FR"/>
        </w:rPr>
        <w:t>la mendicité forcée, avec l</w:t>
      </w:r>
      <w:r>
        <w:rPr>
          <w:lang w:val="fr-FR"/>
        </w:rPr>
        <w:t>’</w:t>
      </w:r>
      <w:r w:rsidRPr="00686CD4">
        <w:rPr>
          <w:lang w:val="fr-FR"/>
        </w:rPr>
        <w:t>appui de la Commission nationale pour la citoyenneté et l</w:t>
      </w:r>
      <w:r>
        <w:rPr>
          <w:lang w:val="fr-FR"/>
        </w:rPr>
        <w:t>’</w:t>
      </w:r>
      <w:r w:rsidRPr="00686CD4">
        <w:rPr>
          <w:lang w:val="fr-FR"/>
        </w:rPr>
        <w:t>égalité des sexes</w:t>
      </w:r>
      <w:r>
        <w:rPr>
          <w:lang w:val="fr-FR"/>
        </w:rPr>
        <w:t xml:space="preserve"> et la participation de l’</w:t>
      </w:r>
      <w:r w:rsidRPr="00686CD4">
        <w:rPr>
          <w:lang w:val="fr-FR"/>
        </w:rPr>
        <w:t xml:space="preserve">ancienne Commission nationale pour la </w:t>
      </w:r>
      <w:r>
        <w:rPr>
          <w:lang w:val="fr-FR"/>
        </w:rPr>
        <w:t>p</w:t>
      </w:r>
      <w:r w:rsidRPr="00686CD4">
        <w:rPr>
          <w:lang w:val="fr-FR"/>
        </w:rPr>
        <w:t xml:space="preserve">rotection des enfants et des jeunes à risque, </w:t>
      </w:r>
      <w:r>
        <w:rPr>
          <w:lang w:val="fr-FR"/>
        </w:rPr>
        <w:t xml:space="preserve">de </w:t>
      </w:r>
      <w:r w:rsidRPr="00686CD4">
        <w:rPr>
          <w:lang w:val="fr-FR"/>
        </w:rPr>
        <w:t>l</w:t>
      </w:r>
      <w:r>
        <w:rPr>
          <w:lang w:val="fr-FR"/>
        </w:rPr>
        <w:t>’</w:t>
      </w:r>
      <w:r w:rsidRPr="00686CD4">
        <w:rPr>
          <w:lang w:val="fr-FR"/>
        </w:rPr>
        <w:t xml:space="preserve">Institut de la sécurité sociale, </w:t>
      </w:r>
      <w:r>
        <w:rPr>
          <w:lang w:val="fr-FR"/>
        </w:rPr>
        <w:t xml:space="preserve">de </w:t>
      </w:r>
      <w:r w:rsidRPr="00686CD4">
        <w:rPr>
          <w:lang w:val="fr-FR"/>
        </w:rPr>
        <w:t xml:space="preserve">la Police criminelle, </w:t>
      </w:r>
      <w:r>
        <w:rPr>
          <w:lang w:val="fr-FR"/>
        </w:rPr>
        <w:t xml:space="preserve">du </w:t>
      </w:r>
      <w:r w:rsidRPr="00686CD4">
        <w:rPr>
          <w:lang w:val="fr-FR"/>
        </w:rPr>
        <w:t>Service de l</w:t>
      </w:r>
      <w:r>
        <w:rPr>
          <w:lang w:val="fr-FR"/>
        </w:rPr>
        <w:t>’</w:t>
      </w:r>
      <w:r w:rsidRPr="00686CD4">
        <w:rPr>
          <w:lang w:val="fr-FR"/>
        </w:rPr>
        <w:t xml:space="preserve">immigration et des frontières, </w:t>
      </w:r>
      <w:r>
        <w:rPr>
          <w:lang w:val="fr-FR"/>
        </w:rPr>
        <w:t xml:space="preserve">du </w:t>
      </w:r>
      <w:r w:rsidRPr="00686CD4">
        <w:rPr>
          <w:lang w:val="fr-FR"/>
        </w:rPr>
        <w:t xml:space="preserve">Bureau du Procureur, </w:t>
      </w:r>
      <w:r>
        <w:rPr>
          <w:lang w:val="fr-FR"/>
        </w:rPr>
        <w:t xml:space="preserve">de </w:t>
      </w:r>
      <w:r w:rsidRPr="00686CD4">
        <w:rPr>
          <w:lang w:val="fr-FR"/>
        </w:rPr>
        <w:t>l</w:t>
      </w:r>
      <w:r>
        <w:rPr>
          <w:lang w:val="fr-FR"/>
        </w:rPr>
        <w:t>’</w:t>
      </w:r>
      <w:r w:rsidRPr="00686CD4">
        <w:rPr>
          <w:lang w:val="fr-FR"/>
        </w:rPr>
        <w:t xml:space="preserve">UNICEF et </w:t>
      </w:r>
      <w:r>
        <w:rPr>
          <w:lang w:val="fr-FR"/>
        </w:rPr>
        <w:t>d’</w:t>
      </w:r>
      <w:r w:rsidRPr="00686CD4">
        <w:rPr>
          <w:lang w:val="fr-FR"/>
        </w:rPr>
        <w:t>un certain nombre d</w:t>
      </w:r>
      <w:r>
        <w:rPr>
          <w:lang w:val="fr-FR"/>
        </w:rPr>
        <w:t>’</w:t>
      </w:r>
      <w:r w:rsidRPr="00686CD4">
        <w:rPr>
          <w:lang w:val="fr-FR"/>
        </w:rPr>
        <w:t xml:space="preserve">organisations de la société civile. Les documents ont été présentés lors de la conférence </w:t>
      </w:r>
      <w:r>
        <w:rPr>
          <w:lang w:val="fr-FR"/>
        </w:rPr>
        <w:t xml:space="preserve">sur « Les enfants </w:t>
      </w:r>
      <w:r w:rsidRPr="00686CD4">
        <w:rPr>
          <w:lang w:val="fr-FR"/>
        </w:rPr>
        <w:t xml:space="preserve">disparus et </w:t>
      </w:r>
      <w:r>
        <w:rPr>
          <w:lang w:val="fr-FR"/>
        </w:rPr>
        <w:t xml:space="preserve">les </w:t>
      </w:r>
      <w:r w:rsidRPr="00686CD4">
        <w:rPr>
          <w:lang w:val="fr-FR"/>
        </w:rPr>
        <w:t>enfants victimes d</w:t>
      </w:r>
      <w:r>
        <w:rPr>
          <w:lang w:val="fr-FR"/>
        </w:rPr>
        <w:t>’</w:t>
      </w:r>
      <w:r w:rsidRPr="00686CD4">
        <w:rPr>
          <w:lang w:val="fr-FR"/>
        </w:rPr>
        <w:t>exploitation sexuelle</w:t>
      </w:r>
      <w:r>
        <w:rPr>
          <w:lang w:val="fr-FR"/>
        </w:rPr>
        <w:t> </w:t>
      </w:r>
      <w:r w:rsidRPr="00686CD4">
        <w:rPr>
          <w:lang w:val="fr-FR"/>
        </w:rPr>
        <w:t xml:space="preserve">». </w:t>
      </w:r>
    </w:p>
    <w:p w:rsidR="002A7A34" w:rsidRPr="00686CD4" w:rsidRDefault="002A7A34" w:rsidP="002A7A34">
      <w:pPr>
        <w:pStyle w:val="SingleTxtG"/>
        <w:rPr>
          <w:lang w:val="fr-FR"/>
        </w:rPr>
      </w:pPr>
      <w:r w:rsidRPr="00686CD4">
        <w:rPr>
          <w:lang w:val="fr-FR"/>
        </w:rPr>
        <w:t>108.</w:t>
      </w:r>
      <w:r w:rsidRPr="00686CD4">
        <w:rPr>
          <w:lang w:val="fr-FR"/>
        </w:rPr>
        <w:tab/>
        <w:t>Parmi les autres initiatives visant à prévenir la traite d</w:t>
      </w:r>
      <w:r>
        <w:rPr>
          <w:lang w:val="fr-FR"/>
        </w:rPr>
        <w:t>’</w:t>
      </w:r>
      <w:r w:rsidRPr="00686CD4">
        <w:rPr>
          <w:lang w:val="fr-FR"/>
        </w:rPr>
        <w:t xml:space="preserve">enfants figurent la </w:t>
      </w:r>
      <w:r>
        <w:rPr>
          <w:lang w:val="fr-FR"/>
        </w:rPr>
        <w:t>« </w:t>
      </w:r>
      <w:r w:rsidRPr="00686CD4">
        <w:rPr>
          <w:lang w:val="fr-FR"/>
        </w:rPr>
        <w:t>Plateforme européenne d</w:t>
      </w:r>
      <w:r>
        <w:rPr>
          <w:lang w:val="fr-FR"/>
        </w:rPr>
        <w:t>’</w:t>
      </w:r>
      <w:r w:rsidRPr="00686CD4">
        <w:rPr>
          <w:lang w:val="fr-FR"/>
        </w:rPr>
        <w:t xml:space="preserve">échanges interacteurs sur les enfants </w:t>
      </w:r>
      <w:r>
        <w:rPr>
          <w:lang w:val="fr-FR"/>
        </w:rPr>
        <w:t>victimes de traite</w:t>
      </w:r>
      <w:r w:rsidRPr="00686CD4">
        <w:rPr>
          <w:lang w:val="fr-FR"/>
        </w:rPr>
        <w:t xml:space="preserve"> aux fins de l</w:t>
      </w:r>
      <w:r>
        <w:rPr>
          <w:lang w:val="fr-FR"/>
        </w:rPr>
        <w:t>’</w:t>
      </w:r>
      <w:r w:rsidRPr="00686CD4">
        <w:rPr>
          <w:lang w:val="fr-FR"/>
        </w:rPr>
        <w:t>élaboration d</w:t>
      </w:r>
      <w:r>
        <w:rPr>
          <w:lang w:val="fr-FR"/>
        </w:rPr>
        <w:t>’</w:t>
      </w:r>
      <w:r w:rsidRPr="00686CD4">
        <w:rPr>
          <w:lang w:val="fr-FR"/>
        </w:rPr>
        <w:t>une méthodologie de prévention et d</w:t>
      </w:r>
      <w:r>
        <w:rPr>
          <w:lang w:val="fr-FR"/>
        </w:rPr>
        <w:t>’</w:t>
      </w:r>
      <w:r w:rsidRPr="00686CD4">
        <w:rPr>
          <w:lang w:val="fr-FR"/>
        </w:rPr>
        <w:t>inclusion durable » (CATCH &amp; SUSTAIN</w:t>
      </w:r>
      <w:r w:rsidR="00FF135C">
        <w:rPr>
          <w:lang w:val="fr-FR"/>
        </w:rPr>
        <w:t>)</w:t>
      </w:r>
      <w:r w:rsidRPr="00686CD4">
        <w:rPr>
          <w:lang w:val="fr-FR"/>
        </w:rPr>
        <w:t>, le projet des forces de l</w:t>
      </w:r>
      <w:r>
        <w:rPr>
          <w:lang w:val="fr-FR"/>
        </w:rPr>
        <w:t>’</w:t>
      </w:r>
      <w:r w:rsidRPr="00686CD4">
        <w:rPr>
          <w:lang w:val="fr-FR"/>
        </w:rPr>
        <w:t xml:space="preserve">ordre </w:t>
      </w:r>
      <w:r>
        <w:rPr>
          <w:lang w:val="fr-FR"/>
        </w:rPr>
        <w:t>« R</w:t>
      </w:r>
      <w:r w:rsidRPr="00686CD4">
        <w:rPr>
          <w:lang w:val="fr-FR"/>
        </w:rPr>
        <w:t>egard commun sur les enfants</w:t>
      </w:r>
      <w:r>
        <w:rPr>
          <w:lang w:val="fr-FR"/>
        </w:rPr>
        <w:t> »</w:t>
      </w:r>
      <w:r w:rsidRPr="00686CD4">
        <w:rPr>
          <w:lang w:val="fr-FR"/>
        </w:rPr>
        <w:t xml:space="preserve"> et le projet pour l</w:t>
      </w:r>
      <w:r>
        <w:rPr>
          <w:lang w:val="fr-FR"/>
        </w:rPr>
        <w:t>’</w:t>
      </w:r>
      <w:r w:rsidRPr="00686CD4">
        <w:rPr>
          <w:lang w:val="fr-FR"/>
        </w:rPr>
        <w:t>amélioration des systèmes de suivi et d</w:t>
      </w:r>
      <w:r>
        <w:rPr>
          <w:lang w:val="fr-FR"/>
        </w:rPr>
        <w:t xml:space="preserve">e </w:t>
      </w:r>
      <w:r w:rsidRPr="00686CD4">
        <w:rPr>
          <w:lang w:val="fr-FR"/>
        </w:rPr>
        <w:t>protection contre la traite et l</w:t>
      </w:r>
      <w:r>
        <w:rPr>
          <w:lang w:val="fr-FR"/>
        </w:rPr>
        <w:t>’</w:t>
      </w:r>
      <w:r w:rsidRPr="00686CD4">
        <w:rPr>
          <w:lang w:val="fr-FR"/>
        </w:rPr>
        <w:t>exploitation d</w:t>
      </w:r>
      <w:r>
        <w:rPr>
          <w:lang w:val="fr-FR"/>
        </w:rPr>
        <w:t>’</w:t>
      </w:r>
      <w:r w:rsidRPr="00686CD4">
        <w:rPr>
          <w:lang w:val="fr-FR"/>
        </w:rPr>
        <w:t>enfants.</w:t>
      </w:r>
    </w:p>
    <w:p w:rsidR="002A7A34" w:rsidRPr="00686CD4" w:rsidRDefault="002A7A34" w:rsidP="002A7A34">
      <w:pPr>
        <w:pStyle w:val="H4G"/>
        <w:rPr>
          <w:lang w:val="fr-FR"/>
        </w:rPr>
      </w:pPr>
      <w:r w:rsidRPr="00686CD4">
        <w:rPr>
          <w:lang w:val="fr-FR"/>
        </w:rPr>
        <w:tab/>
      </w:r>
      <w:r w:rsidRPr="00686CD4">
        <w:rPr>
          <w:lang w:val="fr-FR"/>
        </w:rPr>
        <w:tab/>
      </w:r>
      <w:r w:rsidRPr="00686CD4">
        <w:rPr>
          <w:iCs/>
          <w:lang w:val="fr-FR"/>
        </w:rPr>
        <w:t xml:space="preserve">Évaluation des effets </w:t>
      </w:r>
      <w:r>
        <w:rPr>
          <w:iCs/>
          <w:lang w:val="fr-FR"/>
        </w:rPr>
        <w:t>d</w:t>
      </w:r>
      <w:r w:rsidRPr="00686CD4">
        <w:rPr>
          <w:iCs/>
          <w:lang w:val="fr-FR"/>
        </w:rPr>
        <w:t>es plans nationaux</w:t>
      </w:r>
    </w:p>
    <w:p w:rsidR="002A7A34" w:rsidRPr="00686CD4" w:rsidRDefault="002A7A34" w:rsidP="002A7A34">
      <w:pPr>
        <w:pStyle w:val="SingleTxtG"/>
        <w:rPr>
          <w:lang w:val="fr-FR"/>
        </w:rPr>
      </w:pPr>
      <w:r w:rsidRPr="00686CD4">
        <w:rPr>
          <w:lang w:val="fr-FR"/>
        </w:rPr>
        <w:t>109.</w:t>
      </w:r>
      <w:r w:rsidRPr="00686CD4">
        <w:rPr>
          <w:lang w:val="fr-FR"/>
        </w:rPr>
        <w:tab/>
        <w:t>Tous les plans nationaux font l</w:t>
      </w:r>
      <w:r>
        <w:rPr>
          <w:lang w:val="fr-FR"/>
        </w:rPr>
        <w:t>’</w:t>
      </w:r>
      <w:r w:rsidRPr="00686CD4">
        <w:rPr>
          <w:lang w:val="fr-FR"/>
        </w:rPr>
        <w:t>objet d</w:t>
      </w:r>
      <w:r>
        <w:rPr>
          <w:lang w:val="fr-FR"/>
        </w:rPr>
        <w:t>’</w:t>
      </w:r>
      <w:r w:rsidRPr="00686CD4">
        <w:rPr>
          <w:lang w:val="fr-FR"/>
        </w:rPr>
        <w:t xml:space="preserve">une évaluation indépendante réalisée par </w:t>
      </w:r>
      <w:r>
        <w:rPr>
          <w:lang w:val="fr-FR"/>
        </w:rPr>
        <w:t>d</w:t>
      </w:r>
      <w:r w:rsidRPr="00686CD4">
        <w:rPr>
          <w:lang w:val="fr-FR"/>
        </w:rPr>
        <w:t xml:space="preserve">es milieux universitaires </w:t>
      </w:r>
      <w:r>
        <w:rPr>
          <w:lang w:val="fr-FR"/>
        </w:rPr>
        <w:t xml:space="preserve">dans le but, principalement, de </w:t>
      </w:r>
      <w:r w:rsidRPr="00686CD4">
        <w:rPr>
          <w:lang w:val="fr-FR"/>
        </w:rPr>
        <w:t xml:space="preserve">déterminer leurs résultats et de définir les nouvelles mesures </w:t>
      </w:r>
      <w:r>
        <w:rPr>
          <w:lang w:val="fr-FR"/>
        </w:rPr>
        <w:t xml:space="preserve">qui devraient figurer </w:t>
      </w:r>
      <w:r w:rsidRPr="00686CD4">
        <w:rPr>
          <w:lang w:val="fr-FR"/>
        </w:rPr>
        <w:t>dans le plan suivant. Ces évaluations portent notamment sur l</w:t>
      </w:r>
      <w:r>
        <w:rPr>
          <w:lang w:val="fr-FR"/>
        </w:rPr>
        <w:t>’</w:t>
      </w:r>
      <w:r w:rsidRPr="00686CD4">
        <w:rPr>
          <w:lang w:val="fr-FR"/>
        </w:rPr>
        <w:t xml:space="preserve">efficacité et les résultats des différentes initiatives. </w:t>
      </w:r>
    </w:p>
    <w:p w:rsidR="002A7A34" w:rsidRPr="00686CD4" w:rsidRDefault="002A7A34" w:rsidP="00FF135C">
      <w:pPr>
        <w:pStyle w:val="SingleTxtG"/>
        <w:rPr>
          <w:lang w:val="fr-FR"/>
        </w:rPr>
      </w:pPr>
      <w:r w:rsidRPr="00686CD4">
        <w:rPr>
          <w:lang w:val="fr-FR"/>
        </w:rPr>
        <w:t>110.</w:t>
      </w:r>
      <w:r w:rsidRPr="00686CD4">
        <w:rPr>
          <w:lang w:val="fr-FR"/>
        </w:rPr>
        <w:tab/>
        <w:t>L</w:t>
      </w:r>
      <w:r>
        <w:rPr>
          <w:lang w:val="fr-FR"/>
        </w:rPr>
        <w:t>’</w:t>
      </w:r>
      <w:r w:rsidRPr="00686CD4">
        <w:rPr>
          <w:lang w:val="fr-FR"/>
        </w:rPr>
        <w:t xml:space="preserve">évaluation externe de </w:t>
      </w:r>
      <w:r>
        <w:rPr>
          <w:lang w:val="fr-FR"/>
        </w:rPr>
        <w:t>deuxième P</w:t>
      </w:r>
      <w:r w:rsidRPr="00686CD4">
        <w:rPr>
          <w:lang w:val="fr-FR"/>
        </w:rPr>
        <w:t>lan national de lutte contre la traite d</w:t>
      </w:r>
      <w:r>
        <w:rPr>
          <w:lang w:val="fr-FR"/>
        </w:rPr>
        <w:t>’</w:t>
      </w:r>
      <w:r w:rsidRPr="00686CD4">
        <w:rPr>
          <w:lang w:val="fr-FR"/>
        </w:rPr>
        <w:t>êtres humains réalisé</w:t>
      </w:r>
      <w:r>
        <w:rPr>
          <w:lang w:val="fr-FR"/>
        </w:rPr>
        <w:t>e</w:t>
      </w:r>
      <w:r w:rsidRPr="00686CD4">
        <w:rPr>
          <w:lang w:val="fr-FR"/>
        </w:rPr>
        <w:t xml:space="preserve"> par l</w:t>
      </w:r>
      <w:r>
        <w:rPr>
          <w:lang w:val="fr-FR"/>
        </w:rPr>
        <w:t>’</w:t>
      </w:r>
      <w:r w:rsidRPr="00686CD4">
        <w:rPr>
          <w:lang w:val="fr-FR"/>
        </w:rPr>
        <w:t>Université de Minho en</w:t>
      </w:r>
      <w:r w:rsidR="00FF135C">
        <w:rPr>
          <w:lang w:val="fr-FR"/>
        </w:rPr>
        <w:t xml:space="preserve"> </w:t>
      </w:r>
      <w:r w:rsidRPr="00686CD4">
        <w:rPr>
          <w:lang w:val="fr-FR"/>
        </w:rPr>
        <w:t xml:space="preserve">2013 et </w:t>
      </w:r>
      <w:r>
        <w:rPr>
          <w:lang w:val="fr-FR"/>
        </w:rPr>
        <w:t xml:space="preserve">ses conclusions ont </w:t>
      </w:r>
      <w:r w:rsidRPr="00686CD4">
        <w:rPr>
          <w:lang w:val="fr-FR"/>
        </w:rPr>
        <w:t>été prise</w:t>
      </w:r>
      <w:r>
        <w:rPr>
          <w:lang w:val="fr-FR"/>
        </w:rPr>
        <w:t>s</w:t>
      </w:r>
      <w:r w:rsidRPr="00686CD4">
        <w:rPr>
          <w:lang w:val="fr-FR"/>
        </w:rPr>
        <w:t xml:space="preserve"> en compte lors de l</w:t>
      </w:r>
      <w:r>
        <w:rPr>
          <w:lang w:val="fr-FR"/>
        </w:rPr>
        <w:t>’</w:t>
      </w:r>
      <w:r w:rsidRPr="00686CD4">
        <w:rPr>
          <w:lang w:val="fr-FR"/>
        </w:rPr>
        <w:t>élaboration du troisième Plan d</w:t>
      </w:r>
      <w:r>
        <w:rPr>
          <w:lang w:val="fr-FR"/>
        </w:rPr>
        <w:t>’a</w:t>
      </w:r>
      <w:r w:rsidRPr="00686CD4">
        <w:rPr>
          <w:lang w:val="fr-FR"/>
        </w:rPr>
        <w:t xml:space="preserve">ction </w:t>
      </w:r>
      <w:r>
        <w:rPr>
          <w:lang w:val="fr-FR"/>
        </w:rPr>
        <w:t>n</w:t>
      </w:r>
      <w:r w:rsidRPr="00686CD4">
        <w:rPr>
          <w:lang w:val="fr-FR"/>
        </w:rPr>
        <w:t>ational</w:t>
      </w:r>
      <w:r w:rsidR="00495D0F">
        <w:rPr>
          <w:lang w:val="fr-FR"/>
        </w:rPr>
        <w:t> ;</w:t>
      </w:r>
      <w:r w:rsidRPr="00686CD4">
        <w:rPr>
          <w:lang w:val="fr-FR"/>
        </w:rPr>
        <w:t xml:space="preserve"> elle a </w:t>
      </w:r>
      <w:r>
        <w:rPr>
          <w:lang w:val="fr-FR"/>
        </w:rPr>
        <w:t xml:space="preserve">entraîné </w:t>
      </w:r>
      <w:r w:rsidRPr="00686CD4">
        <w:rPr>
          <w:lang w:val="fr-FR"/>
        </w:rPr>
        <w:t>la révision des indicateurs quantitatifs et l</w:t>
      </w:r>
      <w:r>
        <w:rPr>
          <w:lang w:val="fr-FR"/>
        </w:rPr>
        <w:t>’</w:t>
      </w:r>
      <w:r w:rsidRPr="00686CD4">
        <w:rPr>
          <w:lang w:val="fr-FR"/>
        </w:rPr>
        <w:t>octroi d</w:t>
      </w:r>
      <w:r>
        <w:rPr>
          <w:lang w:val="fr-FR"/>
        </w:rPr>
        <w:t>’</w:t>
      </w:r>
      <w:r w:rsidRPr="00686CD4">
        <w:rPr>
          <w:lang w:val="fr-FR"/>
        </w:rPr>
        <w:t>une place plus importante aux recherches portant sur les nouvelles formes de traite d</w:t>
      </w:r>
      <w:r>
        <w:rPr>
          <w:lang w:val="fr-FR"/>
        </w:rPr>
        <w:t>’</w:t>
      </w:r>
      <w:r w:rsidRPr="00686CD4">
        <w:rPr>
          <w:lang w:val="fr-FR"/>
        </w:rPr>
        <w:t>êtres humains. Des ONG ont été consulté</w:t>
      </w:r>
      <w:r>
        <w:rPr>
          <w:lang w:val="fr-FR"/>
        </w:rPr>
        <w:t>e</w:t>
      </w:r>
      <w:r w:rsidRPr="00686CD4">
        <w:rPr>
          <w:lang w:val="fr-FR"/>
        </w:rPr>
        <w:t xml:space="preserve">s durant la préparation du troisième </w:t>
      </w:r>
      <w:r>
        <w:rPr>
          <w:lang w:val="fr-FR"/>
        </w:rPr>
        <w:t>P</w:t>
      </w:r>
      <w:r w:rsidRPr="00686CD4">
        <w:rPr>
          <w:lang w:val="fr-FR"/>
        </w:rPr>
        <w:t>lan d</w:t>
      </w:r>
      <w:r>
        <w:rPr>
          <w:lang w:val="fr-FR"/>
        </w:rPr>
        <w:t>’</w:t>
      </w:r>
      <w:r w:rsidRPr="00686CD4">
        <w:rPr>
          <w:lang w:val="fr-FR"/>
        </w:rPr>
        <w:t xml:space="preserve">action national </w:t>
      </w:r>
      <w:r>
        <w:rPr>
          <w:lang w:val="fr-FR"/>
        </w:rPr>
        <w:t xml:space="preserve">et </w:t>
      </w:r>
      <w:r w:rsidRPr="00686CD4">
        <w:rPr>
          <w:lang w:val="fr-FR"/>
        </w:rPr>
        <w:t>certaines de leurs suggestions ont été incluses dans le plan.</w:t>
      </w:r>
    </w:p>
    <w:p w:rsidR="002A7A34" w:rsidRPr="00686CD4" w:rsidRDefault="002A7A34" w:rsidP="00FF135C">
      <w:pPr>
        <w:pStyle w:val="H23G"/>
        <w:jc w:val="both"/>
        <w:rPr>
          <w:lang w:val="fr-FR"/>
        </w:rPr>
      </w:pPr>
      <w:r w:rsidRPr="00686CD4">
        <w:rPr>
          <w:lang w:val="fr-FR"/>
        </w:rPr>
        <w:tab/>
      </w:r>
      <w:r w:rsidRPr="00686CD4">
        <w:rPr>
          <w:lang w:val="fr-FR"/>
        </w:rPr>
        <w:tab/>
      </w:r>
      <w:r w:rsidR="00FF135C">
        <w:rPr>
          <w:lang w:val="fr-FR"/>
        </w:rPr>
        <w:tab/>
      </w:r>
      <w:r w:rsidRPr="00686CD4">
        <w:rPr>
          <w:lang w:val="fr-FR"/>
        </w:rPr>
        <w:t>d)</w:t>
      </w:r>
      <w:r w:rsidRPr="00686CD4">
        <w:rPr>
          <w:lang w:val="fr-FR"/>
        </w:rPr>
        <w:tab/>
      </w:r>
      <w:r w:rsidRPr="00686CD4">
        <w:rPr>
          <w:bCs/>
          <w:lang w:val="fr-FR"/>
        </w:rPr>
        <w:t>Les mesures prises pour sensibiliser et former les professionnels qui travaillent en première ligne à l</w:t>
      </w:r>
      <w:r>
        <w:rPr>
          <w:bCs/>
          <w:lang w:val="fr-FR"/>
        </w:rPr>
        <w:t>’</w:t>
      </w:r>
      <w:r w:rsidRPr="00686CD4">
        <w:rPr>
          <w:bCs/>
          <w:lang w:val="fr-FR"/>
        </w:rPr>
        <w:t>identification des victimes, et pour dispenser une formation aux agents de la force publique, aux procureurs, aux juges et aux inspecteurs du travail sur les procédures à suivre pour les enquêtes et les poursuites dans les affaires de traite, et sur les moyens d</w:t>
      </w:r>
      <w:r>
        <w:rPr>
          <w:bCs/>
          <w:lang w:val="fr-FR"/>
        </w:rPr>
        <w:t>’</w:t>
      </w:r>
      <w:r w:rsidRPr="00686CD4">
        <w:rPr>
          <w:bCs/>
          <w:lang w:val="fr-FR"/>
        </w:rPr>
        <w:t>aider et de protéger les victimes</w:t>
      </w:r>
      <w:r w:rsidR="00495D0F">
        <w:rPr>
          <w:bCs/>
          <w:lang w:val="fr-FR"/>
        </w:rPr>
        <w:t> ;</w:t>
      </w:r>
      <w:bookmarkStart w:id="21" w:name="_Toc532494624"/>
      <w:bookmarkEnd w:id="21"/>
    </w:p>
    <w:p w:rsidR="002A7A34" w:rsidRPr="00686CD4" w:rsidRDefault="002A7A34" w:rsidP="00FF135C">
      <w:pPr>
        <w:pStyle w:val="SingleTxtG"/>
        <w:rPr>
          <w:lang w:val="fr-FR"/>
        </w:rPr>
      </w:pPr>
      <w:r w:rsidRPr="00686CD4">
        <w:rPr>
          <w:lang w:val="fr-FR"/>
        </w:rPr>
        <w:t>111.</w:t>
      </w:r>
      <w:r w:rsidRPr="00686CD4">
        <w:rPr>
          <w:lang w:val="fr-FR"/>
        </w:rPr>
        <w:tab/>
        <w:t>Voir également la réponse donnée au paragraphe</w:t>
      </w:r>
      <w:r>
        <w:rPr>
          <w:lang w:val="fr-FR"/>
        </w:rPr>
        <w:t> </w:t>
      </w:r>
      <w:r w:rsidRPr="00686CD4">
        <w:rPr>
          <w:lang w:val="fr-FR"/>
        </w:rPr>
        <w:t>4 b).</w:t>
      </w:r>
    </w:p>
    <w:p w:rsidR="002A7A34" w:rsidRPr="00686CD4" w:rsidRDefault="002A7A34" w:rsidP="00FF135C">
      <w:pPr>
        <w:pStyle w:val="SingleTxtG"/>
        <w:rPr>
          <w:lang w:val="fr-FR"/>
        </w:rPr>
      </w:pPr>
      <w:r w:rsidRPr="00686CD4">
        <w:rPr>
          <w:lang w:val="fr-FR"/>
        </w:rPr>
        <w:t>112.</w:t>
      </w:r>
      <w:r w:rsidRPr="00686CD4">
        <w:rPr>
          <w:lang w:val="fr-FR"/>
        </w:rPr>
        <w:tab/>
        <w:t>La formation est un domaine prioritaire de chaque plan d</w:t>
      </w:r>
      <w:r>
        <w:rPr>
          <w:lang w:val="fr-FR"/>
        </w:rPr>
        <w:t>’</w:t>
      </w:r>
      <w:r w:rsidRPr="00686CD4">
        <w:rPr>
          <w:lang w:val="fr-FR"/>
        </w:rPr>
        <w:t xml:space="preserve">action national de lutte contre la traite des êtres humains. Elle est considérée comme un processus continu et est dispensée à une large gamme de parties prenantes, notamment les professionnels de la santé, les agents de la force publique, les juges et les procureurs, les autorités </w:t>
      </w:r>
      <w:r>
        <w:rPr>
          <w:lang w:val="fr-FR"/>
        </w:rPr>
        <w:t xml:space="preserve">chargées des questions de </w:t>
      </w:r>
      <w:r w:rsidRPr="00686CD4">
        <w:rPr>
          <w:lang w:val="fr-FR"/>
        </w:rPr>
        <w:t xml:space="preserve">travail et </w:t>
      </w:r>
      <w:r>
        <w:rPr>
          <w:lang w:val="fr-FR"/>
        </w:rPr>
        <w:t>l</w:t>
      </w:r>
      <w:r w:rsidRPr="00686CD4">
        <w:rPr>
          <w:lang w:val="fr-FR"/>
        </w:rPr>
        <w:t xml:space="preserve">es ONG. </w:t>
      </w:r>
    </w:p>
    <w:p w:rsidR="002A7A34" w:rsidRPr="00686CD4" w:rsidRDefault="002A7A34" w:rsidP="003B5019">
      <w:pPr>
        <w:pStyle w:val="SingleTxtG"/>
        <w:spacing w:after="100" w:line="238" w:lineRule="atLeast"/>
        <w:rPr>
          <w:lang w:val="fr-FR"/>
        </w:rPr>
      </w:pPr>
      <w:r w:rsidRPr="00686CD4">
        <w:rPr>
          <w:lang w:val="fr-FR"/>
        </w:rPr>
        <w:t>113.</w:t>
      </w:r>
      <w:r w:rsidRPr="00686CD4">
        <w:rPr>
          <w:lang w:val="fr-FR"/>
        </w:rPr>
        <w:tab/>
      </w:r>
      <w:r w:rsidRPr="008E7010">
        <w:rPr>
          <w:lang w:val="fr-FR"/>
        </w:rPr>
        <w:t>Le Mécanisme national d</w:t>
      </w:r>
      <w:r>
        <w:rPr>
          <w:lang w:val="fr-FR"/>
        </w:rPr>
        <w:t>’</w:t>
      </w:r>
      <w:r w:rsidRPr="008E7010">
        <w:rPr>
          <w:lang w:val="fr-FR"/>
        </w:rPr>
        <w:t>orientation définit les procédures à suivre pour signaler les</w:t>
      </w:r>
      <w:r>
        <w:rPr>
          <w:lang w:val="fr-FR"/>
        </w:rPr>
        <w:t xml:space="preserve"> faits de traite</w:t>
      </w:r>
      <w:r w:rsidRPr="008E7010">
        <w:rPr>
          <w:lang w:val="fr-FR"/>
        </w:rPr>
        <w:t xml:space="preserve">, identifier </w:t>
      </w:r>
      <w:r>
        <w:rPr>
          <w:lang w:val="fr-FR"/>
        </w:rPr>
        <w:t>les victimes</w:t>
      </w:r>
      <w:r w:rsidRPr="008E7010">
        <w:rPr>
          <w:lang w:val="fr-FR"/>
        </w:rPr>
        <w:t xml:space="preserve"> et leur apporter une aide, et attribue les rôles et les responsabilités aux différentes parties prenantes concernées. Le diagramme décrivant ce mécanisme a été publié en même temps que des directives pour le signalement des victimes présumées de traite</w:t>
      </w:r>
      <w:r w:rsidRPr="00686CD4">
        <w:rPr>
          <w:lang w:val="fr-FR"/>
        </w:rPr>
        <w:t xml:space="preserve">. </w:t>
      </w:r>
      <w:r w:rsidRPr="004332B7">
        <w:rPr>
          <w:lang w:val="fr-FR"/>
        </w:rPr>
        <w:t>Trois outils conçus pour identifier au premier niveau les victimes de différentes formes de traite (respectivement l</w:t>
      </w:r>
      <w:r>
        <w:rPr>
          <w:lang w:val="fr-FR"/>
        </w:rPr>
        <w:t>’</w:t>
      </w:r>
      <w:r w:rsidRPr="004332B7">
        <w:rPr>
          <w:lang w:val="fr-FR"/>
        </w:rPr>
        <w:t>exploitation sexuelle, l</w:t>
      </w:r>
      <w:r>
        <w:rPr>
          <w:lang w:val="fr-FR"/>
        </w:rPr>
        <w:t>’</w:t>
      </w:r>
      <w:r w:rsidRPr="004332B7">
        <w:rPr>
          <w:lang w:val="fr-FR"/>
        </w:rPr>
        <w:t>exploitation économique et la mendicité forcée et autre</w:t>
      </w:r>
      <w:r>
        <w:rPr>
          <w:lang w:val="fr-FR"/>
        </w:rPr>
        <w:t>s</w:t>
      </w:r>
      <w:r w:rsidRPr="004332B7">
        <w:rPr>
          <w:lang w:val="fr-FR"/>
        </w:rPr>
        <w:t xml:space="preserve"> activités illicites), parmi lesquels des indicateurs officiels pour l</w:t>
      </w:r>
      <w:r>
        <w:rPr>
          <w:lang w:val="fr-FR"/>
        </w:rPr>
        <w:t>’</w:t>
      </w:r>
      <w:r w:rsidRPr="004332B7">
        <w:rPr>
          <w:lang w:val="fr-FR"/>
        </w:rPr>
        <w:t>identification de ces victimes</w:t>
      </w:r>
      <w:r>
        <w:rPr>
          <w:lang w:val="fr-FR"/>
        </w:rPr>
        <w:t>,</w:t>
      </w:r>
      <w:r w:rsidRPr="004332B7">
        <w:rPr>
          <w:lang w:val="fr-FR"/>
        </w:rPr>
        <w:t xml:space="preserve"> ont été mis au point dans le cadre du projet pour l</w:t>
      </w:r>
      <w:r>
        <w:rPr>
          <w:lang w:val="fr-FR"/>
        </w:rPr>
        <w:t>’</w:t>
      </w:r>
      <w:r w:rsidRPr="004332B7">
        <w:rPr>
          <w:lang w:val="fr-FR"/>
        </w:rPr>
        <w:t>élaboration de directives et de procédures communes d</w:t>
      </w:r>
      <w:r>
        <w:rPr>
          <w:lang w:val="fr-FR"/>
        </w:rPr>
        <w:t>’</w:t>
      </w:r>
      <w:r w:rsidRPr="004332B7">
        <w:rPr>
          <w:lang w:val="fr-FR"/>
        </w:rPr>
        <w:t xml:space="preserve">identification des </w:t>
      </w:r>
      <w:r>
        <w:rPr>
          <w:lang w:val="fr-FR"/>
        </w:rPr>
        <w:lastRenderedPageBreak/>
        <w:t>victimes de traite</w:t>
      </w:r>
      <w:r w:rsidRPr="004332B7">
        <w:rPr>
          <w:lang w:val="fr-FR"/>
        </w:rPr>
        <w:t xml:space="preserve"> financé par l</w:t>
      </w:r>
      <w:r>
        <w:rPr>
          <w:lang w:val="fr-FR"/>
        </w:rPr>
        <w:t>’</w:t>
      </w:r>
      <w:r w:rsidRPr="004332B7">
        <w:rPr>
          <w:lang w:val="fr-FR"/>
        </w:rPr>
        <w:t>Union européenne (</w:t>
      </w:r>
      <w:proofErr w:type="spellStart"/>
      <w:r w:rsidRPr="004332B7">
        <w:rPr>
          <w:lang w:val="fr-FR"/>
        </w:rPr>
        <w:t>CoGuideID</w:t>
      </w:r>
      <w:proofErr w:type="spellEnd"/>
      <w:r w:rsidR="00A664FF">
        <w:rPr>
          <w:lang w:val="fr-FR"/>
        </w:rPr>
        <w:t>−THB</w:t>
      </w:r>
      <w:r w:rsidRPr="004332B7">
        <w:rPr>
          <w:lang w:val="fr-FR"/>
        </w:rPr>
        <w:t>) en</w:t>
      </w:r>
      <w:r w:rsidR="00FF135C">
        <w:rPr>
          <w:lang w:val="fr-FR"/>
        </w:rPr>
        <w:t xml:space="preserve"> </w:t>
      </w:r>
      <w:r w:rsidRPr="004332B7">
        <w:rPr>
          <w:lang w:val="fr-FR"/>
        </w:rPr>
        <w:t>2013. Les lignes directrices et les outils ont été communiqués à toutes les parties prenantes participant au Mécanisme national d</w:t>
      </w:r>
      <w:r>
        <w:rPr>
          <w:lang w:val="fr-FR"/>
        </w:rPr>
        <w:t>’</w:t>
      </w:r>
      <w:r w:rsidRPr="004332B7">
        <w:rPr>
          <w:lang w:val="fr-FR"/>
        </w:rPr>
        <w:t>orientation</w:t>
      </w:r>
      <w:r w:rsidR="00A664FF">
        <w:rPr>
          <w:lang w:val="fr-FR"/>
        </w:rPr>
        <w:t>.</w:t>
      </w:r>
    </w:p>
    <w:p w:rsidR="002A7A34" w:rsidRPr="00686CD4" w:rsidRDefault="002A7A34" w:rsidP="003B5019">
      <w:pPr>
        <w:pStyle w:val="SingleTxtG"/>
        <w:spacing w:after="100" w:line="238" w:lineRule="atLeast"/>
        <w:rPr>
          <w:lang w:val="fr-FR"/>
        </w:rPr>
      </w:pPr>
      <w:r w:rsidRPr="00686CD4">
        <w:rPr>
          <w:lang w:val="fr-FR"/>
        </w:rPr>
        <w:t>114.</w:t>
      </w:r>
      <w:r w:rsidRPr="00686CD4">
        <w:rPr>
          <w:lang w:val="fr-FR"/>
        </w:rPr>
        <w:tab/>
        <w:t xml:space="preserve">La formation initiale et la formation continue </w:t>
      </w:r>
      <w:r>
        <w:rPr>
          <w:lang w:val="fr-FR"/>
        </w:rPr>
        <w:t xml:space="preserve">dispensées aux </w:t>
      </w:r>
      <w:r w:rsidRPr="00686CD4">
        <w:rPr>
          <w:lang w:val="fr-FR"/>
        </w:rPr>
        <w:t>procureur</w:t>
      </w:r>
      <w:r>
        <w:rPr>
          <w:lang w:val="fr-FR"/>
        </w:rPr>
        <w:t>s</w:t>
      </w:r>
      <w:r w:rsidRPr="00686CD4">
        <w:rPr>
          <w:lang w:val="fr-FR"/>
        </w:rPr>
        <w:t xml:space="preserve"> et au</w:t>
      </w:r>
      <w:r>
        <w:rPr>
          <w:lang w:val="fr-FR"/>
        </w:rPr>
        <w:t>x</w:t>
      </w:r>
      <w:r w:rsidRPr="00686CD4">
        <w:rPr>
          <w:lang w:val="fr-FR"/>
        </w:rPr>
        <w:t xml:space="preserve"> juge</w:t>
      </w:r>
      <w:r>
        <w:rPr>
          <w:lang w:val="fr-FR"/>
        </w:rPr>
        <w:t>s</w:t>
      </w:r>
      <w:r w:rsidRPr="00686CD4">
        <w:rPr>
          <w:lang w:val="fr-FR"/>
        </w:rPr>
        <w:t xml:space="preserve"> par le </w:t>
      </w:r>
      <w:r>
        <w:rPr>
          <w:lang w:val="fr-FR"/>
        </w:rPr>
        <w:t>C</w:t>
      </w:r>
      <w:r w:rsidRPr="00686CD4">
        <w:rPr>
          <w:lang w:val="fr-FR"/>
        </w:rPr>
        <w:t>entre d</w:t>
      </w:r>
      <w:r>
        <w:rPr>
          <w:lang w:val="fr-FR"/>
        </w:rPr>
        <w:t xml:space="preserve">es </w:t>
      </w:r>
      <w:r w:rsidRPr="00686CD4">
        <w:rPr>
          <w:lang w:val="fr-FR"/>
        </w:rPr>
        <w:t>études judiciaires compren</w:t>
      </w:r>
      <w:r>
        <w:rPr>
          <w:lang w:val="fr-FR"/>
        </w:rPr>
        <w:t xml:space="preserve">nent </w:t>
      </w:r>
      <w:r w:rsidRPr="00686CD4">
        <w:rPr>
          <w:lang w:val="fr-FR"/>
        </w:rPr>
        <w:t>des modules sur la violence intrafamiliale, la traite des êtres humains et les questions d</w:t>
      </w:r>
      <w:r>
        <w:rPr>
          <w:lang w:val="fr-FR"/>
        </w:rPr>
        <w:t>’</w:t>
      </w:r>
      <w:r w:rsidRPr="00686CD4">
        <w:rPr>
          <w:lang w:val="fr-FR"/>
        </w:rPr>
        <w:t>asile. En</w:t>
      </w:r>
      <w:r w:rsidR="00FF135C">
        <w:rPr>
          <w:lang w:val="fr-FR"/>
        </w:rPr>
        <w:t xml:space="preserve"> </w:t>
      </w:r>
      <w:r w:rsidRPr="00686CD4">
        <w:rPr>
          <w:lang w:val="fr-FR"/>
        </w:rPr>
        <w:t xml:space="preserve">2016, </w:t>
      </w:r>
      <w:r>
        <w:rPr>
          <w:lang w:val="fr-FR"/>
        </w:rPr>
        <w:t>c</w:t>
      </w:r>
      <w:r w:rsidRPr="00686CD4">
        <w:rPr>
          <w:lang w:val="fr-FR"/>
        </w:rPr>
        <w:t xml:space="preserve">e </w:t>
      </w:r>
      <w:r w:rsidR="00A664FF">
        <w:rPr>
          <w:lang w:val="fr-FR"/>
        </w:rPr>
        <w:t>c</w:t>
      </w:r>
      <w:r w:rsidRPr="00686CD4">
        <w:rPr>
          <w:lang w:val="fr-FR"/>
        </w:rPr>
        <w:t xml:space="preserve">entre a </w:t>
      </w:r>
      <w:r>
        <w:rPr>
          <w:lang w:val="fr-FR"/>
        </w:rPr>
        <w:t xml:space="preserve">organisé </w:t>
      </w:r>
      <w:r w:rsidRPr="00686CD4">
        <w:rPr>
          <w:lang w:val="fr-FR"/>
        </w:rPr>
        <w:t>des sessions portant sur la traite des êtres humains (221</w:t>
      </w:r>
      <w:r>
        <w:rPr>
          <w:lang w:val="fr-FR"/>
        </w:rPr>
        <w:t> </w:t>
      </w:r>
      <w:r w:rsidRPr="00686CD4">
        <w:rPr>
          <w:lang w:val="fr-FR"/>
        </w:rPr>
        <w:t>participants), le droit des étrangers (67</w:t>
      </w:r>
      <w:r>
        <w:rPr>
          <w:lang w:val="fr-FR"/>
        </w:rPr>
        <w:t> </w:t>
      </w:r>
      <w:r w:rsidRPr="00686CD4">
        <w:rPr>
          <w:lang w:val="fr-FR"/>
        </w:rPr>
        <w:t>participants), la violence sexiste, la violence intrafamiliale et les mutilations génitales féminines (165</w:t>
      </w:r>
      <w:r>
        <w:rPr>
          <w:lang w:val="fr-FR"/>
        </w:rPr>
        <w:t> </w:t>
      </w:r>
      <w:r w:rsidRPr="00686CD4">
        <w:rPr>
          <w:lang w:val="fr-FR"/>
        </w:rPr>
        <w:t>participants)</w:t>
      </w:r>
      <w:r>
        <w:rPr>
          <w:lang w:val="fr-FR"/>
        </w:rPr>
        <w:t>,</w:t>
      </w:r>
      <w:r w:rsidRPr="00686CD4">
        <w:rPr>
          <w:lang w:val="fr-FR"/>
        </w:rPr>
        <w:t xml:space="preserve"> et les victimes en droit pénal (183</w:t>
      </w:r>
      <w:r>
        <w:rPr>
          <w:lang w:val="fr-FR"/>
        </w:rPr>
        <w:t> </w:t>
      </w:r>
      <w:r w:rsidRPr="00686CD4">
        <w:rPr>
          <w:lang w:val="fr-FR"/>
        </w:rPr>
        <w:t>participants)</w:t>
      </w:r>
      <w:r>
        <w:rPr>
          <w:lang w:val="fr-FR"/>
        </w:rPr>
        <w:t xml:space="preserve">. </w:t>
      </w:r>
      <w:r w:rsidRPr="00686CD4">
        <w:rPr>
          <w:lang w:val="fr-FR"/>
        </w:rPr>
        <w:t xml:space="preserve">Le </w:t>
      </w:r>
      <w:r>
        <w:rPr>
          <w:lang w:val="fr-FR"/>
        </w:rPr>
        <w:t>C</w:t>
      </w:r>
      <w:r w:rsidRPr="00686CD4">
        <w:rPr>
          <w:lang w:val="fr-FR"/>
        </w:rPr>
        <w:t xml:space="preserve">entre </w:t>
      </w:r>
      <w:r>
        <w:rPr>
          <w:lang w:val="fr-FR"/>
        </w:rPr>
        <w:t xml:space="preserve">des études judiciaires </w:t>
      </w:r>
      <w:r w:rsidRPr="00686CD4">
        <w:rPr>
          <w:lang w:val="fr-FR"/>
        </w:rPr>
        <w:t xml:space="preserve">publie </w:t>
      </w:r>
      <w:r>
        <w:rPr>
          <w:lang w:val="fr-FR"/>
        </w:rPr>
        <w:t xml:space="preserve">aussi </w:t>
      </w:r>
      <w:r w:rsidRPr="00686CD4">
        <w:rPr>
          <w:lang w:val="fr-FR"/>
        </w:rPr>
        <w:t xml:space="preserve">des ouvrages </w:t>
      </w:r>
      <w:r>
        <w:rPr>
          <w:lang w:val="fr-FR"/>
        </w:rPr>
        <w:t xml:space="preserve">consacrés à ces sujets qui sont </w:t>
      </w:r>
      <w:r w:rsidRPr="00686CD4">
        <w:rPr>
          <w:lang w:val="fr-FR"/>
        </w:rPr>
        <w:t xml:space="preserve">accessibles </w:t>
      </w:r>
      <w:r>
        <w:rPr>
          <w:lang w:val="fr-FR"/>
        </w:rPr>
        <w:t xml:space="preserve">gratuitement </w:t>
      </w:r>
      <w:r w:rsidRPr="00686CD4">
        <w:rPr>
          <w:lang w:val="fr-FR"/>
        </w:rPr>
        <w:t xml:space="preserve">sur son site </w:t>
      </w:r>
      <w:r>
        <w:rPr>
          <w:lang w:val="fr-FR"/>
        </w:rPr>
        <w:t>W</w:t>
      </w:r>
      <w:r w:rsidRPr="00686CD4">
        <w:rPr>
          <w:lang w:val="fr-FR"/>
        </w:rPr>
        <w:t>eb</w:t>
      </w:r>
      <w:r w:rsidRPr="00F16A9E">
        <w:rPr>
          <w:rStyle w:val="Appelnotedebasdep"/>
        </w:rPr>
        <w:footnoteReference w:id="8"/>
      </w:r>
      <w:r>
        <w:rPr>
          <w:lang w:val="fr-FR"/>
        </w:rPr>
        <w:t>.</w:t>
      </w:r>
      <w:r w:rsidR="00495D0F">
        <w:rPr>
          <w:lang w:val="fr-FR"/>
        </w:rPr>
        <w:t xml:space="preserve"> </w:t>
      </w:r>
      <w:r w:rsidRPr="00686CD4">
        <w:rPr>
          <w:lang w:val="fr-FR"/>
        </w:rPr>
        <w:t>Il a assur</w:t>
      </w:r>
      <w:r>
        <w:rPr>
          <w:lang w:val="fr-FR"/>
        </w:rPr>
        <w:t xml:space="preserve">é </w:t>
      </w:r>
      <w:r w:rsidRPr="00686CD4">
        <w:rPr>
          <w:lang w:val="fr-FR"/>
        </w:rPr>
        <w:t>une formation aux procureurs et au</w:t>
      </w:r>
      <w:r>
        <w:rPr>
          <w:lang w:val="fr-FR"/>
        </w:rPr>
        <w:t>x</w:t>
      </w:r>
      <w:r w:rsidRPr="00686CD4">
        <w:rPr>
          <w:lang w:val="fr-FR"/>
        </w:rPr>
        <w:t xml:space="preserve"> ju</w:t>
      </w:r>
      <w:r>
        <w:rPr>
          <w:lang w:val="fr-FR"/>
        </w:rPr>
        <w:t>ges</w:t>
      </w:r>
      <w:r w:rsidRPr="00686CD4">
        <w:rPr>
          <w:lang w:val="fr-FR"/>
        </w:rPr>
        <w:t xml:space="preserve"> au cours de chacune des années couvertes par le troisième </w:t>
      </w:r>
      <w:r>
        <w:rPr>
          <w:lang w:val="fr-FR"/>
        </w:rPr>
        <w:t>P</w:t>
      </w:r>
      <w:r w:rsidRPr="00686CD4">
        <w:rPr>
          <w:lang w:val="fr-FR"/>
        </w:rPr>
        <w:t>lan national</w:t>
      </w:r>
      <w:r>
        <w:rPr>
          <w:lang w:val="fr-FR"/>
        </w:rPr>
        <w:t>, et c</w:t>
      </w:r>
      <w:r w:rsidRPr="00686CD4">
        <w:rPr>
          <w:lang w:val="fr-FR"/>
        </w:rPr>
        <w:t xml:space="preserve">es activités ont </w:t>
      </w:r>
      <w:r>
        <w:rPr>
          <w:lang w:val="fr-FR"/>
        </w:rPr>
        <w:t>bénéficié</w:t>
      </w:r>
      <w:r w:rsidRPr="00686CD4">
        <w:rPr>
          <w:lang w:val="fr-FR"/>
        </w:rPr>
        <w:t xml:space="preserve">, au total, </w:t>
      </w:r>
      <w:r>
        <w:rPr>
          <w:lang w:val="fr-FR"/>
        </w:rPr>
        <w:t xml:space="preserve">à </w:t>
      </w:r>
      <w:r w:rsidRPr="00686CD4">
        <w:rPr>
          <w:lang w:val="fr-FR"/>
        </w:rPr>
        <w:t>936</w:t>
      </w:r>
      <w:r>
        <w:rPr>
          <w:lang w:val="fr-FR"/>
        </w:rPr>
        <w:t> </w:t>
      </w:r>
      <w:r w:rsidRPr="00686CD4">
        <w:rPr>
          <w:lang w:val="fr-FR"/>
        </w:rPr>
        <w:t>magistrats pendant les quatre années du plan. .</w:t>
      </w:r>
    </w:p>
    <w:p w:rsidR="002A7A34" w:rsidRPr="00686CD4" w:rsidRDefault="002A7A34" w:rsidP="003B5019">
      <w:pPr>
        <w:pStyle w:val="SingleTxtG"/>
        <w:spacing w:after="100" w:line="238" w:lineRule="atLeast"/>
        <w:rPr>
          <w:lang w:val="fr-FR"/>
        </w:rPr>
      </w:pPr>
      <w:r w:rsidRPr="00686CD4">
        <w:rPr>
          <w:lang w:val="fr-FR"/>
        </w:rPr>
        <w:t>115.</w:t>
      </w:r>
      <w:r w:rsidRPr="00686CD4">
        <w:rPr>
          <w:lang w:val="fr-FR"/>
        </w:rPr>
        <w:tab/>
        <w:t>En</w:t>
      </w:r>
      <w:r w:rsidR="00FF135C">
        <w:rPr>
          <w:lang w:val="fr-FR"/>
        </w:rPr>
        <w:t xml:space="preserve"> </w:t>
      </w:r>
      <w:r w:rsidRPr="00686CD4">
        <w:rPr>
          <w:lang w:val="fr-FR"/>
        </w:rPr>
        <w:t>2016, 108</w:t>
      </w:r>
      <w:r>
        <w:rPr>
          <w:lang w:val="fr-FR"/>
        </w:rPr>
        <w:t> </w:t>
      </w:r>
      <w:r w:rsidRPr="00686CD4">
        <w:rPr>
          <w:lang w:val="fr-FR"/>
        </w:rPr>
        <w:t>personnes ont participé à plusieurs activités de formation portant sur la traite d</w:t>
      </w:r>
      <w:r>
        <w:rPr>
          <w:lang w:val="fr-FR"/>
        </w:rPr>
        <w:t>’</w:t>
      </w:r>
      <w:r w:rsidRPr="00686CD4">
        <w:rPr>
          <w:lang w:val="fr-FR"/>
        </w:rPr>
        <w:t>êtres humains organisé</w:t>
      </w:r>
      <w:r>
        <w:rPr>
          <w:lang w:val="fr-FR"/>
        </w:rPr>
        <w:t>e</w:t>
      </w:r>
      <w:r w:rsidRPr="00686CD4">
        <w:rPr>
          <w:lang w:val="fr-FR"/>
        </w:rPr>
        <w:t>s par le Service de l</w:t>
      </w:r>
      <w:r>
        <w:rPr>
          <w:lang w:val="fr-FR"/>
        </w:rPr>
        <w:t>’</w:t>
      </w:r>
      <w:r w:rsidRPr="00686CD4">
        <w:rPr>
          <w:lang w:val="fr-FR"/>
        </w:rPr>
        <w:t>immigration et des frontières. Le</w:t>
      </w:r>
      <w:r w:rsidR="00FF135C">
        <w:rPr>
          <w:lang w:val="fr-FR"/>
        </w:rPr>
        <w:t> </w:t>
      </w:r>
      <w:r>
        <w:rPr>
          <w:lang w:val="fr-FR"/>
        </w:rPr>
        <w:t xml:space="preserve">contenu </w:t>
      </w:r>
      <w:r w:rsidRPr="00686CD4">
        <w:rPr>
          <w:lang w:val="fr-FR"/>
        </w:rPr>
        <w:t>de ces formations était basé sur le programme de cours de l</w:t>
      </w:r>
      <w:r>
        <w:rPr>
          <w:lang w:val="fr-FR"/>
        </w:rPr>
        <w:t>’A</w:t>
      </w:r>
      <w:r w:rsidRPr="00686CD4">
        <w:rPr>
          <w:lang w:val="fr-FR"/>
        </w:rPr>
        <w:t xml:space="preserve">gence européenne de </w:t>
      </w:r>
      <w:proofErr w:type="spellStart"/>
      <w:r w:rsidRPr="00686CD4">
        <w:rPr>
          <w:lang w:val="fr-FR"/>
        </w:rPr>
        <w:t>gardes</w:t>
      </w:r>
      <w:r w:rsidR="00ED1DDB">
        <w:rPr>
          <w:lang w:val="fr-FR"/>
        </w:rPr>
        <w:t xml:space="preserve"> </w:t>
      </w:r>
      <w:r w:rsidRPr="00686CD4">
        <w:rPr>
          <w:lang w:val="fr-FR"/>
        </w:rPr>
        <w:t>frontière</w:t>
      </w:r>
      <w:proofErr w:type="spellEnd"/>
      <w:r w:rsidRPr="00686CD4">
        <w:rPr>
          <w:lang w:val="fr-FR"/>
        </w:rPr>
        <w:t xml:space="preserve"> et de </w:t>
      </w:r>
      <w:proofErr w:type="spellStart"/>
      <w:r w:rsidRPr="00686CD4">
        <w:rPr>
          <w:lang w:val="fr-FR"/>
        </w:rPr>
        <w:t>garde</w:t>
      </w:r>
      <w:r w:rsidR="00ED1DDB">
        <w:rPr>
          <w:lang w:val="fr-FR"/>
        </w:rPr>
        <w:t>s</w:t>
      </w:r>
      <w:r w:rsidRPr="00686CD4">
        <w:rPr>
          <w:lang w:val="fr-FR"/>
        </w:rPr>
        <w:t>-côtes</w:t>
      </w:r>
      <w:proofErr w:type="spellEnd"/>
      <w:r w:rsidRPr="00686CD4">
        <w:rPr>
          <w:lang w:val="fr-FR"/>
        </w:rPr>
        <w:t xml:space="preserve"> (FRONTEX</w:t>
      </w:r>
      <w:r>
        <w:rPr>
          <w:lang w:val="fr-FR"/>
        </w:rPr>
        <w:t>)</w:t>
      </w:r>
      <w:r w:rsidRPr="00686CD4">
        <w:rPr>
          <w:lang w:val="fr-FR"/>
        </w:rPr>
        <w:t>.</w:t>
      </w:r>
    </w:p>
    <w:p w:rsidR="002A7A34" w:rsidRPr="00686CD4" w:rsidRDefault="002A7A34" w:rsidP="003B5019">
      <w:pPr>
        <w:pStyle w:val="SingleTxtG"/>
        <w:spacing w:after="100" w:line="238" w:lineRule="atLeast"/>
        <w:rPr>
          <w:lang w:val="fr-FR"/>
        </w:rPr>
      </w:pPr>
      <w:r w:rsidRPr="00686CD4">
        <w:rPr>
          <w:lang w:val="fr-FR"/>
        </w:rPr>
        <w:t>116.</w:t>
      </w:r>
      <w:r w:rsidRPr="00686CD4">
        <w:rPr>
          <w:lang w:val="fr-FR"/>
        </w:rPr>
        <w:tab/>
      </w:r>
      <w:r>
        <w:rPr>
          <w:lang w:val="fr-FR"/>
        </w:rPr>
        <w:t>Dans le cadre de ses activités extérieures, l</w:t>
      </w:r>
      <w:r w:rsidRPr="00686CD4">
        <w:rPr>
          <w:lang w:val="fr-FR"/>
        </w:rPr>
        <w:t>e Service de l</w:t>
      </w:r>
      <w:r>
        <w:rPr>
          <w:lang w:val="fr-FR"/>
        </w:rPr>
        <w:t>’</w:t>
      </w:r>
      <w:r w:rsidRPr="00686CD4">
        <w:rPr>
          <w:lang w:val="fr-FR"/>
        </w:rPr>
        <w:t xml:space="preserve">immigration et des frontières, </w:t>
      </w:r>
      <w:r>
        <w:rPr>
          <w:lang w:val="fr-FR"/>
        </w:rPr>
        <w:t xml:space="preserve">en collaboration avec </w:t>
      </w:r>
      <w:r w:rsidR="00394763" w:rsidRPr="00686CD4">
        <w:rPr>
          <w:lang w:val="fr-FR"/>
        </w:rPr>
        <w:t>FRONTEX,</w:t>
      </w:r>
      <w:r w:rsidR="00394763">
        <w:rPr>
          <w:lang w:val="fr-FR"/>
        </w:rPr>
        <w:t xml:space="preserve"> </w:t>
      </w:r>
      <w:r w:rsidR="00394763" w:rsidRPr="00686CD4">
        <w:rPr>
          <w:lang w:val="fr-FR"/>
        </w:rPr>
        <w:t xml:space="preserve">Europol et </w:t>
      </w:r>
      <w:r w:rsidRPr="00686CD4">
        <w:rPr>
          <w:lang w:val="fr-FR"/>
        </w:rPr>
        <w:t>INTERPOL, co</w:t>
      </w:r>
      <w:r>
        <w:rPr>
          <w:lang w:val="fr-FR"/>
        </w:rPr>
        <w:t xml:space="preserve">opère étroitement </w:t>
      </w:r>
      <w:r w:rsidRPr="00686CD4">
        <w:rPr>
          <w:lang w:val="fr-FR"/>
        </w:rPr>
        <w:t>avec d</w:t>
      </w:r>
      <w:r>
        <w:rPr>
          <w:lang w:val="fr-FR"/>
        </w:rPr>
        <w:t>’</w:t>
      </w:r>
      <w:r w:rsidRPr="00686CD4">
        <w:rPr>
          <w:lang w:val="fr-FR"/>
        </w:rPr>
        <w:t xml:space="preserve">autres pays </w:t>
      </w:r>
      <w:r>
        <w:rPr>
          <w:lang w:val="fr-FR"/>
        </w:rPr>
        <w:t xml:space="preserve">à des </w:t>
      </w:r>
      <w:r w:rsidRPr="00686CD4">
        <w:rPr>
          <w:lang w:val="fr-FR"/>
        </w:rPr>
        <w:t xml:space="preserve">enquêtes pénales conjointes, </w:t>
      </w:r>
      <w:r>
        <w:rPr>
          <w:lang w:val="fr-FR"/>
        </w:rPr>
        <w:t xml:space="preserve">à des opérations </w:t>
      </w:r>
      <w:r w:rsidRPr="00686CD4">
        <w:rPr>
          <w:lang w:val="fr-FR"/>
        </w:rPr>
        <w:t>européennes de lutte contre la traite des êtres humains et</w:t>
      </w:r>
      <w:r>
        <w:rPr>
          <w:lang w:val="fr-FR"/>
        </w:rPr>
        <w:t>,</w:t>
      </w:r>
      <w:r w:rsidRPr="00686CD4">
        <w:rPr>
          <w:lang w:val="fr-FR"/>
        </w:rPr>
        <w:t xml:space="preserve"> notamment</w:t>
      </w:r>
      <w:r>
        <w:rPr>
          <w:lang w:val="fr-FR"/>
        </w:rPr>
        <w:t>,</w:t>
      </w:r>
      <w:r w:rsidRPr="00686CD4">
        <w:rPr>
          <w:lang w:val="fr-FR"/>
        </w:rPr>
        <w:t xml:space="preserve"> a</w:t>
      </w:r>
      <w:r>
        <w:rPr>
          <w:lang w:val="fr-FR"/>
        </w:rPr>
        <w:t>u</w:t>
      </w:r>
      <w:r w:rsidRPr="00686CD4">
        <w:rPr>
          <w:lang w:val="fr-FR"/>
        </w:rPr>
        <w:t>x Journées d</w:t>
      </w:r>
      <w:r>
        <w:rPr>
          <w:lang w:val="fr-FR"/>
        </w:rPr>
        <w:t>’</w:t>
      </w:r>
      <w:r w:rsidRPr="00686CD4">
        <w:rPr>
          <w:lang w:val="fr-FR"/>
        </w:rPr>
        <w:t>action commune, à divers programmes de formation, à des conférences et à des séminaires ainsi qu</w:t>
      </w:r>
      <w:r>
        <w:rPr>
          <w:lang w:val="fr-FR"/>
        </w:rPr>
        <w:t>’</w:t>
      </w:r>
      <w:r w:rsidRPr="00686CD4">
        <w:rPr>
          <w:lang w:val="fr-FR"/>
        </w:rPr>
        <w:t xml:space="preserve">à des groupes de travail </w:t>
      </w:r>
      <w:r>
        <w:rPr>
          <w:lang w:val="fr-FR"/>
        </w:rPr>
        <w:t>œuvrant dans ce domaine</w:t>
      </w:r>
      <w:r w:rsidRPr="00686CD4">
        <w:rPr>
          <w:lang w:val="fr-FR"/>
        </w:rPr>
        <w:t>.</w:t>
      </w:r>
    </w:p>
    <w:p w:rsidR="002A7A34" w:rsidRPr="00686CD4" w:rsidRDefault="002A7A34" w:rsidP="003B5019">
      <w:pPr>
        <w:pStyle w:val="SingleTxtG"/>
        <w:spacing w:after="100" w:line="238" w:lineRule="atLeast"/>
        <w:rPr>
          <w:lang w:val="fr-FR"/>
        </w:rPr>
      </w:pPr>
      <w:r w:rsidRPr="00686CD4">
        <w:rPr>
          <w:lang w:val="fr-FR"/>
        </w:rPr>
        <w:t>117.</w:t>
      </w:r>
      <w:r w:rsidRPr="00686CD4">
        <w:rPr>
          <w:lang w:val="fr-FR"/>
        </w:rPr>
        <w:tab/>
      </w:r>
      <w:r w:rsidRPr="00394763">
        <w:rPr>
          <w:spacing w:val="-2"/>
          <w:lang w:val="fr-FR"/>
        </w:rPr>
        <w:t xml:space="preserve">L’Observatoire de la traite d’êtres humains a poursuivi d’importantes activités, telles que les programmes de formation poursuivis </w:t>
      </w:r>
      <w:r w:rsidR="00B545C2" w:rsidRPr="00394763">
        <w:rPr>
          <w:spacing w:val="-2"/>
          <w:lang w:val="fr-FR"/>
        </w:rPr>
        <w:t xml:space="preserve">en </w:t>
      </w:r>
      <w:r w:rsidRPr="00394763">
        <w:rPr>
          <w:spacing w:val="-2"/>
          <w:lang w:val="fr-FR"/>
        </w:rPr>
        <w:t xml:space="preserve">2014 à </w:t>
      </w:r>
      <w:proofErr w:type="spellStart"/>
      <w:r w:rsidRPr="00394763">
        <w:rPr>
          <w:spacing w:val="-2"/>
          <w:lang w:val="fr-FR"/>
        </w:rPr>
        <w:t>Bragança</w:t>
      </w:r>
      <w:proofErr w:type="spellEnd"/>
      <w:r w:rsidRPr="00394763">
        <w:rPr>
          <w:spacing w:val="-2"/>
          <w:lang w:val="fr-FR"/>
        </w:rPr>
        <w:t>, Guarda, Portalegre, Beja et Évora dans le cadre du Réseau national de soutien et de protection des victimes de traite pour former 66 professionnels de première ligne (18 hommes et 48 femmes) membres de forces de l’ordre, de délégations d’institutions de maintien de l’ordre, de groupes de protection sociale, du secteur de la santé et d’ONG</w:t>
      </w:r>
      <w:r w:rsidR="00495D0F" w:rsidRPr="00394763">
        <w:rPr>
          <w:spacing w:val="-2"/>
          <w:lang w:val="fr-FR"/>
        </w:rPr>
        <w:t> ;</w:t>
      </w:r>
      <w:r w:rsidRPr="00394763">
        <w:rPr>
          <w:spacing w:val="-2"/>
          <w:lang w:val="fr-FR"/>
        </w:rPr>
        <w:t xml:space="preserve"> il a participé au projet</w:t>
      </w:r>
      <w:r w:rsidR="00495D0F" w:rsidRPr="00394763">
        <w:rPr>
          <w:spacing w:val="-2"/>
          <w:lang w:val="fr-FR"/>
        </w:rPr>
        <w:t xml:space="preserve"> </w:t>
      </w:r>
      <w:proofErr w:type="spellStart"/>
      <w:r w:rsidRPr="00394763">
        <w:rPr>
          <w:spacing w:val="-2"/>
          <w:lang w:val="fr-FR"/>
        </w:rPr>
        <w:t>COOPtoFIGHT</w:t>
      </w:r>
      <w:proofErr w:type="spellEnd"/>
      <w:r w:rsidRPr="00394763">
        <w:rPr>
          <w:spacing w:val="-2"/>
          <w:lang w:val="fr-FR"/>
        </w:rPr>
        <w:t xml:space="preserve"> coordonné par le Centre des études sociales de l’Université de Coimbra pour lutter contre la traite d’êtres humains dans l’Union européenne en favorisant la coopération dans le domaine juridique et la protection des victimes</w:t>
      </w:r>
      <w:r w:rsidR="00495D0F" w:rsidRPr="00394763">
        <w:rPr>
          <w:spacing w:val="-2"/>
          <w:lang w:val="fr-FR"/>
        </w:rPr>
        <w:t> ;</w:t>
      </w:r>
      <w:r w:rsidRPr="00394763">
        <w:rPr>
          <w:spacing w:val="-2"/>
          <w:lang w:val="fr-FR"/>
        </w:rPr>
        <w:t xml:space="preserve"> il a assisté à des séminaires comme celui organisé conjointement </w:t>
      </w:r>
      <w:r w:rsidR="00B545C2" w:rsidRPr="00394763">
        <w:rPr>
          <w:spacing w:val="-2"/>
          <w:lang w:val="fr-FR"/>
        </w:rPr>
        <w:t xml:space="preserve">en </w:t>
      </w:r>
      <w:r w:rsidRPr="00394763">
        <w:rPr>
          <w:spacing w:val="-2"/>
          <w:lang w:val="fr-FR"/>
        </w:rPr>
        <w:t xml:space="preserve">2014 par le Centre des études judiciaires et l’Académie de droit européen avec le soutien de l’Association portugaise d’appui aux victimes sur le thème de la recherche d’une approche plus globale pour lutter contre la traite d’êtres humains, ainsi qu’au séminaire consacré </w:t>
      </w:r>
      <w:r w:rsidR="00B545C2" w:rsidRPr="00394763">
        <w:rPr>
          <w:spacing w:val="-2"/>
          <w:lang w:val="fr-FR"/>
        </w:rPr>
        <w:t xml:space="preserve">en </w:t>
      </w:r>
      <w:r w:rsidRPr="00394763">
        <w:rPr>
          <w:spacing w:val="-2"/>
          <w:lang w:val="fr-FR"/>
        </w:rPr>
        <w:t xml:space="preserve">2017 à l’aide aux victimes de l’exploitation sexuelle dans le contexte de la traite </w:t>
      </w:r>
      <w:r w:rsidR="00394763" w:rsidRPr="00394763">
        <w:rPr>
          <w:spacing w:val="-2"/>
          <w:lang w:val="fr-FR"/>
        </w:rPr>
        <w:t>d’</w:t>
      </w:r>
      <w:r w:rsidRPr="00394763">
        <w:rPr>
          <w:spacing w:val="-2"/>
          <w:lang w:val="fr-FR"/>
        </w:rPr>
        <w:t>êtres humains et à l’évaluation de son coût</w:t>
      </w:r>
      <w:r w:rsidR="00495D0F" w:rsidRPr="00394763">
        <w:rPr>
          <w:spacing w:val="-2"/>
          <w:lang w:val="fr-FR"/>
        </w:rPr>
        <w:t> ;</w:t>
      </w:r>
      <w:r w:rsidRPr="00394763">
        <w:rPr>
          <w:spacing w:val="-2"/>
          <w:lang w:val="fr-FR"/>
        </w:rPr>
        <w:t xml:space="preserve"> il a aussi organisé des séances de formation sur la traite aux niveaux national et international</w:t>
      </w:r>
      <w:r w:rsidR="00495D0F" w:rsidRPr="00394763">
        <w:rPr>
          <w:spacing w:val="-2"/>
          <w:lang w:val="fr-FR"/>
        </w:rPr>
        <w:t> ;</w:t>
      </w:r>
      <w:r w:rsidRPr="00394763">
        <w:rPr>
          <w:spacing w:val="-2"/>
          <w:lang w:val="fr-FR"/>
        </w:rPr>
        <w:t xml:space="preserve"> ces formations ont été données dans le cadre des cours de promotion dispensés par la Garde nationale républicaine à ses responsables, dans le cadre du projet de </w:t>
      </w:r>
      <w:r w:rsidR="00394763" w:rsidRPr="00394763">
        <w:rPr>
          <w:spacing w:val="-2"/>
          <w:lang w:val="fr-FR"/>
        </w:rPr>
        <w:t>m</w:t>
      </w:r>
      <w:r w:rsidRPr="00394763">
        <w:rPr>
          <w:spacing w:val="-2"/>
          <w:lang w:val="fr-FR"/>
        </w:rPr>
        <w:t>anuel de lutte contre la traite d’êtres humains à l’usage des praticiens de la justice pénale des Nations Unies, à Cabo Verde et au Brésil (</w:t>
      </w:r>
      <w:r w:rsidR="00B545C2" w:rsidRPr="00394763">
        <w:rPr>
          <w:spacing w:val="-2"/>
          <w:lang w:val="fr-FR"/>
        </w:rPr>
        <w:t xml:space="preserve">en </w:t>
      </w:r>
      <w:r w:rsidRPr="00394763">
        <w:rPr>
          <w:spacing w:val="-2"/>
          <w:lang w:val="fr-FR"/>
        </w:rPr>
        <w:t>2014) ainsi qu’au Mozambique (</w:t>
      </w:r>
      <w:r w:rsidR="00B545C2" w:rsidRPr="00394763">
        <w:rPr>
          <w:spacing w:val="-2"/>
          <w:lang w:val="fr-FR"/>
        </w:rPr>
        <w:t xml:space="preserve">en </w:t>
      </w:r>
      <w:r w:rsidRPr="00394763">
        <w:rPr>
          <w:spacing w:val="-2"/>
          <w:lang w:val="fr-FR"/>
        </w:rPr>
        <w:t>2015), et dans le cadre de la coopération au sein de la Communauté des pays de langue portugaise, à Sao Tomé-et-Principe et en Angola.</w:t>
      </w:r>
    </w:p>
    <w:p w:rsidR="002A7A34" w:rsidRPr="00686CD4" w:rsidRDefault="002A7A34" w:rsidP="003B5019">
      <w:pPr>
        <w:pStyle w:val="H23G"/>
        <w:spacing w:before="200" w:after="100" w:line="238" w:lineRule="atLeast"/>
        <w:jc w:val="both"/>
        <w:rPr>
          <w:lang w:val="fr-FR"/>
        </w:rPr>
      </w:pPr>
      <w:r w:rsidRPr="00686CD4">
        <w:rPr>
          <w:lang w:val="fr-FR"/>
        </w:rPr>
        <w:tab/>
      </w:r>
      <w:r w:rsidRPr="00686CD4">
        <w:rPr>
          <w:lang w:val="fr-FR"/>
        </w:rPr>
        <w:tab/>
      </w:r>
      <w:r w:rsidRPr="00686CD4">
        <w:rPr>
          <w:lang w:val="fr-FR"/>
        </w:rPr>
        <w:tab/>
        <w:t>e)</w:t>
      </w:r>
      <w:r w:rsidRPr="00686CD4">
        <w:rPr>
          <w:lang w:val="fr-FR"/>
        </w:rPr>
        <w:tab/>
        <w:t>Campagnes visant à sensibiliser l</w:t>
      </w:r>
      <w:r>
        <w:rPr>
          <w:lang w:val="fr-FR"/>
        </w:rPr>
        <w:t>’</w:t>
      </w:r>
      <w:r w:rsidRPr="00686CD4">
        <w:rPr>
          <w:lang w:val="fr-FR"/>
        </w:rPr>
        <w:t>ensemble de la population au problème du travail forcé et de la traite à des fins d</w:t>
      </w:r>
      <w:r>
        <w:rPr>
          <w:lang w:val="fr-FR"/>
        </w:rPr>
        <w:t>’</w:t>
      </w:r>
      <w:r w:rsidRPr="00686CD4">
        <w:rPr>
          <w:lang w:val="fr-FR"/>
        </w:rPr>
        <w:t xml:space="preserve">exploitation sexuelle, y compris des campagnes visant à décourager la demande. </w:t>
      </w:r>
      <w:bookmarkStart w:id="22" w:name="_Toc532494625"/>
      <w:bookmarkEnd w:id="22"/>
    </w:p>
    <w:p w:rsidR="002A7A34" w:rsidRPr="00686CD4" w:rsidRDefault="002A7A34" w:rsidP="003B5019">
      <w:pPr>
        <w:pStyle w:val="SingleTxtG"/>
        <w:spacing w:after="100" w:line="238" w:lineRule="atLeast"/>
        <w:rPr>
          <w:lang w:val="fr-FR"/>
        </w:rPr>
      </w:pPr>
      <w:r w:rsidRPr="00686CD4">
        <w:rPr>
          <w:lang w:val="fr-FR"/>
        </w:rPr>
        <w:t>118.</w:t>
      </w:r>
      <w:r w:rsidRPr="00686CD4">
        <w:rPr>
          <w:lang w:val="fr-FR"/>
        </w:rPr>
        <w:tab/>
        <w:t>Le Portugal organise chaque année une campagne nationale de lutte contre la traite d</w:t>
      </w:r>
      <w:r>
        <w:rPr>
          <w:lang w:val="fr-FR"/>
        </w:rPr>
        <w:t>’</w:t>
      </w:r>
      <w:r w:rsidRPr="00686CD4">
        <w:rPr>
          <w:lang w:val="fr-FR"/>
        </w:rPr>
        <w:t xml:space="preserve">êtres humains </w:t>
      </w:r>
      <w:r>
        <w:rPr>
          <w:lang w:val="fr-FR"/>
        </w:rPr>
        <w:t xml:space="preserve">sur un thème différent </w:t>
      </w:r>
      <w:r w:rsidRPr="00686CD4">
        <w:rPr>
          <w:lang w:val="fr-FR"/>
        </w:rPr>
        <w:t>à l</w:t>
      </w:r>
      <w:r>
        <w:rPr>
          <w:lang w:val="fr-FR"/>
        </w:rPr>
        <w:t>’</w:t>
      </w:r>
      <w:r w:rsidRPr="00686CD4">
        <w:rPr>
          <w:lang w:val="fr-FR"/>
        </w:rPr>
        <w:t>occasion de la Journée européenne de lutte contre la traite des êtres humains qui se tient le 18</w:t>
      </w:r>
      <w:r>
        <w:rPr>
          <w:lang w:val="fr-FR"/>
        </w:rPr>
        <w:t> </w:t>
      </w:r>
      <w:r w:rsidRPr="00686CD4">
        <w:rPr>
          <w:lang w:val="fr-FR"/>
        </w:rPr>
        <w:t xml:space="preserve">octobre. </w:t>
      </w:r>
    </w:p>
    <w:p w:rsidR="002A7A34" w:rsidRPr="00686CD4" w:rsidRDefault="002A7A34" w:rsidP="003B5019">
      <w:pPr>
        <w:pStyle w:val="SingleTxtG"/>
        <w:spacing w:after="100" w:line="238" w:lineRule="atLeast"/>
        <w:rPr>
          <w:lang w:val="fr-FR"/>
        </w:rPr>
      </w:pPr>
      <w:r w:rsidRPr="00686CD4">
        <w:rPr>
          <w:lang w:val="fr-FR"/>
        </w:rPr>
        <w:t>119.</w:t>
      </w:r>
      <w:r w:rsidRPr="00686CD4">
        <w:rPr>
          <w:lang w:val="fr-FR"/>
        </w:rPr>
        <w:tab/>
        <w:t>La Campagne Cœur bleu contre la traite d</w:t>
      </w:r>
      <w:r>
        <w:rPr>
          <w:lang w:val="fr-FR"/>
        </w:rPr>
        <w:t>’</w:t>
      </w:r>
      <w:r w:rsidRPr="00686CD4">
        <w:rPr>
          <w:lang w:val="fr-FR"/>
        </w:rPr>
        <w:t xml:space="preserve">êtres humains a été lancée </w:t>
      </w:r>
      <w:r w:rsidR="00B545C2">
        <w:rPr>
          <w:lang w:val="fr-FR"/>
        </w:rPr>
        <w:t xml:space="preserve">en </w:t>
      </w:r>
      <w:r w:rsidRPr="00686CD4">
        <w:rPr>
          <w:lang w:val="fr-FR"/>
        </w:rPr>
        <w:t>2012 au moyen d</w:t>
      </w:r>
      <w:r>
        <w:rPr>
          <w:lang w:val="fr-FR"/>
        </w:rPr>
        <w:t>’</w:t>
      </w:r>
      <w:r w:rsidRPr="00686CD4">
        <w:rPr>
          <w:lang w:val="fr-FR"/>
        </w:rPr>
        <w:t xml:space="preserve">outils de sensibilisation </w:t>
      </w:r>
      <w:r>
        <w:rPr>
          <w:lang w:val="fr-FR"/>
        </w:rPr>
        <w:t xml:space="preserve">mis au point par </w:t>
      </w:r>
      <w:r w:rsidRPr="00686CD4">
        <w:rPr>
          <w:lang w:val="fr-FR"/>
        </w:rPr>
        <w:t>l</w:t>
      </w:r>
      <w:r>
        <w:rPr>
          <w:lang w:val="fr-FR"/>
        </w:rPr>
        <w:t>’</w:t>
      </w:r>
      <w:r w:rsidRPr="00686CD4">
        <w:rPr>
          <w:lang w:val="fr-FR"/>
        </w:rPr>
        <w:t>Organisation des Nations Unies</w:t>
      </w:r>
      <w:r w:rsidRPr="00F16A9E">
        <w:rPr>
          <w:rStyle w:val="Appelnotedebasdep"/>
        </w:rPr>
        <w:footnoteReference w:id="9"/>
      </w:r>
      <w:r>
        <w:rPr>
          <w:lang w:val="fr-FR"/>
        </w:rPr>
        <w:t>.</w:t>
      </w:r>
      <w:r w:rsidRPr="00686CD4">
        <w:rPr>
          <w:lang w:val="fr-FR"/>
        </w:rPr>
        <w:t xml:space="preserve"> </w:t>
      </w:r>
      <w:r>
        <w:rPr>
          <w:lang w:val="fr-FR"/>
        </w:rPr>
        <w:t>Cette</w:t>
      </w:r>
      <w:r w:rsidR="003B5019">
        <w:rPr>
          <w:lang w:val="fr-FR"/>
        </w:rPr>
        <w:t> </w:t>
      </w:r>
      <w:r w:rsidRPr="00686CD4">
        <w:rPr>
          <w:lang w:val="fr-FR"/>
        </w:rPr>
        <w:t xml:space="preserve">campagne de sensibilisation a </w:t>
      </w:r>
      <w:r>
        <w:rPr>
          <w:lang w:val="fr-FR"/>
        </w:rPr>
        <w:t xml:space="preserve">privilégié en 2013 les trois domaines de </w:t>
      </w:r>
      <w:r w:rsidRPr="00686CD4">
        <w:rPr>
          <w:lang w:val="fr-FR"/>
        </w:rPr>
        <w:t>l</w:t>
      </w:r>
      <w:r>
        <w:rPr>
          <w:lang w:val="fr-FR"/>
        </w:rPr>
        <w:t>’</w:t>
      </w:r>
      <w:r w:rsidRPr="00686CD4">
        <w:rPr>
          <w:lang w:val="fr-FR"/>
        </w:rPr>
        <w:t xml:space="preserve">exploitation </w:t>
      </w:r>
      <w:r w:rsidRPr="00686CD4">
        <w:rPr>
          <w:lang w:val="fr-FR"/>
        </w:rPr>
        <w:lastRenderedPageBreak/>
        <w:t xml:space="preserve">sexuelle, </w:t>
      </w:r>
      <w:r>
        <w:rPr>
          <w:lang w:val="fr-FR"/>
        </w:rPr>
        <w:t xml:space="preserve">de </w:t>
      </w:r>
      <w:r w:rsidRPr="00686CD4">
        <w:rPr>
          <w:lang w:val="fr-FR"/>
        </w:rPr>
        <w:t>l</w:t>
      </w:r>
      <w:r>
        <w:rPr>
          <w:lang w:val="fr-FR"/>
        </w:rPr>
        <w:t>’</w:t>
      </w:r>
      <w:r w:rsidRPr="00686CD4">
        <w:rPr>
          <w:lang w:val="fr-FR"/>
        </w:rPr>
        <w:t xml:space="preserve">exploitation économique et </w:t>
      </w:r>
      <w:r>
        <w:rPr>
          <w:lang w:val="fr-FR"/>
        </w:rPr>
        <w:t xml:space="preserve">de </w:t>
      </w:r>
      <w:r w:rsidRPr="00686CD4">
        <w:rPr>
          <w:lang w:val="fr-FR"/>
        </w:rPr>
        <w:t>la mendicité</w:t>
      </w:r>
      <w:r w:rsidRPr="00F16A9E">
        <w:rPr>
          <w:rStyle w:val="Appelnotedebasdep"/>
        </w:rPr>
        <w:footnoteReference w:id="10"/>
      </w:r>
      <w:r>
        <w:rPr>
          <w:lang w:val="fr-FR"/>
        </w:rPr>
        <w:t xml:space="preserve"> tandis que, e</w:t>
      </w:r>
      <w:r w:rsidRPr="00686CD4">
        <w:rPr>
          <w:lang w:val="fr-FR"/>
        </w:rPr>
        <w:t>n 2014, elle a mis l</w:t>
      </w:r>
      <w:r>
        <w:rPr>
          <w:lang w:val="fr-FR"/>
        </w:rPr>
        <w:t>’</w:t>
      </w:r>
      <w:r w:rsidRPr="00686CD4">
        <w:rPr>
          <w:lang w:val="fr-FR"/>
        </w:rPr>
        <w:t>accent sur l</w:t>
      </w:r>
      <w:r>
        <w:rPr>
          <w:lang w:val="fr-FR"/>
        </w:rPr>
        <w:t>’</w:t>
      </w:r>
      <w:r w:rsidRPr="00686CD4">
        <w:rPr>
          <w:lang w:val="fr-FR"/>
        </w:rPr>
        <w:t>exploitation économique</w:t>
      </w:r>
      <w:r w:rsidRPr="00F16A9E">
        <w:rPr>
          <w:rStyle w:val="Appelnotedebasdep"/>
        </w:rPr>
        <w:footnoteReference w:id="11"/>
      </w:r>
      <w:r>
        <w:rPr>
          <w:lang w:val="fr-FR"/>
        </w:rPr>
        <w:t xml:space="preserve">. </w:t>
      </w:r>
      <w:r w:rsidRPr="00686CD4">
        <w:rPr>
          <w:lang w:val="fr-FR"/>
        </w:rPr>
        <w:t>Ces campagnes avaient essentiellement pour objet d</w:t>
      </w:r>
      <w:r>
        <w:rPr>
          <w:lang w:val="fr-FR"/>
        </w:rPr>
        <w:t xml:space="preserve">e faire prendre conscience du phénomène de la </w:t>
      </w:r>
      <w:r w:rsidRPr="00686CD4">
        <w:rPr>
          <w:lang w:val="fr-FR"/>
        </w:rPr>
        <w:t>traite d</w:t>
      </w:r>
      <w:r>
        <w:rPr>
          <w:lang w:val="fr-FR"/>
        </w:rPr>
        <w:t>’</w:t>
      </w:r>
      <w:r w:rsidRPr="00686CD4">
        <w:rPr>
          <w:lang w:val="fr-FR"/>
        </w:rPr>
        <w:t xml:space="preserve">étrangers au Portugal, mais </w:t>
      </w:r>
      <w:r>
        <w:rPr>
          <w:lang w:val="fr-FR"/>
        </w:rPr>
        <w:t xml:space="preserve">elles </w:t>
      </w:r>
      <w:r w:rsidRPr="00686CD4">
        <w:rPr>
          <w:lang w:val="fr-FR"/>
        </w:rPr>
        <w:t>ont aussi attiré l</w:t>
      </w:r>
      <w:r>
        <w:rPr>
          <w:lang w:val="fr-FR"/>
        </w:rPr>
        <w:t>’</w:t>
      </w:r>
      <w:r w:rsidRPr="00686CD4">
        <w:rPr>
          <w:lang w:val="fr-FR"/>
        </w:rPr>
        <w:t>attention dans une certaine mesure sur la traite de citoyens portugais à l</w:t>
      </w:r>
      <w:r>
        <w:rPr>
          <w:lang w:val="fr-FR"/>
        </w:rPr>
        <w:t>’</w:t>
      </w:r>
      <w:r w:rsidRPr="00686CD4">
        <w:rPr>
          <w:lang w:val="fr-FR"/>
        </w:rPr>
        <w:t xml:space="preserve">étranger. </w:t>
      </w:r>
    </w:p>
    <w:p w:rsidR="002A7A34" w:rsidRPr="00686CD4" w:rsidRDefault="002A7A34" w:rsidP="003B5019">
      <w:pPr>
        <w:pStyle w:val="SingleTxtG"/>
        <w:rPr>
          <w:lang w:val="fr-FR"/>
        </w:rPr>
      </w:pPr>
      <w:r w:rsidRPr="00686CD4">
        <w:rPr>
          <w:lang w:val="fr-FR"/>
        </w:rPr>
        <w:t>120.</w:t>
      </w:r>
      <w:r w:rsidRPr="00686CD4">
        <w:rPr>
          <w:lang w:val="fr-FR"/>
        </w:rPr>
        <w:tab/>
        <w:t>La campagne de</w:t>
      </w:r>
      <w:r>
        <w:rPr>
          <w:lang w:val="fr-FR"/>
        </w:rPr>
        <w:t> </w:t>
      </w:r>
      <w:r w:rsidRPr="00686CD4">
        <w:rPr>
          <w:lang w:val="fr-FR"/>
        </w:rPr>
        <w:t>2016 a</w:t>
      </w:r>
      <w:r>
        <w:rPr>
          <w:lang w:val="fr-FR"/>
        </w:rPr>
        <w:t xml:space="preserve"> été consacrée aux </w:t>
      </w:r>
      <w:r w:rsidRPr="00686CD4">
        <w:rPr>
          <w:lang w:val="fr-FR"/>
        </w:rPr>
        <w:t xml:space="preserve">enfants </w:t>
      </w:r>
      <w:r>
        <w:rPr>
          <w:lang w:val="fr-FR"/>
        </w:rPr>
        <w:t>victimes de traite</w:t>
      </w:r>
      <w:r w:rsidRPr="00F16A9E">
        <w:rPr>
          <w:rStyle w:val="Appelnotedebasdep"/>
        </w:rPr>
        <w:footnoteReference w:id="12"/>
      </w:r>
      <w:r w:rsidRPr="00686CD4">
        <w:rPr>
          <w:lang w:val="fr-FR"/>
        </w:rPr>
        <w:t xml:space="preserve"> tandis que celle de 2017</w:t>
      </w:r>
      <w:r>
        <w:rPr>
          <w:lang w:val="fr-FR"/>
        </w:rPr>
        <w:t xml:space="preserve"> a été menée sur le thème « </w:t>
      </w:r>
      <w:r w:rsidRPr="00686CD4">
        <w:rPr>
          <w:lang w:val="fr-FR"/>
        </w:rPr>
        <w:t>Dites-le</w:t>
      </w:r>
      <w:r>
        <w:rPr>
          <w:lang w:val="fr-FR"/>
        </w:rPr>
        <w:t> »</w:t>
      </w:r>
      <w:r w:rsidRPr="00F16A9E">
        <w:rPr>
          <w:rStyle w:val="Appelnotedebasdep"/>
        </w:rPr>
        <w:footnoteReference w:id="13"/>
      </w:r>
      <w:r w:rsidR="00BD65A4">
        <w:rPr>
          <w:lang w:val="fr-FR"/>
        </w:rPr>
        <w:t>.</w:t>
      </w:r>
    </w:p>
    <w:p w:rsidR="002A7A34" w:rsidRPr="00686CD4" w:rsidRDefault="002A7A34" w:rsidP="003B5019">
      <w:pPr>
        <w:pStyle w:val="SingleTxtG"/>
        <w:rPr>
          <w:lang w:val="fr-FR"/>
        </w:rPr>
      </w:pPr>
      <w:r w:rsidRPr="00686CD4">
        <w:rPr>
          <w:lang w:val="fr-FR"/>
        </w:rPr>
        <w:t>121.</w:t>
      </w:r>
      <w:r w:rsidRPr="00686CD4">
        <w:rPr>
          <w:lang w:val="fr-FR"/>
        </w:rPr>
        <w:tab/>
        <w:t>Plusieurs ONG ont également mené des activités de mise en garde contre la traite.</w:t>
      </w:r>
    </w:p>
    <w:p w:rsidR="002A7A34" w:rsidRPr="00686CD4" w:rsidRDefault="002A7A34" w:rsidP="003B5019">
      <w:pPr>
        <w:pStyle w:val="SingleTxtG"/>
        <w:rPr>
          <w:lang w:val="fr-FR"/>
        </w:rPr>
      </w:pPr>
      <w:r w:rsidRPr="00686CD4">
        <w:rPr>
          <w:lang w:val="fr-FR"/>
        </w:rPr>
        <w:t>122.</w:t>
      </w:r>
      <w:r w:rsidRPr="00686CD4">
        <w:rPr>
          <w:lang w:val="fr-FR"/>
        </w:rPr>
        <w:tab/>
        <w:t>Une campagne nationale de sensibilisation consacrée à la traite d</w:t>
      </w:r>
      <w:r>
        <w:rPr>
          <w:lang w:val="fr-FR"/>
        </w:rPr>
        <w:t>’</w:t>
      </w:r>
      <w:r w:rsidRPr="00686CD4">
        <w:rPr>
          <w:lang w:val="fr-FR"/>
        </w:rPr>
        <w:t xml:space="preserve">enfants a été lancée </w:t>
      </w:r>
      <w:r w:rsidR="00B545C2">
        <w:rPr>
          <w:lang w:val="fr-FR"/>
        </w:rPr>
        <w:t xml:space="preserve">en </w:t>
      </w:r>
      <w:r w:rsidRPr="00686CD4">
        <w:rPr>
          <w:lang w:val="fr-FR"/>
        </w:rPr>
        <w:t xml:space="preserve">2016 </w:t>
      </w:r>
      <w:r>
        <w:rPr>
          <w:lang w:val="fr-FR"/>
        </w:rPr>
        <w:t>l</w:t>
      </w:r>
      <w:r w:rsidRPr="00686CD4">
        <w:rPr>
          <w:lang w:val="fr-FR"/>
        </w:rPr>
        <w:t>ors de la Journée européenne pour la protection des enfants contre l</w:t>
      </w:r>
      <w:r>
        <w:rPr>
          <w:lang w:val="fr-FR"/>
        </w:rPr>
        <w:t>’</w:t>
      </w:r>
      <w:r w:rsidRPr="00686CD4">
        <w:rPr>
          <w:lang w:val="fr-FR"/>
        </w:rPr>
        <w:t>exploitation et les abus sexuels</w:t>
      </w:r>
      <w:r w:rsidRPr="00F16A9E">
        <w:rPr>
          <w:rStyle w:val="Appelnotedebasdep"/>
        </w:rPr>
        <w:footnoteReference w:id="14"/>
      </w:r>
      <w:r>
        <w:rPr>
          <w:lang w:val="fr-FR"/>
        </w:rPr>
        <w:t>.</w:t>
      </w:r>
      <w:r w:rsidR="00495D0F">
        <w:rPr>
          <w:lang w:val="fr-FR"/>
        </w:rPr>
        <w:t xml:space="preserve"> </w:t>
      </w:r>
      <w:r w:rsidRPr="00686CD4">
        <w:rPr>
          <w:lang w:val="fr-FR"/>
        </w:rPr>
        <w:t xml:space="preserve">Les actions de sensibilisation de la </w:t>
      </w:r>
      <w:r>
        <w:rPr>
          <w:lang w:val="fr-FR"/>
        </w:rPr>
        <w:t>G</w:t>
      </w:r>
      <w:r w:rsidRPr="00686CD4">
        <w:rPr>
          <w:lang w:val="fr-FR"/>
        </w:rPr>
        <w:t xml:space="preserve">arde nationale républicaine ont </w:t>
      </w:r>
      <w:r>
        <w:rPr>
          <w:lang w:val="fr-FR"/>
        </w:rPr>
        <w:t xml:space="preserve">touché </w:t>
      </w:r>
      <w:r w:rsidRPr="00686CD4">
        <w:rPr>
          <w:lang w:val="fr-FR"/>
        </w:rPr>
        <w:t>12 504</w:t>
      </w:r>
      <w:r>
        <w:rPr>
          <w:lang w:val="fr-FR"/>
        </w:rPr>
        <w:t> </w:t>
      </w:r>
      <w:r w:rsidRPr="00686CD4">
        <w:rPr>
          <w:lang w:val="fr-FR"/>
        </w:rPr>
        <w:t>enfants ou jeunes.</w:t>
      </w:r>
    </w:p>
    <w:p w:rsidR="002A7A34" w:rsidRPr="00686CD4" w:rsidRDefault="002A7A34" w:rsidP="003B5019">
      <w:pPr>
        <w:pStyle w:val="H23G"/>
        <w:jc w:val="both"/>
        <w:rPr>
          <w:lang w:val="fr-FR"/>
        </w:rPr>
      </w:pPr>
      <w:r>
        <w:rPr>
          <w:lang w:val="fr-FR"/>
        </w:rPr>
        <w:tab/>
      </w:r>
      <w:r w:rsidRPr="00686CD4">
        <w:rPr>
          <w:lang w:val="fr-FR"/>
        </w:rPr>
        <w:t>5.</w:t>
      </w:r>
      <w:r w:rsidRPr="00686CD4">
        <w:rPr>
          <w:lang w:val="fr-FR"/>
        </w:rPr>
        <w:tab/>
        <w:t>Compte tenu des précédentes observations finales du Comité (par.</w:t>
      </w:r>
      <w:r>
        <w:rPr>
          <w:lang w:val="fr-FR"/>
        </w:rPr>
        <w:t> </w:t>
      </w:r>
      <w:r w:rsidRPr="00686CD4">
        <w:rPr>
          <w:lang w:val="fr-FR"/>
        </w:rPr>
        <w:t>21), donner des informations sur l</w:t>
      </w:r>
      <w:r>
        <w:rPr>
          <w:lang w:val="fr-FR"/>
        </w:rPr>
        <w:t>’</w:t>
      </w:r>
      <w:r w:rsidRPr="00686CD4">
        <w:rPr>
          <w:lang w:val="fr-FR"/>
        </w:rPr>
        <w:t>ampleur de la pratique des mutilations génitales féminines (MGF) sur le territoire de l</w:t>
      </w:r>
      <w:r>
        <w:rPr>
          <w:lang w:val="fr-FR"/>
        </w:rPr>
        <w:t>’</w:t>
      </w:r>
      <w:r w:rsidRPr="00686CD4">
        <w:rPr>
          <w:lang w:val="fr-FR"/>
        </w:rPr>
        <w:t>État partie et l</w:t>
      </w:r>
      <w:r>
        <w:rPr>
          <w:lang w:val="fr-FR"/>
        </w:rPr>
        <w:t>’</w:t>
      </w:r>
      <w:r w:rsidRPr="00686CD4">
        <w:rPr>
          <w:lang w:val="fr-FR"/>
        </w:rPr>
        <w:t>incidence des mesures prises pour éliminer cette pratique, en présentant notamment les effets du deuxième Programme d</w:t>
      </w:r>
      <w:r>
        <w:rPr>
          <w:lang w:val="fr-FR"/>
        </w:rPr>
        <w:t>’</w:t>
      </w:r>
      <w:r w:rsidRPr="00686CD4">
        <w:rPr>
          <w:lang w:val="fr-FR"/>
        </w:rPr>
        <w:t>action pour l</w:t>
      </w:r>
      <w:r>
        <w:rPr>
          <w:lang w:val="fr-FR"/>
        </w:rPr>
        <w:t>’</w:t>
      </w:r>
      <w:r w:rsidRPr="00686CD4">
        <w:rPr>
          <w:lang w:val="fr-FR"/>
        </w:rPr>
        <w:t>élimination des MGF (2011-2013)</w:t>
      </w:r>
      <w:r>
        <w:rPr>
          <w:lang w:val="fr-FR"/>
        </w:rPr>
        <w:t>.</w:t>
      </w:r>
      <w:r w:rsidRPr="00686CD4">
        <w:rPr>
          <w:lang w:val="fr-FR"/>
        </w:rPr>
        <w:t xml:space="preserve"> </w:t>
      </w:r>
      <w:r w:rsidRPr="00686CD4">
        <w:rPr>
          <w:bCs/>
          <w:lang w:val="fr-FR"/>
        </w:rPr>
        <w:t>Fournir également des statistiques annuelles sur le nombre de plaintes déposées ou de signalements enregistrés par la police sur cette pratique, et préciser combien de personnes ont fait l</w:t>
      </w:r>
      <w:r>
        <w:rPr>
          <w:bCs/>
          <w:lang w:val="fr-FR"/>
        </w:rPr>
        <w:t>’</w:t>
      </w:r>
      <w:r w:rsidRPr="00686CD4">
        <w:rPr>
          <w:bCs/>
          <w:lang w:val="fr-FR"/>
        </w:rPr>
        <w:t>objet d</w:t>
      </w:r>
      <w:r>
        <w:rPr>
          <w:bCs/>
          <w:lang w:val="fr-FR"/>
        </w:rPr>
        <w:t>’</w:t>
      </w:r>
      <w:r w:rsidRPr="00686CD4">
        <w:rPr>
          <w:bCs/>
          <w:lang w:val="fr-FR"/>
        </w:rPr>
        <w:t>une enquête, combien de ces enquêtes ont donné lieu à des poursuites et des condamnations et quelles ont été les peines prononcées dans chaque cas.</w:t>
      </w:r>
      <w:bookmarkStart w:id="23" w:name="_Toc532494626"/>
      <w:bookmarkEnd w:id="23"/>
    </w:p>
    <w:p w:rsidR="002A7A34" w:rsidRPr="00686CD4" w:rsidRDefault="002A7A34" w:rsidP="002A7A34">
      <w:pPr>
        <w:pStyle w:val="H4G"/>
        <w:rPr>
          <w:lang w:val="fr-FR"/>
        </w:rPr>
      </w:pPr>
      <w:r w:rsidRPr="00686CD4">
        <w:rPr>
          <w:lang w:val="fr-FR"/>
        </w:rPr>
        <w:tab/>
      </w:r>
      <w:r w:rsidRPr="00686CD4">
        <w:rPr>
          <w:lang w:val="fr-FR"/>
        </w:rPr>
        <w:tab/>
      </w:r>
      <w:r w:rsidRPr="00686CD4">
        <w:rPr>
          <w:iCs/>
          <w:lang w:val="fr-FR"/>
        </w:rPr>
        <w:t>Prévalence des mutilations génitales féminines</w:t>
      </w:r>
    </w:p>
    <w:p w:rsidR="002A7A34" w:rsidRPr="00686CD4" w:rsidRDefault="002A7A34" w:rsidP="00553571">
      <w:pPr>
        <w:pStyle w:val="SingleTxtG"/>
        <w:rPr>
          <w:lang w:val="fr-FR"/>
        </w:rPr>
      </w:pPr>
      <w:r w:rsidRPr="00686CD4">
        <w:rPr>
          <w:lang w:val="fr-FR"/>
        </w:rPr>
        <w:t>123.</w:t>
      </w:r>
      <w:r w:rsidRPr="00686CD4">
        <w:rPr>
          <w:lang w:val="fr-FR"/>
        </w:rPr>
        <w:tab/>
        <w:t xml:space="preserve">Une étude </w:t>
      </w:r>
      <w:r>
        <w:rPr>
          <w:lang w:val="fr-FR"/>
        </w:rPr>
        <w:t xml:space="preserve">consacrée à </w:t>
      </w:r>
      <w:r w:rsidRPr="00686CD4">
        <w:rPr>
          <w:lang w:val="fr-FR"/>
        </w:rPr>
        <w:t>la prévalence</w:t>
      </w:r>
      <w:r>
        <w:rPr>
          <w:lang w:val="fr-FR"/>
        </w:rPr>
        <w:t xml:space="preserve"> </w:t>
      </w:r>
      <w:r w:rsidRPr="00686CD4">
        <w:rPr>
          <w:lang w:val="fr-FR"/>
        </w:rPr>
        <w:t>des mutilations génitales féminines (MGF)</w:t>
      </w:r>
      <w:r>
        <w:rPr>
          <w:lang w:val="fr-FR"/>
        </w:rPr>
        <w:t xml:space="preserve"> et à la </w:t>
      </w:r>
      <w:r w:rsidRPr="00686CD4">
        <w:rPr>
          <w:lang w:val="fr-FR"/>
        </w:rPr>
        <w:t xml:space="preserve">dynamique socioculturelle </w:t>
      </w:r>
      <w:r>
        <w:rPr>
          <w:lang w:val="fr-FR"/>
        </w:rPr>
        <w:t xml:space="preserve">de ce phénomène, et formulant des </w:t>
      </w:r>
      <w:r w:rsidRPr="00686CD4">
        <w:rPr>
          <w:lang w:val="fr-FR"/>
        </w:rPr>
        <w:t xml:space="preserve">recommandations en vue de </w:t>
      </w:r>
      <w:r>
        <w:rPr>
          <w:lang w:val="fr-FR"/>
        </w:rPr>
        <w:t xml:space="preserve">son </w:t>
      </w:r>
      <w:r w:rsidRPr="00686CD4">
        <w:rPr>
          <w:lang w:val="fr-FR"/>
        </w:rPr>
        <w:t>élimination</w:t>
      </w:r>
      <w:r>
        <w:rPr>
          <w:lang w:val="fr-FR"/>
        </w:rPr>
        <w:t>,</w:t>
      </w:r>
      <w:r w:rsidRPr="00686CD4">
        <w:rPr>
          <w:lang w:val="fr-FR"/>
        </w:rPr>
        <w:t xml:space="preserve"> a été réalisé</w:t>
      </w:r>
      <w:r>
        <w:rPr>
          <w:lang w:val="fr-FR"/>
        </w:rPr>
        <w:t>e</w:t>
      </w:r>
      <w:r w:rsidRPr="00686CD4">
        <w:rPr>
          <w:lang w:val="fr-FR"/>
        </w:rPr>
        <w:t xml:space="preserve"> et présentée en juillet</w:t>
      </w:r>
      <w:r>
        <w:rPr>
          <w:lang w:val="fr-FR"/>
        </w:rPr>
        <w:t> </w:t>
      </w:r>
      <w:r w:rsidRPr="00686CD4">
        <w:rPr>
          <w:lang w:val="fr-FR"/>
        </w:rPr>
        <w:t>2015. Elle fournit des informations</w:t>
      </w:r>
      <w:r>
        <w:rPr>
          <w:lang w:val="fr-FR"/>
        </w:rPr>
        <w:t xml:space="preserve"> précieuses pour l’élaboration</w:t>
      </w:r>
      <w:r w:rsidRPr="00686CD4">
        <w:rPr>
          <w:lang w:val="fr-FR"/>
        </w:rPr>
        <w:t xml:space="preserve"> </w:t>
      </w:r>
      <w:r>
        <w:rPr>
          <w:lang w:val="fr-FR"/>
        </w:rPr>
        <w:t xml:space="preserve">de </w:t>
      </w:r>
      <w:r w:rsidRPr="00686CD4">
        <w:rPr>
          <w:lang w:val="fr-FR"/>
        </w:rPr>
        <w:t xml:space="preserve">stratégies et </w:t>
      </w:r>
      <w:r>
        <w:rPr>
          <w:lang w:val="fr-FR"/>
        </w:rPr>
        <w:t>d</w:t>
      </w:r>
      <w:r w:rsidRPr="00686CD4">
        <w:rPr>
          <w:lang w:val="fr-FR"/>
        </w:rPr>
        <w:t>e méthodes mieux adapté</w:t>
      </w:r>
      <w:r>
        <w:rPr>
          <w:lang w:val="fr-FR"/>
        </w:rPr>
        <w:t>e</w:t>
      </w:r>
      <w:r w:rsidRPr="00686CD4">
        <w:rPr>
          <w:lang w:val="fr-FR"/>
        </w:rPr>
        <w:t xml:space="preserve">s à la réalité des mutilations génitales féminines en Portugal et aux </w:t>
      </w:r>
      <w:r>
        <w:rPr>
          <w:lang w:val="fr-FR"/>
        </w:rPr>
        <w:t>groupes de population</w:t>
      </w:r>
      <w:r w:rsidRPr="00686CD4">
        <w:rPr>
          <w:lang w:val="fr-FR"/>
        </w:rPr>
        <w:t xml:space="preserve"> qui les pratiquent. Elle </w:t>
      </w:r>
      <w:r>
        <w:rPr>
          <w:lang w:val="fr-FR"/>
        </w:rPr>
        <w:t>présente de manière novatrice</w:t>
      </w:r>
      <w:r w:rsidRPr="00686CD4">
        <w:rPr>
          <w:lang w:val="fr-FR"/>
        </w:rPr>
        <w:t xml:space="preserve"> des données quantitatives et qualitatives qui constituent la base nécessaire à la </w:t>
      </w:r>
      <w:r>
        <w:rPr>
          <w:lang w:val="fr-FR"/>
        </w:rPr>
        <w:t xml:space="preserve">conception d’interventions, </w:t>
      </w:r>
      <w:r w:rsidRPr="00686CD4">
        <w:rPr>
          <w:lang w:val="fr-FR"/>
        </w:rPr>
        <w:t xml:space="preserve">aussi bien </w:t>
      </w:r>
      <w:r>
        <w:rPr>
          <w:lang w:val="fr-FR"/>
        </w:rPr>
        <w:t xml:space="preserve">au niveau de </w:t>
      </w:r>
      <w:r w:rsidRPr="00686CD4">
        <w:rPr>
          <w:lang w:val="fr-FR"/>
        </w:rPr>
        <w:t xml:space="preserve">la formulation de politiques publiques </w:t>
      </w:r>
      <w:r>
        <w:rPr>
          <w:lang w:val="fr-FR"/>
        </w:rPr>
        <w:t xml:space="preserve">qu’à celui de la prise </w:t>
      </w:r>
      <w:r w:rsidRPr="00686CD4">
        <w:rPr>
          <w:lang w:val="fr-FR"/>
        </w:rPr>
        <w:t>d</w:t>
      </w:r>
      <w:r>
        <w:rPr>
          <w:lang w:val="fr-FR"/>
        </w:rPr>
        <w:t xml:space="preserve">e mesures </w:t>
      </w:r>
      <w:r w:rsidRPr="00686CD4">
        <w:rPr>
          <w:lang w:val="fr-FR"/>
        </w:rPr>
        <w:t>concrètes sur le terrain.</w:t>
      </w:r>
    </w:p>
    <w:p w:rsidR="002A7A34" w:rsidRPr="00686CD4" w:rsidRDefault="002A7A34" w:rsidP="00553571">
      <w:pPr>
        <w:pStyle w:val="SingleTxtG"/>
        <w:rPr>
          <w:lang w:val="fr-FR"/>
        </w:rPr>
      </w:pPr>
      <w:r w:rsidRPr="00686CD4">
        <w:rPr>
          <w:lang w:val="fr-FR"/>
        </w:rPr>
        <w:t>124.</w:t>
      </w:r>
      <w:r w:rsidRPr="00686CD4">
        <w:rPr>
          <w:lang w:val="fr-FR"/>
        </w:rPr>
        <w:tab/>
        <w:t>L</w:t>
      </w:r>
      <w:r>
        <w:rPr>
          <w:lang w:val="fr-FR"/>
        </w:rPr>
        <w:t>’</w:t>
      </w:r>
      <w:r w:rsidRPr="00686CD4">
        <w:rPr>
          <w:lang w:val="fr-FR"/>
        </w:rPr>
        <w:t>étude indique le nombre de filles et de femmes victimes d</w:t>
      </w:r>
      <w:r>
        <w:rPr>
          <w:lang w:val="fr-FR"/>
        </w:rPr>
        <w:t>e la pratique d’</w:t>
      </w:r>
      <w:r w:rsidRPr="00686CD4">
        <w:rPr>
          <w:lang w:val="fr-FR"/>
        </w:rPr>
        <w:t xml:space="preserve">excision ou exposées </w:t>
      </w:r>
      <w:r>
        <w:rPr>
          <w:lang w:val="fr-FR"/>
        </w:rPr>
        <w:t xml:space="preserve">à ce risque </w:t>
      </w:r>
      <w:r w:rsidRPr="00686CD4">
        <w:rPr>
          <w:lang w:val="fr-FR"/>
        </w:rPr>
        <w:t>(</w:t>
      </w:r>
      <w:r>
        <w:rPr>
          <w:lang w:val="fr-FR"/>
        </w:rPr>
        <w:t xml:space="preserve">et </w:t>
      </w:r>
      <w:r w:rsidRPr="00686CD4">
        <w:rPr>
          <w:lang w:val="fr-FR"/>
        </w:rPr>
        <w:t>leurs caractéristiques particulières), ainsi que les zones géographiques dans lesquelles l</w:t>
      </w:r>
      <w:r>
        <w:rPr>
          <w:lang w:val="fr-FR"/>
        </w:rPr>
        <w:t>’</w:t>
      </w:r>
      <w:r w:rsidRPr="00686CD4">
        <w:rPr>
          <w:lang w:val="fr-FR"/>
        </w:rPr>
        <w:t xml:space="preserve">incidence de ces mutilations est la plus </w:t>
      </w:r>
      <w:r>
        <w:rPr>
          <w:lang w:val="fr-FR"/>
        </w:rPr>
        <w:t xml:space="preserve">forte. </w:t>
      </w:r>
      <w:r w:rsidRPr="00686CD4">
        <w:rPr>
          <w:lang w:val="fr-FR"/>
        </w:rPr>
        <w:t>Bien qu</w:t>
      </w:r>
      <w:r>
        <w:rPr>
          <w:lang w:val="fr-FR"/>
        </w:rPr>
        <w:t>’</w:t>
      </w:r>
      <w:r w:rsidRPr="00686CD4">
        <w:rPr>
          <w:lang w:val="fr-FR"/>
        </w:rPr>
        <w:t xml:space="preserve">elle </w:t>
      </w:r>
      <w:r>
        <w:rPr>
          <w:lang w:val="fr-FR"/>
        </w:rPr>
        <w:t xml:space="preserve">soit une analyse </w:t>
      </w:r>
      <w:r w:rsidRPr="00686CD4">
        <w:rPr>
          <w:lang w:val="fr-FR"/>
        </w:rPr>
        <w:t xml:space="preserve">de prévalence (caractère quantitatif), </w:t>
      </w:r>
      <w:r>
        <w:rPr>
          <w:lang w:val="fr-FR"/>
        </w:rPr>
        <w:t xml:space="preserve">l’étude </w:t>
      </w:r>
      <w:r w:rsidRPr="00686CD4">
        <w:rPr>
          <w:lang w:val="fr-FR"/>
        </w:rPr>
        <w:t xml:space="preserve">présente aussi une analyse qualitative des représentations des </w:t>
      </w:r>
      <w:r>
        <w:rPr>
          <w:lang w:val="fr-FR"/>
        </w:rPr>
        <w:t xml:space="preserve">groupes de population </w:t>
      </w:r>
      <w:r w:rsidRPr="00686CD4">
        <w:rPr>
          <w:lang w:val="fr-FR"/>
        </w:rPr>
        <w:t xml:space="preserve">concernés </w:t>
      </w:r>
      <w:r>
        <w:rPr>
          <w:lang w:val="fr-FR"/>
        </w:rPr>
        <w:t xml:space="preserve">par </w:t>
      </w:r>
      <w:r w:rsidRPr="00686CD4">
        <w:rPr>
          <w:lang w:val="fr-FR"/>
        </w:rPr>
        <w:t>cette pratique, ainsi que leur perception de la qualité et de l</w:t>
      </w:r>
      <w:r>
        <w:rPr>
          <w:lang w:val="fr-FR"/>
        </w:rPr>
        <w:t>’</w:t>
      </w:r>
      <w:r w:rsidRPr="00686CD4">
        <w:rPr>
          <w:lang w:val="fr-FR"/>
        </w:rPr>
        <w:t>efficacité des politiques nationales actuellement poursuivies en vue de prévenir et d</w:t>
      </w:r>
      <w:r>
        <w:rPr>
          <w:lang w:val="fr-FR"/>
        </w:rPr>
        <w:t>’</w:t>
      </w:r>
      <w:r w:rsidRPr="00686CD4">
        <w:rPr>
          <w:lang w:val="fr-FR"/>
        </w:rPr>
        <w:t xml:space="preserve">éliminer les mutilations génitales féminines. Il est essentiel de considérer cette dimension plus globale du phénomène ainsi que les représentations sociales correspondantes (aussi bien </w:t>
      </w:r>
      <w:r>
        <w:rPr>
          <w:lang w:val="fr-FR"/>
        </w:rPr>
        <w:t>d</w:t>
      </w:r>
      <w:r w:rsidRPr="00686CD4">
        <w:rPr>
          <w:lang w:val="fr-FR"/>
        </w:rPr>
        <w:t xml:space="preserve">es hommes que </w:t>
      </w:r>
      <w:r>
        <w:rPr>
          <w:lang w:val="fr-FR"/>
        </w:rPr>
        <w:t xml:space="preserve">des </w:t>
      </w:r>
      <w:r w:rsidRPr="00686CD4">
        <w:rPr>
          <w:lang w:val="fr-FR"/>
        </w:rPr>
        <w:t>femmes), pour améliorer l</w:t>
      </w:r>
      <w:r>
        <w:rPr>
          <w:lang w:val="fr-FR"/>
        </w:rPr>
        <w:t>’</w:t>
      </w:r>
      <w:r w:rsidRPr="00686CD4">
        <w:rPr>
          <w:lang w:val="fr-FR"/>
        </w:rPr>
        <w:t>efficacité des campagnes de sensibilisation et de mobilisation des collectivités.</w:t>
      </w:r>
    </w:p>
    <w:p w:rsidR="002A7A34" w:rsidRPr="00686CD4" w:rsidRDefault="002A7A34" w:rsidP="00553571">
      <w:pPr>
        <w:pStyle w:val="SingleTxtG"/>
        <w:rPr>
          <w:lang w:val="fr-FR"/>
        </w:rPr>
      </w:pPr>
      <w:r w:rsidRPr="00686CD4">
        <w:rPr>
          <w:lang w:val="fr-FR"/>
        </w:rPr>
        <w:t>125.</w:t>
      </w:r>
      <w:r w:rsidRPr="00686CD4">
        <w:rPr>
          <w:lang w:val="fr-FR"/>
        </w:rPr>
        <w:tab/>
        <w:t xml:space="preserve">Le troisième </w:t>
      </w:r>
      <w:r>
        <w:rPr>
          <w:lang w:val="fr-FR"/>
        </w:rPr>
        <w:t>P</w:t>
      </w:r>
      <w:r w:rsidRPr="00686CD4">
        <w:rPr>
          <w:lang w:val="fr-FR"/>
        </w:rPr>
        <w:t>rogramme d</w:t>
      </w:r>
      <w:r>
        <w:rPr>
          <w:lang w:val="fr-FR"/>
        </w:rPr>
        <w:t>’</w:t>
      </w:r>
      <w:r w:rsidRPr="00686CD4">
        <w:rPr>
          <w:lang w:val="fr-FR"/>
        </w:rPr>
        <w:t>action pour la prévention et l</w:t>
      </w:r>
      <w:r>
        <w:rPr>
          <w:lang w:val="fr-FR"/>
        </w:rPr>
        <w:t>’</w:t>
      </w:r>
      <w:r w:rsidRPr="00686CD4">
        <w:rPr>
          <w:lang w:val="fr-FR"/>
        </w:rPr>
        <w:t>élimination des mutilations génitales féminines (2014</w:t>
      </w:r>
      <w:r>
        <w:rPr>
          <w:lang w:val="fr-FR"/>
        </w:rPr>
        <w:t>-</w:t>
      </w:r>
      <w:r w:rsidRPr="00686CD4">
        <w:rPr>
          <w:lang w:val="fr-FR"/>
        </w:rPr>
        <w:t>2017) fait une place plus importante à la poursuite d</w:t>
      </w:r>
      <w:r>
        <w:rPr>
          <w:lang w:val="fr-FR"/>
        </w:rPr>
        <w:t>’</w:t>
      </w:r>
      <w:r w:rsidRPr="00686CD4">
        <w:rPr>
          <w:lang w:val="fr-FR"/>
        </w:rPr>
        <w:t>interventions locales en renforçant l</w:t>
      </w:r>
      <w:r>
        <w:rPr>
          <w:lang w:val="fr-FR"/>
        </w:rPr>
        <w:t>’</w:t>
      </w:r>
      <w:r w:rsidRPr="00686CD4">
        <w:rPr>
          <w:lang w:val="fr-FR"/>
        </w:rPr>
        <w:t>action menée auprès des populations exposées à des risque</w:t>
      </w:r>
      <w:r>
        <w:rPr>
          <w:lang w:val="fr-FR"/>
        </w:rPr>
        <w:t>s.</w:t>
      </w:r>
      <w:r w:rsidRPr="00686CD4">
        <w:rPr>
          <w:lang w:val="fr-FR"/>
        </w:rPr>
        <w:t xml:space="preserve"> </w:t>
      </w:r>
      <w:r>
        <w:rPr>
          <w:lang w:val="fr-FR"/>
        </w:rPr>
        <w:t>L’</w:t>
      </w:r>
      <w:r w:rsidRPr="00686CD4">
        <w:rPr>
          <w:lang w:val="fr-FR"/>
        </w:rPr>
        <w:t>étude de prévalence</w:t>
      </w:r>
      <w:r>
        <w:rPr>
          <w:lang w:val="fr-FR"/>
        </w:rPr>
        <w:t>, par exemple,</w:t>
      </w:r>
      <w:r w:rsidRPr="00686CD4">
        <w:rPr>
          <w:lang w:val="fr-FR"/>
        </w:rPr>
        <w:t xml:space="preserve"> fournit des données essentielles au groupe de travail chargé de la mise en œuvre du troisième </w:t>
      </w:r>
      <w:r>
        <w:rPr>
          <w:lang w:val="fr-FR"/>
        </w:rPr>
        <w:t>P</w:t>
      </w:r>
      <w:r w:rsidRPr="00686CD4">
        <w:rPr>
          <w:lang w:val="fr-FR"/>
        </w:rPr>
        <w:t>lan d</w:t>
      </w:r>
      <w:r>
        <w:rPr>
          <w:lang w:val="fr-FR"/>
        </w:rPr>
        <w:t>’</w:t>
      </w:r>
      <w:r w:rsidRPr="00686CD4">
        <w:rPr>
          <w:lang w:val="fr-FR"/>
        </w:rPr>
        <w:t>action en</w:t>
      </w:r>
      <w:r w:rsidR="00495D0F">
        <w:rPr>
          <w:lang w:val="fr-FR"/>
        </w:rPr>
        <w:t xml:space="preserve"> </w:t>
      </w:r>
      <w:r>
        <w:rPr>
          <w:lang w:val="fr-FR"/>
        </w:rPr>
        <w:t xml:space="preserve">faisant valoir que de </w:t>
      </w:r>
      <w:r w:rsidRPr="00686CD4">
        <w:rPr>
          <w:lang w:val="fr-FR"/>
        </w:rPr>
        <w:lastRenderedPageBreak/>
        <w:t xml:space="preserve">multiples raisons </w:t>
      </w:r>
      <w:r>
        <w:rPr>
          <w:lang w:val="fr-FR"/>
        </w:rPr>
        <w:t xml:space="preserve">sont </w:t>
      </w:r>
      <w:r w:rsidRPr="00686CD4">
        <w:rPr>
          <w:lang w:val="fr-FR"/>
        </w:rPr>
        <w:t xml:space="preserve">avancées pour justifier la poursuite des mutilations génitales féminines et </w:t>
      </w:r>
      <w:r>
        <w:rPr>
          <w:lang w:val="fr-FR"/>
        </w:rPr>
        <w:t xml:space="preserve">en montrant </w:t>
      </w:r>
      <w:r w:rsidRPr="00686CD4">
        <w:rPr>
          <w:lang w:val="fr-FR"/>
        </w:rPr>
        <w:t>que ces raisons diffèrent en fonction du sexe, de l</w:t>
      </w:r>
      <w:r>
        <w:rPr>
          <w:lang w:val="fr-FR"/>
        </w:rPr>
        <w:t>’</w:t>
      </w:r>
      <w:r w:rsidRPr="00686CD4">
        <w:rPr>
          <w:lang w:val="fr-FR"/>
        </w:rPr>
        <w:t>âge et de l</w:t>
      </w:r>
      <w:r>
        <w:rPr>
          <w:lang w:val="fr-FR"/>
        </w:rPr>
        <w:t>’</w:t>
      </w:r>
      <w:r w:rsidRPr="00686CD4">
        <w:rPr>
          <w:lang w:val="fr-FR"/>
        </w:rPr>
        <w:t>origine ethnique</w:t>
      </w:r>
      <w:r w:rsidR="00BD65A4">
        <w:rPr>
          <w:lang w:val="fr-FR"/>
        </w:rPr>
        <w:t>.</w:t>
      </w:r>
    </w:p>
    <w:p w:rsidR="002A7A34" w:rsidRPr="00686CD4" w:rsidRDefault="002A7A34" w:rsidP="00553571">
      <w:pPr>
        <w:pStyle w:val="SingleTxtG"/>
        <w:rPr>
          <w:lang w:val="fr-FR"/>
        </w:rPr>
      </w:pPr>
      <w:r w:rsidRPr="00686CD4">
        <w:rPr>
          <w:lang w:val="fr-FR"/>
        </w:rPr>
        <w:t>126.</w:t>
      </w:r>
      <w:r w:rsidRPr="00686CD4">
        <w:rPr>
          <w:lang w:val="fr-FR"/>
        </w:rPr>
        <w:tab/>
        <w:t>L</w:t>
      </w:r>
      <w:r>
        <w:rPr>
          <w:lang w:val="fr-FR"/>
        </w:rPr>
        <w:t>’</w:t>
      </w:r>
      <w:r w:rsidRPr="00686CD4">
        <w:rPr>
          <w:lang w:val="fr-FR"/>
        </w:rPr>
        <w:t>étude présente également une série de recommandations concernant les travaux menés dans le cadre des différents programmes d</w:t>
      </w:r>
      <w:r>
        <w:rPr>
          <w:lang w:val="fr-FR"/>
        </w:rPr>
        <w:t>’</w:t>
      </w:r>
      <w:r w:rsidRPr="00686CD4">
        <w:rPr>
          <w:lang w:val="fr-FR"/>
        </w:rPr>
        <w:t xml:space="preserve">action nationaux consacrés à la lutte contre les mutilations génitales féminines, </w:t>
      </w:r>
      <w:r>
        <w:rPr>
          <w:lang w:val="fr-FR"/>
        </w:rPr>
        <w:t xml:space="preserve">qui sont plus particulièrement destinées aux </w:t>
      </w:r>
      <w:r w:rsidRPr="00686CD4">
        <w:rPr>
          <w:lang w:val="fr-FR"/>
        </w:rPr>
        <w:t xml:space="preserve">professionnels </w:t>
      </w:r>
      <w:r>
        <w:rPr>
          <w:lang w:val="fr-FR"/>
        </w:rPr>
        <w:t xml:space="preserve">les </w:t>
      </w:r>
      <w:r w:rsidRPr="00686CD4">
        <w:rPr>
          <w:lang w:val="fr-FR"/>
        </w:rPr>
        <w:t xml:space="preserve">plus directement impliqués dans la prévention </w:t>
      </w:r>
      <w:r>
        <w:rPr>
          <w:lang w:val="fr-FR"/>
        </w:rPr>
        <w:t xml:space="preserve">et </w:t>
      </w:r>
      <w:r w:rsidRPr="00686CD4">
        <w:rPr>
          <w:lang w:val="fr-FR"/>
        </w:rPr>
        <w:t>la lutte contre ces mutilations, c</w:t>
      </w:r>
      <w:r>
        <w:rPr>
          <w:lang w:val="fr-FR"/>
        </w:rPr>
        <w:t>’</w:t>
      </w:r>
      <w:r w:rsidRPr="00686CD4">
        <w:rPr>
          <w:lang w:val="fr-FR"/>
        </w:rPr>
        <w:t xml:space="preserve">est-à-dire </w:t>
      </w:r>
      <w:r>
        <w:rPr>
          <w:lang w:val="fr-FR"/>
        </w:rPr>
        <w:t xml:space="preserve">les </w:t>
      </w:r>
      <w:r w:rsidRPr="00686CD4">
        <w:rPr>
          <w:lang w:val="fr-FR"/>
        </w:rPr>
        <w:t xml:space="preserve">membres du groupe de travail intersectoriel chargé de la mise en œuvre du troisième </w:t>
      </w:r>
      <w:r>
        <w:rPr>
          <w:lang w:val="fr-FR"/>
        </w:rPr>
        <w:t>P</w:t>
      </w:r>
      <w:r w:rsidRPr="00686CD4">
        <w:rPr>
          <w:lang w:val="fr-FR"/>
        </w:rPr>
        <w:t>lan d</w:t>
      </w:r>
      <w:r>
        <w:rPr>
          <w:lang w:val="fr-FR"/>
        </w:rPr>
        <w:t>’</w:t>
      </w:r>
      <w:r w:rsidRPr="00686CD4">
        <w:rPr>
          <w:lang w:val="fr-FR"/>
        </w:rPr>
        <w:t>action</w:t>
      </w:r>
      <w:r w:rsidR="00BD65A4">
        <w:rPr>
          <w:lang w:val="fr-FR"/>
        </w:rPr>
        <w:t>.</w:t>
      </w:r>
    </w:p>
    <w:p w:rsidR="002A7A34" w:rsidRPr="00686CD4" w:rsidRDefault="002A7A34" w:rsidP="00553571">
      <w:pPr>
        <w:pStyle w:val="SingleTxtG"/>
        <w:keepNext/>
        <w:rPr>
          <w:lang w:val="fr-FR"/>
        </w:rPr>
      </w:pPr>
      <w:r w:rsidRPr="00686CD4">
        <w:rPr>
          <w:lang w:val="fr-FR"/>
        </w:rPr>
        <w:t>127.</w:t>
      </w:r>
      <w:r w:rsidRPr="00686CD4">
        <w:rPr>
          <w:lang w:val="fr-FR"/>
        </w:rPr>
        <w:tab/>
        <w:t xml:space="preserve">Certains des principaux résultats de </w:t>
      </w:r>
      <w:r>
        <w:rPr>
          <w:lang w:val="fr-FR"/>
        </w:rPr>
        <w:t>l’</w:t>
      </w:r>
      <w:r w:rsidRPr="00686CD4">
        <w:rPr>
          <w:lang w:val="fr-FR"/>
        </w:rPr>
        <w:t>étude de</w:t>
      </w:r>
      <w:r>
        <w:rPr>
          <w:lang w:val="fr-FR"/>
        </w:rPr>
        <w:t> </w:t>
      </w:r>
      <w:r w:rsidRPr="00686CD4">
        <w:rPr>
          <w:lang w:val="fr-FR"/>
        </w:rPr>
        <w:t>2015 mérite</w:t>
      </w:r>
      <w:r>
        <w:rPr>
          <w:lang w:val="fr-FR"/>
        </w:rPr>
        <w:t>nt</w:t>
      </w:r>
      <w:r w:rsidRPr="00686CD4">
        <w:rPr>
          <w:lang w:val="fr-FR"/>
        </w:rPr>
        <w:t xml:space="preserve"> d</w:t>
      </w:r>
      <w:r>
        <w:rPr>
          <w:lang w:val="fr-FR"/>
        </w:rPr>
        <w:t>’</w:t>
      </w:r>
      <w:r w:rsidRPr="00686CD4">
        <w:rPr>
          <w:lang w:val="fr-FR"/>
        </w:rPr>
        <w:t xml:space="preserve">être </w:t>
      </w:r>
      <w:r>
        <w:rPr>
          <w:lang w:val="fr-FR"/>
        </w:rPr>
        <w:t>mentionnés</w:t>
      </w:r>
      <w:r w:rsidR="00495D0F">
        <w:rPr>
          <w:lang w:val="fr-FR"/>
        </w:rPr>
        <w:t> :</w:t>
      </w:r>
      <w:r w:rsidRPr="00686CD4">
        <w:rPr>
          <w:lang w:val="fr-FR"/>
        </w:rPr>
        <w:t xml:space="preserve">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Selon les estimations, 6 576</w:t>
      </w:r>
      <w:r>
        <w:rPr>
          <w:lang w:val="fr-FR"/>
        </w:rPr>
        <w:t> </w:t>
      </w:r>
      <w:r w:rsidRPr="00686CD4">
        <w:rPr>
          <w:lang w:val="fr-FR"/>
        </w:rPr>
        <w:t>femmes âgées de plus de 15</w:t>
      </w:r>
      <w:r>
        <w:rPr>
          <w:lang w:val="fr-FR"/>
        </w:rPr>
        <w:t> </w:t>
      </w:r>
      <w:r w:rsidRPr="00686CD4">
        <w:rPr>
          <w:lang w:val="fr-FR"/>
        </w:rPr>
        <w:t>ans, soit 49</w:t>
      </w:r>
      <w:r>
        <w:rPr>
          <w:lang w:val="fr-FR"/>
        </w:rPr>
        <w:t> </w:t>
      </w:r>
      <w:r w:rsidRPr="00686CD4">
        <w:rPr>
          <w:lang w:val="fr-FR"/>
        </w:rPr>
        <w:t>% des femmes résidant au Portugal</w:t>
      </w:r>
      <w:r>
        <w:rPr>
          <w:lang w:val="fr-FR"/>
        </w:rPr>
        <w:t>,</w:t>
      </w:r>
      <w:r w:rsidRPr="00686CD4">
        <w:rPr>
          <w:lang w:val="fr-FR"/>
        </w:rPr>
        <w:t xml:space="preserve"> mais nées dans un pays pratiquant les mutilations génitales féminines</w:t>
      </w:r>
      <w:r w:rsidR="00495D0F">
        <w:rPr>
          <w:lang w:val="fr-FR"/>
        </w:rPr>
        <w:t xml:space="preserve"> </w:t>
      </w:r>
      <w:r w:rsidRPr="00686CD4">
        <w:rPr>
          <w:lang w:val="fr-FR"/>
        </w:rPr>
        <w:t xml:space="preserve">pourraient avoir </w:t>
      </w:r>
      <w:r>
        <w:rPr>
          <w:lang w:val="fr-FR"/>
        </w:rPr>
        <w:t>subi des mutilations génitales féminines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 xml:space="preserve">D’après </w:t>
      </w:r>
      <w:r w:rsidRPr="00686CD4">
        <w:rPr>
          <w:lang w:val="fr-FR"/>
        </w:rPr>
        <w:t>les estimations</w:t>
      </w:r>
      <w:r>
        <w:rPr>
          <w:lang w:val="fr-FR"/>
        </w:rPr>
        <w:t>,</w:t>
      </w:r>
      <w:r w:rsidRPr="00686CD4">
        <w:rPr>
          <w:lang w:val="fr-FR"/>
        </w:rPr>
        <w:t xml:space="preserve"> </w:t>
      </w:r>
      <w:r>
        <w:rPr>
          <w:lang w:val="fr-FR"/>
        </w:rPr>
        <w:t xml:space="preserve">la grande majorité des femmes </w:t>
      </w:r>
      <w:r w:rsidRPr="00686CD4">
        <w:rPr>
          <w:lang w:val="fr-FR"/>
        </w:rPr>
        <w:t>ayant subi ce type de mutilations viennent de Guinée-Bissau (90</w:t>
      </w:r>
      <w:r>
        <w:rPr>
          <w:lang w:val="fr-FR"/>
        </w:rPr>
        <w:t> </w:t>
      </w:r>
      <w:r w:rsidRPr="00686CD4">
        <w:rPr>
          <w:lang w:val="fr-FR"/>
        </w:rPr>
        <w:t>%)</w:t>
      </w:r>
      <w:r w:rsidR="00495D0F">
        <w:rPr>
          <w:lang w:val="fr-FR"/>
        </w:rPr>
        <w:t> ;</w:t>
      </w:r>
      <w:r w:rsidRPr="00686CD4">
        <w:rPr>
          <w:lang w:val="fr-FR"/>
        </w:rPr>
        <w:t xml:space="preserve"> </w:t>
      </w:r>
      <w:r>
        <w:rPr>
          <w:lang w:val="fr-FR"/>
        </w:rPr>
        <w:t xml:space="preserve">les femmes originaires de </w:t>
      </w:r>
      <w:r w:rsidRPr="00686CD4">
        <w:rPr>
          <w:lang w:val="fr-FR"/>
        </w:rPr>
        <w:t>Guinée (3</w:t>
      </w:r>
      <w:r>
        <w:rPr>
          <w:lang w:val="fr-FR"/>
        </w:rPr>
        <w:t> </w:t>
      </w:r>
      <w:r w:rsidRPr="00686CD4">
        <w:rPr>
          <w:lang w:val="fr-FR"/>
        </w:rPr>
        <w:t>%) et du Sénégal (2</w:t>
      </w:r>
      <w:r>
        <w:rPr>
          <w:lang w:val="fr-FR"/>
        </w:rPr>
        <w:t> </w:t>
      </w:r>
      <w:r w:rsidRPr="00686CD4">
        <w:rPr>
          <w:lang w:val="fr-FR"/>
        </w:rPr>
        <w:t>%)</w:t>
      </w:r>
      <w:r>
        <w:rPr>
          <w:lang w:val="fr-FR"/>
        </w:rPr>
        <w:t xml:space="preserve"> sont aussi concernées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 xml:space="preserve">Toujours selon les estimations, </w:t>
      </w:r>
      <w:r>
        <w:rPr>
          <w:lang w:val="fr-FR"/>
        </w:rPr>
        <w:t>au total 1</w:t>
      </w:r>
      <w:r w:rsidR="00553571">
        <w:rPr>
          <w:lang w:val="fr-FR"/>
        </w:rPr>
        <w:t> </w:t>
      </w:r>
      <w:r>
        <w:rPr>
          <w:lang w:val="fr-FR"/>
        </w:rPr>
        <w:t>830</w:t>
      </w:r>
      <w:r w:rsidR="00553571">
        <w:rPr>
          <w:lang w:val="fr-FR"/>
        </w:rPr>
        <w:t> </w:t>
      </w:r>
      <w:r w:rsidRPr="00686CD4">
        <w:rPr>
          <w:lang w:val="fr-FR"/>
        </w:rPr>
        <w:t>filles âgées de</w:t>
      </w:r>
      <w:r w:rsidR="00553571">
        <w:rPr>
          <w:lang w:val="fr-FR"/>
        </w:rPr>
        <w:t xml:space="preserve"> </w:t>
      </w:r>
      <w:r>
        <w:rPr>
          <w:lang w:val="fr-FR"/>
        </w:rPr>
        <w:t>0</w:t>
      </w:r>
      <w:r w:rsidRPr="00686CD4">
        <w:rPr>
          <w:lang w:val="fr-FR"/>
        </w:rPr>
        <w:t xml:space="preserve"> à 14</w:t>
      </w:r>
      <w:r>
        <w:rPr>
          <w:lang w:val="fr-FR"/>
        </w:rPr>
        <w:t> </w:t>
      </w:r>
      <w:r w:rsidRPr="00686CD4">
        <w:rPr>
          <w:lang w:val="fr-FR"/>
        </w:rPr>
        <w:t xml:space="preserve">ans vivant en </w:t>
      </w:r>
      <w:r>
        <w:rPr>
          <w:lang w:val="fr-FR"/>
        </w:rPr>
        <w:t xml:space="preserve">Portugal </w:t>
      </w:r>
      <w:r w:rsidRPr="00686CD4">
        <w:rPr>
          <w:lang w:val="fr-FR"/>
        </w:rPr>
        <w:t>ont été ou seront soumises à des mutilations génitales féminines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L</w:t>
      </w:r>
      <w:r>
        <w:rPr>
          <w:lang w:val="fr-FR"/>
        </w:rPr>
        <w:t>’</w:t>
      </w:r>
      <w:r w:rsidRPr="00686CD4">
        <w:rPr>
          <w:lang w:val="fr-FR"/>
        </w:rPr>
        <w:t xml:space="preserve">étude montre que </w:t>
      </w:r>
      <w:r>
        <w:rPr>
          <w:lang w:val="fr-FR"/>
        </w:rPr>
        <w:t xml:space="preserve">cette </w:t>
      </w:r>
      <w:r w:rsidRPr="00686CD4">
        <w:rPr>
          <w:lang w:val="fr-FR"/>
        </w:rPr>
        <w:t>pratique est prisée surtout par les hommes bien qu</w:t>
      </w:r>
      <w:r>
        <w:rPr>
          <w:lang w:val="fr-FR"/>
        </w:rPr>
        <w:t>e ce soient des femmes qui procèdent aux mutilations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Les collectivités sont d</w:t>
      </w:r>
      <w:r>
        <w:rPr>
          <w:lang w:val="fr-FR"/>
        </w:rPr>
        <w:t>’</w:t>
      </w:r>
      <w:r w:rsidRPr="00686CD4">
        <w:rPr>
          <w:lang w:val="fr-FR"/>
        </w:rPr>
        <w:t>avis que l</w:t>
      </w:r>
      <w:r>
        <w:rPr>
          <w:lang w:val="fr-FR"/>
        </w:rPr>
        <w:t>’</w:t>
      </w:r>
      <w:r w:rsidRPr="00686CD4">
        <w:rPr>
          <w:lang w:val="fr-FR"/>
        </w:rPr>
        <w:t>aspect le plus négatif de cette pratique tient à ses conséquences sanitaires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 xml:space="preserve">Les mutilations génitales féminines sont toujours </w:t>
      </w:r>
      <w:r w:rsidRPr="00686CD4">
        <w:rPr>
          <w:lang w:val="fr-FR"/>
        </w:rPr>
        <w:t>principalement motivée</w:t>
      </w:r>
      <w:r>
        <w:rPr>
          <w:lang w:val="fr-FR"/>
        </w:rPr>
        <w:t>s</w:t>
      </w:r>
      <w:r w:rsidRPr="00686CD4">
        <w:rPr>
          <w:lang w:val="fr-FR"/>
        </w:rPr>
        <w:t xml:space="preserve"> par la tradition religieuse.</w:t>
      </w:r>
    </w:p>
    <w:p w:rsidR="002A7A34" w:rsidRPr="00686CD4" w:rsidRDefault="002A7A34" w:rsidP="002A7A34">
      <w:pPr>
        <w:pStyle w:val="SingleTxtG"/>
        <w:rPr>
          <w:lang w:val="fr-FR"/>
        </w:rPr>
      </w:pPr>
      <w:r w:rsidRPr="00686CD4">
        <w:rPr>
          <w:lang w:val="fr-FR"/>
        </w:rPr>
        <w:t>128.</w:t>
      </w:r>
      <w:r w:rsidRPr="00686CD4">
        <w:rPr>
          <w:lang w:val="fr-FR"/>
        </w:rPr>
        <w:tab/>
        <w:t>Une directive concernant les mutilations génitales féminines a également été établi</w:t>
      </w:r>
      <w:r>
        <w:rPr>
          <w:lang w:val="fr-FR"/>
        </w:rPr>
        <w:t>e</w:t>
      </w:r>
      <w:r w:rsidRPr="00686CD4">
        <w:rPr>
          <w:lang w:val="fr-FR"/>
        </w:rPr>
        <w:t xml:space="preserve"> pour le secteur de la santé, et les cas répertoriés peuvent être enregistrés sur la plateforme des données sanitaires</w:t>
      </w:r>
      <w:r w:rsidRPr="00F16A9E">
        <w:rPr>
          <w:rStyle w:val="Appelnotedebasdep"/>
        </w:rPr>
        <w:footnoteReference w:id="15"/>
      </w:r>
      <w:r>
        <w:rPr>
          <w:lang w:val="fr-FR"/>
        </w:rPr>
        <w:t>.</w:t>
      </w:r>
    </w:p>
    <w:p w:rsidR="002A7A34" w:rsidRPr="00686CD4" w:rsidRDefault="002A7A34" w:rsidP="002A7A34">
      <w:pPr>
        <w:pStyle w:val="H4G"/>
        <w:rPr>
          <w:lang w:val="fr-FR"/>
        </w:rPr>
      </w:pPr>
      <w:r w:rsidRPr="00686CD4">
        <w:rPr>
          <w:lang w:val="fr-FR"/>
        </w:rPr>
        <w:tab/>
      </w:r>
      <w:r w:rsidRPr="00686CD4">
        <w:rPr>
          <w:lang w:val="fr-FR"/>
        </w:rPr>
        <w:tab/>
      </w:r>
      <w:r>
        <w:rPr>
          <w:lang w:val="fr-FR"/>
        </w:rPr>
        <w:t>Po</w:t>
      </w:r>
      <w:r w:rsidRPr="00686CD4">
        <w:rPr>
          <w:iCs/>
          <w:lang w:val="fr-FR"/>
        </w:rPr>
        <w:t xml:space="preserve">ursuites </w:t>
      </w:r>
      <w:r>
        <w:rPr>
          <w:iCs/>
          <w:lang w:val="fr-FR"/>
        </w:rPr>
        <w:t xml:space="preserve">et </w:t>
      </w:r>
      <w:r w:rsidRPr="00686CD4">
        <w:rPr>
          <w:iCs/>
          <w:lang w:val="fr-FR"/>
        </w:rPr>
        <w:t>condam</w:t>
      </w:r>
      <w:r w:rsidRPr="00686CD4">
        <w:rPr>
          <w:lang w:val="fr-FR"/>
        </w:rPr>
        <w:t>nations</w:t>
      </w:r>
    </w:p>
    <w:p w:rsidR="002A7A34" w:rsidRPr="00686CD4" w:rsidRDefault="002A7A34" w:rsidP="002A7A34">
      <w:pPr>
        <w:pStyle w:val="SingleTxtG"/>
        <w:rPr>
          <w:lang w:val="fr-FR"/>
        </w:rPr>
      </w:pPr>
      <w:r w:rsidRPr="00686CD4">
        <w:rPr>
          <w:lang w:val="fr-FR"/>
        </w:rPr>
        <w:t>129.</w:t>
      </w:r>
      <w:r w:rsidRPr="00686CD4">
        <w:rPr>
          <w:lang w:val="fr-FR"/>
        </w:rPr>
        <w:tab/>
        <w:t xml:space="preserve">La loi </w:t>
      </w:r>
      <w:r w:rsidR="00553571" w:rsidRPr="00553571">
        <w:rPr>
          <w:rFonts w:eastAsia="MS Mincho"/>
          <w:lang w:val="fr-FR"/>
        </w:rPr>
        <w:t>n</w:t>
      </w:r>
      <w:r w:rsidR="00553571" w:rsidRPr="00553571">
        <w:rPr>
          <w:rFonts w:eastAsia="MS Mincho"/>
          <w:vertAlign w:val="superscript"/>
          <w:lang w:val="fr-FR"/>
        </w:rPr>
        <w:t>o</w:t>
      </w:r>
      <w:r w:rsidR="00553571">
        <w:rPr>
          <w:lang w:val="fr-FR"/>
        </w:rPr>
        <w:t> </w:t>
      </w:r>
      <w:r w:rsidRPr="00686CD4">
        <w:rPr>
          <w:lang w:val="fr-FR"/>
        </w:rPr>
        <w:t>83/2015 du 5</w:t>
      </w:r>
      <w:r>
        <w:rPr>
          <w:lang w:val="fr-FR"/>
        </w:rPr>
        <w:t> </w:t>
      </w:r>
      <w:r w:rsidRPr="00686CD4">
        <w:rPr>
          <w:lang w:val="fr-FR"/>
        </w:rPr>
        <w:t xml:space="preserve">août, érige en </w:t>
      </w:r>
      <w:r>
        <w:rPr>
          <w:lang w:val="fr-FR"/>
        </w:rPr>
        <w:t>infraction</w:t>
      </w:r>
      <w:r w:rsidRPr="00686CD4">
        <w:rPr>
          <w:lang w:val="fr-FR"/>
        </w:rPr>
        <w:t xml:space="preserve"> les mutilations génitales féminines </w:t>
      </w:r>
      <w:r>
        <w:rPr>
          <w:lang w:val="fr-FR"/>
        </w:rPr>
        <w:t>dans le C</w:t>
      </w:r>
      <w:r w:rsidRPr="00686CD4">
        <w:rPr>
          <w:lang w:val="fr-FR"/>
        </w:rPr>
        <w:t>ode pénal. Aucune affaire de cette nature n</w:t>
      </w:r>
      <w:r>
        <w:rPr>
          <w:lang w:val="fr-FR"/>
        </w:rPr>
        <w:t>’</w:t>
      </w:r>
      <w:r w:rsidRPr="00686CD4">
        <w:rPr>
          <w:lang w:val="fr-FR"/>
        </w:rPr>
        <w:t>a été enregistrée durant la période</w:t>
      </w:r>
      <w:r>
        <w:rPr>
          <w:lang w:val="fr-FR"/>
        </w:rPr>
        <w:t> </w:t>
      </w:r>
      <w:r w:rsidRPr="00686CD4">
        <w:rPr>
          <w:lang w:val="fr-FR"/>
        </w:rPr>
        <w:t>2015</w:t>
      </w:r>
      <w:r>
        <w:rPr>
          <w:lang w:val="fr-FR"/>
        </w:rPr>
        <w:t>-</w:t>
      </w:r>
      <w:r w:rsidRPr="00686CD4">
        <w:rPr>
          <w:lang w:val="fr-FR"/>
        </w:rPr>
        <w:t xml:space="preserve">2016. </w:t>
      </w:r>
    </w:p>
    <w:p w:rsidR="002A7A34" w:rsidRPr="00686CD4" w:rsidRDefault="002A7A34" w:rsidP="00553571">
      <w:pPr>
        <w:pStyle w:val="H1G"/>
        <w:rPr>
          <w:lang w:val="fr-FR"/>
        </w:rPr>
      </w:pPr>
      <w:r w:rsidRPr="00686CD4">
        <w:rPr>
          <w:lang w:val="fr-FR"/>
        </w:rPr>
        <w:tab/>
      </w:r>
      <w:r w:rsidRPr="00686CD4">
        <w:rPr>
          <w:lang w:val="fr-FR"/>
        </w:rPr>
        <w:tab/>
        <w:t xml:space="preserve">Article 3 </w:t>
      </w:r>
      <w:bookmarkStart w:id="24" w:name="_Toc532494627"/>
      <w:bookmarkEnd w:id="24"/>
    </w:p>
    <w:p w:rsidR="002A7A34" w:rsidRPr="00686CD4" w:rsidRDefault="002A7A34" w:rsidP="00553571">
      <w:pPr>
        <w:pStyle w:val="H23G"/>
        <w:jc w:val="both"/>
        <w:rPr>
          <w:lang w:val="fr-FR"/>
        </w:rPr>
      </w:pPr>
      <w:r>
        <w:rPr>
          <w:lang w:val="fr-FR"/>
        </w:rPr>
        <w:tab/>
      </w:r>
      <w:r w:rsidRPr="00686CD4">
        <w:rPr>
          <w:lang w:val="fr-FR"/>
        </w:rPr>
        <w:t>6.</w:t>
      </w:r>
      <w:r w:rsidRPr="00686CD4">
        <w:rPr>
          <w:lang w:val="fr-FR"/>
        </w:rPr>
        <w:tab/>
        <w:t>Fournir pour la période considérée des statistiques annuelles ventilées par type de procédure d</w:t>
      </w:r>
      <w:r>
        <w:rPr>
          <w:lang w:val="fr-FR"/>
        </w:rPr>
        <w:t>’</w:t>
      </w:r>
      <w:r w:rsidRPr="00686CD4">
        <w:rPr>
          <w:lang w:val="fr-FR"/>
        </w:rPr>
        <w:t>asile (procédure spéciale ou procédure ordinaire), sexe, pays d</w:t>
      </w:r>
      <w:r>
        <w:rPr>
          <w:lang w:val="fr-FR"/>
        </w:rPr>
        <w:t>’</w:t>
      </w:r>
      <w:r w:rsidRPr="00686CD4">
        <w:rPr>
          <w:lang w:val="fr-FR"/>
        </w:rPr>
        <w:t>origine et âge des personnes concernées sur</w:t>
      </w:r>
      <w:r w:rsidR="00495D0F">
        <w:rPr>
          <w:lang w:val="fr-FR"/>
        </w:rPr>
        <w:t> :</w:t>
      </w:r>
      <w:bookmarkStart w:id="25" w:name="_Toc532494628"/>
      <w:bookmarkEnd w:id="25"/>
    </w:p>
    <w:p w:rsidR="002A7A34" w:rsidRPr="00686CD4" w:rsidRDefault="002A7A34" w:rsidP="002A7A34">
      <w:pPr>
        <w:pStyle w:val="H23G"/>
        <w:rPr>
          <w:lang w:val="fr-FR"/>
        </w:rPr>
      </w:pPr>
      <w:r w:rsidRPr="00686CD4">
        <w:rPr>
          <w:lang w:val="fr-FR"/>
        </w:rPr>
        <w:tab/>
      </w:r>
      <w:r w:rsidRPr="00686CD4">
        <w:rPr>
          <w:lang w:val="fr-FR"/>
        </w:rPr>
        <w:tab/>
      </w:r>
      <w:r w:rsidRPr="00686CD4">
        <w:rPr>
          <w:lang w:val="fr-FR"/>
        </w:rPr>
        <w:tab/>
        <w:t>a)</w:t>
      </w:r>
      <w:r w:rsidRPr="00686CD4">
        <w:rPr>
          <w:lang w:val="fr-FR"/>
        </w:rPr>
        <w:tab/>
      </w:r>
      <w:r w:rsidRPr="00686CD4">
        <w:rPr>
          <w:bCs/>
          <w:lang w:val="fr-FR"/>
        </w:rPr>
        <w:t>Le nombre de demandes d</w:t>
      </w:r>
      <w:r>
        <w:rPr>
          <w:bCs/>
          <w:lang w:val="fr-FR"/>
        </w:rPr>
        <w:t>’</w:t>
      </w:r>
      <w:r w:rsidRPr="00686CD4">
        <w:rPr>
          <w:bCs/>
          <w:lang w:val="fr-FR"/>
        </w:rPr>
        <w:t>asile enregistrées</w:t>
      </w:r>
      <w:r w:rsidR="00495D0F">
        <w:rPr>
          <w:bCs/>
          <w:lang w:val="fr-FR"/>
        </w:rPr>
        <w:t> ;</w:t>
      </w:r>
      <w:bookmarkStart w:id="26" w:name="_Toc532494629"/>
      <w:bookmarkEnd w:id="26"/>
    </w:p>
    <w:p w:rsidR="002A7A34" w:rsidRPr="00686CD4" w:rsidRDefault="002A7A34" w:rsidP="00746934">
      <w:pPr>
        <w:pStyle w:val="SingleTxtG"/>
        <w:rPr>
          <w:lang w:val="fr-FR"/>
        </w:rPr>
      </w:pPr>
      <w:r w:rsidRPr="00686CD4">
        <w:rPr>
          <w:lang w:val="fr-FR"/>
        </w:rPr>
        <w:t>130.</w:t>
      </w:r>
      <w:r w:rsidRPr="00686CD4">
        <w:rPr>
          <w:lang w:val="fr-FR"/>
        </w:rPr>
        <w:tab/>
        <w:t xml:space="preserve">Selon le </w:t>
      </w:r>
      <w:r>
        <w:rPr>
          <w:lang w:val="fr-FR"/>
        </w:rPr>
        <w:t>S</w:t>
      </w:r>
      <w:r w:rsidRPr="00686CD4">
        <w:rPr>
          <w:lang w:val="fr-FR"/>
        </w:rPr>
        <w:t>ervice de l</w:t>
      </w:r>
      <w:r>
        <w:rPr>
          <w:lang w:val="fr-FR"/>
        </w:rPr>
        <w:t>’</w:t>
      </w:r>
      <w:r w:rsidRPr="00686CD4">
        <w:rPr>
          <w:lang w:val="fr-FR"/>
        </w:rPr>
        <w:t>immigration et des frontières, le</w:t>
      </w:r>
      <w:r w:rsidR="00495D0F">
        <w:rPr>
          <w:lang w:val="fr-FR"/>
        </w:rPr>
        <w:t xml:space="preserve"> </w:t>
      </w:r>
      <w:r w:rsidRPr="00686CD4">
        <w:rPr>
          <w:lang w:val="fr-FR"/>
        </w:rPr>
        <w:t>Portugal a reçu au</w:t>
      </w:r>
      <w:r w:rsidR="00495D0F">
        <w:rPr>
          <w:lang w:val="fr-FR"/>
        </w:rPr>
        <w:t xml:space="preserve"> </w:t>
      </w:r>
      <w:r w:rsidRPr="00686CD4">
        <w:rPr>
          <w:lang w:val="fr-FR"/>
        </w:rPr>
        <w:t>total de 3</w:t>
      </w:r>
      <w:r>
        <w:rPr>
          <w:lang w:val="fr-FR"/>
        </w:rPr>
        <w:t> </w:t>
      </w:r>
      <w:r w:rsidRPr="00686CD4">
        <w:rPr>
          <w:lang w:val="fr-FR"/>
        </w:rPr>
        <w:t>618</w:t>
      </w:r>
      <w:r>
        <w:rPr>
          <w:lang w:val="fr-FR"/>
        </w:rPr>
        <w:t> </w:t>
      </w:r>
      <w:r w:rsidRPr="00686CD4">
        <w:rPr>
          <w:lang w:val="fr-FR"/>
        </w:rPr>
        <w:t>demandes d</w:t>
      </w:r>
      <w:r>
        <w:rPr>
          <w:lang w:val="fr-FR"/>
        </w:rPr>
        <w:t>’</w:t>
      </w:r>
      <w:r w:rsidRPr="00686CD4">
        <w:rPr>
          <w:lang w:val="fr-FR"/>
        </w:rPr>
        <w:t xml:space="preserve">asile au cours des </w:t>
      </w:r>
      <w:r w:rsidR="00746934">
        <w:rPr>
          <w:lang w:val="fr-FR"/>
        </w:rPr>
        <w:t xml:space="preserve">cinq </w:t>
      </w:r>
      <w:r w:rsidRPr="00686CD4">
        <w:rPr>
          <w:lang w:val="fr-FR"/>
        </w:rPr>
        <w:t xml:space="preserve">années </w:t>
      </w:r>
      <w:r>
        <w:rPr>
          <w:lang w:val="fr-FR"/>
        </w:rPr>
        <w:t>de la période </w:t>
      </w:r>
      <w:r w:rsidRPr="00686CD4">
        <w:rPr>
          <w:lang w:val="fr-FR"/>
        </w:rPr>
        <w:t>2012</w:t>
      </w:r>
      <w:r>
        <w:rPr>
          <w:lang w:val="fr-FR"/>
        </w:rPr>
        <w:t>-</w:t>
      </w:r>
      <w:r w:rsidRPr="00686CD4">
        <w:rPr>
          <w:lang w:val="fr-FR"/>
        </w:rPr>
        <w:t>2016</w:t>
      </w:r>
      <w:r w:rsidR="00495D0F">
        <w:rPr>
          <w:lang w:val="fr-FR"/>
        </w:rPr>
        <w:t> ;</w:t>
      </w:r>
      <w:r w:rsidRPr="00686CD4">
        <w:rPr>
          <w:lang w:val="fr-FR"/>
        </w:rPr>
        <w:t xml:space="preserve"> </w:t>
      </w:r>
      <w:r>
        <w:rPr>
          <w:lang w:val="fr-FR"/>
        </w:rPr>
        <w:t xml:space="preserve">il a accordé le statut de </w:t>
      </w:r>
      <w:r w:rsidRPr="00686CD4">
        <w:rPr>
          <w:lang w:val="fr-FR"/>
        </w:rPr>
        <w:t xml:space="preserve">réfugié </w:t>
      </w:r>
      <w:r>
        <w:rPr>
          <w:lang w:val="fr-FR"/>
        </w:rPr>
        <w:t>dans 2</w:t>
      </w:r>
      <w:r w:rsidRPr="00686CD4">
        <w:rPr>
          <w:lang w:val="fr-FR"/>
        </w:rPr>
        <w:t>0,5</w:t>
      </w:r>
      <w:r>
        <w:rPr>
          <w:lang w:val="fr-FR"/>
        </w:rPr>
        <w:t> </w:t>
      </w:r>
      <w:r w:rsidRPr="00686CD4">
        <w:rPr>
          <w:lang w:val="fr-FR"/>
        </w:rPr>
        <w:t>% des cas et une protection subsidiaire dans 79,5</w:t>
      </w:r>
      <w:r>
        <w:rPr>
          <w:lang w:val="fr-FR"/>
        </w:rPr>
        <w:t> </w:t>
      </w:r>
      <w:r w:rsidRPr="00686CD4">
        <w:rPr>
          <w:lang w:val="fr-FR"/>
        </w:rPr>
        <w:t>% des cas.</w:t>
      </w:r>
    </w:p>
    <w:p w:rsidR="002A7A34" w:rsidRPr="00686CD4" w:rsidRDefault="002A7A34" w:rsidP="00746934">
      <w:pPr>
        <w:pStyle w:val="SingleTxtG"/>
        <w:keepNext/>
        <w:rPr>
          <w:lang w:val="fr-FR"/>
        </w:rPr>
      </w:pPr>
      <w:r w:rsidRPr="00686CD4">
        <w:rPr>
          <w:lang w:val="fr-FR"/>
        </w:rPr>
        <w:t>131.</w:t>
      </w:r>
      <w:r w:rsidRPr="00686CD4">
        <w:rPr>
          <w:lang w:val="fr-FR"/>
        </w:rPr>
        <w:tab/>
        <w:t xml:space="preserve">Les demandes de protection internationale ont évolué au cours des années </w:t>
      </w:r>
      <w:r>
        <w:rPr>
          <w:lang w:val="fr-FR"/>
        </w:rPr>
        <w:t>comme indiqué ci-après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2012</w:t>
      </w:r>
      <w:r w:rsidR="00495D0F">
        <w:rPr>
          <w:lang w:val="fr-FR"/>
        </w:rPr>
        <w:t> :</w:t>
      </w:r>
      <w:r w:rsidRPr="00686CD4">
        <w:rPr>
          <w:lang w:val="fr-FR"/>
        </w:rPr>
        <w:t xml:space="preserve"> 299</w:t>
      </w:r>
      <w:r>
        <w:rPr>
          <w:lang w:val="fr-FR"/>
        </w:rPr>
        <w:t> </w:t>
      </w:r>
      <w:r w:rsidRPr="00686CD4">
        <w:rPr>
          <w:lang w:val="fr-FR"/>
        </w:rPr>
        <w:t>demandes</w:t>
      </w:r>
      <w:r w:rsidR="00495D0F">
        <w:rPr>
          <w:lang w:val="fr-FR"/>
        </w:rPr>
        <w:t> ;</w:t>
      </w:r>
      <w:r w:rsidRPr="00686CD4">
        <w:rPr>
          <w:lang w:val="fr-FR"/>
        </w:rPr>
        <w:t xml:space="preserve">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2013</w:t>
      </w:r>
      <w:r w:rsidR="00495D0F">
        <w:rPr>
          <w:lang w:val="fr-FR"/>
        </w:rPr>
        <w:t> :</w:t>
      </w:r>
      <w:r w:rsidRPr="00686CD4">
        <w:rPr>
          <w:lang w:val="fr-FR"/>
        </w:rPr>
        <w:t xml:space="preserve"> 507</w:t>
      </w:r>
      <w:r>
        <w:rPr>
          <w:lang w:val="fr-FR"/>
        </w:rPr>
        <w:t> </w:t>
      </w:r>
      <w:r w:rsidRPr="00686CD4">
        <w:rPr>
          <w:lang w:val="fr-FR"/>
        </w:rPr>
        <w:t>demandes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lastRenderedPageBreak/>
        <w:t>•</w:t>
      </w:r>
      <w:r w:rsidRPr="00686CD4">
        <w:rPr>
          <w:lang w:val="fr-FR"/>
        </w:rPr>
        <w:tab/>
        <w:t>2014</w:t>
      </w:r>
      <w:r w:rsidR="00495D0F">
        <w:rPr>
          <w:lang w:val="fr-FR"/>
        </w:rPr>
        <w:t> :</w:t>
      </w:r>
      <w:r w:rsidRPr="00686CD4">
        <w:rPr>
          <w:lang w:val="fr-FR"/>
        </w:rPr>
        <w:t xml:space="preserve"> les cinq principaux pays d</w:t>
      </w:r>
      <w:r>
        <w:rPr>
          <w:lang w:val="fr-FR"/>
        </w:rPr>
        <w:t>’</w:t>
      </w:r>
      <w:r w:rsidRPr="00686CD4">
        <w:rPr>
          <w:lang w:val="fr-FR"/>
        </w:rPr>
        <w:t>origine des personnes soumettant une demande de protection internationale sont l</w:t>
      </w:r>
      <w:r>
        <w:rPr>
          <w:lang w:val="fr-FR"/>
        </w:rPr>
        <w:t>’</w:t>
      </w:r>
      <w:r w:rsidRPr="00686CD4">
        <w:rPr>
          <w:lang w:val="fr-FR"/>
        </w:rPr>
        <w:t>Ukraine (157), le Maroc (25), la Sierra Leone (23), le Mali (21) et la Côte d</w:t>
      </w:r>
      <w:r>
        <w:rPr>
          <w:lang w:val="fr-FR"/>
        </w:rPr>
        <w:t>’</w:t>
      </w:r>
      <w:r w:rsidRPr="00686CD4">
        <w:rPr>
          <w:lang w:val="fr-FR"/>
        </w:rPr>
        <w:t>Ivoire (17)</w:t>
      </w:r>
      <w:r>
        <w:rPr>
          <w:lang w:val="fr-FR"/>
        </w:rPr>
        <w:t>,</w:t>
      </w:r>
      <w:r w:rsidRPr="00686CD4">
        <w:rPr>
          <w:lang w:val="fr-FR"/>
        </w:rPr>
        <w:t xml:space="preserve"> comme indiqué</w:t>
      </w:r>
      <w:r>
        <w:rPr>
          <w:lang w:val="fr-FR"/>
        </w:rPr>
        <w:t xml:space="preserve"> </w:t>
      </w:r>
      <w:r w:rsidRPr="00686CD4">
        <w:rPr>
          <w:lang w:val="fr-FR"/>
        </w:rPr>
        <w:t>au tableau</w:t>
      </w:r>
      <w:r>
        <w:rPr>
          <w:lang w:val="fr-FR"/>
        </w:rPr>
        <w:t> </w:t>
      </w:r>
      <w:r w:rsidRPr="00686CD4">
        <w:rPr>
          <w:lang w:val="fr-FR"/>
        </w:rPr>
        <w:t>IX de l</w:t>
      </w:r>
      <w:r>
        <w:rPr>
          <w:lang w:val="fr-FR"/>
        </w:rPr>
        <w:t>’</w:t>
      </w:r>
      <w:r w:rsidRPr="00686CD4">
        <w:rPr>
          <w:lang w:val="fr-FR"/>
        </w:rPr>
        <w:t>annexe</w:t>
      </w:r>
      <w:r>
        <w:rPr>
          <w:lang w:val="fr-FR"/>
        </w:rPr>
        <w:t> </w:t>
      </w:r>
      <w:r w:rsidRPr="00686CD4">
        <w:rPr>
          <w:lang w:val="fr-FR"/>
        </w:rPr>
        <w:t>III</w:t>
      </w:r>
      <w:r w:rsidR="00BD65A4">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2015</w:t>
      </w:r>
      <w:r w:rsidR="00495D0F">
        <w:rPr>
          <w:lang w:val="fr-FR"/>
        </w:rPr>
        <w:t> :</w:t>
      </w:r>
      <w:r w:rsidRPr="00686CD4">
        <w:rPr>
          <w:lang w:val="fr-FR"/>
        </w:rPr>
        <w:t xml:space="preserve"> les cinq principaux pays d</w:t>
      </w:r>
      <w:r>
        <w:rPr>
          <w:lang w:val="fr-FR"/>
        </w:rPr>
        <w:t>’</w:t>
      </w:r>
      <w:r w:rsidRPr="00686CD4">
        <w:rPr>
          <w:lang w:val="fr-FR"/>
        </w:rPr>
        <w:t>origine des personnes soumettant une demande de protection internationale sont l</w:t>
      </w:r>
      <w:r>
        <w:rPr>
          <w:lang w:val="fr-FR"/>
        </w:rPr>
        <w:t>’</w:t>
      </w:r>
      <w:r w:rsidRPr="00686CD4">
        <w:rPr>
          <w:lang w:val="fr-FR"/>
        </w:rPr>
        <w:t>Ukraine (388), le Mali (82), la Chine (75), le Pakistan (63) et la Guinée (37)</w:t>
      </w:r>
      <w:r>
        <w:rPr>
          <w:lang w:val="fr-FR"/>
        </w:rPr>
        <w:t>,</w:t>
      </w:r>
      <w:r w:rsidRPr="00686CD4">
        <w:rPr>
          <w:lang w:val="fr-FR"/>
        </w:rPr>
        <w:t xml:space="preserve"> comme indiqué </w:t>
      </w:r>
      <w:r>
        <w:rPr>
          <w:lang w:val="fr-FR"/>
        </w:rPr>
        <w:t xml:space="preserve">au </w:t>
      </w:r>
      <w:r w:rsidRPr="00686CD4">
        <w:rPr>
          <w:lang w:val="fr-FR"/>
        </w:rPr>
        <w:t>tableau</w:t>
      </w:r>
      <w:r>
        <w:rPr>
          <w:lang w:val="fr-FR"/>
        </w:rPr>
        <w:t> </w:t>
      </w:r>
      <w:r w:rsidRPr="00686CD4">
        <w:rPr>
          <w:lang w:val="fr-FR"/>
        </w:rPr>
        <w:t>X de l</w:t>
      </w:r>
      <w:r>
        <w:rPr>
          <w:lang w:val="fr-FR"/>
        </w:rPr>
        <w:t>’</w:t>
      </w:r>
      <w:r w:rsidRPr="00686CD4">
        <w:rPr>
          <w:lang w:val="fr-FR"/>
        </w:rPr>
        <w:t>annexe</w:t>
      </w:r>
      <w:r>
        <w:rPr>
          <w:lang w:val="fr-FR"/>
        </w:rPr>
        <w:t> </w:t>
      </w:r>
      <w:r w:rsidRPr="00686CD4">
        <w:rPr>
          <w:lang w:val="fr-FR"/>
        </w:rPr>
        <w:t>III</w:t>
      </w:r>
      <w:r w:rsidR="00BD65A4">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2016</w:t>
      </w:r>
      <w:r w:rsidR="00495D0F">
        <w:rPr>
          <w:lang w:val="fr-FR"/>
        </w:rPr>
        <w:t> :</w:t>
      </w:r>
      <w:r w:rsidRPr="00686CD4">
        <w:rPr>
          <w:lang w:val="fr-FR"/>
        </w:rPr>
        <w:t xml:space="preserve"> les cinq principaux </w:t>
      </w:r>
      <w:r>
        <w:rPr>
          <w:lang w:val="fr-FR"/>
        </w:rPr>
        <w:t xml:space="preserve">pays </w:t>
      </w:r>
      <w:r w:rsidRPr="00686CD4">
        <w:rPr>
          <w:lang w:val="fr-FR"/>
        </w:rPr>
        <w:t>d</w:t>
      </w:r>
      <w:r>
        <w:rPr>
          <w:lang w:val="fr-FR"/>
        </w:rPr>
        <w:t>’</w:t>
      </w:r>
      <w:r w:rsidRPr="00686CD4">
        <w:rPr>
          <w:lang w:val="fr-FR"/>
        </w:rPr>
        <w:t>origine des personnes soumettant une demande de protection internationale sont la Syrie (428), l</w:t>
      </w:r>
      <w:r>
        <w:rPr>
          <w:lang w:val="fr-FR"/>
        </w:rPr>
        <w:t>’</w:t>
      </w:r>
      <w:r w:rsidRPr="00686CD4">
        <w:rPr>
          <w:lang w:val="fr-FR"/>
        </w:rPr>
        <w:t>Érythrée (248), l</w:t>
      </w:r>
      <w:r>
        <w:rPr>
          <w:lang w:val="fr-FR"/>
        </w:rPr>
        <w:t>’</w:t>
      </w:r>
      <w:r w:rsidRPr="00686CD4">
        <w:rPr>
          <w:lang w:val="fr-FR"/>
        </w:rPr>
        <w:t>Ukraine (142), l</w:t>
      </w:r>
      <w:r>
        <w:rPr>
          <w:lang w:val="fr-FR"/>
        </w:rPr>
        <w:t>’</w:t>
      </w:r>
      <w:r w:rsidRPr="00686CD4">
        <w:rPr>
          <w:lang w:val="fr-FR"/>
        </w:rPr>
        <w:t>Iraq (117) et la Guinée (52)</w:t>
      </w:r>
      <w:r>
        <w:rPr>
          <w:lang w:val="fr-FR"/>
        </w:rPr>
        <w:t>,</w:t>
      </w:r>
      <w:r w:rsidRPr="00686CD4">
        <w:rPr>
          <w:lang w:val="fr-FR"/>
        </w:rPr>
        <w:t xml:space="preserve"> comme indiqué </w:t>
      </w:r>
      <w:r>
        <w:rPr>
          <w:lang w:val="fr-FR"/>
        </w:rPr>
        <w:t xml:space="preserve">au </w:t>
      </w:r>
      <w:r w:rsidRPr="00686CD4">
        <w:rPr>
          <w:lang w:val="fr-FR"/>
        </w:rPr>
        <w:t>tableau</w:t>
      </w:r>
      <w:r>
        <w:rPr>
          <w:lang w:val="fr-FR"/>
        </w:rPr>
        <w:t> </w:t>
      </w:r>
      <w:r w:rsidRPr="00686CD4">
        <w:rPr>
          <w:lang w:val="fr-FR"/>
        </w:rPr>
        <w:t>XI de l</w:t>
      </w:r>
      <w:r>
        <w:rPr>
          <w:lang w:val="fr-FR"/>
        </w:rPr>
        <w:t>’</w:t>
      </w:r>
      <w:r w:rsidRPr="00686CD4">
        <w:rPr>
          <w:lang w:val="fr-FR"/>
        </w:rPr>
        <w:t>annexe</w:t>
      </w:r>
      <w:r>
        <w:rPr>
          <w:lang w:val="fr-FR"/>
        </w:rPr>
        <w:t> </w:t>
      </w:r>
      <w:r w:rsidRPr="00686CD4">
        <w:rPr>
          <w:lang w:val="fr-FR"/>
        </w:rPr>
        <w:t>III.</w:t>
      </w:r>
    </w:p>
    <w:p w:rsidR="002A7A34" w:rsidRPr="00686CD4" w:rsidRDefault="002A7A34" w:rsidP="00746934">
      <w:pPr>
        <w:pStyle w:val="H23G"/>
        <w:jc w:val="both"/>
        <w:rPr>
          <w:lang w:val="fr-FR"/>
        </w:rPr>
      </w:pPr>
      <w:r w:rsidRPr="00686CD4">
        <w:rPr>
          <w:lang w:val="fr-FR"/>
        </w:rPr>
        <w:tab/>
      </w:r>
      <w:r w:rsidRPr="00686CD4">
        <w:rPr>
          <w:lang w:val="fr-FR"/>
        </w:rPr>
        <w:tab/>
      </w:r>
      <w:r w:rsidRPr="00686CD4">
        <w:rPr>
          <w:lang w:val="fr-FR"/>
        </w:rPr>
        <w:tab/>
        <w:t>b)</w:t>
      </w:r>
      <w:r w:rsidRPr="00686CD4">
        <w:rPr>
          <w:lang w:val="fr-FR"/>
        </w:rPr>
        <w:tab/>
      </w:r>
      <w:r w:rsidRPr="00686CD4">
        <w:rPr>
          <w:bCs/>
          <w:lang w:val="fr-FR"/>
        </w:rPr>
        <w:t>Le nombre de demandes d</w:t>
      </w:r>
      <w:r>
        <w:rPr>
          <w:bCs/>
          <w:lang w:val="fr-FR"/>
        </w:rPr>
        <w:t>’</w:t>
      </w:r>
      <w:r w:rsidRPr="00686CD4">
        <w:rPr>
          <w:bCs/>
          <w:lang w:val="fr-FR"/>
        </w:rPr>
        <w:t>asile, du statut du réfugié ou d</w:t>
      </w:r>
      <w:r>
        <w:rPr>
          <w:bCs/>
          <w:lang w:val="fr-FR"/>
        </w:rPr>
        <w:t>’</w:t>
      </w:r>
      <w:r w:rsidRPr="00686CD4">
        <w:rPr>
          <w:bCs/>
          <w:lang w:val="fr-FR"/>
        </w:rPr>
        <w:t>autres formes de protection humanitaire qui ont été satisfaites en indiquant, le cas échéant, le nombre de cas dans lesquels une protection a été accordée en application du principe de non-refoulement</w:t>
      </w:r>
      <w:r w:rsidR="00495D0F">
        <w:rPr>
          <w:bCs/>
          <w:lang w:val="fr-FR"/>
        </w:rPr>
        <w:t> ;</w:t>
      </w:r>
      <w:bookmarkStart w:id="27" w:name="_Toc532494630"/>
      <w:bookmarkEnd w:id="27"/>
    </w:p>
    <w:p w:rsidR="002A7A34" w:rsidRPr="00686CD4" w:rsidRDefault="002A7A34" w:rsidP="00746934">
      <w:pPr>
        <w:pStyle w:val="SingleTxtG"/>
        <w:rPr>
          <w:lang w:val="fr-FR"/>
        </w:rPr>
      </w:pPr>
      <w:r w:rsidRPr="00686CD4">
        <w:rPr>
          <w:lang w:val="fr-FR"/>
        </w:rPr>
        <w:t>132.</w:t>
      </w:r>
      <w:r w:rsidRPr="00686CD4">
        <w:rPr>
          <w:lang w:val="fr-FR"/>
        </w:rPr>
        <w:tab/>
        <w:t>Toutes les demandes de protection internationale sont approuvées sur la base du principe de non-refoulement</w:t>
      </w:r>
      <w:r w:rsidR="00BD65A4">
        <w:rPr>
          <w:lang w:val="fr-FR"/>
        </w:rPr>
        <w:t xml:space="preserve"> </w:t>
      </w:r>
      <w:r w:rsidRPr="00686CD4">
        <w:rPr>
          <w:lang w:val="fr-FR"/>
        </w:rPr>
        <w:t>(</w:t>
      </w:r>
      <w:r w:rsidR="00BD65A4">
        <w:rPr>
          <w:lang w:val="fr-FR"/>
        </w:rPr>
        <w:t>v</w:t>
      </w:r>
      <w:r w:rsidRPr="00686CD4">
        <w:rPr>
          <w:lang w:val="fr-FR"/>
        </w:rPr>
        <w:t>oir le tableau</w:t>
      </w:r>
      <w:r>
        <w:rPr>
          <w:lang w:val="fr-FR"/>
        </w:rPr>
        <w:t> </w:t>
      </w:r>
      <w:r w:rsidRPr="00686CD4">
        <w:rPr>
          <w:lang w:val="fr-FR"/>
        </w:rPr>
        <w:t>XII et</w:t>
      </w:r>
      <w:r>
        <w:rPr>
          <w:lang w:val="fr-FR"/>
        </w:rPr>
        <w:t xml:space="preserve"> l</w:t>
      </w:r>
      <w:r w:rsidRPr="00686CD4">
        <w:rPr>
          <w:lang w:val="fr-FR"/>
        </w:rPr>
        <w:t>e tableau</w:t>
      </w:r>
      <w:r>
        <w:rPr>
          <w:lang w:val="fr-FR"/>
        </w:rPr>
        <w:t> </w:t>
      </w:r>
      <w:r w:rsidRPr="00686CD4">
        <w:rPr>
          <w:lang w:val="fr-FR"/>
        </w:rPr>
        <w:t>XIII de l</w:t>
      </w:r>
      <w:r>
        <w:rPr>
          <w:lang w:val="fr-FR"/>
        </w:rPr>
        <w:t>’</w:t>
      </w:r>
      <w:r w:rsidRPr="00686CD4">
        <w:rPr>
          <w:lang w:val="fr-FR"/>
        </w:rPr>
        <w:t>annexe</w:t>
      </w:r>
      <w:r>
        <w:rPr>
          <w:lang w:val="fr-FR"/>
        </w:rPr>
        <w:t> </w:t>
      </w:r>
      <w:r w:rsidRPr="00686CD4">
        <w:rPr>
          <w:lang w:val="fr-FR"/>
        </w:rPr>
        <w:t>III)</w:t>
      </w:r>
      <w:r w:rsidR="00BD65A4" w:rsidRPr="00686CD4">
        <w:rPr>
          <w:lang w:val="fr-FR"/>
        </w:rPr>
        <w:t>.</w:t>
      </w:r>
    </w:p>
    <w:p w:rsidR="002A7A34" w:rsidRPr="00686CD4" w:rsidRDefault="002A7A34" w:rsidP="00746934">
      <w:pPr>
        <w:pStyle w:val="H23G"/>
        <w:jc w:val="both"/>
        <w:rPr>
          <w:lang w:val="fr-FR"/>
        </w:rPr>
      </w:pPr>
      <w:r w:rsidRPr="00686CD4">
        <w:rPr>
          <w:lang w:val="fr-FR"/>
        </w:rPr>
        <w:tab/>
      </w:r>
      <w:r w:rsidRPr="00686CD4">
        <w:rPr>
          <w:lang w:val="fr-FR"/>
        </w:rPr>
        <w:tab/>
      </w:r>
      <w:r w:rsidRPr="00686CD4">
        <w:rPr>
          <w:lang w:val="fr-FR"/>
        </w:rPr>
        <w:tab/>
        <w:t>c)</w:t>
      </w:r>
      <w:r w:rsidRPr="00686CD4">
        <w:rPr>
          <w:lang w:val="fr-FR"/>
        </w:rPr>
        <w:tab/>
      </w:r>
      <w:r w:rsidRPr="00686CD4">
        <w:rPr>
          <w:bCs/>
          <w:lang w:val="fr-FR"/>
        </w:rPr>
        <w:t>Le nombre de victimes d</w:t>
      </w:r>
      <w:r>
        <w:rPr>
          <w:bCs/>
          <w:lang w:val="fr-FR"/>
        </w:rPr>
        <w:t>’</w:t>
      </w:r>
      <w:r w:rsidRPr="00686CD4">
        <w:rPr>
          <w:bCs/>
          <w:lang w:val="fr-FR"/>
        </w:rPr>
        <w:t>actes de torture identifiées parmi les demandeurs d</w:t>
      </w:r>
      <w:r>
        <w:rPr>
          <w:bCs/>
          <w:lang w:val="fr-FR"/>
        </w:rPr>
        <w:t>’</w:t>
      </w:r>
      <w:r w:rsidRPr="00686CD4">
        <w:rPr>
          <w:bCs/>
          <w:lang w:val="fr-FR"/>
        </w:rPr>
        <w:t>asile par rapport au nombre total des demandeurs, les procédures suivies pour les identifier et les mesures prises en faveur des personnes identifiées en tant que victimes d</w:t>
      </w:r>
      <w:r>
        <w:rPr>
          <w:bCs/>
          <w:lang w:val="fr-FR"/>
        </w:rPr>
        <w:t>’</w:t>
      </w:r>
      <w:r w:rsidRPr="00686CD4">
        <w:rPr>
          <w:bCs/>
          <w:lang w:val="fr-FR"/>
        </w:rPr>
        <w:t xml:space="preserve">actes de torture, en indiquant si un examen médical comprenant une évaluation du traumatisme subi </w:t>
      </w:r>
      <w:r>
        <w:rPr>
          <w:bCs/>
          <w:lang w:val="fr-FR"/>
        </w:rPr>
        <w:t xml:space="preserve">a lieu </w:t>
      </w:r>
      <w:r w:rsidRPr="00686CD4">
        <w:rPr>
          <w:bCs/>
          <w:lang w:val="fr-FR"/>
        </w:rPr>
        <w:t>à l</w:t>
      </w:r>
      <w:r>
        <w:rPr>
          <w:bCs/>
          <w:lang w:val="fr-FR"/>
        </w:rPr>
        <w:t>’</w:t>
      </w:r>
      <w:r w:rsidRPr="00686CD4">
        <w:rPr>
          <w:bCs/>
          <w:lang w:val="fr-FR"/>
        </w:rPr>
        <w:t>arrivée des intéressés dans les centre</w:t>
      </w:r>
      <w:r>
        <w:rPr>
          <w:bCs/>
          <w:lang w:val="fr-FR"/>
        </w:rPr>
        <w:t>s</w:t>
      </w:r>
      <w:r w:rsidRPr="00686CD4">
        <w:rPr>
          <w:bCs/>
          <w:lang w:val="fr-FR"/>
        </w:rPr>
        <w:t xml:space="preserve"> d</w:t>
      </w:r>
      <w:r>
        <w:rPr>
          <w:bCs/>
          <w:lang w:val="fr-FR"/>
        </w:rPr>
        <w:t>’</w:t>
      </w:r>
      <w:r w:rsidRPr="00686CD4">
        <w:rPr>
          <w:bCs/>
          <w:lang w:val="fr-FR"/>
        </w:rPr>
        <w:t>accueil, les zones internationales des aéroports ou les centres de détention</w:t>
      </w:r>
      <w:r w:rsidR="00495D0F">
        <w:rPr>
          <w:bCs/>
          <w:lang w:val="fr-FR"/>
        </w:rPr>
        <w:t> ;</w:t>
      </w:r>
      <w:bookmarkStart w:id="28" w:name="_Toc532494631"/>
      <w:bookmarkEnd w:id="28"/>
    </w:p>
    <w:p w:rsidR="002A7A34" w:rsidRPr="00686CD4" w:rsidRDefault="002A7A34" w:rsidP="00746934">
      <w:pPr>
        <w:pStyle w:val="SingleTxtG"/>
        <w:rPr>
          <w:lang w:val="fr-FR"/>
        </w:rPr>
      </w:pPr>
      <w:r w:rsidRPr="00686CD4">
        <w:rPr>
          <w:lang w:val="fr-FR"/>
        </w:rPr>
        <w:t>133.</w:t>
      </w:r>
      <w:r w:rsidRPr="00686CD4">
        <w:rPr>
          <w:lang w:val="fr-FR"/>
        </w:rPr>
        <w:tab/>
        <w:t>Le nombre de demandeurs d</w:t>
      </w:r>
      <w:r>
        <w:rPr>
          <w:lang w:val="fr-FR"/>
        </w:rPr>
        <w:t>’</w:t>
      </w:r>
      <w:r w:rsidRPr="00686CD4">
        <w:rPr>
          <w:lang w:val="fr-FR"/>
        </w:rPr>
        <w:t>asile au Portugal affirmant avoir été victimes de torture ou identifiées en tant que telle</w:t>
      </w:r>
      <w:r>
        <w:rPr>
          <w:lang w:val="fr-FR"/>
        </w:rPr>
        <w:t>s</w:t>
      </w:r>
      <w:r w:rsidRPr="00686CD4">
        <w:rPr>
          <w:lang w:val="fr-FR"/>
        </w:rPr>
        <w:t xml:space="preserve"> est résiduel. </w:t>
      </w:r>
    </w:p>
    <w:p w:rsidR="002A7A34" w:rsidRPr="00686CD4" w:rsidRDefault="002A7A34" w:rsidP="00746934">
      <w:pPr>
        <w:pStyle w:val="SingleTxtG"/>
        <w:rPr>
          <w:lang w:val="fr-FR"/>
        </w:rPr>
      </w:pPr>
      <w:r w:rsidRPr="00686CD4">
        <w:rPr>
          <w:lang w:val="fr-FR"/>
        </w:rPr>
        <w:t>134.</w:t>
      </w:r>
      <w:r w:rsidRPr="00686CD4">
        <w:rPr>
          <w:lang w:val="fr-FR"/>
        </w:rPr>
        <w:tab/>
      </w:r>
      <w:r>
        <w:rPr>
          <w:lang w:val="fr-FR"/>
        </w:rPr>
        <w:t xml:space="preserve">En </w:t>
      </w:r>
      <w:r w:rsidRPr="00686CD4">
        <w:rPr>
          <w:lang w:val="fr-FR"/>
        </w:rPr>
        <w:t>général, le demandeur est jugé crédible lorsque les allégations sont fiables ou lorsqu</w:t>
      </w:r>
      <w:r>
        <w:rPr>
          <w:lang w:val="fr-FR"/>
        </w:rPr>
        <w:t>’</w:t>
      </w:r>
      <w:r w:rsidRPr="00686CD4">
        <w:rPr>
          <w:lang w:val="fr-FR"/>
        </w:rPr>
        <w:t>il existe des signes manifestes de torture. Le demandeur obtient</w:t>
      </w:r>
      <w:r>
        <w:rPr>
          <w:lang w:val="fr-FR"/>
        </w:rPr>
        <w:t>, dans ce cas,</w:t>
      </w:r>
      <w:r w:rsidRPr="00686CD4">
        <w:rPr>
          <w:lang w:val="fr-FR"/>
        </w:rPr>
        <w:t xml:space="preserve"> une réponse positive et une protection internationale sans avoir besoin de passer un examen médical. Il fait ensuite l</w:t>
      </w:r>
      <w:r>
        <w:rPr>
          <w:lang w:val="fr-FR"/>
        </w:rPr>
        <w:t>’</w:t>
      </w:r>
      <w:r w:rsidRPr="00686CD4">
        <w:rPr>
          <w:lang w:val="fr-FR"/>
        </w:rPr>
        <w:t>objet d</w:t>
      </w:r>
      <w:r>
        <w:rPr>
          <w:lang w:val="fr-FR"/>
        </w:rPr>
        <w:t>’</w:t>
      </w:r>
      <w:r w:rsidRPr="00686CD4">
        <w:rPr>
          <w:lang w:val="fr-FR"/>
        </w:rPr>
        <w:t>une évaluation dans le centre d</w:t>
      </w:r>
      <w:r>
        <w:rPr>
          <w:lang w:val="fr-FR"/>
        </w:rPr>
        <w:t>’</w:t>
      </w:r>
      <w:r w:rsidRPr="00686CD4">
        <w:rPr>
          <w:lang w:val="fr-FR"/>
        </w:rPr>
        <w:t>accueil</w:t>
      </w:r>
      <w:r>
        <w:rPr>
          <w:lang w:val="fr-FR"/>
        </w:rPr>
        <w:t>,</w:t>
      </w:r>
      <w:r w:rsidRPr="00686CD4">
        <w:rPr>
          <w:lang w:val="fr-FR"/>
        </w:rPr>
        <w:t xml:space="preserve"> ainsi que d</w:t>
      </w:r>
      <w:r>
        <w:rPr>
          <w:lang w:val="fr-FR"/>
        </w:rPr>
        <w:t>’</w:t>
      </w:r>
      <w:r w:rsidRPr="00686CD4">
        <w:rPr>
          <w:lang w:val="fr-FR"/>
        </w:rPr>
        <w:t>un suivi médical et psychologique qui doit permettre de remédier aux traumatismes éventuels. Il</w:t>
      </w:r>
      <w:r w:rsidR="00746934">
        <w:rPr>
          <w:lang w:val="fr-FR"/>
        </w:rPr>
        <w:t> </w:t>
      </w:r>
      <w:r w:rsidRPr="00686CD4">
        <w:rPr>
          <w:lang w:val="fr-FR"/>
        </w:rPr>
        <w:t>n</w:t>
      </w:r>
      <w:r>
        <w:rPr>
          <w:lang w:val="fr-FR"/>
        </w:rPr>
        <w:t>’</w:t>
      </w:r>
      <w:r w:rsidRPr="00686CD4">
        <w:rPr>
          <w:lang w:val="fr-FR"/>
        </w:rPr>
        <w:t>existe pas de stati</w:t>
      </w:r>
      <w:r>
        <w:rPr>
          <w:lang w:val="fr-FR"/>
        </w:rPr>
        <w:t>sti</w:t>
      </w:r>
      <w:r w:rsidRPr="00686CD4">
        <w:rPr>
          <w:lang w:val="fr-FR"/>
        </w:rPr>
        <w:t>ques sur ces affaires.</w:t>
      </w:r>
    </w:p>
    <w:p w:rsidR="002A7A34" w:rsidRPr="00686CD4" w:rsidRDefault="002A7A34" w:rsidP="00746934">
      <w:pPr>
        <w:pStyle w:val="H23G"/>
        <w:jc w:val="both"/>
        <w:rPr>
          <w:lang w:val="fr-FR"/>
        </w:rPr>
      </w:pPr>
      <w:r w:rsidRPr="00686CD4">
        <w:rPr>
          <w:lang w:val="fr-FR"/>
        </w:rPr>
        <w:tab/>
      </w:r>
      <w:r w:rsidRPr="00686CD4">
        <w:rPr>
          <w:lang w:val="fr-FR"/>
        </w:rPr>
        <w:tab/>
      </w:r>
      <w:r w:rsidRPr="00686CD4">
        <w:rPr>
          <w:lang w:val="fr-FR"/>
        </w:rPr>
        <w:tab/>
        <w:t>d)</w:t>
      </w:r>
      <w:r w:rsidRPr="00686CD4">
        <w:rPr>
          <w:lang w:val="fr-FR"/>
        </w:rPr>
        <w:tab/>
      </w:r>
      <w:r w:rsidRPr="00686CD4">
        <w:rPr>
          <w:bCs/>
          <w:lang w:val="fr-FR"/>
        </w:rPr>
        <w:t>Le nombre de personnes extradées, expulsées ou renvoyées et les pays vers</w:t>
      </w:r>
      <w:r w:rsidR="00495D0F">
        <w:rPr>
          <w:bCs/>
          <w:lang w:val="fr-FR"/>
        </w:rPr>
        <w:t xml:space="preserve"> </w:t>
      </w:r>
      <w:r w:rsidRPr="00686CD4">
        <w:rPr>
          <w:bCs/>
          <w:lang w:val="fr-FR"/>
        </w:rPr>
        <w:t>lesquels elles l</w:t>
      </w:r>
      <w:r>
        <w:rPr>
          <w:bCs/>
          <w:lang w:val="fr-FR"/>
        </w:rPr>
        <w:t>’</w:t>
      </w:r>
      <w:r w:rsidRPr="00686CD4">
        <w:rPr>
          <w:bCs/>
          <w:lang w:val="fr-FR"/>
        </w:rPr>
        <w:t>ont été</w:t>
      </w:r>
      <w:r w:rsidR="00495D0F">
        <w:rPr>
          <w:bCs/>
          <w:lang w:val="fr-FR"/>
        </w:rPr>
        <w:t> ;</w:t>
      </w:r>
      <w:bookmarkStart w:id="29" w:name="_Toc532494632"/>
      <w:bookmarkEnd w:id="29"/>
    </w:p>
    <w:p w:rsidR="002A7A34" w:rsidRPr="00686CD4" w:rsidRDefault="002A7A34" w:rsidP="002A7A34">
      <w:pPr>
        <w:pStyle w:val="SingleTxtG"/>
        <w:rPr>
          <w:lang w:val="fr-FR"/>
        </w:rPr>
      </w:pPr>
      <w:r w:rsidRPr="00686CD4">
        <w:rPr>
          <w:lang w:val="fr-FR"/>
        </w:rPr>
        <w:t>135.</w:t>
      </w:r>
      <w:r w:rsidRPr="00686CD4">
        <w:rPr>
          <w:lang w:val="fr-FR"/>
        </w:rPr>
        <w:tab/>
        <w:t>Durant la période</w:t>
      </w:r>
      <w:r w:rsidR="00746934">
        <w:rPr>
          <w:lang w:val="fr-FR"/>
        </w:rPr>
        <w:t xml:space="preserve"> </w:t>
      </w:r>
      <w:r w:rsidRPr="00686CD4">
        <w:rPr>
          <w:lang w:val="fr-FR"/>
        </w:rPr>
        <w:t>2015-2017, 194</w:t>
      </w:r>
      <w:r>
        <w:rPr>
          <w:lang w:val="fr-FR"/>
        </w:rPr>
        <w:t> </w:t>
      </w:r>
      <w:r w:rsidRPr="00686CD4">
        <w:rPr>
          <w:lang w:val="fr-FR"/>
        </w:rPr>
        <w:t>personnes ont été extradées du Portugal, principalement en exécution de mandats d</w:t>
      </w:r>
      <w:r>
        <w:rPr>
          <w:lang w:val="fr-FR"/>
        </w:rPr>
        <w:t>’</w:t>
      </w:r>
      <w:r w:rsidRPr="00686CD4">
        <w:rPr>
          <w:lang w:val="fr-FR"/>
        </w:rPr>
        <w:t>arrêt européens.</w:t>
      </w:r>
    </w:p>
    <w:p w:rsidR="002A7A34" w:rsidRPr="00686CD4" w:rsidRDefault="002A7A34" w:rsidP="00AD5E26">
      <w:pPr>
        <w:pStyle w:val="SingleTxtG"/>
        <w:keepNext/>
        <w:rPr>
          <w:lang w:val="fr-FR"/>
        </w:rPr>
      </w:pPr>
      <w:r w:rsidRPr="00686CD4">
        <w:rPr>
          <w:lang w:val="fr-FR"/>
        </w:rPr>
        <w:t>136.</w:t>
      </w:r>
      <w:r w:rsidRPr="00686CD4">
        <w:rPr>
          <w:lang w:val="fr-FR"/>
        </w:rPr>
        <w:tab/>
        <w:t xml:space="preserve">Les données du </w:t>
      </w:r>
      <w:r>
        <w:rPr>
          <w:lang w:val="fr-FR"/>
        </w:rPr>
        <w:t>S</w:t>
      </w:r>
      <w:r w:rsidRPr="00686CD4">
        <w:rPr>
          <w:lang w:val="fr-FR"/>
        </w:rPr>
        <w:t>ervice de l</w:t>
      </w:r>
      <w:r>
        <w:rPr>
          <w:lang w:val="fr-FR"/>
        </w:rPr>
        <w:t>’</w:t>
      </w:r>
      <w:r w:rsidRPr="00686CD4">
        <w:rPr>
          <w:lang w:val="fr-FR"/>
        </w:rPr>
        <w:t>immigration et des frontières concernant l</w:t>
      </w:r>
      <w:r>
        <w:rPr>
          <w:lang w:val="fr-FR"/>
        </w:rPr>
        <w:t>’</w:t>
      </w:r>
      <w:r w:rsidRPr="00686CD4">
        <w:rPr>
          <w:lang w:val="fr-FR"/>
        </w:rPr>
        <w:t>expulsion du territoire national de ressortissants de pays tiers se présente</w:t>
      </w:r>
      <w:r>
        <w:rPr>
          <w:lang w:val="fr-FR"/>
        </w:rPr>
        <w:t>nt</w:t>
      </w:r>
      <w:r w:rsidRPr="00686CD4">
        <w:rPr>
          <w:lang w:val="fr-FR"/>
        </w:rPr>
        <w:t xml:space="preserve"> comme suit</w:t>
      </w:r>
      <w:r w:rsidR="00495D0F">
        <w:rPr>
          <w:lang w:val="fr-FR"/>
        </w:rPr>
        <w:t> :</w:t>
      </w:r>
      <w:r w:rsidRPr="00686CD4">
        <w:rPr>
          <w:lang w:val="fr-FR"/>
        </w:rPr>
        <w:t xml:space="preserve">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2014</w:t>
      </w:r>
      <w:r w:rsidR="00495D0F">
        <w:rPr>
          <w:lang w:val="fr-FR"/>
        </w:rPr>
        <w:t> :</w:t>
      </w:r>
      <w:r w:rsidRPr="00686CD4">
        <w:rPr>
          <w:lang w:val="fr-FR"/>
        </w:rPr>
        <w:t xml:space="preserve"> 437 personnes</w:t>
      </w:r>
      <w:r w:rsidR="00495D0F">
        <w:rPr>
          <w:lang w:val="fr-FR"/>
        </w:rPr>
        <w:t> ;</w:t>
      </w:r>
      <w:r w:rsidRPr="00686CD4">
        <w:rPr>
          <w:lang w:val="fr-FR"/>
        </w:rPr>
        <w:t xml:space="preserve">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2015</w:t>
      </w:r>
      <w:r w:rsidR="00495D0F">
        <w:rPr>
          <w:lang w:val="fr-FR"/>
        </w:rPr>
        <w:t> :</w:t>
      </w:r>
      <w:r w:rsidRPr="00686CD4">
        <w:rPr>
          <w:lang w:val="fr-FR"/>
        </w:rPr>
        <w:t xml:space="preserve"> 363 personnes</w:t>
      </w:r>
      <w:r w:rsidR="00495D0F">
        <w:rPr>
          <w:lang w:val="fr-FR"/>
        </w:rPr>
        <w:t xml:space="preserve"> ;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2016</w:t>
      </w:r>
      <w:r w:rsidR="00495D0F">
        <w:rPr>
          <w:lang w:val="fr-FR"/>
        </w:rPr>
        <w:t> :</w:t>
      </w:r>
      <w:r w:rsidRPr="00686CD4">
        <w:rPr>
          <w:lang w:val="fr-FR"/>
        </w:rPr>
        <w:t xml:space="preserve"> 375</w:t>
      </w:r>
      <w:r>
        <w:rPr>
          <w:lang w:val="fr-FR"/>
        </w:rPr>
        <w:t> </w:t>
      </w:r>
      <w:r w:rsidRPr="00686CD4">
        <w:rPr>
          <w:lang w:val="fr-FR"/>
        </w:rPr>
        <w:t>personnes.</w:t>
      </w:r>
    </w:p>
    <w:p w:rsidR="002A7A34" w:rsidRPr="00686CD4" w:rsidRDefault="002A7A34" w:rsidP="00746934">
      <w:pPr>
        <w:pStyle w:val="H23G"/>
        <w:jc w:val="both"/>
        <w:rPr>
          <w:lang w:val="fr-FR"/>
        </w:rPr>
      </w:pPr>
      <w:r w:rsidRPr="00686CD4">
        <w:rPr>
          <w:lang w:val="fr-FR"/>
        </w:rPr>
        <w:tab/>
      </w:r>
      <w:r w:rsidRPr="00686CD4">
        <w:rPr>
          <w:lang w:val="fr-FR"/>
        </w:rPr>
        <w:tab/>
      </w:r>
      <w:r w:rsidRPr="00686CD4">
        <w:rPr>
          <w:lang w:val="fr-FR"/>
        </w:rPr>
        <w:tab/>
        <w:t>e)</w:t>
      </w:r>
      <w:r w:rsidR="00AD5E26">
        <w:rPr>
          <w:lang w:val="fr-FR"/>
        </w:rPr>
        <w:tab/>
      </w:r>
      <w:r w:rsidRPr="00686CD4">
        <w:rPr>
          <w:bCs/>
          <w:lang w:val="fr-FR"/>
        </w:rPr>
        <w:t>Le nombre de recours contre des décisions d</w:t>
      </w:r>
      <w:r>
        <w:rPr>
          <w:bCs/>
          <w:lang w:val="fr-FR"/>
        </w:rPr>
        <w:t>’</w:t>
      </w:r>
      <w:r w:rsidRPr="00686CD4">
        <w:rPr>
          <w:bCs/>
          <w:lang w:val="fr-FR"/>
        </w:rPr>
        <w:t>expulsion ou d</w:t>
      </w:r>
      <w:r>
        <w:rPr>
          <w:bCs/>
          <w:lang w:val="fr-FR"/>
        </w:rPr>
        <w:t>’</w:t>
      </w:r>
      <w:r w:rsidRPr="00686CD4">
        <w:rPr>
          <w:bCs/>
          <w:lang w:val="fr-FR"/>
        </w:rPr>
        <w:t>extradition</w:t>
      </w:r>
      <w:r w:rsidR="00495D0F">
        <w:rPr>
          <w:bCs/>
          <w:lang w:val="fr-FR"/>
        </w:rPr>
        <w:t xml:space="preserve"> </w:t>
      </w:r>
      <w:r w:rsidRPr="00686CD4">
        <w:rPr>
          <w:bCs/>
          <w:lang w:val="fr-FR"/>
        </w:rPr>
        <w:t>déposés au motif que les requérants risquaient d</w:t>
      </w:r>
      <w:r>
        <w:rPr>
          <w:bCs/>
          <w:lang w:val="fr-FR"/>
        </w:rPr>
        <w:t>’</w:t>
      </w:r>
      <w:r w:rsidRPr="00686CD4">
        <w:rPr>
          <w:bCs/>
          <w:lang w:val="fr-FR"/>
        </w:rPr>
        <w:t>être soumis à la torture dans le pays de</w:t>
      </w:r>
      <w:r w:rsidR="00495D0F">
        <w:rPr>
          <w:bCs/>
          <w:lang w:val="fr-FR"/>
        </w:rPr>
        <w:t xml:space="preserve"> </w:t>
      </w:r>
      <w:r w:rsidRPr="00686CD4">
        <w:rPr>
          <w:bCs/>
          <w:lang w:val="fr-FR"/>
        </w:rPr>
        <w:t>destination et l</w:t>
      </w:r>
      <w:r>
        <w:rPr>
          <w:bCs/>
          <w:lang w:val="fr-FR"/>
        </w:rPr>
        <w:t>’</w:t>
      </w:r>
      <w:r w:rsidRPr="00686CD4">
        <w:rPr>
          <w:bCs/>
          <w:lang w:val="fr-FR"/>
        </w:rPr>
        <w:t>issue de ces recours.</w:t>
      </w:r>
      <w:bookmarkStart w:id="30" w:name="_Toc532494633"/>
      <w:bookmarkEnd w:id="30"/>
    </w:p>
    <w:p w:rsidR="002A7A34" w:rsidRPr="00686CD4" w:rsidRDefault="002A7A34" w:rsidP="002A7A34">
      <w:pPr>
        <w:pStyle w:val="SingleTxtG"/>
        <w:rPr>
          <w:lang w:val="fr-FR"/>
        </w:rPr>
      </w:pPr>
      <w:r w:rsidRPr="00686CD4">
        <w:rPr>
          <w:lang w:val="fr-FR"/>
        </w:rPr>
        <w:t>137.</w:t>
      </w:r>
      <w:r w:rsidRPr="00686CD4">
        <w:rPr>
          <w:lang w:val="fr-FR"/>
        </w:rPr>
        <w:tab/>
        <w:t>Aucune information n</w:t>
      </w:r>
      <w:r>
        <w:rPr>
          <w:lang w:val="fr-FR"/>
        </w:rPr>
        <w:t>’</w:t>
      </w:r>
      <w:r w:rsidRPr="00686CD4">
        <w:rPr>
          <w:lang w:val="fr-FR"/>
        </w:rPr>
        <w:t>est disponible.</w:t>
      </w:r>
    </w:p>
    <w:p w:rsidR="002A7A34" w:rsidRPr="00686CD4" w:rsidRDefault="002A7A34" w:rsidP="00AD5E26">
      <w:pPr>
        <w:pStyle w:val="H23G"/>
        <w:jc w:val="both"/>
        <w:rPr>
          <w:lang w:val="fr-FR"/>
        </w:rPr>
      </w:pPr>
      <w:r>
        <w:rPr>
          <w:lang w:val="fr-FR"/>
        </w:rPr>
        <w:lastRenderedPageBreak/>
        <w:tab/>
      </w:r>
      <w:r w:rsidRPr="00686CD4">
        <w:rPr>
          <w:lang w:val="fr-FR"/>
        </w:rPr>
        <w:t>7.</w:t>
      </w:r>
      <w:r w:rsidRPr="00686CD4">
        <w:rPr>
          <w:lang w:val="fr-FR"/>
        </w:rPr>
        <w:tab/>
        <w:t>Compte tenu de la procédure d</w:t>
      </w:r>
      <w:r>
        <w:rPr>
          <w:lang w:val="fr-FR"/>
        </w:rPr>
        <w:t>’</w:t>
      </w:r>
      <w:r w:rsidRPr="00686CD4">
        <w:rPr>
          <w:lang w:val="fr-FR"/>
        </w:rPr>
        <w:t>asile en vigueur et des précédentes observations finales du Comité (par.</w:t>
      </w:r>
      <w:r>
        <w:rPr>
          <w:lang w:val="fr-FR"/>
        </w:rPr>
        <w:t> </w:t>
      </w:r>
      <w:r w:rsidRPr="00686CD4">
        <w:rPr>
          <w:lang w:val="fr-FR"/>
        </w:rPr>
        <w:t>14), donner des informations sur</w:t>
      </w:r>
      <w:r w:rsidR="00495D0F">
        <w:rPr>
          <w:lang w:val="fr-FR"/>
        </w:rPr>
        <w:t> :</w:t>
      </w:r>
      <w:r w:rsidRPr="00686CD4">
        <w:rPr>
          <w:lang w:val="fr-FR"/>
        </w:rPr>
        <w:t xml:space="preserve"> </w:t>
      </w:r>
      <w:bookmarkStart w:id="31" w:name="_Toc532494634"/>
      <w:bookmarkEnd w:id="31"/>
    </w:p>
    <w:p w:rsidR="002A7A34" w:rsidRPr="00686CD4" w:rsidRDefault="002A7A34" w:rsidP="00AD5E26">
      <w:pPr>
        <w:pStyle w:val="H23G"/>
        <w:jc w:val="both"/>
        <w:rPr>
          <w:lang w:val="fr-FR"/>
        </w:rPr>
      </w:pPr>
      <w:r w:rsidRPr="00686CD4">
        <w:rPr>
          <w:lang w:val="fr-FR"/>
        </w:rPr>
        <w:tab/>
      </w:r>
      <w:r w:rsidRPr="00686CD4">
        <w:rPr>
          <w:lang w:val="fr-FR"/>
        </w:rPr>
        <w:tab/>
      </w:r>
      <w:r w:rsidRPr="00686CD4">
        <w:rPr>
          <w:lang w:val="fr-FR"/>
        </w:rPr>
        <w:tab/>
        <w:t>a)</w:t>
      </w:r>
      <w:r w:rsidRPr="00686CD4">
        <w:rPr>
          <w:lang w:val="fr-FR"/>
        </w:rPr>
        <w:tab/>
      </w:r>
      <w:r w:rsidRPr="00686CD4">
        <w:rPr>
          <w:bCs/>
          <w:lang w:val="fr-FR"/>
        </w:rPr>
        <w:t>Le taux d</w:t>
      </w:r>
      <w:r>
        <w:rPr>
          <w:bCs/>
          <w:lang w:val="fr-FR"/>
        </w:rPr>
        <w:t>’</w:t>
      </w:r>
      <w:r w:rsidRPr="00686CD4">
        <w:rPr>
          <w:bCs/>
          <w:lang w:val="fr-FR"/>
        </w:rPr>
        <w:t>occupation des centres d</w:t>
      </w:r>
      <w:r>
        <w:rPr>
          <w:bCs/>
          <w:lang w:val="fr-FR"/>
        </w:rPr>
        <w:t>’</w:t>
      </w:r>
      <w:r w:rsidRPr="00686CD4">
        <w:rPr>
          <w:bCs/>
          <w:lang w:val="fr-FR"/>
        </w:rPr>
        <w:t>hébergement temporaire et des centres d</w:t>
      </w:r>
      <w:r>
        <w:rPr>
          <w:bCs/>
          <w:lang w:val="fr-FR"/>
        </w:rPr>
        <w:t>’</w:t>
      </w:r>
      <w:r w:rsidRPr="00686CD4">
        <w:rPr>
          <w:bCs/>
          <w:lang w:val="fr-FR"/>
        </w:rPr>
        <w:t>accueil pour demandeurs d</w:t>
      </w:r>
      <w:r>
        <w:rPr>
          <w:bCs/>
          <w:lang w:val="fr-FR"/>
        </w:rPr>
        <w:t>’</w:t>
      </w:r>
      <w:r w:rsidRPr="00686CD4">
        <w:rPr>
          <w:bCs/>
          <w:lang w:val="fr-FR"/>
        </w:rPr>
        <w:t>asile, ventilé en fonction du lieu de rétention, en indiquant s</w:t>
      </w:r>
      <w:r>
        <w:rPr>
          <w:bCs/>
          <w:lang w:val="fr-FR"/>
        </w:rPr>
        <w:t>’</w:t>
      </w:r>
      <w:r w:rsidRPr="00686CD4">
        <w:rPr>
          <w:bCs/>
          <w:lang w:val="fr-FR"/>
        </w:rPr>
        <w:t>il existe des mesures de substitution à la rétention des demandeurs d</w:t>
      </w:r>
      <w:r>
        <w:rPr>
          <w:bCs/>
          <w:lang w:val="fr-FR"/>
        </w:rPr>
        <w:t>’</w:t>
      </w:r>
      <w:r w:rsidRPr="00686CD4">
        <w:rPr>
          <w:bCs/>
          <w:lang w:val="fr-FR"/>
        </w:rPr>
        <w:t>asile, telles que l</w:t>
      </w:r>
      <w:r>
        <w:rPr>
          <w:bCs/>
          <w:lang w:val="fr-FR"/>
        </w:rPr>
        <w:t>’</w:t>
      </w:r>
      <w:r w:rsidRPr="00686CD4">
        <w:rPr>
          <w:bCs/>
          <w:lang w:val="fr-FR"/>
        </w:rPr>
        <w:t>obligation de se présenter aux autorités ou le versement d</w:t>
      </w:r>
      <w:r>
        <w:rPr>
          <w:bCs/>
          <w:lang w:val="fr-FR"/>
        </w:rPr>
        <w:t>’</w:t>
      </w:r>
      <w:r w:rsidRPr="00686CD4">
        <w:rPr>
          <w:bCs/>
          <w:lang w:val="fr-FR"/>
        </w:rPr>
        <w:t>une caution, et le pourcentage de cas dans lesquels ces mesures ont été appliquées chaque année</w:t>
      </w:r>
      <w:bookmarkStart w:id="32" w:name="_Toc532494635"/>
      <w:bookmarkEnd w:id="32"/>
      <w:r w:rsidR="00BD65A4">
        <w:rPr>
          <w:bCs/>
          <w:lang w:val="fr-FR"/>
        </w:rPr>
        <w:t> ;</w:t>
      </w:r>
    </w:p>
    <w:p w:rsidR="002A7A34" w:rsidRPr="00686CD4" w:rsidRDefault="002A7A34" w:rsidP="00AD5E26">
      <w:pPr>
        <w:pStyle w:val="SingleTxtG"/>
        <w:rPr>
          <w:lang w:val="fr-FR"/>
        </w:rPr>
      </w:pPr>
      <w:r w:rsidRPr="00686CD4">
        <w:rPr>
          <w:lang w:val="fr-FR"/>
        </w:rPr>
        <w:t>138.</w:t>
      </w:r>
      <w:r w:rsidRPr="00686CD4">
        <w:rPr>
          <w:lang w:val="fr-FR"/>
        </w:rPr>
        <w:tab/>
        <w:t>Les centres situés dans une zone int</w:t>
      </w:r>
      <w:r>
        <w:rPr>
          <w:lang w:val="fr-FR"/>
        </w:rPr>
        <w:t>e</w:t>
      </w:r>
      <w:r w:rsidRPr="00686CD4">
        <w:rPr>
          <w:lang w:val="fr-FR"/>
        </w:rPr>
        <w:t>rnationale aux frontières sont semblables aux centres d</w:t>
      </w:r>
      <w:r>
        <w:rPr>
          <w:lang w:val="fr-FR"/>
        </w:rPr>
        <w:t>’</w:t>
      </w:r>
      <w:r w:rsidRPr="00686CD4">
        <w:rPr>
          <w:lang w:val="fr-FR"/>
        </w:rPr>
        <w:t>hébergement temporaire dans lesquels les demandeurs d</w:t>
      </w:r>
      <w:r>
        <w:rPr>
          <w:lang w:val="fr-FR"/>
        </w:rPr>
        <w:t>’</w:t>
      </w:r>
      <w:r w:rsidRPr="00686CD4">
        <w:rPr>
          <w:lang w:val="fr-FR"/>
        </w:rPr>
        <w:t>asile attendent qu</w:t>
      </w:r>
      <w:r>
        <w:rPr>
          <w:lang w:val="fr-FR"/>
        </w:rPr>
        <w:t>’</w:t>
      </w:r>
      <w:r w:rsidRPr="00686CD4">
        <w:rPr>
          <w:lang w:val="fr-FR"/>
        </w:rPr>
        <w:t>une réponse soit apportée à la demande qu</w:t>
      </w:r>
      <w:r>
        <w:rPr>
          <w:lang w:val="fr-FR"/>
        </w:rPr>
        <w:t>’</w:t>
      </w:r>
      <w:r w:rsidRPr="00686CD4">
        <w:rPr>
          <w:lang w:val="fr-FR"/>
        </w:rPr>
        <w:t>ils ont présentée. Tou</w:t>
      </w:r>
      <w:r>
        <w:rPr>
          <w:lang w:val="fr-FR"/>
        </w:rPr>
        <w:t>t</w:t>
      </w:r>
      <w:r w:rsidRPr="00686CD4">
        <w:rPr>
          <w:lang w:val="fr-FR"/>
        </w:rPr>
        <w:t xml:space="preserve"> </w:t>
      </w:r>
      <w:r>
        <w:rPr>
          <w:lang w:val="fr-FR"/>
        </w:rPr>
        <w:t>sé</w:t>
      </w:r>
      <w:r w:rsidRPr="00686CD4">
        <w:rPr>
          <w:lang w:val="fr-FR"/>
        </w:rPr>
        <w:t xml:space="preserve">jour de plus de </w:t>
      </w:r>
      <w:r w:rsidR="00AD5E26">
        <w:rPr>
          <w:lang w:val="fr-FR"/>
        </w:rPr>
        <w:t>quarante</w:t>
      </w:r>
      <w:r w:rsidR="00AD5E26">
        <w:rPr>
          <w:lang w:val="fr-FR"/>
        </w:rPr>
        <w:noBreakHyphen/>
        <w:t xml:space="preserve">huit </w:t>
      </w:r>
      <w:r w:rsidRPr="00686CD4">
        <w:rPr>
          <w:lang w:val="fr-FR"/>
        </w:rPr>
        <w:t>heures dans</w:t>
      </w:r>
      <w:r>
        <w:rPr>
          <w:lang w:val="fr-FR"/>
        </w:rPr>
        <w:t xml:space="preserve"> un </w:t>
      </w:r>
      <w:r w:rsidRPr="00686CD4">
        <w:rPr>
          <w:lang w:val="fr-FR"/>
        </w:rPr>
        <w:t>centre</w:t>
      </w:r>
      <w:r>
        <w:rPr>
          <w:lang w:val="fr-FR"/>
        </w:rPr>
        <w:t xml:space="preserve"> de ce type nature</w:t>
      </w:r>
      <w:r w:rsidRPr="00686CD4">
        <w:rPr>
          <w:lang w:val="fr-FR"/>
        </w:rPr>
        <w:t xml:space="preserve"> doit </w:t>
      </w:r>
      <w:r>
        <w:rPr>
          <w:lang w:val="fr-FR"/>
        </w:rPr>
        <w:t xml:space="preserve">avoir été </w:t>
      </w:r>
      <w:r w:rsidRPr="00686CD4">
        <w:rPr>
          <w:lang w:val="fr-FR"/>
        </w:rPr>
        <w:t xml:space="preserve">autorisé au préalable par le tribunal compétent. </w:t>
      </w:r>
    </w:p>
    <w:p w:rsidR="002A7A34" w:rsidRPr="00686CD4" w:rsidRDefault="002A7A34" w:rsidP="002A7A34">
      <w:pPr>
        <w:pStyle w:val="SingleTxtG"/>
        <w:rPr>
          <w:lang w:val="fr-FR"/>
        </w:rPr>
      </w:pPr>
      <w:r w:rsidRPr="00686CD4">
        <w:rPr>
          <w:lang w:val="fr-FR"/>
        </w:rPr>
        <w:t>139.</w:t>
      </w:r>
      <w:r w:rsidRPr="00686CD4">
        <w:rPr>
          <w:lang w:val="fr-FR"/>
        </w:rPr>
        <w:tab/>
        <w:t>Une décision doit être prise et une notification doit être envoyée dans un délai de sept jours à compter de la date d</w:t>
      </w:r>
      <w:r>
        <w:rPr>
          <w:lang w:val="fr-FR"/>
        </w:rPr>
        <w:t>’</w:t>
      </w:r>
      <w:r w:rsidRPr="00686CD4">
        <w:rPr>
          <w:lang w:val="fr-FR"/>
        </w:rPr>
        <w:t>enregistrement de la demande.</w:t>
      </w:r>
    </w:p>
    <w:p w:rsidR="002A7A34" w:rsidRPr="00686CD4" w:rsidRDefault="002A7A34" w:rsidP="002A7A34">
      <w:pPr>
        <w:pStyle w:val="SingleTxtG"/>
        <w:rPr>
          <w:lang w:val="fr-FR"/>
        </w:rPr>
      </w:pPr>
      <w:r w:rsidRPr="00686CD4">
        <w:rPr>
          <w:lang w:val="fr-FR"/>
        </w:rPr>
        <w:t>140.</w:t>
      </w:r>
      <w:r w:rsidRPr="00686CD4">
        <w:rPr>
          <w:lang w:val="fr-FR"/>
        </w:rPr>
        <w:tab/>
        <w:t>À l</w:t>
      </w:r>
      <w:r>
        <w:rPr>
          <w:lang w:val="fr-FR"/>
        </w:rPr>
        <w:t>’</w:t>
      </w:r>
      <w:r w:rsidRPr="00686CD4">
        <w:rPr>
          <w:lang w:val="fr-FR"/>
        </w:rPr>
        <w:t>issue de ce délai, tout demandeur recevant une réponse positive est autorisé à pénétrer sur le territoire national et</w:t>
      </w:r>
      <w:r>
        <w:rPr>
          <w:lang w:val="fr-FR"/>
        </w:rPr>
        <w:t xml:space="preserve"> orienté </w:t>
      </w:r>
      <w:r w:rsidRPr="00686CD4">
        <w:rPr>
          <w:lang w:val="fr-FR"/>
        </w:rPr>
        <w:t xml:space="preserve">vers </w:t>
      </w:r>
      <w:r>
        <w:rPr>
          <w:lang w:val="fr-FR"/>
        </w:rPr>
        <w:t xml:space="preserve">un </w:t>
      </w:r>
      <w:r w:rsidRPr="00686CD4">
        <w:rPr>
          <w:lang w:val="fr-FR"/>
        </w:rPr>
        <w:t>centre d</w:t>
      </w:r>
      <w:r>
        <w:rPr>
          <w:lang w:val="fr-FR"/>
        </w:rPr>
        <w:t>’</w:t>
      </w:r>
      <w:r w:rsidRPr="00686CD4">
        <w:rPr>
          <w:lang w:val="fr-FR"/>
        </w:rPr>
        <w:t>accueil ouvert</w:t>
      </w:r>
      <w:r w:rsidR="00495D0F">
        <w:rPr>
          <w:lang w:val="fr-FR"/>
        </w:rPr>
        <w:t> ;</w:t>
      </w:r>
      <w:r w:rsidRPr="00686CD4">
        <w:rPr>
          <w:lang w:val="fr-FR"/>
        </w:rPr>
        <w:t xml:space="preserve"> </w:t>
      </w:r>
      <w:r>
        <w:rPr>
          <w:lang w:val="fr-FR"/>
        </w:rPr>
        <w:t>s</w:t>
      </w:r>
      <w:r w:rsidRPr="00686CD4">
        <w:rPr>
          <w:lang w:val="fr-FR"/>
        </w:rPr>
        <w:t>i la décision est négative, le demandeur doit retourner dans son pays d</w:t>
      </w:r>
      <w:r>
        <w:rPr>
          <w:lang w:val="fr-FR"/>
        </w:rPr>
        <w:t>’</w:t>
      </w:r>
      <w:r w:rsidRPr="00686CD4">
        <w:rPr>
          <w:lang w:val="fr-FR"/>
        </w:rPr>
        <w:t>origine</w:t>
      </w:r>
      <w:r w:rsidR="00BD65A4">
        <w:rPr>
          <w:lang w:val="fr-FR"/>
        </w:rPr>
        <w:t>.</w:t>
      </w:r>
    </w:p>
    <w:p w:rsidR="002A7A34" w:rsidRPr="00686CD4" w:rsidRDefault="002A7A34" w:rsidP="002A7A34">
      <w:pPr>
        <w:pStyle w:val="SingleTxtG"/>
        <w:rPr>
          <w:lang w:val="fr-FR"/>
        </w:rPr>
      </w:pPr>
      <w:r w:rsidRPr="00686CD4">
        <w:rPr>
          <w:lang w:val="fr-FR"/>
        </w:rPr>
        <w:t>141.</w:t>
      </w:r>
      <w:r w:rsidRPr="00686CD4">
        <w:rPr>
          <w:lang w:val="fr-FR"/>
        </w:rPr>
        <w:tab/>
        <w:t>Abstraction faite de cette situation, les demandeurs d</w:t>
      </w:r>
      <w:r>
        <w:rPr>
          <w:lang w:val="fr-FR"/>
        </w:rPr>
        <w:t>’</w:t>
      </w:r>
      <w:r w:rsidRPr="00686CD4">
        <w:rPr>
          <w:lang w:val="fr-FR"/>
        </w:rPr>
        <w:t xml:space="preserve">asile hébergés dans un centre extérieur ne </w:t>
      </w:r>
      <w:r>
        <w:rPr>
          <w:lang w:val="fr-FR"/>
        </w:rPr>
        <w:t xml:space="preserve">peuvent pas être </w:t>
      </w:r>
      <w:r w:rsidRPr="00686CD4">
        <w:rPr>
          <w:lang w:val="fr-FR"/>
        </w:rPr>
        <w:t xml:space="preserve">détenus uniquement </w:t>
      </w:r>
      <w:r>
        <w:rPr>
          <w:lang w:val="fr-FR"/>
        </w:rPr>
        <w:t xml:space="preserve">parce qu’ils </w:t>
      </w:r>
      <w:r w:rsidRPr="00686CD4">
        <w:rPr>
          <w:lang w:val="fr-FR"/>
        </w:rPr>
        <w:t>ont présenté une demande de protection internationale.</w:t>
      </w:r>
    </w:p>
    <w:p w:rsidR="002A7A34" w:rsidRPr="00686CD4" w:rsidRDefault="002A7A34" w:rsidP="00AD5E26">
      <w:pPr>
        <w:pStyle w:val="H23G"/>
        <w:jc w:val="both"/>
        <w:rPr>
          <w:lang w:val="fr-FR"/>
        </w:rPr>
      </w:pPr>
      <w:r w:rsidRPr="00686CD4">
        <w:rPr>
          <w:lang w:val="fr-FR"/>
        </w:rPr>
        <w:tab/>
      </w:r>
      <w:r w:rsidRPr="00686CD4">
        <w:rPr>
          <w:lang w:val="fr-FR"/>
        </w:rPr>
        <w:tab/>
      </w:r>
      <w:r w:rsidRPr="00686CD4">
        <w:rPr>
          <w:lang w:val="fr-FR"/>
        </w:rPr>
        <w:tab/>
        <w:t xml:space="preserve">b) </w:t>
      </w:r>
      <w:r w:rsidRPr="00686CD4">
        <w:rPr>
          <w:lang w:val="fr-FR"/>
        </w:rPr>
        <w:tab/>
        <w:t>Les mesures prises pour faire en sorte que toutes les personnes demandant l</w:t>
      </w:r>
      <w:r>
        <w:rPr>
          <w:lang w:val="fr-FR"/>
        </w:rPr>
        <w:t>’</w:t>
      </w:r>
      <w:r w:rsidRPr="00686CD4">
        <w:rPr>
          <w:lang w:val="fr-FR"/>
        </w:rPr>
        <w:t>asile dans l</w:t>
      </w:r>
      <w:r>
        <w:rPr>
          <w:lang w:val="fr-FR"/>
        </w:rPr>
        <w:t>’</w:t>
      </w:r>
      <w:r w:rsidRPr="00686CD4">
        <w:rPr>
          <w:lang w:val="fr-FR"/>
        </w:rPr>
        <w:t>État partie, y compris à ses points de passage frontaliers, jouissent de toutes les garanties procédurales, et notamment qu</w:t>
      </w:r>
      <w:r>
        <w:rPr>
          <w:lang w:val="fr-FR"/>
        </w:rPr>
        <w:t>’</w:t>
      </w:r>
      <w:r w:rsidRPr="00686CD4">
        <w:rPr>
          <w:lang w:val="fr-FR"/>
        </w:rPr>
        <w:t>elles aient accès rapidement et gratuitement à l</w:t>
      </w:r>
      <w:r>
        <w:rPr>
          <w:lang w:val="fr-FR"/>
        </w:rPr>
        <w:t>’</w:t>
      </w:r>
      <w:r w:rsidRPr="00686CD4">
        <w:rPr>
          <w:lang w:val="fr-FR"/>
        </w:rPr>
        <w:t>assistance d</w:t>
      </w:r>
      <w:r>
        <w:rPr>
          <w:lang w:val="fr-FR"/>
        </w:rPr>
        <w:t>’</w:t>
      </w:r>
      <w:r w:rsidRPr="00686CD4">
        <w:rPr>
          <w:lang w:val="fr-FR"/>
        </w:rPr>
        <w:t>un avocat qualifié et à des interprètes tout au long de la procédure, y compris pendant la procédure de recours</w:t>
      </w:r>
      <w:r>
        <w:rPr>
          <w:lang w:val="fr-FR"/>
        </w:rPr>
        <w:t>.</w:t>
      </w:r>
      <w:r w:rsidRPr="00686CD4">
        <w:rPr>
          <w:lang w:val="fr-FR"/>
        </w:rPr>
        <w:t xml:space="preserve"> </w:t>
      </w:r>
      <w:r w:rsidRPr="00686CD4">
        <w:rPr>
          <w:bCs/>
          <w:lang w:val="fr-FR"/>
        </w:rPr>
        <w:t>Indiquer également si la formation d</w:t>
      </w:r>
      <w:r>
        <w:rPr>
          <w:bCs/>
          <w:lang w:val="fr-FR"/>
        </w:rPr>
        <w:t>’</w:t>
      </w:r>
      <w:r w:rsidRPr="00686CD4">
        <w:rPr>
          <w:bCs/>
          <w:lang w:val="fr-FR"/>
        </w:rPr>
        <w:t>un recours contre une décision de refus d</w:t>
      </w:r>
      <w:r>
        <w:rPr>
          <w:bCs/>
          <w:lang w:val="fr-FR"/>
        </w:rPr>
        <w:t>’</w:t>
      </w:r>
      <w:r w:rsidRPr="00686CD4">
        <w:rPr>
          <w:bCs/>
          <w:lang w:val="fr-FR"/>
        </w:rPr>
        <w:t>asile a un effet suspensif sur l</w:t>
      </w:r>
      <w:r>
        <w:rPr>
          <w:bCs/>
          <w:lang w:val="fr-FR"/>
        </w:rPr>
        <w:t>’</w:t>
      </w:r>
      <w:r w:rsidRPr="00686CD4">
        <w:rPr>
          <w:bCs/>
          <w:lang w:val="fr-FR"/>
        </w:rPr>
        <w:t>ordre de transfert ou d</w:t>
      </w:r>
      <w:r>
        <w:rPr>
          <w:bCs/>
          <w:lang w:val="fr-FR"/>
        </w:rPr>
        <w:t>’</w:t>
      </w:r>
      <w:r w:rsidRPr="00686CD4">
        <w:rPr>
          <w:bCs/>
          <w:lang w:val="fr-FR"/>
        </w:rPr>
        <w:t>expulsion de la personne concernée</w:t>
      </w:r>
      <w:r w:rsidR="00495D0F">
        <w:rPr>
          <w:bCs/>
          <w:lang w:val="fr-FR"/>
        </w:rPr>
        <w:t> ;</w:t>
      </w:r>
      <w:bookmarkStart w:id="33" w:name="_Toc532494636"/>
      <w:bookmarkEnd w:id="33"/>
    </w:p>
    <w:p w:rsidR="002A7A34" w:rsidRPr="00686CD4" w:rsidRDefault="002A7A34" w:rsidP="002A7A34">
      <w:pPr>
        <w:pStyle w:val="SingleTxtG"/>
        <w:rPr>
          <w:lang w:val="fr-FR"/>
        </w:rPr>
      </w:pPr>
      <w:r w:rsidRPr="00686CD4">
        <w:rPr>
          <w:lang w:val="fr-FR"/>
        </w:rPr>
        <w:t>142.</w:t>
      </w:r>
      <w:r w:rsidRPr="00686CD4">
        <w:rPr>
          <w:lang w:val="fr-FR"/>
        </w:rPr>
        <w:tab/>
        <w:t>L</w:t>
      </w:r>
      <w:r>
        <w:rPr>
          <w:lang w:val="fr-FR"/>
        </w:rPr>
        <w:t>’</w:t>
      </w:r>
      <w:r w:rsidRPr="00686CD4">
        <w:rPr>
          <w:lang w:val="fr-FR"/>
        </w:rPr>
        <w:t xml:space="preserve">asile est actuellement régi, au Portugal, par la loi </w:t>
      </w:r>
      <w:r w:rsidR="00AD5E26" w:rsidRPr="00553571">
        <w:rPr>
          <w:rFonts w:eastAsia="MS Mincho"/>
          <w:lang w:val="fr-FR"/>
        </w:rPr>
        <w:t>n</w:t>
      </w:r>
      <w:r w:rsidR="00AD5E26" w:rsidRPr="00553571">
        <w:rPr>
          <w:rFonts w:eastAsia="MS Mincho"/>
          <w:vertAlign w:val="superscript"/>
          <w:lang w:val="fr-FR"/>
        </w:rPr>
        <w:t>o</w:t>
      </w:r>
      <w:r w:rsidR="00AD5E26">
        <w:rPr>
          <w:lang w:val="fr-FR"/>
        </w:rPr>
        <w:t> </w:t>
      </w:r>
      <w:r w:rsidRPr="00686CD4">
        <w:rPr>
          <w:lang w:val="fr-FR"/>
        </w:rPr>
        <w:t>27/2008 du 30</w:t>
      </w:r>
      <w:r>
        <w:rPr>
          <w:lang w:val="fr-FR"/>
        </w:rPr>
        <w:t> </w:t>
      </w:r>
      <w:r w:rsidRPr="00686CD4">
        <w:rPr>
          <w:lang w:val="fr-FR"/>
        </w:rPr>
        <w:t>juin, tel</w:t>
      </w:r>
      <w:r>
        <w:rPr>
          <w:lang w:val="fr-FR"/>
        </w:rPr>
        <w:t>le</w:t>
      </w:r>
      <w:r w:rsidRPr="00686CD4">
        <w:rPr>
          <w:lang w:val="fr-FR"/>
        </w:rPr>
        <w:t xml:space="preserve"> que modifié</w:t>
      </w:r>
      <w:r>
        <w:rPr>
          <w:lang w:val="fr-FR"/>
        </w:rPr>
        <w:t>e</w:t>
      </w:r>
      <w:r w:rsidRPr="00686CD4">
        <w:rPr>
          <w:lang w:val="fr-FR"/>
        </w:rPr>
        <w:t xml:space="preserve"> et republié</w:t>
      </w:r>
      <w:r>
        <w:rPr>
          <w:lang w:val="fr-FR"/>
        </w:rPr>
        <w:t>e</w:t>
      </w:r>
      <w:r w:rsidRPr="00686CD4">
        <w:rPr>
          <w:lang w:val="fr-FR"/>
        </w:rPr>
        <w:t xml:space="preserve"> par la loi</w:t>
      </w:r>
      <w:r>
        <w:rPr>
          <w:lang w:val="fr-FR"/>
        </w:rPr>
        <w:t xml:space="preserve"> </w:t>
      </w:r>
      <w:r w:rsidR="00AD5E26" w:rsidRPr="00553571">
        <w:rPr>
          <w:rFonts w:eastAsia="MS Mincho"/>
          <w:lang w:val="fr-FR"/>
        </w:rPr>
        <w:t>n</w:t>
      </w:r>
      <w:r w:rsidR="00AD5E26" w:rsidRPr="00553571">
        <w:rPr>
          <w:rFonts w:eastAsia="MS Mincho"/>
          <w:vertAlign w:val="superscript"/>
          <w:lang w:val="fr-FR"/>
        </w:rPr>
        <w:t>o</w:t>
      </w:r>
      <w:r w:rsidR="00AD5E26">
        <w:rPr>
          <w:lang w:val="fr-FR"/>
        </w:rPr>
        <w:t> </w:t>
      </w:r>
      <w:r w:rsidRPr="00686CD4">
        <w:rPr>
          <w:lang w:val="fr-FR"/>
        </w:rPr>
        <w:t>26/2014 du 5</w:t>
      </w:r>
      <w:r>
        <w:rPr>
          <w:lang w:val="fr-FR"/>
        </w:rPr>
        <w:t> </w:t>
      </w:r>
      <w:r w:rsidRPr="00686CD4">
        <w:rPr>
          <w:lang w:val="fr-FR"/>
        </w:rPr>
        <w:t>mai</w:t>
      </w:r>
      <w:r w:rsidR="004F2121">
        <w:rPr>
          <w:lang w:val="fr-FR"/>
        </w:rPr>
        <w:t>.</w:t>
      </w:r>
    </w:p>
    <w:p w:rsidR="002A7A34" w:rsidRPr="00686CD4" w:rsidRDefault="002A7A34" w:rsidP="002A7A34">
      <w:pPr>
        <w:pStyle w:val="SingleTxtG"/>
        <w:rPr>
          <w:lang w:val="fr-FR"/>
        </w:rPr>
      </w:pPr>
      <w:r w:rsidRPr="00686CD4">
        <w:rPr>
          <w:lang w:val="fr-FR"/>
        </w:rPr>
        <w:t>143.</w:t>
      </w:r>
      <w:r w:rsidRPr="00686CD4">
        <w:rPr>
          <w:lang w:val="fr-FR"/>
        </w:rPr>
        <w:tab/>
        <w:t>La loi dispose que toutes les décisions administratives prises dans le cadre de la procédure d</w:t>
      </w:r>
      <w:r>
        <w:rPr>
          <w:lang w:val="fr-FR"/>
        </w:rPr>
        <w:t>’</w:t>
      </w:r>
      <w:r w:rsidRPr="00686CD4">
        <w:rPr>
          <w:lang w:val="fr-FR"/>
        </w:rPr>
        <w:t>asile ont un effet suspensif, et qu</w:t>
      </w:r>
      <w:r>
        <w:rPr>
          <w:lang w:val="fr-FR"/>
        </w:rPr>
        <w:t>’</w:t>
      </w:r>
      <w:r w:rsidRPr="00686CD4">
        <w:rPr>
          <w:lang w:val="fr-FR"/>
        </w:rPr>
        <w:t xml:space="preserve">il est possible de faire appel devant le </w:t>
      </w:r>
      <w:r>
        <w:rPr>
          <w:lang w:val="fr-FR"/>
        </w:rPr>
        <w:t>t</w:t>
      </w:r>
      <w:r w:rsidRPr="00686CD4">
        <w:rPr>
          <w:lang w:val="fr-FR"/>
        </w:rPr>
        <w:t xml:space="preserve">ribunal administratif de district et le </w:t>
      </w:r>
      <w:r>
        <w:rPr>
          <w:lang w:val="fr-FR"/>
        </w:rPr>
        <w:t>t</w:t>
      </w:r>
      <w:r w:rsidRPr="00686CD4">
        <w:rPr>
          <w:lang w:val="fr-FR"/>
        </w:rPr>
        <w:t xml:space="preserve">ribunal administratif central, ces recours ayant automatiquement un effet suspensif. </w:t>
      </w:r>
    </w:p>
    <w:p w:rsidR="002A7A34" w:rsidRPr="00686CD4" w:rsidRDefault="002A7A34" w:rsidP="002A7A34">
      <w:pPr>
        <w:pStyle w:val="SingleTxtG"/>
        <w:rPr>
          <w:lang w:val="fr-FR"/>
        </w:rPr>
      </w:pPr>
      <w:r w:rsidRPr="00686CD4">
        <w:rPr>
          <w:lang w:val="fr-FR"/>
        </w:rPr>
        <w:t>144.</w:t>
      </w:r>
      <w:r w:rsidRPr="00686CD4">
        <w:rPr>
          <w:lang w:val="fr-FR"/>
        </w:rPr>
        <w:tab/>
        <w:t>Tout appel devant l</w:t>
      </w:r>
      <w:r>
        <w:rPr>
          <w:lang w:val="fr-FR"/>
        </w:rPr>
        <w:t>’</w:t>
      </w:r>
      <w:r w:rsidRPr="00686CD4">
        <w:rPr>
          <w:lang w:val="fr-FR"/>
        </w:rPr>
        <w:t xml:space="preserve">un des tribunaux </w:t>
      </w:r>
      <w:r>
        <w:rPr>
          <w:lang w:val="fr-FR"/>
        </w:rPr>
        <w:t xml:space="preserve">a un effet suspensif sur la </w:t>
      </w:r>
      <w:r w:rsidRPr="00686CD4">
        <w:rPr>
          <w:lang w:val="fr-FR"/>
        </w:rPr>
        <w:t xml:space="preserve">décision de </w:t>
      </w:r>
      <w:r>
        <w:rPr>
          <w:lang w:val="fr-FR"/>
        </w:rPr>
        <w:t xml:space="preserve">renvoi tant que </w:t>
      </w:r>
      <w:r w:rsidRPr="00686CD4">
        <w:rPr>
          <w:lang w:val="fr-FR"/>
        </w:rPr>
        <w:t>la décision judiciaire définitive</w:t>
      </w:r>
      <w:r>
        <w:rPr>
          <w:lang w:val="fr-FR"/>
        </w:rPr>
        <w:t xml:space="preserve"> n’a pas été </w:t>
      </w:r>
      <w:r w:rsidRPr="00686CD4">
        <w:rPr>
          <w:lang w:val="fr-FR"/>
        </w:rPr>
        <w:t>prononcée.</w:t>
      </w:r>
    </w:p>
    <w:p w:rsidR="002A7A34" w:rsidRPr="00686CD4" w:rsidRDefault="002A7A34" w:rsidP="002A7A34">
      <w:pPr>
        <w:pStyle w:val="SingleTxtG"/>
        <w:rPr>
          <w:lang w:val="fr-FR"/>
        </w:rPr>
      </w:pPr>
      <w:r w:rsidRPr="00686CD4">
        <w:rPr>
          <w:lang w:val="fr-FR"/>
        </w:rPr>
        <w:t>145.</w:t>
      </w:r>
      <w:r w:rsidRPr="00686CD4">
        <w:rPr>
          <w:lang w:val="fr-FR"/>
        </w:rPr>
        <w:tab/>
        <w:t>Les demandeurs d</w:t>
      </w:r>
      <w:r>
        <w:rPr>
          <w:lang w:val="fr-FR"/>
        </w:rPr>
        <w:t>’</w:t>
      </w:r>
      <w:r w:rsidRPr="00686CD4">
        <w:rPr>
          <w:lang w:val="fr-FR"/>
        </w:rPr>
        <w:t xml:space="preserve">asile ont droit à </w:t>
      </w:r>
      <w:r>
        <w:rPr>
          <w:lang w:val="fr-FR"/>
        </w:rPr>
        <w:t xml:space="preserve">recevoir du </w:t>
      </w:r>
      <w:r w:rsidRPr="00686CD4">
        <w:rPr>
          <w:lang w:val="fr-FR"/>
        </w:rPr>
        <w:t>Conseil portugais pour les réfugiés de</w:t>
      </w:r>
      <w:r>
        <w:rPr>
          <w:lang w:val="fr-FR"/>
        </w:rPr>
        <w:t>s</w:t>
      </w:r>
      <w:r w:rsidRPr="00686CD4">
        <w:rPr>
          <w:lang w:val="fr-FR"/>
        </w:rPr>
        <w:t xml:space="preserve"> conseils juridiques gratuits à toutes les étapes de la procédure, ainsi qu</w:t>
      </w:r>
      <w:r>
        <w:rPr>
          <w:lang w:val="fr-FR"/>
        </w:rPr>
        <w:t>’</w:t>
      </w:r>
      <w:r w:rsidRPr="00686CD4">
        <w:rPr>
          <w:lang w:val="fr-FR"/>
        </w:rPr>
        <w:t xml:space="preserve">une aide juridictionnelle et, en </w:t>
      </w:r>
      <w:r>
        <w:rPr>
          <w:lang w:val="fr-FR"/>
        </w:rPr>
        <w:t xml:space="preserve">vertu de </w:t>
      </w:r>
      <w:r w:rsidRPr="00686CD4">
        <w:rPr>
          <w:lang w:val="fr-FR"/>
        </w:rPr>
        <w:t>la loi, de</w:t>
      </w:r>
      <w:r>
        <w:rPr>
          <w:lang w:val="fr-FR"/>
        </w:rPr>
        <w:t>s</w:t>
      </w:r>
      <w:r w:rsidRPr="00686CD4">
        <w:rPr>
          <w:lang w:val="fr-FR"/>
        </w:rPr>
        <w:t xml:space="preserve"> services d</w:t>
      </w:r>
      <w:r>
        <w:rPr>
          <w:lang w:val="fr-FR"/>
        </w:rPr>
        <w:t>’</w:t>
      </w:r>
      <w:r w:rsidRPr="00686CD4">
        <w:rPr>
          <w:lang w:val="fr-FR"/>
        </w:rPr>
        <w:t>interprétation en tant que de besoin.</w:t>
      </w:r>
    </w:p>
    <w:p w:rsidR="002A7A34" w:rsidRPr="00686CD4" w:rsidRDefault="002A7A34" w:rsidP="00AD5E26">
      <w:pPr>
        <w:pStyle w:val="H23G"/>
        <w:jc w:val="both"/>
        <w:rPr>
          <w:lang w:val="fr-FR"/>
        </w:rPr>
      </w:pPr>
      <w:r w:rsidRPr="00686CD4">
        <w:rPr>
          <w:lang w:val="fr-FR"/>
        </w:rPr>
        <w:tab/>
      </w:r>
      <w:r w:rsidRPr="00686CD4">
        <w:rPr>
          <w:lang w:val="fr-FR"/>
        </w:rPr>
        <w:tab/>
      </w:r>
      <w:r w:rsidRPr="00686CD4">
        <w:rPr>
          <w:lang w:val="fr-FR"/>
        </w:rPr>
        <w:tab/>
        <w:t>c)</w:t>
      </w:r>
      <w:r w:rsidRPr="00686CD4">
        <w:rPr>
          <w:lang w:val="fr-FR"/>
        </w:rPr>
        <w:tab/>
        <w:t>La durée moyenne de traitement des demandes d</w:t>
      </w:r>
      <w:r>
        <w:rPr>
          <w:lang w:val="fr-FR"/>
        </w:rPr>
        <w:t>’</w:t>
      </w:r>
      <w:r w:rsidRPr="00686CD4">
        <w:rPr>
          <w:lang w:val="fr-FR"/>
        </w:rPr>
        <w:t xml:space="preserve">asile pendant la phase de recevabilité de la procédure spéciale à la frontière, et dans le cadre de la procédure ordinaire et de la procédure de recours. </w:t>
      </w:r>
      <w:bookmarkStart w:id="34" w:name="_Toc532494637"/>
      <w:bookmarkEnd w:id="34"/>
    </w:p>
    <w:p w:rsidR="002A7A34" w:rsidRPr="00686CD4" w:rsidRDefault="002A7A34" w:rsidP="002A7A34">
      <w:pPr>
        <w:pStyle w:val="SingleTxtG"/>
        <w:rPr>
          <w:lang w:val="fr-FR"/>
        </w:rPr>
      </w:pPr>
      <w:r w:rsidRPr="00686CD4">
        <w:rPr>
          <w:lang w:val="fr-FR"/>
        </w:rPr>
        <w:t>146.</w:t>
      </w:r>
      <w:r w:rsidRPr="00686CD4">
        <w:rPr>
          <w:lang w:val="fr-FR"/>
        </w:rPr>
        <w:tab/>
        <w:t xml:space="preserve">Les délais de recevabilité sont établis comme suit par la loi </w:t>
      </w:r>
      <w:r w:rsidR="00AD5E26" w:rsidRPr="00553571">
        <w:rPr>
          <w:rFonts w:eastAsia="MS Mincho"/>
          <w:lang w:val="fr-FR"/>
        </w:rPr>
        <w:t>n</w:t>
      </w:r>
      <w:r w:rsidR="00AD5E26" w:rsidRPr="00553571">
        <w:rPr>
          <w:rFonts w:eastAsia="MS Mincho"/>
          <w:vertAlign w:val="superscript"/>
          <w:lang w:val="fr-FR"/>
        </w:rPr>
        <w:t>o</w:t>
      </w:r>
      <w:r w:rsidR="00AD5E26">
        <w:rPr>
          <w:lang w:val="fr-FR"/>
        </w:rPr>
        <w:t> </w:t>
      </w:r>
      <w:r w:rsidRPr="00686CD4">
        <w:rPr>
          <w:lang w:val="fr-FR"/>
        </w:rPr>
        <w:t>27/2008, du 30</w:t>
      </w:r>
      <w:r>
        <w:rPr>
          <w:lang w:val="fr-FR"/>
        </w:rPr>
        <w:t> </w:t>
      </w:r>
      <w:r w:rsidRPr="00686CD4">
        <w:rPr>
          <w:lang w:val="fr-FR"/>
        </w:rPr>
        <w:t>juin</w:t>
      </w:r>
      <w:r w:rsidR="00495D0F">
        <w:rPr>
          <w:lang w:val="fr-FR"/>
        </w:rPr>
        <w:t xml:space="preserve"> : </w:t>
      </w:r>
      <w:r w:rsidRPr="00686CD4">
        <w:rPr>
          <w:lang w:val="fr-FR"/>
        </w:rPr>
        <w:t xml:space="preserve">le délai de notification et de décision est de </w:t>
      </w:r>
      <w:r w:rsidR="00AD5E26">
        <w:rPr>
          <w:lang w:val="fr-FR"/>
        </w:rPr>
        <w:t xml:space="preserve">sept </w:t>
      </w:r>
      <w:r w:rsidRPr="00686CD4">
        <w:rPr>
          <w:lang w:val="fr-FR"/>
        </w:rPr>
        <w:t>jours ouvrables dans le cadre de la procédure spéciale à la frontière, tand</w:t>
      </w:r>
      <w:r>
        <w:rPr>
          <w:lang w:val="fr-FR"/>
        </w:rPr>
        <w:t>is</w:t>
      </w:r>
      <w:r w:rsidRPr="00686CD4">
        <w:rPr>
          <w:lang w:val="fr-FR"/>
        </w:rPr>
        <w:t xml:space="preserve"> que le délai de décision est de </w:t>
      </w:r>
      <w:r w:rsidR="00AD5E26">
        <w:rPr>
          <w:lang w:val="fr-FR"/>
        </w:rPr>
        <w:t xml:space="preserve">trente </w:t>
      </w:r>
      <w:r w:rsidRPr="00686CD4">
        <w:rPr>
          <w:lang w:val="fr-FR"/>
        </w:rPr>
        <w:t>jours ouvrables dans celui de la procédure régulière.</w:t>
      </w:r>
    </w:p>
    <w:p w:rsidR="002A7A34" w:rsidRPr="00686CD4" w:rsidRDefault="002A7A34" w:rsidP="002A7A34">
      <w:pPr>
        <w:pStyle w:val="SingleTxtG"/>
        <w:rPr>
          <w:lang w:val="fr-FR"/>
        </w:rPr>
      </w:pPr>
      <w:r w:rsidRPr="00686CD4">
        <w:rPr>
          <w:lang w:val="fr-FR"/>
        </w:rPr>
        <w:t>147.</w:t>
      </w:r>
      <w:r w:rsidRPr="00686CD4">
        <w:rPr>
          <w:lang w:val="fr-FR"/>
        </w:rPr>
        <w:tab/>
        <w:t>Lorsqu</w:t>
      </w:r>
      <w:r>
        <w:rPr>
          <w:lang w:val="fr-FR"/>
        </w:rPr>
        <w:t>’</w:t>
      </w:r>
      <w:r w:rsidRPr="00686CD4">
        <w:rPr>
          <w:lang w:val="fr-FR"/>
        </w:rPr>
        <w:t>aucune décision n</w:t>
      </w:r>
      <w:r>
        <w:rPr>
          <w:lang w:val="fr-FR"/>
        </w:rPr>
        <w:t>’</w:t>
      </w:r>
      <w:r w:rsidRPr="00686CD4">
        <w:rPr>
          <w:lang w:val="fr-FR"/>
        </w:rPr>
        <w:t xml:space="preserve">est prise ou </w:t>
      </w:r>
      <w:r>
        <w:rPr>
          <w:lang w:val="fr-FR"/>
        </w:rPr>
        <w:t xml:space="preserve">qu’aucune </w:t>
      </w:r>
      <w:r w:rsidRPr="00686CD4">
        <w:rPr>
          <w:lang w:val="fr-FR"/>
        </w:rPr>
        <w:t>notification n</w:t>
      </w:r>
      <w:r>
        <w:rPr>
          <w:lang w:val="fr-FR"/>
        </w:rPr>
        <w:t>’</w:t>
      </w:r>
      <w:r w:rsidRPr="00686CD4">
        <w:rPr>
          <w:lang w:val="fr-FR"/>
        </w:rPr>
        <w:t>est présentée dans ces délais, la demande est jugée admise de manière tacite</w:t>
      </w:r>
      <w:r w:rsidR="004F2121">
        <w:rPr>
          <w:lang w:val="fr-FR"/>
        </w:rPr>
        <w:t>.</w:t>
      </w:r>
    </w:p>
    <w:p w:rsidR="002A7A34" w:rsidRPr="00686CD4" w:rsidRDefault="002A7A34" w:rsidP="00036CD2">
      <w:pPr>
        <w:pStyle w:val="H1G"/>
        <w:rPr>
          <w:lang w:val="fr-FR"/>
        </w:rPr>
      </w:pPr>
      <w:r w:rsidRPr="00686CD4">
        <w:rPr>
          <w:lang w:val="fr-FR"/>
        </w:rPr>
        <w:lastRenderedPageBreak/>
        <w:tab/>
      </w:r>
      <w:r w:rsidRPr="00686CD4">
        <w:rPr>
          <w:lang w:val="fr-FR"/>
        </w:rPr>
        <w:tab/>
        <w:t>Articles 5, 7 et 8</w:t>
      </w:r>
      <w:bookmarkStart w:id="35" w:name="_Toc532494638"/>
      <w:bookmarkEnd w:id="35"/>
    </w:p>
    <w:p w:rsidR="002A7A34" w:rsidRPr="00686CD4" w:rsidRDefault="00036CD2" w:rsidP="00036CD2">
      <w:pPr>
        <w:pStyle w:val="H23G"/>
        <w:jc w:val="both"/>
        <w:rPr>
          <w:lang w:val="fr-FR"/>
        </w:rPr>
      </w:pPr>
      <w:r>
        <w:rPr>
          <w:lang w:val="fr-FR"/>
        </w:rPr>
        <w:tab/>
      </w:r>
      <w:r w:rsidR="002A7A34" w:rsidRPr="00686CD4">
        <w:rPr>
          <w:lang w:val="fr-FR"/>
        </w:rPr>
        <w:t>8.</w:t>
      </w:r>
      <w:r w:rsidR="002A7A34" w:rsidRPr="00686CD4">
        <w:rPr>
          <w:lang w:val="fr-FR"/>
        </w:rPr>
        <w:tab/>
        <w:t>Indiquer si, depuis l</w:t>
      </w:r>
      <w:r w:rsidR="002A7A34">
        <w:rPr>
          <w:lang w:val="fr-FR"/>
        </w:rPr>
        <w:t>’</w:t>
      </w:r>
      <w:r w:rsidR="002A7A34" w:rsidRPr="00686CD4">
        <w:rPr>
          <w:lang w:val="fr-FR"/>
        </w:rPr>
        <w:t>examen du rapport précédent, l</w:t>
      </w:r>
      <w:r w:rsidR="002A7A34">
        <w:rPr>
          <w:lang w:val="fr-FR"/>
        </w:rPr>
        <w:t>’</w:t>
      </w:r>
      <w:r w:rsidR="002A7A34" w:rsidRPr="00686CD4">
        <w:rPr>
          <w:lang w:val="fr-FR"/>
        </w:rPr>
        <w:t>État partie a rejeté, pour quelque motif que ce soit, une demande d</w:t>
      </w:r>
      <w:r w:rsidR="002A7A34">
        <w:rPr>
          <w:lang w:val="fr-FR"/>
        </w:rPr>
        <w:t>’</w:t>
      </w:r>
      <w:r w:rsidR="002A7A34" w:rsidRPr="00686CD4">
        <w:rPr>
          <w:lang w:val="fr-FR"/>
        </w:rPr>
        <w:t>extradition adressée par un État tiers réclamant un individu soupçonné d</w:t>
      </w:r>
      <w:r w:rsidR="002A7A34">
        <w:rPr>
          <w:lang w:val="fr-FR"/>
        </w:rPr>
        <w:t>’</w:t>
      </w:r>
      <w:r w:rsidR="002A7A34" w:rsidRPr="00686CD4">
        <w:rPr>
          <w:lang w:val="fr-FR"/>
        </w:rPr>
        <w:t>avoir commis des actes de torture et a, partant, fait le nécessaire pour exercer lui-même l</w:t>
      </w:r>
      <w:r w:rsidR="002A7A34">
        <w:rPr>
          <w:lang w:val="fr-FR"/>
        </w:rPr>
        <w:t>’</w:t>
      </w:r>
      <w:r w:rsidR="002A7A34" w:rsidRPr="00686CD4">
        <w:rPr>
          <w:lang w:val="fr-FR"/>
        </w:rPr>
        <w:t xml:space="preserve">action pénale. </w:t>
      </w:r>
      <w:r w:rsidR="002A7A34" w:rsidRPr="00686CD4">
        <w:rPr>
          <w:bCs/>
          <w:lang w:val="fr-FR"/>
        </w:rPr>
        <w:t>Dans l</w:t>
      </w:r>
      <w:r w:rsidR="002A7A34">
        <w:rPr>
          <w:bCs/>
          <w:lang w:val="fr-FR"/>
        </w:rPr>
        <w:t>’</w:t>
      </w:r>
      <w:r w:rsidR="002A7A34" w:rsidRPr="00686CD4">
        <w:rPr>
          <w:bCs/>
          <w:lang w:val="fr-FR"/>
        </w:rPr>
        <w:t>affirmative, donner des renseignements sur le déroulement et l</w:t>
      </w:r>
      <w:r w:rsidR="002A7A34">
        <w:rPr>
          <w:bCs/>
          <w:lang w:val="fr-FR"/>
        </w:rPr>
        <w:t>’</w:t>
      </w:r>
      <w:r w:rsidR="002A7A34" w:rsidRPr="00686CD4">
        <w:rPr>
          <w:bCs/>
          <w:lang w:val="fr-FR"/>
        </w:rPr>
        <w:t>issue de la procédure.</w:t>
      </w:r>
      <w:bookmarkStart w:id="36" w:name="_Toc532494639"/>
      <w:bookmarkEnd w:id="36"/>
    </w:p>
    <w:p w:rsidR="002A7A34" w:rsidRPr="00686CD4" w:rsidRDefault="002A7A34" w:rsidP="00036CD2">
      <w:pPr>
        <w:pStyle w:val="SingleTxtG"/>
        <w:rPr>
          <w:lang w:val="fr-FR"/>
        </w:rPr>
      </w:pPr>
      <w:r w:rsidRPr="00686CD4">
        <w:rPr>
          <w:lang w:val="fr-FR"/>
        </w:rPr>
        <w:t>148.</w:t>
      </w:r>
      <w:r w:rsidRPr="00686CD4">
        <w:rPr>
          <w:lang w:val="fr-FR"/>
        </w:rPr>
        <w:tab/>
        <w:t>Aucune demande d</w:t>
      </w:r>
      <w:r>
        <w:rPr>
          <w:lang w:val="fr-FR"/>
        </w:rPr>
        <w:t>’</w:t>
      </w:r>
      <w:r w:rsidRPr="00686CD4">
        <w:rPr>
          <w:lang w:val="fr-FR"/>
        </w:rPr>
        <w:t>extradition de personnes soupçonnées d</w:t>
      </w:r>
      <w:r>
        <w:rPr>
          <w:lang w:val="fr-FR"/>
        </w:rPr>
        <w:t>’</w:t>
      </w:r>
      <w:r w:rsidRPr="00686CD4">
        <w:rPr>
          <w:lang w:val="fr-FR"/>
        </w:rPr>
        <w:t>avoir commis des actes de torture n</w:t>
      </w:r>
      <w:r>
        <w:rPr>
          <w:lang w:val="fr-FR"/>
        </w:rPr>
        <w:t>’</w:t>
      </w:r>
      <w:r w:rsidRPr="00686CD4">
        <w:rPr>
          <w:lang w:val="fr-FR"/>
        </w:rPr>
        <w:t xml:space="preserve">a été reçue, et </w:t>
      </w:r>
      <w:r>
        <w:rPr>
          <w:lang w:val="fr-FR"/>
        </w:rPr>
        <w:t xml:space="preserve">n’a donc pu être </w:t>
      </w:r>
      <w:r w:rsidRPr="00686CD4">
        <w:rPr>
          <w:lang w:val="fr-FR"/>
        </w:rPr>
        <w:t>rejeté</w:t>
      </w:r>
      <w:r>
        <w:rPr>
          <w:lang w:val="fr-FR"/>
        </w:rPr>
        <w:t>e</w:t>
      </w:r>
      <w:r w:rsidRPr="00686CD4">
        <w:rPr>
          <w:lang w:val="fr-FR"/>
        </w:rPr>
        <w:t>, durant la période 2015-2017.</w:t>
      </w:r>
    </w:p>
    <w:p w:rsidR="002A7A34" w:rsidRPr="00686CD4" w:rsidRDefault="002A7A34" w:rsidP="00036CD2">
      <w:pPr>
        <w:pStyle w:val="H1G"/>
        <w:rPr>
          <w:lang w:val="fr-FR"/>
        </w:rPr>
      </w:pPr>
      <w:r w:rsidRPr="00686CD4">
        <w:rPr>
          <w:lang w:val="fr-FR"/>
        </w:rPr>
        <w:tab/>
      </w:r>
      <w:r w:rsidRPr="00686CD4">
        <w:rPr>
          <w:lang w:val="fr-FR"/>
        </w:rPr>
        <w:tab/>
        <w:t>Article 10</w:t>
      </w:r>
      <w:bookmarkStart w:id="37" w:name="_Toc532494640"/>
      <w:bookmarkEnd w:id="37"/>
    </w:p>
    <w:p w:rsidR="002A7A34" w:rsidRPr="00686CD4" w:rsidRDefault="00036CD2" w:rsidP="00036CD2">
      <w:pPr>
        <w:pStyle w:val="H23G"/>
        <w:spacing w:before="200" w:after="100"/>
        <w:jc w:val="both"/>
        <w:rPr>
          <w:lang w:val="fr-FR"/>
        </w:rPr>
      </w:pPr>
      <w:r>
        <w:rPr>
          <w:lang w:val="fr-FR"/>
        </w:rPr>
        <w:tab/>
      </w:r>
      <w:r w:rsidR="002A7A34" w:rsidRPr="00686CD4">
        <w:rPr>
          <w:lang w:val="fr-FR"/>
        </w:rPr>
        <w:t>9.</w:t>
      </w:r>
      <w:r w:rsidR="002A7A34" w:rsidRPr="00686CD4">
        <w:rPr>
          <w:lang w:val="fr-FR"/>
        </w:rPr>
        <w:tab/>
        <w:t>Compte tenu des précédentes observations finales du Comité (par.</w:t>
      </w:r>
      <w:r w:rsidR="002A7A34">
        <w:rPr>
          <w:lang w:val="fr-FR"/>
        </w:rPr>
        <w:t> </w:t>
      </w:r>
      <w:r w:rsidR="002A7A34" w:rsidRPr="00686CD4">
        <w:rPr>
          <w:lang w:val="fr-FR"/>
        </w:rPr>
        <w:t xml:space="preserve">20), fournir </w:t>
      </w:r>
      <w:r>
        <w:rPr>
          <w:lang w:val="fr-FR"/>
        </w:rPr>
        <w:t>−</w:t>
      </w:r>
      <w:r w:rsidR="002A7A34" w:rsidRPr="00686CD4">
        <w:rPr>
          <w:lang w:val="fr-FR"/>
        </w:rPr>
        <w:t xml:space="preserve"> en indiquant le nombre global de personnes visées et le pourcentage de bénéficiaires ainsi que la périodicité de la formation </w:t>
      </w:r>
      <w:r>
        <w:rPr>
          <w:lang w:val="fr-FR"/>
        </w:rPr>
        <w:t>−</w:t>
      </w:r>
      <w:r w:rsidR="002A7A34" w:rsidRPr="00686CD4">
        <w:rPr>
          <w:lang w:val="fr-FR"/>
        </w:rPr>
        <w:t xml:space="preserve"> des informations sur les programmes de formation dispensés aux agents des forces de l</w:t>
      </w:r>
      <w:r w:rsidR="002A7A34">
        <w:rPr>
          <w:lang w:val="fr-FR"/>
        </w:rPr>
        <w:t>’</w:t>
      </w:r>
      <w:r w:rsidR="002A7A34" w:rsidRPr="00686CD4">
        <w:rPr>
          <w:lang w:val="fr-FR"/>
        </w:rPr>
        <w:t>ordre à tous les niveaux, aux organes de sécurité de l</w:t>
      </w:r>
      <w:r w:rsidR="002A7A34">
        <w:rPr>
          <w:lang w:val="fr-FR"/>
        </w:rPr>
        <w:t>’</w:t>
      </w:r>
      <w:r w:rsidR="002A7A34" w:rsidRPr="00686CD4">
        <w:rPr>
          <w:lang w:val="fr-FR"/>
        </w:rPr>
        <w:t>État, aux agents pénitentiaires, aux fonctionnaires de l</w:t>
      </w:r>
      <w:r w:rsidR="002A7A34">
        <w:rPr>
          <w:lang w:val="fr-FR"/>
        </w:rPr>
        <w:t>’</w:t>
      </w:r>
      <w:r w:rsidR="002A7A34" w:rsidRPr="00686CD4">
        <w:rPr>
          <w:lang w:val="fr-FR"/>
        </w:rPr>
        <w:t>immigration, aux juges, aux procureurs, au personnel médical chargé des détenus, aux médecins légistes et à tout autre fonctionnaire qui intervient dans la garde, l</w:t>
      </w:r>
      <w:r w:rsidR="002A7A34">
        <w:rPr>
          <w:lang w:val="fr-FR"/>
        </w:rPr>
        <w:t>’</w:t>
      </w:r>
      <w:r w:rsidR="002A7A34" w:rsidRPr="00686CD4">
        <w:rPr>
          <w:lang w:val="fr-FR"/>
        </w:rPr>
        <w:t>interrogatoire ou le traitement de tout individu soumis à une forme quelconque de détention ou d</w:t>
      </w:r>
      <w:r w:rsidR="002A7A34">
        <w:rPr>
          <w:lang w:val="fr-FR"/>
        </w:rPr>
        <w:t>’</w:t>
      </w:r>
      <w:r w:rsidR="002A7A34" w:rsidRPr="00686CD4">
        <w:rPr>
          <w:lang w:val="fr-FR"/>
        </w:rPr>
        <w:t>emprisonnement dans les domaines suivants</w:t>
      </w:r>
      <w:r w:rsidR="00495D0F">
        <w:rPr>
          <w:lang w:val="fr-FR"/>
        </w:rPr>
        <w:t> :</w:t>
      </w:r>
      <w:bookmarkStart w:id="38" w:name="_Toc532494641"/>
      <w:bookmarkEnd w:id="38"/>
    </w:p>
    <w:p w:rsidR="002A7A34" w:rsidRPr="00686CD4" w:rsidRDefault="002A7A34" w:rsidP="00036CD2">
      <w:pPr>
        <w:pStyle w:val="H23G"/>
        <w:spacing w:before="200" w:after="100"/>
        <w:jc w:val="both"/>
        <w:rPr>
          <w:lang w:val="fr-FR"/>
        </w:rPr>
      </w:pPr>
      <w:r w:rsidRPr="00686CD4">
        <w:rPr>
          <w:lang w:val="fr-FR"/>
        </w:rPr>
        <w:tab/>
      </w:r>
      <w:r w:rsidRPr="00686CD4">
        <w:rPr>
          <w:lang w:val="fr-FR"/>
        </w:rPr>
        <w:tab/>
      </w:r>
      <w:r w:rsidRPr="00686CD4">
        <w:rPr>
          <w:lang w:val="fr-FR"/>
        </w:rPr>
        <w:tab/>
        <w:t>a)</w:t>
      </w:r>
      <w:r w:rsidRPr="00686CD4">
        <w:rPr>
          <w:lang w:val="fr-FR"/>
        </w:rPr>
        <w:tab/>
      </w:r>
      <w:r w:rsidRPr="00686CD4">
        <w:rPr>
          <w:bCs/>
          <w:lang w:val="fr-FR"/>
        </w:rPr>
        <w:t>Les dispositions de la Convention</w:t>
      </w:r>
      <w:r w:rsidR="00495D0F">
        <w:rPr>
          <w:bCs/>
          <w:lang w:val="fr-FR"/>
        </w:rPr>
        <w:t> ;</w:t>
      </w:r>
      <w:bookmarkStart w:id="39" w:name="_Toc532494642"/>
      <w:bookmarkEnd w:id="39"/>
    </w:p>
    <w:p w:rsidR="002A7A34" w:rsidRPr="00686CD4" w:rsidRDefault="002A7A34" w:rsidP="00036CD2">
      <w:pPr>
        <w:pStyle w:val="H23G"/>
        <w:spacing w:before="200" w:after="100"/>
        <w:jc w:val="both"/>
        <w:rPr>
          <w:lang w:val="fr-FR"/>
        </w:rPr>
      </w:pPr>
      <w:r w:rsidRPr="00686CD4">
        <w:rPr>
          <w:lang w:val="fr-FR"/>
        </w:rPr>
        <w:tab/>
      </w:r>
      <w:r w:rsidRPr="00686CD4">
        <w:rPr>
          <w:lang w:val="fr-FR"/>
        </w:rPr>
        <w:tab/>
      </w:r>
      <w:r w:rsidRPr="00686CD4">
        <w:rPr>
          <w:lang w:val="fr-FR"/>
        </w:rPr>
        <w:tab/>
        <w:t>b)</w:t>
      </w:r>
      <w:r w:rsidRPr="00686CD4">
        <w:rPr>
          <w:lang w:val="fr-FR"/>
        </w:rPr>
        <w:tab/>
      </w:r>
      <w:r w:rsidRPr="00686CD4">
        <w:rPr>
          <w:bCs/>
          <w:lang w:val="fr-FR"/>
        </w:rPr>
        <w:t>Les directives données pour déceler les traces de torture et de mauvais traitements, conformément aux normes internationales, notamment celles figurant dans le Manuel pour enquêter efficacement sur les actes de torture et autres peines ou traitements cruels, inhumains ou dégradants (Protocole d</w:t>
      </w:r>
      <w:r>
        <w:rPr>
          <w:bCs/>
          <w:lang w:val="fr-FR"/>
        </w:rPr>
        <w:t>’</w:t>
      </w:r>
      <w:r w:rsidRPr="00686CD4">
        <w:rPr>
          <w:bCs/>
          <w:lang w:val="fr-FR"/>
        </w:rPr>
        <w:t>Istanbul)</w:t>
      </w:r>
      <w:r w:rsidR="00495D0F">
        <w:rPr>
          <w:bCs/>
          <w:lang w:val="fr-FR"/>
        </w:rPr>
        <w:t> ;</w:t>
      </w:r>
      <w:bookmarkStart w:id="40" w:name="_Toc532494643"/>
      <w:bookmarkEnd w:id="40"/>
    </w:p>
    <w:p w:rsidR="002A7A34" w:rsidRPr="00686CD4" w:rsidRDefault="002A7A34" w:rsidP="00036CD2">
      <w:pPr>
        <w:pStyle w:val="H23G"/>
        <w:spacing w:before="200" w:after="100"/>
        <w:jc w:val="both"/>
        <w:rPr>
          <w:lang w:val="fr-FR"/>
        </w:rPr>
      </w:pPr>
      <w:r w:rsidRPr="00686CD4">
        <w:rPr>
          <w:lang w:val="fr-FR"/>
        </w:rPr>
        <w:tab/>
      </w:r>
      <w:r w:rsidRPr="00686CD4">
        <w:rPr>
          <w:lang w:val="fr-FR"/>
        </w:rPr>
        <w:tab/>
      </w:r>
      <w:r w:rsidRPr="00686CD4">
        <w:rPr>
          <w:lang w:val="fr-FR"/>
        </w:rPr>
        <w:tab/>
        <w:t>c)</w:t>
      </w:r>
      <w:r w:rsidRPr="00686CD4">
        <w:rPr>
          <w:lang w:val="fr-FR"/>
        </w:rPr>
        <w:tab/>
      </w:r>
      <w:r w:rsidRPr="00686CD4">
        <w:rPr>
          <w:bCs/>
          <w:lang w:val="fr-FR"/>
        </w:rPr>
        <w:t>Les techniques d</w:t>
      </w:r>
      <w:r>
        <w:rPr>
          <w:bCs/>
          <w:lang w:val="fr-FR"/>
        </w:rPr>
        <w:t>’</w:t>
      </w:r>
      <w:r w:rsidRPr="00686CD4">
        <w:rPr>
          <w:bCs/>
          <w:lang w:val="fr-FR"/>
        </w:rPr>
        <w:t>enquête sans recours à la contrainte ni à des moyens de contention, et le principe de l</w:t>
      </w:r>
      <w:r>
        <w:rPr>
          <w:bCs/>
          <w:lang w:val="fr-FR"/>
        </w:rPr>
        <w:t>’</w:t>
      </w:r>
      <w:r w:rsidRPr="00686CD4">
        <w:rPr>
          <w:bCs/>
          <w:lang w:val="fr-FR"/>
        </w:rPr>
        <w:t>utilisation de la violence en dernier ressort</w:t>
      </w:r>
      <w:r w:rsidR="00495D0F">
        <w:rPr>
          <w:bCs/>
          <w:lang w:val="fr-FR"/>
        </w:rPr>
        <w:t> ;</w:t>
      </w:r>
      <w:bookmarkStart w:id="41" w:name="_Toc532494644"/>
      <w:bookmarkEnd w:id="41"/>
    </w:p>
    <w:p w:rsidR="002A7A34" w:rsidRPr="00686CD4" w:rsidRDefault="002A7A34" w:rsidP="00036CD2">
      <w:pPr>
        <w:pStyle w:val="H23G"/>
        <w:spacing w:before="200" w:after="100"/>
        <w:jc w:val="both"/>
        <w:rPr>
          <w:lang w:val="fr-FR"/>
        </w:rPr>
      </w:pPr>
      <w:r w:rsidRPr="00686CD4">
        <w:rPr>
          <w:lang w:val="fr-FR"/>
        </w:rPr>
        <w:tab/>
      </w:r>
      <w:r w:rsidRPr="00686CD4">
        <w:rPr>
          <w:lang w:val="fr-FR"/>
        </w:rPr>
        <w:tab/>
      </w:r>
      <w:r w:rsidRPr="00686CD4">
        <w:rPr>
          <w:lang w:val="fr-FR"/>
        </w:rPr>
        <w:tab/>
        <w:t>d)</w:t>
      </w:r>
      <w:r w:rsidRPr="00686CD4">
        <w:rPr>
          <w:lang w:val="fr-FR"/>
        </w:rPr>
        <w:tab/>
      </w:r>
      <w:r w:rsidRPr="00686CD4">
        <w:rPr>
          <w:bCs/>
          <w:lang w:val="fr-FR"/>
        </w:rPr>
        <w:t>Les questions relatives à la violence contre les femmes, la violence domestique, la violence contre les minorités ethniques ou nationales et la violence fondée sur l</w:t>
      </w:r>
      <w:r>
        <w:rPr>
          <w:bCs/>
          <w:lang w:val="fr-FR"/>
        </w:rPr>
        <w:t>’</w:t>
      </w:r>
      <w:r w:rsidRPr="00686CD4">
        <w:rPr>
          <w:bCs/>
          <w:lang w:val="fr-FR"/>
        </w:rPr>
        <w:t>orientation sexuelle ou le genre</w:t>
      </w:r>
      <w:r w:rsidR="00495D0F">
        <w:rPr>
          <w:bCs/>
          <w:lang w:val="fr-FR"/>
        </w:rPr>
        <w:t> ;</w:t>
      </w:r>
      <w:bookmarkStart w:id="42" w:name="_Toc532494645"/>
      <w:bookmarkEnd w:id="42"/>
    </w:p>
    <w:p w:rsidR="002A7A34" w:rsidRPr="00686CD4" w:rsidRDefault="002A7A34" w:rsidP="00036CD2">
      <w:pPr>
        <w:pStyle w:val="H23G"/>
        <w:spacing w:before="200" w:after="100"/>
        <w:jc w:val="both"/>
        <w:rPr>
          <w:lang w:val="fr-FR"/>
        </w:rPr>
      </w:pPr>
      <w:r w:rsidRPr="00686CD4">
        <w:rPr>
          <w:lang w:val="fr-FR"/>
        </w:rPr>
        <w:tab/>
      </w:r>
      <w:r w:rsidRPr="00686CD4">
        <w:rPr>
          <w:lang w:val="fr-FR"/>
        </w:rPr>
        <w:tab/>
      </w:r>
      <w:r w:rsidRPr="00686CD4">
        <w:rPr>
          <w:lang w:val="fr-FR"/>
        </w:rPr>
        <w:tab/>
        <w:t>e)</w:t>
      </w:r>
      <w:r w:rsidRPr="00686CD4">
        <w:rPr>
          <w:lang w:val="fr-FR"/>
        </w:rPr>
        <w:tab/>
      </w:r>
      <w:r w:rsidRPr="00686CD4">
        <w:rPr>
          <w:bCs/>
          <w:lang w:val="fr-FR"/>
        </w:rPr>
        <w:t>L</w:t>
      </w:r>
      <w:r>
        <w:rPr>
          <w:bCs/>
          <w:lang w:val="fr-FR"/>
        </w:rPr>
        <w:t>’</w:t>
      </w:r>
      <w:r w:rsidRPr="00686CD4">
        <w:rPr>
          <w:bCs/>
          <w:lang w:val="fr-FR"/>
        </w:rPr>
        <w:t>identification et l</w:t>
      </w:r>
      <w:r>
        <w:rPr>
          <w:bCs/>
          <w:lang w:val="fr-FR"/>
        </w:rPr>
        <w:t>’</w:t>
      </w:r>
      <w:r w:rsidRPr="00686CD4">
        <w:rPr>
          <w:bCs/>
          <w:lang w:val="fr-FR"/>
        </w:rPr>
        <w:t xml:space="preserve">orientation des </w:t>
      </w:r>
      <w:r>
        <w:rPr>
          <w:bCs/>
          <w:lang w:val="fr-FR"/>
        </w:rPr>
        <w:t>victimes de traite</w:t>
      </w:r>
      <w:r w:rsidRPr="00686CD4">
        <w:rPr>
          <w:bCs/>
          <w:lang w:val="fr-FR"/>
        </w:rPr>
        <w:t>, de torture et de violence sexuelle parmi les demandeurs d</w:t>
      </w:r>
      <w:r>
        <w:rPr>
          <w:bCs/>
          <w:lang w:val="fr-FR"/>
        </w:rPr>
        <w:t>’</w:t>
      </w:r>
      <w:r w:rsidRPr="00686CD4">
        <w:rPr>
          <w:bCs/>
          <w:lang w:val="fr-FR"/>
        </w:rPr>
        <w:t>asile.</w:t>
      </w:r>
      <w:bookmarkStart w:id="43" w:name="_Toc532494646"/>
      <w:bookmarkEnd w:id="43"/>
    </w:p>
    <w:p w:rsidR="002A7A34" w:rsidRPr="00686CD4" w:rsidRDefault="002A7A34" w:rsidP="00036CD2">
      <w:pPr>
        <w:pStyle w:val="SingleTxtG"/>
        <w:rPr>
          <w:lang w:val="fr-FR"/>
        </w:rPr>
      </w:pPr>
      <w:r w:rsidRPr="00686CD4">
        <w:rPr>
          <w:lang w:val="fr-FR"/>
        </w:rPr>
        <w:t>149.</w:t>
      </w:r>
      <w:r w:rsidRPr="00686CD4">
        <w:rPr>
          <w:lang w:val="fr-FR"/>
        </w:rPr>
        <w:tab/>
        <w:t>La formation actuellement assurée par l</w:t>
      </w:r>
      <w:r>
        <w:rPr>
          <w:lang w:val="fr-FR"/>
        </w:rPr>
        <w:t>’</w:t>
      </w:r>
      <w:r w:rsidRPr="00686CD4">
        <w:rPr>
          <w:lang w:val="fr-FR"/>
        </w:rPr>
        <w:t xml:space="preserve">École de police criminelle donne lieu à des colloques et à des conférences extérieures </w:t>
      </w:r>
      <w:r>
        <w:rPr>
          <w:lang w:val="fr-FR"/>
        </w:rPr>
        <w:t xml:space="preserve">traitant de </w:t>
      </w:r>
      <w:r w:rsidRPr="00686CD4">
        <w:rPr>
          <w:lang w:val="fr-FR"/>
        </w:rPr>
        <w:t>ces sujets, ainsi qu</w:t>
      </w:r>
      <w:r>
        <w:rPr>
          <w:lang w:val="fr-FR"/>
        </w:rPr>
        <w:t>’</w:t>
      </w:r>
      <w:r w:rsidRPr="00686CD4">
        <w:rPr>
          <w:lang w:val="fr-FR"/>
        </w:rPr>
        <w:t>à la mise en place de diverses méthodes de contrôle hiérarchisées.</w:t>
      </w:r>
    </w:p>
    <w:p w:rsidR="002A7A34" w:rsidRPr="00686CD4" w:rsidRDefault="002A7A34" w:rsidP="00036CD2">
      <w:pPr>
        <w:pStyle w:val="SingleTxtG"/>
        <w:rPr>
          <w:lang w:val="fr-FR"/>
        </w:rPr>
      </w:pPr>
      <w:r w:rsidRPr="00686CD4">
        <w:rPr>
          <w:lang w:val="fr-FR"/>
        </w:rPr>
        <w:t>150.</w:t>
      </w:r>
      <w:r w:rsidRPr="00686CD4">
        <w:rPr>
          <w:lang w:val="fr-FR"/>
        </w:rPr>
        <w:tab/>
      </w:r>
      <w:r>
        <w:rPr>
          <w:lang w:val="fr-FR"/>
        </w:rPr>
        <w:t>L’</w:t>
      </w:r>
      <w:r w:rsidRPr="00686CD4">
        <w:rPr>
          <w:lang w:val="fr-FR"/>
        </w:rPr>
        <w:t xml:space="preserve">efficacité </w:t>
      </w:r>
      <w:r>
        <w:rPr>
          <w:lang w:val="fr-FR"/>
        </w:rPr>
        <w:t xml:space="preserve">de la formation </w:t>
      </w:r>
      <w:r w:rsidRPr="00686CD4">
        <w:rPr>
          <w:lang w:val="fr-FR"/>
        </w:rPr>
        <w:t xml:space="preserve">est déterminée par </w:t>
      </w:r>
      <w:r>
        <w:rPr>
          <w:lang w:val="fr-FR"/>
        </w:rPr>
        <w:t>d</w:t>
      </w:r>
      <w:r w:rsidRPr="00686CD4">
        <w:rPr>
          <w:lang w:val="fr-FR"/>
        </w:rPr>
        <w:t>es policiers occupant des postes à responsabilité qui, à cet</w:t>
      </w:r>
      <w:r>
        <w:rPr>
          <w:lang w:val="fr-FR"/>
        </w:rPr>
        <w:t>te fin</w:t>
      </w:r>
      <w:r w:rsidRPr="00686CD4">
        <w:rPr>
          <w:lang w:val="fr-FR"/>
        </w:rPr>
        <w:t>, observe</w:t>
      </w:r>
      <w:r>
        <w:rPr>
          <w:lang w:val="fr-FR"/>
        </w:rPr>
        <w:t xml:space="preserve">nt et </w:t>
      </w:r>
      <w:r w:rsidRPr="00686CD4">
        <w:rPr>
          <w:lang w:val="fr-FR"/>
        </w:rPr>
        <w:t>évalue</w:t>
      </w:r>
      <w:r>
        <w:rPr>
          <w:lang w:val="fr-FR"/>
        </w:rPr>
        <w:t>nt</w:t>
      </w:r>
      <w:r w:rsidRPr="00686CD4">
        <w:rPr>
          <w:lang w:val="fr-FR"/>
        </w:rPr>
        <w:t xml:space="preserve"> la performance des stagiaires dans le cadre de</w:t>
      </w:r>
      <w:r>
        <w:rPr>
          <w:lang w:val="fr-FR"/>
        </w:rPr>
        <w:t>s</w:t>
      </w:r>
      <w:r w:rsidRPr="00686CD4">
        <w:rPr>
          <w:lang w:val="fr-FR"/>
        </w:rPr>
        <w:t xml:space="preserve"> enquêtes </w:t>
      </w:r>
      <w:r>
        <w:rPr>
          <w:lang w:val="fr-FR"/>
        </w:rPr>
        <w:t xml:space="preserve">auxquelles ils participent </w:t>
      </w:r>
      <w:r w:rsidRPr="00686CD4">
        <w:rPr>
          <w:lang w:val="fr-FR"/>
        </w:rPr>
        <w:t xml:space="preserve">avant et après </w:t>
      </w:r>
      <w:r>
        <w:rPr>
          <w:lang w:val="fr-FR"/>
        </w:rPr>
        <w:t xml:space="preserve">leur </w:t>
      </w:r>
      <w:r w:rsidRPr="00686CD4">
        <w:rPr>
          <w:lang w:val="fr-FR"/>
        </w:rPr>
        <w:t>formation.</w:t>
      </w:r>
    </w:p>
    <w:p w:rsidR="002A7A34" w:rsidRPr="00686CD4" w:rsidRDefault="002A7A34" w:rsidP="00036CD2">
      <w:pPr>
        <w:pStyle w:val="SingleTxtG"/>
        <w:rPr>
          <w:lang w:val="fr-FR"/>
        </w:rPr>
      </w:pPr>
      <w:r w:rsidRPr="00686CD4">
        <w:rPr>
          <w:lang w:val="fr-FR"/>
        </w:rPr>
        <w:t>151.</w:t>
      </w:r>
      <w:r w:rsidRPr="00686CD4">
        <w:rPr>
          <w:lang w:val="fr-FR"/>
        </w:rPr>
        <w:tab/>
        <w:t>À la demande de la Direction générale de la réinsertion et des services pénitentiaires,</w:t>
      </w:r>
      <w:r w:rsidR="00495D0F">
        <w:rPr>
          <w:lang w:val="fr-FR"/>
        </w:rPr>
        <w:t xml:space="preserve"> </w:t>
      </w:r>
      <w:r w:rsidRPr="00686CD4">
        <w:rPr>
          <w:lang w:val="fr-FR"/>
        </w:rPr>
        <w:t>l</w:t>
      </w:r>
      <w:r>
        <w:rPr>
          <w:lang w:val="fr-FR"/>
        </w:rPr>
        <w:t>’</w:t>
      </w:r>
      <w:r w:rsidRPr="00686CD4">
        <w:rPr>
          <w:lang w:val="fr-FR"/>
        </w:rPr>
        <w:t>Institut national de médecine légale et de sciences médico-légales (INMLCF) a établi un programme de formation destiné aux professionnels de la santé en milieu pénitentiaire, pour leur permettre de détecter d</w:t>
      </w:r>
      <w:r>
        <w:rPr>
          <w:lang w:val="fr-FR"/>
        </w:rPr>
        <w:t>’</w:t>
      </w:r>
      <w:r w:rsidRPr="00686CD4">
        <w:rPr>
          <w:lang w:val="fr-FR"/>
        </w:rPr>
        <w:t xml:space="preserve">éventuels cas de torture </w:t>
      </w:r>
      <w:r>
        <w:rPr>
          <w:lang w:val="fr-FR"/>
        </w:rPr>
        <w:t xml:space="preserve">ou </w:t>
      </w:r>
      <w:r w:rsidRPr="00686CD4">
        <w:rPr>
          <w:lang w:val="fr-FR"/>
        </w:rPr>
        <w:t>de mauvais traitements dans la p</w:t>
      </w:r>
      <w:r>
        <w:rPr>
          <w:lang w:val="fr-FR"/>
        </w:rPr>
        <w:t xml:space="preserve">opulation </w:t>
      </w:r>
      <w:r w:rsidRPr="00686CD4">
        <w:rPr>
          <w:lang w:val="fr-FR"/>
        </w:rPr>
        <w:t xml:space="preserve">carcérale </w:t>
      </w:r>
      <w:r>
        <w:rPr>
          <w:lang w:val="fr-FR"/>
        </w:rPr>
        <w:t>du Portugal, sur la base d</w:t>
      </w:r>
      <w:r w:rsidRPr="00686CD4">
        <w:rPr>
          <w:lang w:val="fr-FR"/>
        </w:rPr>
        <w:t>es critères du Protocole d</w:t>
      </w:r>
      <w:r>
        <w:rPr>
          <w:lang w:val="fr-FR"/>
        </w:rPr>
        <w:t>’</w:t>
      </w:r>
      <w:r w:rsidRPr="00686CD4">
        <w:rPr>
          <w:lang w:val="fr-FR"/>
        </w:rPr>
        <w:t>Istanbul</w:t>
      </w:r>
      <w:r>
        <w:rPr>
          <w:lang w:val="fr-FR"/>
        </w:rPr>
        <w:t>.</w:t>
      </w:r>
      <w:r w:rsidRPr="00686CD4">
        <w:rPr>
          <w:lang w:val="fr-FR"/>
        </w:rPr>
        <w:t xml:space="preserve"> Le programme a été approuvé </w:t>
      </w:r>
      <w:r>
        <w:rPr>
          <w:lang w:val="fr-FR"/>
        </w:rPr>
        <w:t xml:space="preserve">par </w:t>
      </w:r>
      <w:r w:rsidRPr="00686CD4">
        <w:rPr>
          <w:lang w:val="fr-FR"/>
        </w:rPr>
        <w:t xml:space="preserve">la Direction générale de la réinsertion et des services pénitentiaires </w:t>
      </w:r>
      <w:r>
        <w:rPr>
          <w:lang w:val="fr-FR"/>
        </w:rPr>
        <w:t xml:space="preserve">ainsi que </w:t>
      </w:r>
      <w:r w:rsidRPr="00686CD4">
        <w:rPr>
          <w:lang w:val="fr-FR"/>
        </w:rPr>
        <w:t>par l</w:t>
      </w:r>
      <w:r>
        <w:rPr>
          <w:lang w:val="fr-FR"/>
        </w:rPr>
        <w:t>’</w:t>
      </w:r>
      <w:r w:rsidRPr="00686CD4">
        <w:rPr>
          <w:lang w:val="fr-FR"/>
        </w:rPr>
        <w:t>Institut national de médecine légale et de sciences médico</w:t>
      </w:r>
      <w:r>
        <w:rPr>
          <w:lang w:val="fr-FR"/>
        </w:rPr>
        <w:t>-</w:t>
      </w:r>
      <w:r w:rsidRPr="00686CD4">
        <w:rPr>
          <w:lang w:val="fr-FR"/>
        </w:rPr>
        <w:t>légales</w:t>
      </w:r>
      <w:r>
        <w:rPr>
          <w:lang w:val="fr-FR"/>
        </w:rPr>
        <w:t xml:space="preserve">. La première session a eu lieu </w:t>
      </w:r>
      <w:r w:rsidRPr="00686CD4">
        <w:rPr>
          <w:lang w:val="fr-FR"/>
        </w:rPr>
        <w:t>le 14</w:t>
      </w:r>
      <w:r>
        <w:rPr>
          <w:lang w:val="fr-FR"/>
        </w:rPr>
        <w:t> </w:t>
      </w:r>
      <w:r w:rsidRPr="00686CD4">
        <w:rPr>
          <w:lang w:val="fr-FR"/>
        </w:rPr>
        <w:t>mars et d</w:t>
      </w:r>
      <w:r>
        <w:rPr>
          <w:lang w:val="fr-FR"/>
        </w:rPr>
        <w:t>’</w:t>
      </w:r>
      <w:r w:rsidRPr="00686CD4">
        <w:rPr>
          <w:lang w:val="fr-FR"/>
        </w:rPr>
        <w:t>autres sont déjà prévues</w:t>
      </w:r>
      <w:r w:rsidR="00AF27B8">
        <w:rPr>
          <w:lang w:val="fr-FR"/>
        </w:rPr>
        <w:t>.</w:t>
      </w:r>
    </w:p>
    <w:p w:rsidR="002A7A34" w:rsidRPr="00686CD4" w:rsidRDefault="002A7A34" w:rsidP="00036CD2">
      <w:pPr>
        <w:pStyle w:val="SingleTxtG"/>
        <w:rPr>
          <w:lang w:val="fr-FR"/>
        </w:rPr>
      </w:pPr>
      <w:r w:rsidRPr="00686CD4">
        <w:rPr>
          <w:lang w:val="fr-FR"/>
        </w:rPr>
        <w:t>152.</w:t>
      </w:r>
      <w:r w:rsidRPr="00686CD4">
        <w:rPr>
          <w:lang w:val="fr-FR"/>
        </w:rPr>
        <w:tab/>
        <w:t xml:space="preserve">Le personnel clinique de la </w:t>
      </w:r>
      <w:r>
        <w:rPr>
          <w:lang w:val="fr-FR"/>
        </w:rPr>
        <w:t>D</w:t>
      </w:r>
      <w:r w:rsidRPr="00686CD4">
        <w:rPr>
          <w:lang w:val="fr-FR"/>
        </w:rPr>
        <w:t xml:space="preserve">irection générale de la réinsertion et des services pénitentiaires </w:t>
      </w:r>
      <w:r>
        <w:rPr>
          <w:lang w:val="fr-FR"/>
        </w:rPr>
        <w:t xml:space="preserve">a compétence pour </w:t>
      </w:r>
      <w:r w:rsidRPr="00686CD4">
        <w:rPr>
          <w:lang w:val="fr-FR"/>
        </w:rPr>
        <w:t>identifier et immédiatement signaler par écrit les signes de torture et de mauvais traitements de détenus (</w:t>
      </w:r>
      <w:r>
        <w:rPr>
          <w:lang w:val="fr-FR"/>
        </w:rPr>
        <w:t>a</w:t>
      </w:r>
      <w:r w:rsidRPr="00686CD4">
        <w:rPr>
          <w:lang w:val="fr-FR"/>
        </w:rPr>
        <w:t>rt</w:t>
      </w:r>
      <w:r w:rsidR="009457ED">
        <w:rPr>
          <w:lang w:val="fr-FR"/>
        </w:rPr>
        <w:t>.</w:t>
      </w:r>
      <w:r>
        <w:rPr>
          <w:lang w:val="fr-FR"/>
        </w:rPr>
        <w:t> </w:t>
      </w:r>
      <w:r w:rsidRPr="00686CD4">
        <w:rPr>
          <w:lang w:val="fr-FR"/>
        </w:rPr>
        <w:t>37, par. 2</w:t>
      </w:r>
      <w:r w:rsidR="009457ED">
        <w:rPr>
          <w:lang w:val="fr-FR"/>
        </w:rPr>
        <w:t> </w:t>
      </w:r>
      <w:r w:rsidRPr="00686CD4">
        <w:rPr>
          <w:lang w:val="fr-FR"/>
        </w:rPr>
        <w:t>d</w:t>
      </w:r>
      <w:r>
        <w:rPr>
          <w:lang w:val="fr-FR"/>
        </w:rPr>
        <w:t>)</w:t>
      </w:r>
      <w:r w:rsidR="009457ED">
        <w:rPr>
          <w:lang w:val="fr-FR"/>
        </w:rPr>
        <w:t>,</w:t>
      </w:r>
      <w:r w:rsidRPr="00686CD4">
        <w:rPr>
          <w:lang w:val="fr-FR"/>
        </w:rPr>
        <w:t xml:space="preserve"> du Code d</w:t>
      </w:r>
      <w:r>
        <w:rPr>
          <w:lang w:val="fr-FR"/>
        </w:rPr>
        <w:t>’</w:t>
      </w:r>
      <w:r w:rsidRPr="00686CD4">
        <w:rPr>
          <w:lang w:val="fr-FR"/>
        </w:rPr>
        <w:t xml:space="preserve">exécution des peines et </w:t>
      </w:r>
      <w:r>
        <w:rPr>
          <w:lang w:val="fr-FR"/>
        </w:rPr>
        <w:t>d</w:t>
      </w:r>
      <w:r w:rsidRPr="00686CD4">
        <w:rPr>
          <w:lang w:val="fr-FR"/>
        </w:rPr>
        <w:t>es mesures privatives de liberté)</w:t>
      </w:r>
      <w:r w:rsidR="009457ED">
        <w:rPr>
          <w:lang w:val="fr-FR"/>
        </w:rPr>
        <w:t>.</w:t>
      </w:r>
    </w:p>
    <w:p w:rsidR="002A7A34" w:rsidRPr="00686CD4" w:rsidRDefault="002A7A34" w:rsidP="00870293">
      <w:pPr>
        <w:pStyle w:val="SingleTxtG"/>
        <w:rPr>
          <w:lang w:val="fr-FR"/>
        </w:rPr>
      </w:pPr>
      <w:r w:rsidRPr="00686CD4">
        <w:rPr>
          <w:lang w:val="fr-FR"/>
        </w:rPr>
        <w:lastRenderedPageBreak/>
        <w:t>153.</w:t>
      </w:r>
      <w:r w:rsidRPr="00686CD4">
        <w:rPr>
          <w:lang w:val="fr-FR"/>
        </w:rPr>
        <w:tab/>
        <w:t>Le règlement relatif à l</w:t>
      </w:r>
      <w:r>
        <w:rPr>
          <w:lang w:val="fr-FR"/>
        </w:rPr>
        <w:t>’</w:t>
      </w:r>
      <w:r w:rsidRPr="00686CD4">
        <w:rPr>
          <w:lang w:val="fr-FR"/>
        </w:rPr>
        <w:t xml:space="preserve">utilisation de moyens de </w:t>
      </w:r>
      <w:r>
        <w:rPr>
          <w:lang w:val="fr-FR"/>
        </w:rPr>
        <w:t>contrainte</w:t>
      </w:r>
      <w:r w:rsidRPr="00686CD4">
        <w:rPr>
          <w:lang w:val="fr-FR"/>
        </w:rPr>
        <w:t xml:space="preserve"> dans les établissements pénitentiaires dispose qu</w:t>
      </w:r>
      <w:r>
        <w:rPr>
          <w:lang w:val="fr-FR"/>
        </w:rPr>
        <w:t>’</w:t>
      </w:r>
      <w:r w:rsidRPr="00686CD4">
        <w:rPr>
          <w:lang w:val="fr-FR"/>
        </w:rPr>
        <w:t xml:space="preserve">un détenu </w:t>
      </w:r>
      <w:r>
        <w:rPr>
          <w:lang w:val="fr-FR"/>
        </w:rPr>
        <w:t xml:space="preserve">auquel des </w:t>
      </w:r>
      <w:r w:rsidRPr="00686CD4">
        <w:rPr>
          <w:lang w:val="fr-FR"/>
        </w:rPr>
        <w:t>moyens de co</w:t>
      </w:r>
      <w:r>
        <w:rPr>
          <w:lang w:val="fr-FR"/>
        </w:rPr>
        <w:t>ntrainte</w:t>
      </w:r>
      <w:r w:rsidRPr="00686CD4">
        <w:rPr>
          <w:lang w:val="fr-FR"/>
        </w:rPr>
        <w:t xml:space="preserve"> </w:t>
      </w:r>
      <w:r>
        <w:rPr>
          <w:lang w:val="fr-FR"/>
        </w:rPr>
        <w:t xml:space="preserve">sont appliqués </w:t>
      </w:r>
      <w:r w:rsidRPr="00686CD4">
        <w:rPr>
          <w:lang w:val="fr-FR"/>
        </w:rPr>
        <w:t xml:space="preserve">doit immédiatement </w:t>
      </w:r>
      <w:r>
        <w:rPr>
          <w:lang w:val="fr-FR"/>
        </w:rPr>
        <w:t xml:space="preserve">bénéficier de l’assistance d’un </w:t>
      </w:r>
      <w:r w:rsidRPr="00686CD4">
        <w:rPr>
          <w:lang w:val="fr-FR"/>
        </w:rPr>
        <w:t>médecin et que tout signe de mauvais traitement doit systématiquement motiver une enquête du Service d</w:t>
      </w:r>
      <w:r>
        <w:rPr>
          <w:lang w:val="fr-FR"/>
        </w:rPr>
        <w:t>’a</w:t>
      </w:r>
      <w:r w:rsidRPr="00686CD4">
        <w:rPr>
          <w:lang w:val="fr-FR"/>
        </w:rPr>
        <w:t>udit et d</w:t>
      </w:r>
      <w:r>
        <w:rPr>
          <w:lang w:val="fr-FR"/>
        </w:rPr>
        <w:t>’</w:t>
      </w:r>
      <w:r w:rsidRPr="00686CD4">
        <w:rPr>
          <w:lang w:val="fr-FR"/>
        </w:rPr>
        <w:t xml:space="preserve">inspection et du </w:t>
      </w:r>
      <w:r>
        <w:rPr>
          <w:lang w:val="fr-FR"/>
        </w:rPr>
        <w:t>ministère public</w:t>
      </w:r>
      <w:r w:rsidRPr="00686CD4">
        <w:rPr>
          <w:lang w:val="fr-FR"/>
        </w:rPr>
        <w:t xml:space="preserve"> (</w:t>
      </w:r>
      <w:r>
        <w:rPr>
          <w:lang w:val="fr-FR"/>
        </w:rPr>
        <w:t>a</w:t>
      </w:r>
      <w:r w:rsidRPr="00686CD4">
        <w:rPr>
          <w:lang w:val="fr-FR"/>
        </w:rPr>
        <w:t>rt</w:t>
      </w:r>
      <w:r w:rsidR="00603D68">
        <w:rPr>
          <w:lang w:val="fr-FR"/>
        </w:rPr>
        <w:t>.</w:t>
      </w:r>
      <w:r>
        <w:rPr>
          <w:lang w:val="fr-FR"/>
        </w:rPr>
        <w:t> </w:t>
      </w:r>
      <w:r w:rsidRPr="00686CD4">
        <w:rPr>
          <w:lang w:val="fr-FR"/>
        </w:rPr>
        <w:t>5)</w:t>
      </w:r>
      <w:r w:rsidR="00603D68">
        <w:rPr>
          <w:lang w:val="fr-FR"/>
        </w:rPr>
        <w:t>.</w:t>
      </w:r>
    </w:p>
    <w:p w:rsidR="002A7A34" w:rsidRPr="00686CD4" w:rsidRDefault="002A7A34" w:rsidP="00870293">
      <w:pPr>
        <w:pStyle w:val="SingleTxtG"/>
        <w:rPr>
          <w:lang w:val="fr-FR"/>
        </w:rPr>
      </w:pPr>
      <w:r w:rsidRPr="00686CD4">
        <w:rPr>
          <w:lang w:val="fr-FR"/>
        </w:rPr>
        <w:t>154.</w:t>
      </w:r>
      <w:r w:rsidRPr="00686CD4">
        <w:rPr>
          <w:lang w:val="fr-FR"/>
        </w:rPr>
        <w:tab/>
        <w:t>Les conditions à remplir aux fins de l</w:t>
      </w:r>
      <w:r>
        <w:rPr>
          <w:lang w:val="fr-FR"/>
        </w:rPr>
        <w:t>’</w:t>
      </w:r>
      <w:r w:rsidRPr="00686CD4">
        <w:rPr>
          <w:lang w:val="fr-FR"/>
        </w:rPr>
        <w:t>évaluation d</w:t>
      </w:r>
      <w:r>
        <w:rPr>
          <w:lang w:val="fr-FR"/>
        </w:rPr>
        <w:t>’</w:t>
      </w:r>
      <w:r w:rsidRPr="00686CD4">
        <w:rPr>
          <w:lang w:val="fr-FR"/>
        </w:rPr>
        <w:t xml:space="preserve">un détenu sont énoncées dans le </w:t>
      </w:r>
      <w:r>
        <w:rPr>
          <w:lang w:val="fr-FR"/>
        </w:rPr>
        <w:t>M</w:t>
      </w:r>
      <w:r w:rsidRPr="00686CD4">
        <w:rPr>
          <w:lang w:val="fr-FR"/>
        </w:rPr>
        <w:t>anuel de procédure pour la fourniture de soins de santé de</w:t>
      </w:r>
      <w:r w:rsidR="00870293">
        <w:rPr>
          <w:lang w:val="fr-FR"/>
        </w:rPr>
        <w:t xml:space="preserve"> </w:t>
      </w:r>
      <w:r>
        <w:rPr>
          <w:lang w:val="fr-FR"/>
        </w:rPr>
        <w:t>2</w:t>
      </w:r>
      <w:r w:rsidRPr="00686CD4">
        <w:rPr>
          <w:lang w:val="fr-FR"/>
        </w:rPr>
        <w:t>009 (en cours d</w:t>
      </w:r>
      <w:r>
        <w:rPr>
          <w:lang w:val="fr-FR"/>
        </w:rPr>
        <w:t>e révision</w:t>
      </w:r>
      <w:r w:rsidRPr="00686CD4">
        <w:rPr>
          <w:lang w:val="fr-FR"/>
        </w:rPr>
        <w:t xml:space="preserve">) et dans le </w:t>
      </w:r>
      <w:r>
        <w:rPr>
          <w:lang w:val="fr-FR"/>
        </w:rPr>
        <w:t>C</w:t>
      </w:r>
      <w:r w:rsidRPr="00686CD4">
        <w:rPr>
          <w:lang w:val="fr-FR"/>
        </w:rPr>
        <w:t>ode d</w:t>
      </w:r>
      <w:r>
        <w:rPr>
          <w:lang w:val="fr-FR"/>
        </w:rPr>
        <w:t>’</w:t>
      </w:r>
      <w:r w:rsidRPr="00686CD4">
        <w:rPr>
          <w:lang w:val="fr-FR"/>
        </w:rPr>
        <w:t>exécution des peines et des mesures privatives de liberté</w:t>
      </w:r>
      <w:r w:rsidR="00603D68">
        <w:rPr>
          <w:lang w:val="fr-FR"/>
        </w:rPr>
        <w:t>.</w:t>
      </w:r>
    </w:p>
    <w:p w:rsidR="002A7A34" w:rsidRPr="00686CD4" w:rsidRDefault="002A7A34" w:rsidP="00870293">
      <w:pPr>
        <w:pStyle w:val="SingleTxtG"/>
        <w:rPr>
          <w:lang w:val="fr-FR"/>
        </w:rPr>
      </w:pPr>
      <w:r w:rsidRPr="00686CD4">
        <w:rPr>
          <w:lang w:val="fr-FR"/>
        </w:rPr>
        <w:t>155.</w:t>
      </w:r>
      <w:r w:rsidRPr="00686CD4">
        <w:rPr>
          <w:lang w:val="fr-FR"/>
        </w:rPr>
        <w:tab/>
        <w:t>En pratique, l</w:t>
      </w:r>
      <w:r>
        <w:rPr>
          <w:lang w:val="fr-FR"/>
        </w:rPr>
        <w:t>’</w:t>
      </w:r>
      <w:r w:rsidRPr="00686CD4">
        <w:rPr>
          <w:lang w:val="fr-FR"/>
        </w:rPr>
        <w:t>arrivée d</w:t>
      </w:r>
      <w:r>
        <w:rPr>
          <w:lang w:val="fr-FR"/>
        </w:rPr>
        <w:t>’</w:t>
      </w:r>
      <w:r w:rsidRPr="00686CD4">
        <w:rPr>
          <w:lang w:val="fr-FR"/>
        </w:rPr>
        <w:t>un détenu est signalée à l</w:t>
      </w:r>
      <w:r>
        <w:rPr>
          <w:lang w:val="fr-FR"/>
        </w:rPr>
        <w:t>’</w:t>
      </w:r>
      <w:r w:rsidRPr="00686CD4">
        <w:rPr>
          <w:lang w:val="fr-FR"/>
        </w:rPr>
        <w:t xml:space="preserve">infirmerie qui reçoit aussi un exemplaire du dossier sanitaire dudit détenu. Ce dernier est examiné par le service médical de la prison dans les </w:t>
      </w:r>
      <w:r w:rsidR="00603D68">
        <w:rPr>
          <w:lang w:val="fr-FR"/>
        </w:rPr>
        <w:t xml:space="preserve">vingt-quatre </w:t>
      </w:r>
      <w:r w:rsidRPr="00686CD4">
        <w:rPr>
          <w:lang w:val="fr-FR"/>
        </w:rPr>
        <w:t>heures suiv</w:t>
      </w:r>
      <w:r>
        <w:rPr>
          <w:lang w:val="fr-FR"/>
        </w:rPr>
        <w:t>a</w:t>
      </w:r>
      <w:r w:rsidRPr="00686CD4">
        <w:rPr>
          <w:lang w:val="fr-FR"/>
        </w:rPr>
        <w:t xml:space="preserve">nt son arrivée. </w:t>
      </w:r>
      <w:r>
        <w:rPr>
          <w:lang w:val="fr-FR"/>
        </w:rPr>
        <w:t xml:space="preserve">Tout </w:t>
      </w:r>
      <w:r w:rsidRPr="00686CD4">
        <w:rPr>
          <w:lang w:val="fr-FR"/>
        </w:rPr>
        <w:t xml:space="preserve">détenu devant être immédiatement </w:t>
      </w:r>
      <w:r>
        <w:rPr>
          <w:lang w:val="fr-FR"/>
        </w:rPr>
        <w:t xml:space="preserve">placé </w:t>
      </w:r>
      <w:r w:rsidRPr="00686CD4">
        <w:rPr>
          <w:lang w:val="fr-FR"/>
        </w:rPr>
        <w:t xml:space="preserve">en observation médicale est </w:t>
      </w:r>
      <w:r>
        <w:rPr>
          <w:lang w:val="fr-FR"/>
        </w:rPr>
        <w:t xml:space="preserve">examiné </w:t>
      </w:r>
      <w:r w:rsidRPr="00686CD4">
        <w:rPr>
          <w:lang w:val="fr-FR"/>
        </w:rPr>
        <w:t xml:space="preserve">par le </w:t>
      </w:r>
      <w:r>
        <w:rPr>
          <w:lang w:val="fr-FR"/>
        </w:rPr>
        <w:t>médecin</w:t>
      </w:r>
      <w:r w:rsidRPr="00686CD4">
        <w:rPr>
          <w:lang w:val="fr-FR"/>
        </w:rPr>
        <w:t xml:space="preserve"> de la prison. Les procédures d</w:t>
      </w:r>
      <w:r>
        <w:rPr>
          <w:lang w:val="fr-FR"/>
        </w:rPr>
        <w:t>’</w:t>
      </w:r>
      <w:r w:rsidRPr="00686CD4">
        <w:rPr>
          <w:lang w:val="fr-FR"/>
        </w:rPr>
        <w:t xml:space="preserve">urgence sont lancées si nécessaire et </w:t>
      </w:r>
      <w:r>
        <w:rPr>
          <w:lang w:val="fr-FR"/>
        </w:rPr>
        <w:t xml:space="preserve">le détenu </w:t>
      </w:r>
      <w:r w:rsidRPr="00686CD4">
        <w:rPr>
          <w:lang w:val="fr-FR"/>
        </w:rPr>
        <w:t xml:space="preserve">a </w:t>
      </w:r>
      <w:r>
        <w:rPr>
          <w:lang w:val="fr-FR"/>
        </w:rPr>
        <w:t xml:space="preserve">alors </w:t>
      </w:r>
      <w:r w:rsidRPr="00686CD4">
        <w:rPr>
          <w:lang w:val="fr-FR"/>
        </w:rPr>
        <w:t>accès à tous les soins de santé requis dans les mêmes conditions que le reste de la population (</w:t>
      </w:r>
      <w:r>
        <w:rPr>
          <w:lang w:val="fr-FR"/>
        </w:rPr>
        <w:t>a</w:t>
      </w:r>
      <w:r w:rsidRPr="00686CD4">
        <w:rPr>
          <w:lang w:val="fr-FR"/>
        </w:rPr>
        <w:t>rt</w:t>
      </w:r>
      <w:r w:rsidR="00BE18DC">
        <w:rPr>
          <w:lang w:val="fr-FR"/>
        </w:rPr>
        <w:t>.</w:t>
      </w:r>
      <w:r>
        <w:rPr>
          <w:lang w:val="fr-FR"/>
        </w:rPr>
        <w:t> </w:t>
      </w:r>
      <w:r w:rsidRPr="00686CD4">
        <w:rPr>
          <w:lang w:val="fr-FR"/>
        </w:rPr>
        <w:t>32, par</w:t>
      </w:r>
      <w:r w:rsidR="00BE18DC">
        <w:rPr>
          <w:lang w:val="fr-FR"/>
        </w:rPr>
        <w:t>.</w:t>
      </w:r>
      <w:r w:rsidRPr="00686CD4">
        <w:rPr>
          <w:lang w:val="fr-FR"/>
        </w:rPr>
        <w:t> 1</w:t>
      </w:r>
      <w:r w:rsidR="00BE18DC">
        <w:rPr>
          <w:lang w:val="fr-FR"/>
        </w:rPr>
        <w:t>,</w:t>
      </w:r>
      <w:r w:rsidRPr="00686CD4">
        <w:rPr>
          <w:lang w:val="fr-FR"/>
        </w:rPr>
        <w:t xml:space="preserve"> du </w:t>
      </w:r>
      <w:r>
        <w:rPr>
          <w:lang w:val="fr-FR"/>
        </w:rPr>
        <w:t>C</w:t>
      </w:r>
      <w:r w:rsidRPr="00686CD4">
        <w:rPr>
          <w:lang w:val="fr-FR"/>
        </w:rPr>
        <w:t>ode d</w:t>
      </w:r>
      <w:r>
        <w:rPr>
          <w:lang w:val="fr-FR"/>
        </w:rPr>
        <w:t>’</w:t>
      </w:r>
      <w:r w:rsidRPr="00686CD4">
        <w:rPr>
          <w:lang w:val="fr-FR"/>
        </w:rPr>
        <w:t>exécution des peines et des mesures privatives de liberté)</w:t>
      </w:r>
      <w:r>
        <w:rPr>
          <w:lang w:val="fr-FR"/>
        </w:rPr>
        <w:t>.</w:t>
      </w:r>
    </w:p>
    <w:p w:rsidR="002A7A34" w:rsidRPr="00686CD4" w:rsidRDefault="002A7A34" w:rsidP="00870293">
      <w:pPr>
        <w:pStyle w:val="SingleTxtG"/>
        <w:rPr>
          <w:lang w:val="fr-FR"/>
        </w:rPr>
      </w:pPr>
      <w:r w:rsidRPr="00686CD4">
        <w:rPr>
          <w:lang w:val="fr-FR"/>
        </w:rPr>
        <w:t>156.</w:t>
      </w:r>
      <w:r w:rsidRPr="00686CD4">
        <w:rPr>
          <w:lang w:val="fr-FR"/>
        </w:rPr>
        <w:tab/>
        <w:t xml:space="preserve">Une consultation médicale a lieu dans les </w:t>
      </w:r>
      <w:r w:rsidR="00BE18DC">
        <w:rPr>
          <w:lang w:val="fr-FR"/>
        </w:rPr>
        <w:t xml:space="preserve">soixante-douze </w:t>
      </w:r>
      <w:r w:rsidRPr="00686CD4">
        <w:rPr>
          <w:lang w:val="fr-FR"/>
        </w:rPr>
        <w:t>heures suivant l</w:t>
      </w:r>
      <w:r>
        <w:rPr>
          <w:lang w:val="fr-FR"/>
        </w:rPr>
        <w:t>’</w:t>
      </w:r>
      <w:r w:rsidRPr="00686CD4">
        <w:rPr>
          <w:lang w:val="fr-FR"/>
        </w:rPr>
        <w:t>arrivée d</w:t>
      </w:r>
      <w:r>
        <w:rPr>
          <w:lang w:val="fr-FR"/>
        </w:rPr>
        <w:t>’</w:t>
      </w:r>
      <w:r w:rsidRPr="00686CD4">
        <w:rPr>
          <w:lang w:val="fr-FR"/>
        </w:rPr>
        <w:t>un détenu dans la prison, sauf en cas d</w:t>
      </w:r>
      <w:r>
        <w:rPr>
          <w:lang w:val="fr-FR"/>
        </w:rPr>
        <w:t>’</w:t>
      </w:r>
      <w:r w:rsidRPr="00686CD4">
        <w:rPr>
          <w:lang w:val="fr-FR"/>
        </w:rPr>
        <w:t>urgence.</w:t>
      </w:r>
    </w:p>
    <w:p w:rsidR="002A7A34" w:rsidRPr="00686CD4" w:rsidRDefault="002A7A34" w:rsidP="00870293">
      <w:pPr>
        <w:pStyle w:val="SingleTxtG"/>
        <w:rPr>
          <w:lang w:val="fr-FR"/>
        </w:rPr>
      </w:pPr>
      <w:r w:rsidRPr="00686CD4">
        <w:rPr>
          <w:lang w:val="fr-FR"/>
        </w:rPr>
        <w:t>157.</w:t>
      </w:r>
      <w:r w:rsidRPr="00686CD4">
        <w:rPr>
          <w:lang w:val="fr-FR"/>
        </w:rPr>
        <w:tab/>
        <w:t xml:space="preserve">Les autorités portugaises </w:t>
      </w:r>
      <w:r>
        <w:rPr>
          <w:lang w:val="fr-FR"/>
        </w:rPr>
        <w:t>veillent avec</w:t>
      </w:r>
      <w:r w:rsidRPr="00686CD4">
        <w:rPr>
          <w:lang w:val="fr-FR"/>
        </w:rPr>
        <w:t xml:space="preserve"> une attention particulière à </w:t>
      </w:r>
      <w:r>
        <w:rPr>
          <w:lang w:val="fr-FR"/>
        </w:rPr>
        <w:t>ce qu’il y ait</w:t>
      </w:r>
      <w:r w:rsidRPr="00686CD4">
        <w:rPr>
          <w:lang w:val="fr-FR"/>
        </w:rPr>
        <w:t xml:space="preserve"> de bonnes relations entre les détenus et le personnel des prisons, et le </w:t>
      </w:r>
      <w:r>
        <w:rPr>
          <w:lang w:val="fr-FR"/>
        </w:rPr>
        <w:t>M</w:t>
      </w:r>
      <w:r w:rsidRPr="00686CD4">
        <w:rPr>
          <w:lang w:val="fr-FR"/>
        </w:rPr>
        <w:t xml:space="preserve">inistère de la justice a adopté une politique de tolérance zéro </w:t>
      </w:r>
      <w:r>
        <w:rPr>
          <w:lang w:val="fr-FR"/>
        </w:rPr>
        <w:t>pour les</w:t>
      </w:r>
      <w:r w:rsidRPr="00686CD4">
        <w:rPr>
          <w:lang w:val="fr-FR"/>
        </w:rPr>
        <w:t xml:space="preserve"> comportements qui violent les droits de l</w:t>
      </w:r>
      <w:r>
        <w:rPr>
          <w:lang w:val="fr-FR"/>
        </w:rPr>
        <w:t>’</w:t>
      </w:r>
      <w:r w:rsidRPr="00686CD4">
        <w:rPr>
          <w:lang w:val="fr-FR"/>
        </w:rPr>
        <w:t xml:space="preserve">homme. Les formations des gardiens de prison couvrent systématiquement les </w:t>
      </w:r>
      <w:r>
        <w:rPr>
          <w:lang w:val="fr-FR"/>
        </w:rPr>
        <w:t>questions relatives à</w:t>
      </w:r>
      <w:r w:rsidRPr="00686CD4">
        <w:rPr>
          <w:lang w:val="fr-FR"/>
        </w:rPr>
        <w:t xml:space="preserve"> la protection des droits de l</w:t>
      </w:r>
      <w:r>
        <w:rPr>
          <w:lang w:val="fr-FR"/>
        </w:rPr>
        <w:t>’</w:t>
      </w:r>
      <w:r w:rsidRPr="00686CD4">
        <w:rPr>
          <w:lang w:val="fr-FR"/>
        </w:rPr>
        <w:t>homme, les techniques de communication et les communications interpersonnelles ainsi que l</w:t>
      </w:r>
      <w:r>
        <w:rPr>
          <w:lang w:val="fr-FR"/>
        </w:rPr>
        <w:t>’</w:t>
      </w:r>
      <w:r w:rsidRPr="00686CD4">
        <w:rPr>
          <w:lang w:val="fr-FR"/>
        </w:rPr>
        <w:t xml:space="preserve">utilisation de moyens de </w:t>
      </w:r>
      <w:r>
        <w:rPr>
          <w:lang w:val="fr-FR"/>
        </w:rPr>
        <w:t>contrainte</w:t>
      </w:r>
      <w:r w:rsidRPr="00686CD4">
        <w:rPr>
          <w:lang w:val="fr-FR"/>
        </w:rPr>
        <w:t xml:space="preserve"> (neutralisation et cont</w:t>
      </w:r>
      <w:r>
        <w:rPr>
          <w:lang w:val="fr-FR"/>
        </w:rPr>
        <w:t>ention</w:t>
      </w:r>
      <w:r w:rsidRPr="00686CD4">
        <w:rPr>
          <w:lang w:val="fr-FR"/>
        </w:rPr>
        <w:t>). De fait, tout recours à des moyens de co</w:t>
      </w:r>
      <w:r>
        <w:rPr>
          <w:lang w:val="fr-FR"/>
        </w:rPr>
        <w:t>ntention</w:t>
      </w:r>
      <w:r w:rsidRPr="00686CD4">
        <w:rPr>
          <w:lang w:val="fr-FR"/>
        </w:rPr>
        <w:t xml:space="preserve"> par un gardien de prison est obligatoirement signalé aux services centraux et </w:t>
      </w:r>
      <w:r>
        <w:rPr>
          <w:lang w:val="fr-FR"/>
        </w:rPr>
        <w:t>fait l’objet d’</w:t>
      </w:r>
      <w:r w:rsidRPr="00686CD4">
        <w:rPr>
          <w:lang w:val="fr-FR"/>
        </w:rPr>
        <w:t>un examen du service</w:t>
      </w:r>
      <w:r>
        <w:rPr>
          <w:lang w:val="fr-FR"/>
        </w:rPr>
        <w:t xml:space="preserve"> d’</w:t>
      </w:r>
      <w:r w:rsidRPr="00686CD4">
        <w:rPr>
          <w:lang w:val="fr-FR"/>
        </w:rPr>
        <w:t>inspection.</w:t>
      </w:r>
    </w:p>
    <w:p w:rsidR="002A7A34" w:rsidRPr="00686CD4" w:rsidRDefault="002A7A34" w:rsidP="00BE18DC">
      <w:pPr>
        <w:pStyle w:val="SingleTxtG"/>
        <w:rPr>
          <w:lang w:val="fr-FR"/>
        </w:rPr>
      </w:pPr>
      <w:r w:rsidRPr="00686CD4">
        <w:rPr>
          <w:lang w:val="fr-FR"/>
        </w:rPr>
        <w:t>158.</w:t>
      </w:r>
      <w:r w:rsidRPr="00686CD4">
        <w:rPr>
          <w:lang w:val="fr-FR"/>
        </w:rPr>
        <w:tab/>
        <w:t>Comme indiqué précédemment, le Centre d</w:t>
      </w:r>
      <w:r>
        <w:rPr>
          <w:lang w:val="fr-FR"/>
        </w:rPr>
        <w:t xml:space="preserve">es </w:t>
      </w:r>
      <w:r w:rsidRPr="00686CD4">
        <w:rPr>
          <w:lang w:val="fr-FR"/>
        </w:rPr>
        <w:t>études judiciaires assure des formations portant sur la violence familiale, la traite des êtres humains et les questions d</w:t>
      </w:r>
      <w:r>
        <w:rPr>
          <w:lang w:val="fr-FR"/>
        </w:rPr>
        <w:t>’</w:t>
      </w:r>
      <w:r w:rsidRPr="00686CD4">
        <w:rPr>
          <w:lang w:val="fr-FR"/>
        </w:rPr>
        <w:t>asile. Voir aussi les renseignements donnés dans la réponse au paragraphe</w:t>
      </w:r>
      <w:r>
        <w:rPr>
          <w:lang w:val="fr-FR"/>
        </w:rPr>
        <w:t> </w:t>
      </w:r>
      <w:r w:rsidRPr="00686CD4">
        <w:rPr>
          <w:lang w:val="fr-FR"/>
        </w:rPr>
        <w:t>4</w:t>
      </w:r>
      <w:r>
        <w:rPr>
          <w:lang w:val="fr-FR"/>
        </w:rPr>
        <w:t> </w:t>
      </w:r>
      <w:r w:rsidRPr="00686CD4">
        <w:rPr>
          <w:lang w:val="fr-FR"/>
        </w:rPr>
        <w:t>d).</w:t>
      </w:r>
    </w:p>
    <w:p w:rsidR="002A7A34" w:rsidRPr="00686CD4" w:rsidRDefault="002A7A34" w:rsidP="00BE18DC">
      <w:pPr>
        <w:pStyle w:val="SingleTxtG"/>
        <w:rPr>
          <w:lang w:val="fr-FR"/>
        </w:rPr>
      </w:pPr>
      <w:r w:rsidRPr="00686CD4">
        <w:rPr>
          <w:lang w:val="fr-FR"/>
        </w:rPr>
        <w:t>159.</w:t>
      </w:r>
      <w:r w:rsidRPr="00686CD4">
        <w:rPr>
          <w:lang w:val="fr-FR"/>
        </w:rPr>
        <w:tab/>
        <w:t xml:space="preserve">Les modules de droit pénal, de droit de la procédure pénale et de droit constitutionnel des cours de formation initiale et de perfectionnement </w:t>
      </w:r>
      <w:r>
        <w:rPr>
          <w:lang w:val="fr-FR"/>
        </w:rPr>
        <w:t xml:space="preserve">dispensés </w:t>
      </w:r>
      <w:r w:rsidRPr="00686CD4">
        <w:rPr>
          <w:lang w:val="fr-FR"/>
        </w:rPr>
        <w:t>par l</w:t>
      </w:r>
      <w:r>
        <w:rPr>
          <w:lang w:val="fr-FR"/>
        </w:rPr>
        <w:t>’</w:t>
      </w:r>
      <w:r w:rsidRPr="00686CD4">
        <w:rPr>
          <w:lang w:val="fr-FR"/>
        </w:rPr>
        <w:t xml:space="preserve">École de la </w:t>
      </w:r>
      <w:r>
        <w:rPr>
          <w:lang w:val="fr-FR"/>
        </w:rPr>
        <w:t>G</w:t>
      </w:r>
      <w:r w:rsidRPr="00686CD4">
        <w:rPr>
          <w:lang w:val="fr-FR"/>
        </w:rPr>
        <w:t>arde nationale républicaine couvre</w:t>
      </w:r>
      <w:r>
        <w:rPr>
          <w:lang w:val="fr-FR"/>
        </w:rPr>
        <w:t>nt</w:t>
      </w:r>
      <w:r w:rsidRPr="00686CD4">
        <w:rPr>
          <w:lang w:val="fr-FR"/>
        </w:rPr>
        <w:t xml:space="preserve"> également, mais non exclusivement, les thèmes des droits, libertés et garanties, du respect de la diversité, du recours à des moyens de co</w:t>
      </w:r>
      <w:r>
        <w:rPr>
          <w:lang w:val="fr-FR"/>
        </w:rPr>
        <w:t>ntrainte</w:t>
      </w:r>
      <w:r w:rsidRPr="00686CD4">
        <w:rPr>
          <w:lang w:val="fr-FR"/>
        </w:rPr>
        <w:t xml:space="preserve"> et </w:t>
      </w:r>
      <w:r>
        <w:rPr>
          <w:lang w:val="fr-FR"/>
        </w:rPr>
        <w:t>d</w:t>
      </w:r>
      <w:r w:rsidRPr="00686CD4">
        <w:rPr>
          <w:lang w:val="fr-FR"/>
        </w:rPr>
        <w:t>es droits des citoyens.</w:t>
      </w:r>
    </w:p>
    <w:p w:rsidR="002A7A34" w:rsidRPr="00686CD4" w:rsidRDefault="002A7A34" w:rsidP="00BE18DC">
      <w:pPr>
        <w:pStyle w:val="SingleTxtG"/>
        <w:rPr>
          <w:lang w:val="fr-FR"/>
        </w:rPr>
      </w:pPr>
      <w:r w:rsidRPr="00686CD4">
        <w:rPr>
          <w:lang w:val="fr-FR"/>
        </w:rPr>
        <w:t>160.</w:t>
      </w:r>
      <w:r w:rsidRPr="00686CD4">
        <w:rPr>
          <w:lang w:val="fr-FR"/>
        </w:rPr>
        <w:tab/>
        <w:t>Les cours de formation des agents de la Garde nationale républicaine dispensé</w:t>
      </w:r>
      <w:r>
        <w:rPr>
          <w:lang w:val="fr-FR"/>
        </w:rPr>
        <w:t>s</w:t>
      </w:r>
      <w:r w:rsidRPr="00686CD4">
        <w:rPr>
          <w:lang w:val="fr-FR"/>
        </w:rPr>
        <w:t xml:space="preserve"> par l</w:t>
      </w:r>
      <w:r>
        <w:rPr>
          <w:lang w:val="fr-FR"/>
        </w:rPr>
        <w:t>’</w:t>
      </w:r>
      <w:r w:rsidRPr="00686CD4">
        <w:rPr>
          <w:lang w:val="fr-FR"/>
        </w:rPr>
        <w:t>Académie militaire co</w:t>
      </w:r>
      <w:r>
        <w:rPr>
          <w:lang w:val="fr-FR"/>
        </w:rPr>
        <w:t xml:space="preserve">uvrent </w:t>
      </w:r>
      <w:r w:rsidRPr="00686CD4">
        <w:rPr>
          <w:lang w:val="fr-FR"/>
        </w:rPr>
        <w:t>aussi plusieurs sujets supplémentaires pertinents en la matière, tels que les droits de l</w:t>
      </w:r>
      <w:r>
        <w:rPr>
          <w:lang w:val="fr-FR"/>
        </w:rPr>
        <w:t>’</w:t>
      </w:r>
      <w:r w:rsidRPr="00686CD4">
        <w:rPr>
          <w:lang w:val="fr-FR"/>
        </w:rPr>
        <w:t>homme, le multiculturalisme, l</w:t>
      </w:r>
      <w:r>
        <w:rPr>
          <w:lang w:val="fr-FR"/>
        </w:rPr>
        <w:t>’</w:t>
      </w:r>
      <w:r w:rsidRPr="00686CD4">
        <w:rPr>
          <w:lang w:val="fr-FR"/>
        </w:rPr>
        <w:t xml:space="preserve">interdiction des pratiques discriminatoires et </w:t>
      </w:r>
      <w:r>
        <w:rPr>
          <w:lang w:val="fr-FR"/>
        </w:rPr>
        <w:t>l</w:t>
      </w:r>
      <w:r w:rsidRPr="00686CD4">
        <w:rPr>
          <w:lang w:val="fr-FR"/>
        </w:rPr>
        <w:t>e règlement pacifique des conflits.</w:t>
      </w:r>
    </w:p>
    <w:p w:rsidR="002A7A34" w:rsidRPr="00686CD4" w:rsidRDefault="002A7A34" w:rsidP="002A7A34">
      <w:pPr>
        <w:pStyle w:val="SingleTxtG"/>
        <w:rPr>
          <w:lang w:val="fr-FR"/>
        </w:rPr>
      </w:pPr>
      <w:r w:rsidRPr="00686CD4">
        <w:rPr>
          <w:lang w:val="fr-FR"/>
        </w:rPr>
        <w:t>161.</w:t>
      </w:r>
      <w:r w:rsidRPr="00686CD4">
        <w:rPr>
          <w:lang w:val="fr-FR"/>
        </w:rPr>
        <w:tab/>
        <w:t xml:space="preserve">Dans le cadre de la formation actuellement </w:t>
      </w:r>
      <w:r>
        <w:rPr>
          <w:lang w:val="fr-FR"/>
        </w:rPr>
        <w:t xml:space="preserve">assurée </w:t>
      </w:r>
      <w:r w:rsidRPr="00686CD4">
        <w:rPr>
          <w:lang w:val="fr-FR"/>
        </w:rPr>
        <w:t xml:space="preserve">aux officiers supérieurs de police par la </w:t>
      </w:r>
      <w:r>
        <w:rPr>
          <w:lang w:val="fr-FR"/>
        </w:rPr>
        <w:t>P</w:t>
      </w:r>
      <w:r w:rsidRPr="00686CD4">
        <w:rPr>
          <w:lang w:val="fr-FR"/>
        </w:rPr>
        <w:t xml:space="preserve">olice de sécurité publique, les stagiaires doivent suivre le </w:t>
      </w:r>
      <w:r>
        <w:rPr>
          <w:lang w:val="fr-FR"/>
        </w:rPr>
        <w:t xml:space="preserve">programme </w:t>
      </w:r>
      <w:r w:rsidRPr="00686CD4">
        <w:rPr>
          <w:lang w:val="fr-FR"/>
        </w:rPr>
        <w:t>de maîtrise en sciences de la police, qui comprend les unités suivantes</w:t>
      </w:r>
      <w:r w:rsidR="00495D0F">
        <w:rPr>
          <w:lang w:val="fr-FR"/>
        </w:rPr>
        <w:t> :</w:t>
      </w:r>
      <w:r w:rsidRPr="00686CD4">
        <w:rPr>
          <w:lang w:val="fr-FR"/>
        </w:rPr>
        <w:t xml:space="preserve"> </w:t>
      </w:r>
      <w:r>
        <w:rPr>
          <w:lang w:val="fr-FR"/>
        </w:rPr>
        <w:t>D</w:t>
      </w:r>
      <w:r w:rsidRPr="00686CD4">
        <w:rPr>
          <w:lang w:val="fr-FR"/>
        </w:rPr>
        <w:t>roit constitutionnel (45</w:t>
      </w:r>
      <w:r>
        <w:rPr>
          <w:lang w:val="fr-FR"/>
        </w:rPr>
        <w:t> </w:t>
      </w:r>
      <w:r w:rsidRPr="00686CD4">
        <w:rPr>
          <w:lang w:val="fr-FR"/>
        </w:rPr>
        <w:t>heures)</w:t>
      </w:r>
      <w:r w:rsidR="00495D0F">
        <w:rPr>
          <w:lang w:val="fr-FR"/>
        </w:rPr>
        <w:t> ;</w:t>
      </w:r>
      <w:r w:rsidRPr="00686CD4">
        <w:rPr>
          <w:lang w:val="fr-FR"/>
        </w:rPr>
        <w:t xml:space="preserve"> Communications techniques (30</w:t>
      </w:r>
      <w:r>
        <w:rPr>
          <w:lang w:val="fr-FR"/>
        </w:rPr>
        <w:t> </w:t>
      </w:r>
      <w:r w:rsidRPr="00686CD4">
        <w:rPr>
          <w:lang w:val="fr-FR"/>
        </w:rPr>
        <w:t>heures)</w:t>
      </w:r>
      <w:r w:rsidR="00495D0F">
        <w:rPr>
          <w:lang w:val="fr-FR"/>
        </w:rPr>
        <w:t> ;</w:t>
      </w:r>
      <w:r w:rsidRPr="00686CD4">
        <w:rPr>
          <w:lang w:val="fr-FR"/>
        </w:rPr>
        <w:t xml:space="preserve"> Droit pénal et ordre social fondamental (224</w:t>
      </w:r>
      <w:r>
        <w:rPr>
          <w:lang w:val="fr-FR"/>
        </w:rPr>
        <w:t> </w:t>
      </w:r>
      <w:r w:rsidRPr="00686CD4">
        <w:rPr>
          <w:lang w:val="fr-FR"/>
        </w:rPr>
        <w:t>heures)</w:t>
      </w:r>
      <w:r w:rsidR="00495D0F">
        <w:rPr>
          <w:lang w:val="fr-FR"/>
        </w:rPr>
        <w:t> ;</w:t>
      </w:r>
      <w:r w:rsidRPr="00686CD4">
        <w:rPr>
          <w:lang w:val="fr-FR"/>
        </w:rPr>
        <w:t xml:space="preserve"> Procédure pénale et organisation judiciaire (142</w:t>
      </w:r>
      <w:r>
        <w:rPr>
          <w:lang w:val="fr-FR"/>
        </w:rPr>
        <w:t> </w:t>
      </w:r>
      <w:r w:rsidRPr="00686CD4">
        <w:rPr>
          <w:lang w:val="fr-FR"/>
        </w:rPr>
        <w:t>heures)</w:t>
      </w:r>
      <w:r w:rsidR="00495D0F">
        <w:rPr>
          <w:lang w:val="fr-FR"/>
        </w:rPr>
        <w:t> ;</w:t>
      </w:r>
      <w:r w:rsidRPr="00686CD4">
        <w:rPr>
          <w:lang w:val="fr-FR"/>
        </w:rPr>
        <w:t xml:space="preserve"> Droits fondamentaux et droits de l</w:t>
      </w:r>
      <w:r>
        <w:rPr>
          <w:lang w:val="fr-FR"/>
        </w:rPr>
        <w:t>’</w:t>
      </w:r>
      <w:r w:rsidRPr="00686CD4">
        <w:rPr>
          <w:lang w:val="fr-FR"/>
        </w:rPr>
        <w:t>homme (116</w:t>
      </w:r>
      <w:r>
        <w:rPr>
          <w:lang w:val="fr-FR"/>
        </w:rPr>
        <w:t> </w:t>
      </w:r>
      <w:r w:rsidRPr="00686CD4">
        <w:rPr>
          <w:lang w:val="fr-FR"/>
        </w:rPr>
        <w:t>heures)</w:t>
      </w:r>
      <w:r w:rsidR="00495D0F">
        <w:rPr>
          <w:lang w:val="fr-FR"/>
        </w:rPr>
        <w:t> ;</w:t>
      </w:r>
      <w:r w:rsidRPr="00686CD4">
        <w:rPr>
          <w:lang w:val="fr-FR"/>
        </w:rPr>
        <w:t xml:space="preserve"> Stratégie et tactiques des forces de sécurité (322</w:t>
      </w:r>
      <w:r w:rsidR="00495D0F">
        <w:rPr>
          <w:lang w:val="fr-FR"/>
        </w:rPr>
        <w:t xml:space="preserve"> </w:t>
      </w:r>
      <w:r w:rsidRPr="00686CD4">
        <w:rPr>
          <w:lang w:val="fr-FR"/>
        </w:rPr>
        <w:t>heures)</w:t>
      </w:r>
      <w:r w:rsidR="00495D0F">
        <w:rPr>
          <w:lang w:val="fr-FR"/>
        </w:rPr>
        <w:t> ;</w:t>
      </w:r>
      <w:r w:rsidRPr="00686CD4">
        <w:rPr>
          <w:lang w:val="fr-FR"/>
        </w:rPr>
        <w:t xml:space="preserve"> Commandement et direction (64</w:t>
      </w:r>
      <w:r>
        <w:rPr>
          <w:lang w:val="fr-FR"/>
        </w:rPr>
        <w:t> </w:t>
      </w:r>
      <w:r w:rsidRPr="00686CD4">
        <w:rPr>
          <w:lang w:val="fr-FR"/>
        </w:rPr>
        <w:t>heures)</w:t>
      </w:r>
      <w:r w:rsidR="00495D0F">
        <w:rPr>
          <w:lang w:val="fr-FR"/>
        </w:rPr>
        <w:t> ;</w:t>
      </w:r>
      <w:r>
        <w:rPr>
          <w:lang w:val="fr-FR"/>
        </w:rPr>
        <w:t xml:space="preserve"> </w:t>
      </w:r>
      <w:r w:rsidRPr="00686CD4">
        <w:rPr>
          <w:lang w:val="fr-FR"/>
        </w:rPr>
        <w:t>et déontologie (90</w:t>
      </w:r>
      <w:r>
        <w:rPr>
          <w:lang w:val="fr-FR"/>
        </w:rPr>
        <w:t> </w:t>
      </w:r>
      <w:r w:rsidRPr="00686CD4">
        <w:rPr>
          <w:lang w:val="fr-FR"/>
        </w:rPr>
        <w:t xml:space="preserve">heures) </w:t>
      </w:r>
    </w:p>
    <w:p w:rsidR="002A7A34" w:rsidRPr="00686CD4" w:rsidRDefault="002A7A34" w:rsidP="00BE18DC">
      <w:pPr>
        <w:pStyle w:val="SingleTxtG"/>
        <w:rPr>
          <w:lang w:val="fr-FR"/>
        </w:rPr>
      </w:pPr>
      <w:r w:rsidRPr="00686CD4">
        <w:rPr>
          <w:lang w:val="fr-FR"/>
        </w:rPr>
        <w:t>162.</w:t>
      </w:r>
      <w:r w:rsidRPr="00686CD4">
        <w:rPr>
          <w:lang w:val="fr-FR"/>
        </w:rPr>
        <w:tab/>
        <w:t xml:space="preserve">Le cours de formation des agents se compose des </w:t>
      </w:r>
      <w:r>
        <w:rPr>
          <w:lang w:val="fr-FR"/>
        </w:rPr>
        <w:t xml:space="preserve">unités </w:t>
      </w:r>
      <w:r w:rsidRPr="00686CD4">
        <w:rPr>
          <w:lang w:val="fr-FR"/>
        </w:rPr>
        <w:t>suivant</w:t>
      </w:r>
      <w:r>
        <w:rPr>
          <w:lang w:val="fr-FR"/>
        </w:rPr>
        <w:t>e</w:t>
      </w:r>
      <w:r w:rsidRPr="00686CD4">
        <w:rPr>
          <w:lang w:val="fr-FR"/>
        </w:rPr>
        <w:t>s</w:t>
      </w:r>
      <w:r w:rsidR="00495D0F">
        <w:rPr>
          <w:lang w:val="fr-FR"/>
        </w:rPr>
        <w:t> :</w:t>
      </w:r>
      <w:r w:rsidRPr="00686CD4">
        <w:rPr>
          <w:lang w:val="fr-FR"/>
        </w:rPr>
        <w:t xml:space="preserve"> Déontolog</w:t>
      </w:r>
      <w:r>
        <w:rPr>
          <w:lang w:val="fr-FR"/>
        </w:rPr>
        <w:t>i</w:t>
      </w:r>
      <w:r w:rsidRPr="00686CD4">
        <w:rPr>
          <w:lang w:val="fr-FR"/>
        </w:rPr>
        <w:t>e (35</w:t>
      </w:r>
      <w:r>
        <w:rPr>
          <w:lang w:val="fr-FR"/>
        </w:rPr>
        <w:t> </w:t>
      </w:r>
      <w:r w:rsidRPr="00686CD4">
        <w:rPr>
          <w:lang w:val="fr-FR"/>
        </w:rPr>
        <w:t>heures)</w:t>
      </w:r>
      <w:r w:rsidR="00495D0F">
        <w:rPr>
          <w:lang w:val="fr-FR"/>
        </w:rPr>
        <w:t> ;</w:t>
      </w:r>
      <w:r w:rsidRPr="00686CD4">
        <w:rPr>
          <w:lang w:val="fr-FR"/>
        </w:rPr>
        <w:t xml:space="preserve"> Droits fondamentaux et droits de l</w:t>
      </w:r>
      <w:r>
        <w:rPr>
          <w:lang w:val="fr-FR"/>
        </w:rPr>
        <w:t>’</w:t>
      </w:r>
      <w:r w:rsidRPr="00686CD4">
        <w:rPr>
          <w:lang w:val="fr-FR"/>
        </w:rPr>
        <w:t>homme (</w:t>
      </w:r>
      <w:r w:rsidR="00603D68">
        <w:rPr>
          <w:lang w:val="fr-FR"/>
        </w:rPr>
        <w:t>30</w:t>
      </w:r>
      <w:r>
        <w:rPr>
          <w:lang w:val="fr-FR"/>
        </w:rPr>
        <w:t> </w:t>
      </w:r>
      <w:r w:rsidRPr="00686CD4">
        <w:rPr>
          <w:lang w:val="fr-FR"/>
        </w:rPr>
        <w:t>heures</w:t>
      </w:r>
      <w:r>
        <w:rPr>
          <w:lang w:val="fr-FR"/>
        </w:rPr>
        <w:t>)</w:t>
      </w:r>
      <w:r w:rsidR="00495D0F">
        <w:rPr>
          <w:lang w:val="fr-FR"/>
        </w:rPr>
        <w:t> ;</w:t>
      </w:r>
      <w:r w:rsidRPr="00686CD4">
        <w:rPr>
          <w:lang w:val="fr-FR"/>
        </w:rPr>
        <w:t xml:space="preserve"> Communication</w:t>
      </w:r>
      <w:r>
        <w:rPr>
          <w:lang w:val="fr-FR"/>
        </w:rPr>
        <w:t>s</w:t>
      </w:r>
      <w:r w:rsidRPr="00686CD4">
        <w:rPr>
          <w:lang w:val="fr-FR"/>
        </w:rPr>
        <w:t xml:space="preserve"> et services aux personnes (45</w:t>
      </w:r>
      <w:r>
        <w:rPr>
          <w:lang w:val="fr-FR"/>
        </w:rPr>
        <w:t> </w:t>
      </w:r>
      <w:r w:rsidRPr="00686CD4">
        <w:rPr>
          <w:lang w:val="fr-FR"/>
        </w:rPr>
        <w:t>heures)</w:t>
      </w:r>
      <w:r w:rsidR="00495D0F">
        <w:rPr>
          <w:lang w:val="fr-FR"/>
        </w:rPr>
        <w:t> ;</w:t>
      </w:r>
      <w:r w:rsidRPr="00686CD4">
        <w:rPr>
          <w:lang w:val="fr-FR"/>
        </w:rPr>
        <w:t xml:space="preserve"> Techniques d</w:t>
      </w:r>
      <w:r>
        <w:rPr>
          <w:lang w:val="fr-FR"/>
        </w:rPr>
        <w:t>’</w:t>
      </w:r>
      <w:r w:rsidRPr="00686CD4">
        <w:rPr>
          <w:lang w:val="fr-FR"/>
        </w:rPr>
        <w:t>intervention policière (85</w:t>
      </w:r>
      <w:r>
        <w:rPr>
          <w:lang w:val="fr-FR"/>
        </w:rPr>
        <w:t> </w:t>
      </w:r>
      <w:r w:rsidRPr="00686CD4">
        <w:rPr>
          <w:lang w:val="fr-FR"/>
        </w:rPr>
        <w:t>heures)</w:t>
      </w:r>
      <w:r w:rsidR="00495D0F">
        <w:rPr>
          <w:lang w:val="fr-FR"/>
        </w:rPr>
        <w:t> ;</w:t>
      </w:r>
      <w:r>
        <w:rPr>
          <w:lang w:val="fr-FR"/>
        </w:rPr>
        <w:t xml:space="preserve"> </w:t>
      </w:r>
      <w:r w:rsidRPr="00686CD4">
        <w:rPr>
          <w:lang w:val="fr-FR"/>
        </w:rPr>
        <w:t xml:space="preserve">et </w:t>
      </w:r>
      <w:r>
        <w:rPr>
          <w:lang w:val="fr-FR"/>
        </w:rPr>
        <w:t>D</w:t>
      </w:r>
      <w:r w:rsidRPr="00686CD4">
        <w:rPr>
          <w:lang w:val="fr-FR"/>
        </w:rPr>
        <w:t>roit pénal et procédure pénale (115</w:t>
      </w:r>
      <w:r>
        <w:rPr>
          <w:lang w:val="fr-FR"/>
        </w:rPr>
        <w:t> </w:t>
      </w:r>
      <w:r w:rsidRPr="00686CD4">
        <w:rPr>
          <w:lang w:val="fr-FR"/>
        </w:rPr>
        <w:t>heures)</w:t>
      </w:r>
      <w:r>
        <w:rPr>
          <w:lang w:val="fr-FR"/>
        </w:rPr>
        <w:t>.</w:t>
      </w:r>
      <w:r w:rsidRPr="00686CD4">
        <w:rPr>
          <w:lang w:val="fr-FR"/>
        </w:rPr>
        <w:t xml:space="preserve"> </w:t>
      </w:r>
    </w:p>
    <w:p w:rsidR="002A7A34" w:rsidRPr="00686CD4" w:rsidRDefault="002A7A34" w:rsidP="00BE18DC">
      <w:pPr>
        <w:pStyle w:val="SingleTxtG"/>
        <w:rPr>
          <w:lang w:val="fr-FR"/>
        </w:rPr>
      </w:pPr>
      <w:r w:rsidRPr="00686CD4">
        <w:rPr>
          <w:lang w:val="fr-FR"/>
        </w:rPr>
        <w:t>163.</w:t>
      </w:r>
      <w:r w:rsidRPr="00686CD4">
        <w:rPr>
          <w:lang w:val="fr-FR"/>
        </w:rPr>
        <w:tab/>
        <w:t xml:space="preserve">Les agents de la </w:t>
      </w:r>
      <w:r>
        <w:rPr>
          <w:lang w:val="fr-FR"/>
        </w:rPr>
        <w:t>P</w:t>
      </w:r>
      <w:r w:rsidRPr="00686CD4">
        <w:rPr>
          <w:lang w:val="fr-FR"/>
        </w:rPr>
        <w:t xml:space="preserve">olice de sécurité publique </w:t>
      </w:r>
      <w:r>
        <w:rPr>
          <w:lang w:val="fr-FR"/>
        </w:rPr>
        <w:t xml:space="preserve">reçoivent </w:t>
      </w:r>
      <w:r w:rsidRPr="00686CD4">
        <w:rPr>
          <w:lang w:val="fr-FR"/>
        </w:rPr>
        <w:t xml:space="preserve">une formation intensive dans le domaine de la violence intrafamiliale. </w:t>
      </w:r>
      <w:r w:rsidR="00B545C2">
        <w:rPr>
          <w:lang w:val="fr-FR"/>
        </w:rPr>
        <w:t xml:space="preserve">En </w:t>
      </w:r>
      <w:r w:rsidRPr="00686CD4">
        <w:rPr>
          <w:lang w:val="fr-FR"/>
        </w:rPr>
        <w:t>2014, 5 265</w:t>
      </w:r>
      <w:r>
        <w:rPr>
          <w:lang w:val="fr-FR"/>
        </w:rPr>
        <w:t> </w:t>
      </w:r>
      <w:r w:rsidRPr="00686CD4">
        <w:rPr>
          <w:lang w:val="fr-FR"/>
        </w:rPr>
        <w:t>policiers ont</w:t>
      </w:r>
      <w:r>
        <w:rPr>
          <w:lang w:val="fr-FR"/>
        </w:rPr>
        <w:t xml:space="preserve"> suivi </w:t>
      </w:r>
      <w:r w:rsidRPr="00686CD4">
        <w:rPr>
          <w:lang w:val="fr-FR"/>
        </w:rPr>
        <w:t>403</w:t>
      </w:r>
      <w:r>
        <w:rPr>
          <w:lang w:val="fr-FR"/>
        </w:rPr>
        <w:t> </w:t>
      </w:r>
      <w:r w:rsidRPr="00686CD4">
        <w:rPr>
          <w:lang w:val="fr-FR"/>
        </w:rPr>
        <w:t>cours de formation et, en 2015, 398</w:t>
      </w:r>
      <w:r w:rsidR="00495D0F">
        <w:rPr>
          <w:lang w:val="fr-FR"/>
        </w:rPr>
        <w:t xml:space="preserve"> </w:t>
      </w:r>
      <w:r w:rsidRPr="00686CD4">
        <w:rPr>
          <w:lang w:val="fr-FR"/>
        </w:rPr>
        <w:t xml:space="preserve">policiers ont </w:t>
      </w:r>
      <w:r>
        <w:rPr>
          <w:lang w:val="fr-FR"/>
        </w:rPr>
        <w:t xml:space="preserve">suivi </w:t>
      </w:r>
      <w:r w:rsidRPr="00686CD4">
        <w:rPr>
          <w:lang w:val="fr-FR"/>
        </w:rPr>
        <w:t>46</w:t>
      </w:r>
      <w:r>
        <w:rPr>
          <w:lang w:val="fr-FR"/>
        </w:rPr>
        <w:t> </w:t>
      </w:r>
      <w:r w:rsidRPr="00686CD4">
        <w:rPr>
          <w:lang w:val="fr-FR"/>
        </w:rPr>
        <w:t xml:space="preserve">cours. </w:t>
      </w:r>
      <w:r w:rsidR="00B545C2">
        <w:rPr>
          <w:lang w:val="fr-FR"/>
        </w:rPr>
        <w:t xml:space="preserve">En </w:t>
      </w:r>
      <w:r w:rsidRPr="00686CD4">
        <w:rPr>
          <w:lang w:val="fr-FR"/>
        </w:rPr>
        <w:t>2016, 681</w:t>
      </w:r>
      <w:r>
        <w:rPr>
          <w:lang w:val="fr-FR"/>
        </w:rPr>
        <w:t> </w:t>
      </w:r>
      <w:r w:rsidRPr="00686CD4">
        <w:rPr>
          <w:lang w:val="fr-FR"/>
        </w:rPr>
        <w:t>policiers ont participé à 48</w:t>
      </w:r>
      <w:r w:rsidR="00BE18DC">
        <w:rPr>
          <w:lang w:val="fr-FR"/>
        </w:rPr>
        <w:t> </w:t>
      </w:r>
      <w:r w:rsidRPr="00686CD4">
        <w:rPr>
          <w:lang w:val="fr-FR"/>
        </w:rPr>
        <w:t xml:space="preserve">actions de formation. </w:t>
      </w:r>
      <w:r w:rsidR="00B545C2">
        <w:rPr>
          <w:lang w:val="fr-FR"/>
        </w:rPr>
        <w:t xml:space="preserve">En </w:t>
      </w:r>
      <w:r w:rsidRPr="00686CD4">
        <w:rPr>
          <w:lang w:val="fr-FR"/>
        </w:rPr>
        <w:t>2017, 136</w:t>
      </w:r>
      <w:r>
        <w:rPr>
          <w:lang w:val="fr-FR"/>
        </w:rPr>
        <w:t> </w:t>
      </w:r>
      <w:r w:rsidRPr="00686CD4">
        <w:rPr>
          <w:lang w:val="fr-FR"/>
        </w:rPr>
        <w:t>fonctionnaires de police ont bénéficié de 10</w:t>
      </w:r>
      <w:r>
        <w:rPr>
          <w:lang w:val="fr-FR"/>
        </w:rPr>
        <w:t> </w:t>
      </w:r>
      <w:r w:rsidRPr="00686CD4">
        <w:rPr>
          <w:lang w:val="fr-FR"/>
        </w:rPr>
        <w:t xml:space="preserve">programmes de formation </w:t>
      </w:r>
      <w:r>
        <w:rPr>
          <w:lang w:val="fr-FR"/>
        </w:rPr>
        <w:t xml:space="preserve">couvrant </w:t>
      </w:r>
      <w:r w:rsidRPr="00686CD4">
        <w:rPr>
          <w:lang w:val="fr-FR"/>
        </w:rPr>
        <w:t>ce domaine</w:t>
      </w:r>
    </w:p>
    <w:p w:rsidR="002A7A34" w:rsidRPr="00686CD4" w:rsidRDefault="002A7A34" w:rsidP="00BE18DC">
      <w:pPr>
        <w:pStyle w:val="SingleTxtG"/>
        <w:rPr>
          <w:lang w:val="fr-FR"/>
        </w:rPr>
      </w:pPr>
      <w:r w:rsidRPr="00686CD4">
        <w:rPr>
          <w:lang w:val="fr-FR"/>
        </w:rPr>
        <w:lastRenderedPageBreak/>
        <w:t>164.</w:t>
      </w:r>
      <w:r w:rsidRPr="00686CD4">
        <w:rPr>
          <w:lang w:val="fr-FR"/>
        </w:rPr>
        <w:tab/>
        <w:t>La culture institutionnelle axée sur les droits de l</w:t>
      </w:r>
      <w:r>
        <w:rPr>
          <w:lang w:val="fr-FR"/>
        </w:rPr>
        <w:t>’</w:t>
      </w:r>
      <w:r w:rsidRPr="00686CD4">
        <w:rPr>
          <w:lang w:val="fr-FR"/>
        </w:rPr>
        <w:t xml:space="preserve">homme du </w:t>
      </w:r>
      <w:r>
        <w:rPr>
          <w:lang w:val="fr-FR"/>
        </w:rPr>
        <w:t>S</w:t>
      </w:r>
      <w:r w:rsidRPr="00686CD4">
        <w:rPr>
          <w:lang w:val="fr-FR"/>
        </w:rPr>
        <w:t>ervice de l</w:t>
      </w:r>
      <w:r>
        <w:rPr>
          <w:lang w:val="fr-FR"/>
        </w:rPr>
        <w:t>’</w:t>
      </w:r>
      <w:r w:rsidRPr="00686CD4">
        <w:rPr>
          <w:lang w:val="fr-FR"/>
        </w:rPr>
        <w:t xml:space="preserve">immigration et des frontières se manifeste </w:t>
      </w:r>
      <w:r>
        <w:rPr>
          <w:lang w:val="fr-FR"/>
        </w:rPr>
        <w:t xml:space="preserve">par le </w:t>
      </w:r>
      <w:r w:rsidRPr="00686CD4">
        <w:rPr>
          <w:lang w:val="fr-FR"/>
        </w:rPr>
        <w:t>renforcement de l</w:t>
      </w:r>
      <w:r>
        <w:rPr>
          <w:lang w:val="fr-FR"/>
        </w:rPr>
        <w:t>’</w:t>
      </w:r>
      <w:r w:rsidRPr="00686CD4">
        <w:rPr>
          <w:lang w:val="fr-FR"/>
        </w:rPr>
        <w:t>accent mis sur les comportements éthiques et non discriminatoires de la police dans les cours de formation assurés aux inspecteurs dès leur entrée dans la police et tout au long de leur carrière.</w:t>
      </w:r>
    </w:p>
    <w:p w:rsidR="002A7A34" w:rsidRPr="00686CD4" w:rsidRDefault="002A7A34" w:rsidP="00BE18DC">
      <w:pPr>
        <w:pStyle w:val="SingleTxtG"/>
        <w:rPr>
          <w:lang w:val="fr-FR"/>
        </w:rPr>
      </w:pPr>
      <w:r w:rsidRPr="00686CD4">
        <w:rPr>
          <w:lang w:val="fr-FR"/>
        </w:rPr>
        <w:t>165.</w:t>
      </w:r>
      <w:r w:rsidRPr="00686CD4">
        <w:rPr>
          <w:lang w:val="fr-FR"/>
        </w:rPr>
        <w:tab/>
        <w:t xml:space="preserve">Les formateurs du </w:t>
      </w:r>
      <w:r>
        <w:rPr>
          <w:lang w:val="fr-FR"/>
        </w:rPr>
        <w:t>S</w:t>
      </w:r>
      <w:r w:rsidRPr="00686CD4">
        <w:rPr>
          <w:lang w:val="fr-FR"/>
        </w:rPr>
        <w:t>ervice de l</w:t>
      </w:r>
      <w:r>
        <w:rPr>
          <w:lang w:val="fr-FR"/>
        </w:rPr>
        <w:t>’</w:t>
      </w:r>
      <w:r w:rsidRPr="00686CD4">
        <w:rPr>
          <w:lang w:val="fr-FR"/>
        </w:rPr>
        <w:t xml:space="preserve">immigration et des frontières qui ont achevé la formation FRONTEX dans le cadre des cours </w:t>
      </w:r>
      <w:r>
        <w:rPr>
          <w:lang w:val="fr-FR"/>
        </w:rPr>
        <w:t xml:space="preserve">qu’ils suivent </w:t>
      </w:r>
      <w:r w:rsidRPr="00686CD4">
        <w:rPr>
          <w:lang w:val="fr-FR"/>
        </w:rPr>
        <w:t xml:space="preserve">enseignent les droits fondamentaux aux inspecteurs du </w:t>
      </w:r>
      <w:r>
        <w:rPr>
          <w:lang w:val="fr-FR"/>
        </w:rPr>
        <w:t>S</w:t>
      </w:r>
      <w:r w:rsidRPr="00686CD4">
        <w:rPr>
          <w:lang w:val="fr-FR"/>
        </w:rPr>
        <w:t xml:space="preserve">ervice, en se </w:t>
      </w:r>
      <w:r>
        <w:rPr>
          <w:lang w:val="fr-FR"/>
        </w:rPr>
        <w:t>basant</w:t>
      </w:r>
      <w:r w:rsidRPr="00686CD4">
        <w:rPr>
          <w:lang w:val="fr-FR"/>
        </w:rPr>
        <w:t xml:space="preserve"> sur le programme de cours de l</w:t>
      </w:r>
      <w:r>
        <w:rPr>
          <w:lang w:val="fr-FR"/>
        </w:rPr>
        <w:t>’A</w:t>
      </w:r>
      <w:r w:rsidRPr="00686CD4">
        <w:rPr>
          <w:lang w:val="fr-FR"/>
        </w:rPr>
        <w:t xml:space="preserve">gence européenne de </w:t>
      </w:r>
      <w:proofErr w:type="spellStart"/>
      <w:r w:rsidRPr="00686CD4">
        <w:rPr>
          <w:lang w:val="fr-FR"/>
        </w:rPr>
        <w:t>gardes</w:t>
      </w:r>
      <w:r w:rsidR="00975DA2">
        <w:rPr>
          <w:lang w:val="fr-FR"/>
        </w:rPr>
        <w:t xml:space="preserve"> </w:t>
      </w:r>
      <w:r w:rsidRPr="00686CD4">
        <w:rPr>
          <w:lang w:val="fr-FR"/>
        </w:rPr>
        <w:t>frontière</w:t>
      </w:r>
      <w:proofErr w:type="spellEnd"/>
      <w:r w:rsidRPr="00686CD4">
        <w:rPr>
          <w:lang w:val="fr-FR"/>
        </w:rPr>
        <w:t xml:space="preserve"> et de </w:t>
      </w:r>
      <w:proofErr w:type="spellStart"/>
      <w:r w:rsidRPr="00686CD4">
        <w:rPr>
          <w:lang w:val="fr-FR"/>
        </w:rPr>
        <w:t>garde</w:t>
      </w:r>
      <w:r w:rsidR="00975DA2">
        <w:rPr>
          <w:lang w:val="fr-FR"/>
        </w:rPr>
        <w:t>s</w:t>
      </w:r>
      <w:r w:rsidRPr="00686CD4">
        <w:rPr>
          <w:lang w:val="fr-FR"/>
        </w:rPr>
        <w:t>-côtes</w:t>
      </w:r>
      <w:proofErr w:type="spellEnd"/>
      <w:r w:rsidRPr="00686CD4">
        <w:rPr>
          <w:lang w:val="fr-FR"/>
        </w:rPr>
        <w:t>.</w:t>
      </w:r>
    </w:p>
    <w:p w:rsidR="002A7A34" w:rsidRPr="00686CD4" w:rsidRDefault="002A7A34" w:rsidP="00BE18DC">
      <w:pPr>
        <w:pStyle w:val="SingleTxtG"/>
        <w:rPr>
          <w:lang w:val="fr-FR"/>
        </w:rPr>
      </w:pPr>
      <w:r w:rsidRPr="00686CD4">
        <w:rPr>
          <w:lang w:val="fr-FR"/>
        </w:rPr>
        <w:t>166.</w:t>
      </w:r>
      <w:r w:rsidRPr="00686CD4">
        <w:rPr>
          <w:lang w:val="fr-FR"/>
        </w:rPr>
        <w:tab/>
        <w:t>FRONTEX inspire également plusieurs autres initiatives de formation conçue</w:t>
      </w:r>
      <w:r>
        <w:rPr>
          <w:lang w:val="fr-FR"/>
        </w:rPr>
        <w:t>s</w:t>
      </w:r>
      <w:r w:rsidRPr="00686CD4">
        <w:rPr>
          <w:lang w:val="fr-FR"/>
        </w:rPr>
        <w:t xml:space="preserve"> par le </w:t>
      </w:r>
      <w:r>
        <w:rPr>
          <w:lang w:val="fr-FR"/>
        </w:rPr>
        <w:t>S</w:t>
      </w:r>
      <w:r w:rsidRPr="00686CD4">
        <w:rPr>
          <w:lang w:val="fr-FR"/>
        </w:rPr>
        <w:t>ervice de l</w:t>
      </w:r>
      <w:r>
        <w:rPr>
          <w:lang w:val="fr-FR"/>
        </w:rPr>
        <w:t>’</w:t>
      </w:r>
      <w:r w:rsidRPr="00686CD4">
        <w:rPr>
          <w:lang w:val="fr-FR"/>
        </w:rPr>
        <w:t>immigration et des frontières, notamment en ce qui concerne la traite d</w:t>
      </w:r>
      <w:r>
        <w:rPr>
          <w:lang w:val="fr-FR"/>
        </w:rPr>
        <w:t>’</w:t>
      </w:r>
      <w:r w:rsidRPr="00686CD4">
        <w:rPr>
          <w:lang w:val="fr-FR"/>
        </w:rPr>
        <w:t>êtres humains</w:t>
      </w:r>
      <w:r w:rsidR="008A56EB">
        <w:rPr>
          <w:lang w:val="fr-FR"/>
        </w:rPr>
        <w:t>.</w:t>
      </w:r>
    </w:p>
    <w:p w:rsidR="002A7A34" w:rsidRPr="00686CD4" w:rsidRDefault="002A7A34" w:rsidP="00BE18DC">
      <w:pPr>
        <w:pStyle w:val="SingleTxtG"/>
        <w:rPr>
          <w:lang w:val="fr-FR"/>
        </w:rPr>
      </w:pPr>
      <w:r w:rsidRPr="00686CD4">
        <w:rPr>
          <w:lang w:val="fr-FR"/>
        </w:rPr>
        <w:t>167.</w:t>
      </w:r>
      <w:r w:rsidRPr="00686CD4">
        <w:rPr>
          <w:lang w:val="fr-FR"/>
        </w:rPr>
        <w:tab/>
        <w:t>Le processus d</w:t>
      </w:r>
      <w:r>
        <w:rPr>
          <w:lang w:val="fr-FR"/>
        </w:rPr>
        <w:t>’</w:t>
      </w:r>
      <w:r w:rsidRPr="00686CD4">
        <w:rPr>
          <w:lang w:val="fr-FR"/>
        </w:rPr>
        <w:t>harmonisation des cours de formation continue et du système sectoriel de diplômes donne lieu à l</w:t>
      </w:r>
      <w:r>
        <w:rPr>
          <w:lang w:val="fr-FR"/>
        </w:rPr>
        <w:t>’</w:t>
      </w:r>
      <w:r w:rsidRPr="00686CD4">
        <w:rPr>
          <w:lang w:val="fr-FR"/>
        </w:rPr>
        <w:t>intégration obligatoire, dans tous les cours, des principes des droits de l</w:t>
      </w:r>
      <w:r>
        <w:rPr>
          <w:lang w:val="fr-FR"/>
        </w:rPr>
        <w:t>’</w:t>
      </w:r>
      <w:r w:rsidRPr="00686CD4">
        <w:rPr>
          <w:lang w:val="fr-FR"/>
        </w:rPr>
        <w:t>homme et de la protection internationale, conformément à la Charte des droits fondamentaux de l</w:t>
      </w:r>
      <w:r>
        <w:rPr>
          <w:lang w:val="fr-FR"/>
        </w:rPr>
        <w:t>’</w:t>
      </w:r>
      <w:r w:rsidRPr="00686CD4">
        <w:rPr>
          <w:lang w:val="fr-FR"/>
        </w:rPr>
        <w:t xml:space="preserve">Union européenne. </w:t>
      </w:r>
    </w:p>
    <w:p w:rsidR="002A7A34" w:rsidRPr="00686CD4" w:rsidRDefault="002A7A34" w:rsidP="00BE18DC">
      <w:pPr>
        <w:pStyle w:val="SingleTxtG"/>
        <w:rPr>
          <w:lang w:val="fr-FR"/>
        </w:rPr>
      </w:pPr>
      <w:r w:rsidRPr="00686CD4">
        <w:rPr>
          <w:lang w:val="fr-FR"/>
        </w:rPr>
        <w:t>168.</w:t>
      </w:r>
      <w:r w:rsidRPr="00686CD4">
        <w:rPr>
          <w:lang w:val="fr-FR"/>
        </w:rPr>
        <w:tab/>
        <w:t>Voir le tableau</w:t>
      </w:r>
      <w:r>
        <w:rPr>
          <w:lang w:val="fr-FR"/>
        </w:rPr>
        <w:t> </w:t>
      </w:r>
      <w:r w:rsidRPr="00686CD4">
        <w:rPr>
          <w:lang w:val="fr-FR"/>
        </w:rPr>
        <w:t>XIV de l</w:t>
      </w:r>
      <w:r>
        <w:rPr>
          <w:lang w:val="fr-FR"/>
        </w:rPr>
        <w:t>’</w:t>
      </w:r>
      <w:r w:rsidRPr="00686CD4">
        <w:rPr>
          <w:lang w:val="fr-FR"/>
        </w:rPr>
        <w:t>annexe</w:t>
      </w:r>
      <w:r>
        <w:rPr>
          <w:lang w:val="fr-FR"/>
        </w:rPr>
        <w:t> </w:t>
      </w:r>
      <w:r w:rsidRPr="00686CD4">
        <w:rPr>
          <w:lang w:val="fr-FR"/>
        </w:rPr>
        <w:t xml:space="preserve">III </w:t>
      </w:r>
      <w:r>
        <w:rPr>
          <w:lang w:val="fr-FR"/>
        </w:rPr>
        <w:t xml:space="preserve">qui indique </w:t>
      </w:r>
      <w:r w:rsidRPr="00686CD4">
        <w:rPr>
          <w:lang w:val="fr-FR"/>
        </w:rPr>
        <w:t>les formations déjà achevées.</w:t>
      </w:r>
    </w:p>
    <w:p w:rsidR="002A7A34" w:rsidRPr="00686CD4" w:rsidRDefault="002A7A34" w:rsidP="00BE18DC">
      <w:pPr>
        <w:pStyle w:val="SingleTxtG"/>
        <w:rPr>
          <w:lang w:val="fr-FR"/>
        </w:rPr>
      </w:pPr>
      <w:r w:rsidRPr="00686CD4">
        <w:rPr>
          <w:lang w:val="fr-FR"/>
        </w:rPr>
        <w:t>169.</w:t>
      </w:r>
      <w:r w:rsidRPr="00686CD4">
        <w:rPr>
          <w:lang w:val="fr-FR"/>
        </w:rPr>
        <w:tab/>
        <w:t>La formation initiale des agents de l</w:t>
      </w:r>
      <w:r>
        <w:rPr>
          <w:lang w:val="fr-FR"/>
        </w:rPr>
        <w:t>’</w:t>
      </w:r>
      <w:r w:rsidRPr="00686CD4">
        <w:rPr>
          <w:lang w:val="fr-FR"/>
        </w:rPr>
        <w:t xml:space="preserve">immigration doit également </w:t>
      </w:r>
      <w:r>
        <w:rPr>
          <w:lang w:val="fr-FR"/>
        </w:rPr>
        <w:t xml:space="preserve">donner lieu à l’acquisition de </w:t>
      </w:r>
      <w:r w:rsidRPr="00686CD4">
        <w:rPr>
          <w:lang w:val="fr-FR"/>
        </w:rPr>
        <w:t>solides compétences juridiques dans des domaines tels que le droit constitutionnel, les droits fondamentaux, l</w:t>
      </w:r>
      <w:r>
        <w:rPr>
          <w:lang w:val="fr-FR"/>
        </w:rPr>
        <w:t>’</w:t>
      </w:r>
      <w:r w:rsidRPr="00686CD4">
        <w:rPr>
          <w:lang w:val="fr-FR"/>
        </w:rPr>
        <w:t>asile, la déontologie professionnelle</w:t>
      </w:r>
      <w:r w:rsidR="00805036" w:rsidRPr="00F16A9E">
        <w:rPr>
          <w:rStyle w:val="Appelnotedebasdep"/>
        </w:rPr>
        <w:footnoteReference w:id="16"/>
      </w:r>
      <w:r w:rsidRPr="00686CD4">
        <w:rPr>
          <w:lang w:val="fr-FR"/>
        </w:rPr>
        <w:t>, les sciences sociales</w:t>
      </w:r>
      <w:r w:rsidR="00805036" w:rsidRPr="00F16A9E">
        <w:rPr>
          <w:rStyle w:val="Appelnotedebasdep"/>
        </w:rPr>
        <w:footnoteReference w:id="17"/>
      </w:r>
      <w:r w:rsidRPr="00686CD4">
        <w:rPr>
          <w:lang w:val="fr-FR"/>
        </w:rPr>
        <w:t xml:space="preserve">, </w:t>
      </w:r>
      <w:r>
        <w:rPr>
          <w:lang w:val="fr-FR"/>
        </w:rPr>
        <w:t>le C</w:t>
      </w:r>
      <w:r w:rsidRPr="00686CD4">
        <w:rPr>
          <w:lang w:val="fr-FR"/>
        </w:rPr>
        <w:t xml:space="preserve">ode pénal, le </w:t>
      </w:r>
      <w:r>
        <w:rPr>
          <w:lang w:val="fr-FR"/>
        </w:rPr>
        <w:t>C</w:t>
      </w:r>
      <w:r w:rsidRPr="00686CD4">
        <w:rPr>
          <w:lang w:val="fr-FR"/>
        </w:rPr>
        <w:t>ode de procédure pénale et la protection des données personnelles</w:t>
      </w:r>
      <w:r w:rsidRPr="00F16A9E">
        <w:rPr>
          <w:rStyle w:val="Appelnotedebasdep"/>
        </w:rPr>
        <w:footnoteReference w:id="18"/>
      </w:r>
      <w:r w:rsidR="00BE18DC">
        <w:rPr>
          <w:lang w:val="fr-FR"/>
        </w:rPr>
        <w:t>.</w:t>
      </w:r>
    </w:p>
    <w:p w:rsidR="002A7A34" w:rsidRPr="00686CD4" w:rsidRDefault="002A7A34" w:rsidP="00BE18DC">
      <w:pPr>
        <w:pStyle w:val="SingleTxtG"/>
        <w:rPr>
          <w:rFonts w:eastAsia="Calibri"/>
          <w:lang w:val="fr-FR"/>
        </w:rPr>
      </w:pPr>
      <w:r w:rsidRPr="00686CD4">
        <w:rPr>
          <w:lang w:val="fr-FR"/>
        </w:rPr>
        <w:t>170.</w:t>
      </w:r>
      <w:r w:rsidRPr="00686CD4">
        <w:rPr>
          <w:lang w:val="fr-FR"/>
        </w:rPr>
        <w:tab/>
      </w:r>
      <w:r w:rsidR="00B545C2">
        <w:rPr>
          <w:lang w:val="fr-FR"/>
        </w:rPr>
        <w:t xml:space="preserve">En </w:t>
      </w:r>
      <w:r w:rsidRPr="00686CD4">
        <w:rPr>
          <w:lang w:val="fr-FR"/>
        </w:rPr>
        <w:t>2016 et</w:t>
      </w:r>
      <w:r w:rsidR="00805036">
        <w:rPr>
          <w:lang w:val="fr-FR"/>
        </w:rPr>
        <w:t xml:space="preserve"> </w:t>
      </w:r>
      <w:r w:rsidRPr="00686CD4">
        <w:rPr>
          <w:lang w:val="fr-FR"/>
        </w:rPr>
        <w:t>2017, 89</w:t>
      </w:r>
      <w:r>
        <w:rPr>
          <w:lang w:val="fr-FR"/>
        </w:rPr>
        <w:t> </w:t>
      </w:r>
      <w:r w:rsidRPr="00686CD4">
        <w:rPr>
          <w:lang w:val="fr-FR"/>
        </w:rPr>
        <w:t xml:space="preserve">stagiaires ont participé et achevé de manière satisfaisante le stage </w:t>
      </w:r>
      <w:r>
        <w:rPr>
          <w:lang w:val="fr-FR"/>
        </w:rPr>
        <w:t xml:space="preserve">sur les preuves requis </w:t>
      </w:r>
      <w:r w:rsidRPr="00686CD4">
        <w:rPr>
          <w:lang w:val="fr-FR"/>
        </w:rPr>
        <w:t>pour la carrière spéciale d</w:t>
      </w:r>
      <w:r>
        <w:rPr>
          <w:lang w:val="fr-FR"/>
        </w:rPr>
        <w:t>’</w:t>
      </w:r>
      <w:r w:rsidRPr="00686CD4">
        <w:rPr>
          <w:lang w:val="fr-FR"/>
        </w:rPr>
        <w:t>enquête et d</w:t>
      </w:r>
      <w:r>
        <w:rPr>
          <w:lang w:val="fr-FR"/>
        </w:rPr>
        <w:t>’</w:t>
      </w:r>
      <w:r w:rsidRPr="00686CD4">
        <w:rPr>
          <w:lang w:val="fr-FR"/>
        </w:rPr>
        <w:t xml:space="preserve">inspection </w:t>
      </w:r>
      <w:r>
        <w:rPr>
          <w:lang w:val="fr-FR"/>
        </w:rPr>
        <w:t>(CIF)</w:t>
      </w:r>
      <w:r w:rsidRPr="005A5F46">
        <w:rPr>
          <w:lang w:val="fr-FR"/>
        </w:rPr>
        <w:t xml:space="preserve"> </w:t>
      </w:r>
      <w:r>
        <w:rPr>
          <w:lang w:val="fr-FR"/>
        </w:rPr>
        <w:t xml:space="preserve">dans la catégorie d’inspecteur du </w:t>
      </w:r>
      <w:r w:rsidRPr="00686CD4">
        <w:rPr>
          <w:lang w:val="fr-FR"/>
        </w:rPr>
        <w:t>Service de l</w:t>
      </w:r>
      <w:r>
        <w:rPr>
          <w:lang w:val="fr-FR"/>
        </w:rPr>
        <w:t>’</w:t>
      </w:r>
      <w:r w:rsidRPr="00686CD4">
        <w:rPr>
          <w:lang w:val="fr-FR"/>
        </w:rPr>
        <w:t xml:space="preserve">immigration et des frontières. </w:t>
      </w:r>
      <w:r>
        <w:rPr>
          <w:lang w:val="fr-FR"/>
        </w:rPr>
        <w:t xml:space="preserve">Quarante-cinq autres </w:t>
      </w:r>
      <w:r w:rsidRPr="00686CD4">
        <w:rPr>
          <w:lang w:val="fr-FR"/>
        </w:rPr>
        <w:t xml:space="preserve">stagiaires devraient participer à cette formation </w:t>
      </w:r>
      <w:r>
        <w:rPr>
          <w:lang w:val="fr-FR"/>
        </w:rPr>
        <w:t xml:space="preserve">en 2018, de même que </w:t>
      </w:r>
      <w:r w:rsidRPr="00686CD4">
        <w:rPr>
          <w:lang w:val="fr-FR"/>
        </w:rPr>
        <w:t>100</w:t>
      </w:r>
      <w:r>
        <w:rPr>
          <w:lang w:val="fr-FR"/>
        </w:rPr>
        <w:t> </w:t>
      </w:r>
      <w:r w:rsidRPr="00686CD4">
        <w:rPr>
          <w:lang w:val="fr-FR"/>
        </w:rPr>
        <w:t xml:space="preserve">stagiaires </w:t>
      </w:r>
      <w:r>
        <w:rPr>
          <w:lang w:val="fr-FR"/>
        </w:rPr>
        <w:t xml:space="preserve">supplémentaires </w:t>
      </w:r>
      <w:r w:rsidRPr="00686CD4">
        <w:rPr>
          <w:lang w:val="fr-FR"/>
        </w:rPr>
        <w:t>vers la fin de</w:t>
      </w:r>
      <w:r w:rsidR="00805036">
        <w:rPr>
          <w:lang w:val="fr-FR"/>
        </w:rPr>
        <w:t xml:space="preserve"> </w:t>
      </w:r>
      <w:r w:rsidRPr="00686CD4">
        <w:rPr>
          <w:lang w:val="fr-FR"/>
        </w:rPr>
        <w:t xml:space="preserve">2018 </w:t>
      </w:r>
      <w:r>
        <w:rPr>
          <w:lang w:val="fr-FR"/>
        </w:rPr>
        <w:t xml:space="preserve">ou </w:t>
      </w:r>
      <w:r w:rsidRPr="00686CD4">
        <w:rPr>
          <w:lang w:val="fr-FR"/>
        </w:rPr>
        <w:t>au début de 2019.</w:t>
      </w:r>
    </w:p>
    <w:p w:rsidR="002A7A34" w:rsidRPr="00686CD4" w:rsidRDefault="002A7A34" w:rsidP="00805036">
      <w:pPr>
        <w:pStyle w:val="SingleTxtG"/>
        <w:rPr>
          <w:lang w:val="fr-FR"/>
        </w:rPr>
      </w:pPr>
      <w:r w:rsidRPr="00686CD4">
        <w:rPr>
          <w:lang w:val="fr-FR"/>
        </w:rPr>
        <w:t>171.</w:t>
      </w:r>
      <w:r w:rsidRPr="00686CD4">
        <w:rPr>
          <w:lang w:val="fr-FR"/>
        </w:rPr>
        <w:tab/>
        <w:t>Dans le domaine de la santé, la formation assurée dans le cadre de</w:t>
      </w:r>
      <w:r>
        <w:rPr>
          <w:lang w:val="fr-FR"/>
        </w:rPr>
        <w:t xml:space="preserve"> </w:t>
      </w:r>
      <w:r w:rsidRPr="005A5F46">
        <w:rPr>
          <w:lang w:val="fr-FR"/>
        </w:rPr>
        <w:t>l</w:t>
      </w:r>
      <w:r>
        <w:rPr>
          <w:lang w:val="fr-FR"/>
        </w:rPr>
        <w:t>’</w:t>
      </w:r>
      <w:r w:rsidRPr="005A5F46">
        <w:rPr>
          <w:lang w:val="fr-FR"/>
        </w:rPr>
        <w:t>Action sanitaire sur l</w:t>
      </w:r>
      <w:r>
        <w:rPr>
          <w:lang w:val="fr-FR"/>
        </w:rPr>
        <w:t>’</w:t>
      </w:r>
      <w:r w:rsidRPr="005A5F46">
        <w:rPr>
          <w:lang w:val="fr-FR"/>
        </w:rPr>
        <w:t>égalité des sexes, la violence et le cycle de vi</w:t>
      </w:r>
      <w:r>
        <w:rPr>
          <w:lang w:val="fr-FR"/>
        </w:rPr>
        <w:t>e et de l’Action sanitaire pour les enfants et les jeunes à risque</w:t>
      </w:r>
      <w:r w:rsidRPr="005A5F46">
        <w:rPr>
          <w:lang w:val="fr-FR"/>
        </w:rPr>
        <w:t xml:space="preserve"> </w:t>
      </w:r>
      <w:r>
        <w:rPr>
          <w:lang w:val="fr-FR"/>
        </w:rPr>
        <w:t xml:space="preserve">met </w:t>
      </w:r>
      <w:r w:rsidRPr="00686CD4">
        <w:rPr>
          <w:lang w:val="fr-FR"/>
        </w:rPr>
        <w:t>plus particulièrement l</w:t>
      </w:r>
      <w:r>
        <w:rPr>
          <w:lang w:val="fr-FR"/>
        </w:rPr>
        <w:t>’</w:t>
      </w:r>
      <w:r w:rsidRPr="00686CD4">
        <w:rPr>
          <w:lang w:val="fr-FR"/>
        </w:rPr>
        <w:t>accent</w:t>
      </w:r>
      <w:r>
        <w:rPr>
          <w:lang w:val="fr-FR"/>
        </w:rPr>
        <w:t>, depuis trois ans,</w:t>
      </w:r>
      <w:r w:rsidRPr="00686CD4">
        <w:rPr>
          <w:lang w:val="fr-FR"/>
        </w:rPr>
        <w:t xml:space="preserve"> sur la </w:t>
      </w:r>
      <w:r>
        <w:rPr>
          <w:lang w:val="fr-FR"/>
        </w:rPr>
        <w:t xml:space="preserve">traite d’êtres humains en insistant sur </w:t>
      </w:r>
      <w:r w:rsidRPr="00686CD4">
        <w:rPr>
          <w:lang w:val="fr-FR"/>
        </w:rPr>
        <w:t>l</w:t>
      </w:r>
      <w:r>
        <w:rPr>
          <w:lang w:val="fr-FR"/>
        </w:rPr>
        <w:t>a</w:t>
      </w:r>
      <w:r w:rsidRPr="00686CD4">
        <w:rPr>
          <w:lang w:val="fr-FR"/>
        </w:rPr>
        <w:t xml:space="preserve"> détection, </w:t>
      </w:r>
      <w:r>
        <w:rPr>
          <w:lang w:val="fr-FR"/>
        </w:rPr>
        <w:t xml:space="preserve">la confidentialité </w:t>
      </w:r>
      <w:r w:rsidRPr="00686CD4">
        <w:rPr>
          <w:lang w:val="fr-FR"/>
        </w:rPr>
        <w:t xml:space="preserve">et </w:t>
      </w:r>
      <w:r>
        <w:rPr>
          <w:lang w:val="fr-FR"/>
        </w:rPr>
        <w:t xml:space="preserve">la </w:t>
      </w:r>
      <w:r w:rsidRPr="00686CD4">
        <w:rPr>
          <w:lang w:val="fr-FR"/>
        </w:rPr>
        <w:t>sécurité.</w:t>
      </w:r>
    </w:p>
    <w:p w:rsidR="002A7A34" w:rsidRPr="00686CD4" w:rsidRDefault="00805036" w:rsidP="00805036">
      <w:pPr>
        <w:pStyle w:val="H23G"/>
        <w:jc w:val="both"/>
        <w:rPr>
          <w:lang w:val="fr-FR"/>
        </w:rPr>
      </w:pPr>
      <w:r>
        <w:rPr>
          <w:lang w:val="fr-FR"/>
        </w:rPr>
        <w:tab/>
      </w:r>
      <w:r w:rsidR="002A7A34" w:rsidRPr="00686CD4">
        <w:rPr>
          <w:lang w:val="fr-FR"/>
        </w:rPr>
        <w:t>10.</w:t>
      </w:r>
      <w:r w:rsidR="002A7A34" w:rsidRPr="00686CD4">
        <w:rPr>
          <w:lang w:val="fr-FR"/>
        </w:rPr>
        <w:tab/>
        <w:t>Indiquer si l</w:t>
      </w:r>
      <w:r w:rsidR="002A7A34">
        <w:rPr>
          <w:lang w:val="fr-FR"/>
        </w:rPr>
        <w:t>’</w:t>
      </w:r>
      <w:r w:rsidR="002A7A34" w:rsidRPr="00686CD4">
        <w:rPr>
          <w:lang w:val="fr-FR"/>
        </w:rPr>
        <w:t>État partie a élaboré des méthodes spéciales pour évaluer l</w:t>
      </w:r>
      <w:r w:rsidR="002A7A34">
        <w:rPr>
          <w:lang w:val="fr-FR"/>
        </w:rPr>
        <w:t>’</w:t>
      </w:r>
      <w:r w:rsidR="002A7A34" w:rsidRPr="00686CD4">
        <w:rPr>
          <w:lang w:val="fr-FR"/>
        </w:rPr>
        <w:t>efficacité et l</w:t>
      </w:r>
      <w:r w:rsidR="002A7A34">
        <w:rPr>
          <w:lang w:val="fr-FR"/>
        </w:rPr>
        <w:t>’</w:t>
      </w:r>
      <w:r w:rsidR="002A7A34" w:rsidRPr="00686CD4">
        <w:rPr>
          <w:lang w:val="fr-FR"/>
        </w:rPr>
        <w:t>incidence de ces formations sur la prévention de la torture et le respect du principe de l</w:t>
      </w:r>
      <w:r w:rsidR="002A7A34">
        <w:rPr>
          <w:lang w:val="fr-FR"/>
        </w:rPr>
        <w:t>’</w:t>
      </w:r>
      <w:r w:rsidR="002A7A34" w:rsidRPr="00686CD4">
        <w:rPr>
          <w:lang w:val="fr-FR"/>
        </w:rPr>
        <w:t>interdiction absolue de la torture.</w:t>
      </w:r>
      <w:bookmarkStart w:id="44" w:name="_Toc532494647"/>
      <w:bookmarkEnd w:id="44"/>
    </w:p>
    <w:p w:rsidR="002A7A34" w:rsidRPr="00686CD4" w:rsidRDefault="002A7A34" w:rsidP="002A7A34">
      <w:pPr>
        <w:pStyle w:val="SingleTxtG"/>
        <w:rPr>
          <w:lang w:val="fr-FR"/>
        </w:rPr>
      </w:pPr>
      <w:r w:rsidRPr="00686CD4">
        <w:rPr>
          <w:lang w:val="fr-FR"/>
        </w:rPr>
        <w:t>172.</w:t>
      </w:r>
      <w:r w:rsidRPr="00686CD4">
        <w:rPr>
          <w:lang w:val="fr-FR"/>
        </w:rPr>
        <w:tab/>
        <w:t>Voir la réponse donnée au paragraphe</w:t>
      </w:r>
      <w:r>
        <w:rPr>
          <w:lang w:val="fr-FR"/>
        </w:rPr>
        <w:t> </w:t>
      </w:r>
      <w:r w:rsidRPr="00686CD4">
        <w:rPr>
          <w:lang w:val="fr-FR"/>
        </w:rPr>
        <w:t xml:space="preserve">9. </w:t>
      </w:r>
    </w:p>
    <w:p w:rsidR="002A7A34" w:rsidRPr="00686CD4" w:rsidRDefault="002A7A34" w:rsidP="00805036">
      <w:pPr>
        <w:pStyle w:val="SingleTxtG"/>
        <w:rPr>
          <w:lang w:val="fr-FR"/>
        </w:rPr>
      </w:pPr>
      <w:r w:rsidRPr="00686CD4">
        <w:rPr>
          <w:lang w:val="fr-FR"/>
        </w:rPr>
        <w:t>173.</w:t>
      </w:r>
      <w:r w:rsidRPr="00686CD4">
        <w:rPr>
          <w:lang w:val="fr-FR"/>
        </w:rPr>
        <w:tab/>
        <w:t>Le Centre des études judiciaires n</w:t>
      </w:r>
      <w:r>
        <w:rPr>
          <w:lang w:val="fr-FR"/>
        </w:rPr>
        <w:t>’</w:t>
      </w:r>
      <w:r w:rsidRPr="00686CD4">
        <w:rPr>
          <w:lang w:val="fr-FR"/>
        </w:rPr>
        <w:t>emploie pas de méthode particulière pour évaluer l</w:t>
      </w:r>
      <w:r>
        <w:rPr>
          <w:lang w:val="fr-FR"/>
        </w:rPr>
        <w:t>’</w:t>
      </w:r>
      <w:r w:rsidRPr="00686CD4">
        <w:rPr>
          <w:lang w:val="fr-FR"/>
        </w:rPr>
        <w:t>efficacité et l</w:t>
      </w:r>
      <w:r>
        <w:rPr>
          <w:lang w:val="fr-FR"/>
        </w:rPr>
        <w:t>’</w:t>
      </w:r>
      <w:r w:rsidRPr="00686CD4">
        <w:rPr>
          <w:lang w:val="fr-FR"/>
        </w:rPr>
        <w:t>incidence des sessions de formation. Elle base son évaluation sur les réponses données à des questionnaires anonymes.</w:t>
      </w:r>
    </w:p>
    <w:p w:rsidR="002A7A34" w:rsidRPr="00686CD4" w:rsidRDefault="002A7A34" w:rsidP="00587F32">
      <w:pPr>
        <w:pStyle w:val="H1G"/>
        <w:rPr>
          <w:lang w:val="fr-FR"/>
        </w:rPr>
      </w:pPr>
      <w:r w:rsidRPr="00686CD4">
        <w:rPr>
          <w:lang w:val="fr-FR"/>
        </w:rPr>
        <w:lastRenderedPageBreak/>
        <w:tab/>
      </w:r>
      <w:r w:rsidRPr="00686CD4">
        <w:rPr>
          <w:lang w:val="fr-FR"/>
        </w:rPr>
        <w:tab/>
      </w:r>
      <w:bookmarkStart w:id="45" w:name="_Toc532494648"/>
      <w:r w:rsidRPr="00686CD4">
        <w:rPr>
          <w:lang w:val="fr-FR"/>
        </w:rPr>
        <w:t>Article 11</w:t>
      </w:r>
      <w:bookmarkEnd w:id="45"/>
    </w:p>
    <w:p w:rsidR="002A7A34" w:rsidRPr="00686CD4" w:rsidRDefault="00587F32" w:rsidP="00587F32">
      <w:pPr>
        <w:pStyle w:val="H23G"/>
        <w:jc w:val="both"/>
        <w:rPr>
          <w:lang w:val="fr-FR"/>
        </w:rPr>
      </w:pPr>
      <w:r>
        <w:rPr>
          <w:lang w:val="fr-FR"/>
        </w:rPr>
        <w:tab/>
      </w:r>
      <w:r w:rsidR="002A7A34" w:rsidRPr="00686CD4">
        <w:rPr>
          <w:lang w:val="fr-FR"/>
        </w:rPr>
        <w:t>11.</w:t>
      </w:r>
      <w:r w:rsidR="002A7A34" w:rsidRPr="00686CD4">
        <w:rPr>
          <w:lang w:val="fr-FR"/>
        </w:rPr>
        <w:tab/>
        <w:t>Compte tenu des précédentes observations finales du Comité (par.</w:t>
      </w:r>
      <w:r w:rsidR="002A7A34">
        <w:rPr>
          <w:lang w:val="fr-FR"/>
        </w:rPr>
        <w:t> </w:t>
      </w:r>
      <w:r w:rsidR="002A7A34" w:rsidRPr="00686CD4">
        <w:rPr>
          <w:lang w:val="fr-FR"/>
        </w:rPr>
        <w:t>11 a), b) et c)), donner des informations à jour sur</w:t>
      </w:r>
      <w:r w:rsidR="00495D0F">
        <w:rPr>
          <w:lang w:val="fr-FR"/>
        </w:rPr>
        <w:t> :</w:t>
      </w:r>
      <w:r w:rsidR="002A7A34" w:rsidRPr="00686CD4">
        <w:rPr>
          <w:lang w:val="fr-FR"/>
        </w:rPr>
        <w:t xml:space="preserve"> </w:t>
      </w:r>
      <w:bookmarkStart w:id="46" w:name="_Toc532494649"/>
      <w:bookmarkEnd w:id="46"/>
    </w:p>
    <w:p w:rsidR="002A7A34" w:rsidRPr="00686CD4" w:rsidRDefault="002A7A34" w:rsidP="00587F32">
      <w:pPr>
        <w:pStyle w:val="H23G"/>
        <w:jc w:val="both"/>
        <w:rPr>
          <w:lang w:val="fr-FR"/>
        </w:rPr>
      </w:pPr>
      <w:r w:rsidRPr="00686CD4">
        <w:rPr>
          <w:lang w:val="fr-FR"/>
        </w:rPr>
        <w:tab/>
      </w:r>
      <w:bookmarkStart w:id="47" w:name="_Toc532494650"/>
      <w:r w:rsidRPr="00686CD4">
        <w:rPr>
          <w:lang w:val="fr-FR"/>
        </w:rPr>
        <w:tab/>
      </w:r>
      <w:r w:rsidRPr="00686CD4">
        <w:rPr>
          <w:lang w:val="fr-FR"/>
        </w:rPr>
        <w:tab/>
        <w:t>a)</w:t>
      </w:r>
      <w:r w:rsidRPr="00686CD4">
        <w:rPr>
          <w:lang w:val="fr-FR"/>
        </w:rPr>
        <w:tab/>
        <w:t>Le taux d</w:t>
      </w:r>
      <w:r>
        <w:rPr>
          <w:lang w:val="fr-FR"/>
        </w:rPr>
        <w:t>’</w:t>
      </w:r>
      <w:r w:rsidRPr="00686CD4">
        <w:rPr>
          <w:lang w:val="fr-FR"/>
        </w:rPr>
        <w:t>occupation de tous les lieux de détention, y compris les postes de police, et les mesures prises pour réduire le surpeuplement, en particulier dans la prison de Setúbal et dans la prison régionale d</w:t>
      </w:r>
      <w:r>
        <w:rPr>
          <w:lang w:val="fr-FR"/>
        </w:rPr>
        <w:t>’</w:t>
      </w:r>
      <w:r w:rsidRPr="00686CD4">
        <w:rPr>
          <w:lang w:val="fr-FR"/>
        </w:rPr>
        <w:t>Angra do Heroismo (Açores)</w:t>
      </w:r>
      <w:r w:rsidR="00495D0F">
        <w:rPr>
          <w:lang w:val="fr-FR"/>
        </w:rPr>
        <w:t> ;</w:t>
      </w:r>
      <w:bookmarkEnd w:id="47"/>
    </w:p>
    <w:p w:rsidR="002A7A34" w:rsidRPr="00686CD4" w:rsidRDefault="002A7A34" w:rsidP="00587F32">
      <w:pPr>
        <w:pStyle w:val="SingleTxtG"/>
        <w:rPr>
          <w:lang w:val="fr-FR"/>
        </w:rPr>
      </w:pPr>
      <w:r w:rsidRPr="00686CD4">
        <w:rPr>
          <w:lang w:val="fr-FR"/>
        </w:rPr>
        <w:t>174.</w:t>
      </w:r>
      <w:r w:rsidRPr="00686CD4">
        <w:rPr>
          <w:lang w:val="fr-FR"/>
        </w:rPr>
        <w:tab/>
        <w:t>En novembre</w:t>
      </w:r>
      <w:r w:rsidR="00587F32">
        <w:rPr>
          <w:lang w:val="fr-FR"/>
        </w:rPr>
        <w:t xml:space="preserve"> </w:t>
      </w:r>
      <w:r w:rsidRPr="00686CD4">
        <w:rPr>
          <w:lang w:val="fr-FR"/>
        </w:rPr>
        <w:t>2017, le taux d</w:t>
      </w:r>
      <w:r>
        <w:rPr>
          <w:lang w:val="fr-FR"/>
        </w:rPr>
        <w:t>’</w:t>
      </w:r>
      <w:r w:rsidRPr="00686CD4">
        <w:rPr>
          <w:lang w:val="fr-FR"/>
        </w:rPr>
        <w:t>occupation général des établissements du système pénitentiaire atteignait 106,2 %. Il n</w:t>
      </w:r>
      <w:r>
        <w:rPr>
          <w:lang w:val="fr-FR"/>
        </w:rPr>
        <w:t>’</w:t>
      </w:r>
      <w:r w:rsidRPr="00686CD4">
        <w:rPr>
          <w:lang w:val="fr-FR"/>
        </w:rPr>
        <w:t xml:space="preserve">était </w:t>
      </w:r>
      <w:r>
        <w:rPr>
          <w:lang w:val="fr-FR"/>
        </w:rPr>
        <w:t xml:space="preserve">toutefois </w:t>
      </w:r>
      <w:r w:rsidRPr="00686CD4">
        <w:rPr>
          <w:lang w:val="fr-FR"/>
        </w:rPr>
        <w:t>que de 102,2</w:t>
      </w:r>
      <w:r w:rsidR="00587F32">
        <w:rPr>
          <w:lang w:val="fr-FR"/>
        </w:rPr>
        <w:t> </w:t>
      </w:r>
      <w:r w:rsidRPr="00686CD4">
        <w:rPr>
          <w:lang w:val="fr-FR"/>
        </w:rPr>
        <w:t>% si l</w:t>
      </w:r>
      <w:r>
        <w:rPr>
          <w:lang w:val="fr-FR"/>
        </w:rPr>
        <w:t>’</w:t>
      </w:r>
      <w:r w:rsidRPr="00686CD4">
        <w:rPr>
          <w:lang w:val="fr-FR"/>
        </w:rPr>
        <w:t>on fait abstraction des détenus incarcérés pendant le week-end</w:t>
      </w:r>
      <w:r>
        <w:rPr>
          <w:lang w:val="fr-FR"/>
        </w:rPr>
        <w:t>,</w:t>
      </w:r>
      <w:r w:rsidRPr="00686CD4">
        <w:rPr>
          <w:lang w:val="fr-FR"/>
        </w:rPr>
        <w:t xml:space="preserve"> mais libres le reste de la semaine.</w:t>
      </w:r>
    </w:p>
    <w:p w:rsidR="002A7A34" w:rsidRPr="00686CD4" w:rsidRDefault="002A7A34" w:rsidP="00587F32">
      <w:pPr>
        <w:pStyle w:val="SingleTxtG"/>
        <w:rPr>
          <w:lang w:val="fr-FR"/>
        </w:rPr>
      </w:pPr>
      <w:r w:rsidRPr="00686CD4">
        <w:rPr>
          <w:lang w:val="fr-FR"/>
        </w:rPr>
        <w:t>175.</w:t>
      </w:r>
      <w:r w:rsidRPr="00686CD4">
        <w:rPr>
          <w:lang w:val="fr-FR"/>
        </w:rPr>
        <w:tab/>
        <w:t>Le taux d</w:t>
      </w:r>
      <w:r>
        <w:rPr>
          <w:lang w:val="fr-FR"/>
        </w:rPr>
        <w:t>’</w:t>
      </w:r>
      <w:r w:rsidRPr="00686CD4">
        <w:rPr>
          <w:lang w:val="fr-FR"/>
        </w:rPr>
        <w:t>occupation de la prison d</w:t>
      </w:r>
      <w:r>
        <w:rPr>
          <w:lang w:val="fr-FR"/>
        </w:rPr>
        <w:t>’</w:t>
      </w:r>
      <w:r w:rsidRPr="00686CD4">
        <w:rPr>
          <w:lang w:val="fr-FR"/>
        </w:rPr>
        <w:t xml:space="preserve">Angra do </w:t>
      </w:r>
      <w:proofErr w:type="spellStart"/>
      <w:r w:rsidRPr="00686CD4">
        <w:rPr>
          <w:lang w:val="fr-FR"/>
        </w:rPr>
        <w:t>Heroísmo</w:t>
      </w:r>
      <w:proofErr w:type="spellEnd"/>
      <w:r w:rsidRPr="00686CD4">
        <w:rPr>
          <w:lang w:val="fr-FR"/>
        </w:rPr>
        <w:t xml:space="preserve"> était de 47,7 % le 1</w:t>
      </w:r>
      <w:r w:rsidRPr="00686CD4">
        <w:rPr>
          <w:vertAlign w:val="superscript"/>
          <w:lang w:val="fr-FR"/>
        </w:rPr>
        <w:t>er </w:t>
      </w:r>
      <w:r w:rsidRPr="00686CD4">
        <w:rPr>
          <w:lang w:val="fr-FR"/>
        </w:rPr>
        <w:t>novembre.</w:t>
      </w:r>
    </w:p>
    <w:p w:rsidR="002A7A34" w:rsidRPr="00686CD4" w:rsidRDefault="002A7A34" w:rsidP="00587F32">
      <w:pPr>
        <w:pStyle w:val="SingleTxtG"/>
        <w:rPr>
          <w:lang w:val="fr-FR"/>
        </w:rPr>
      </w:pPr>
      <w:r w:rsidRPr="00686CD4">
        <w:rPr>
          <w:lang w:val="fr-FR"/>
        </w:rPr>
        <w:t>176.</w:t>
      </w:r>
      <w:r w:rsidRPr="00686CD4">
        <w:rPr>
          <w:lang w:val="fr-FR"/>
        </w:rPr>
        <w:tab/>
        <w:t>Bien que la prison de Setúbal fasse partie des huit prisons qui doivent être fermées, des travaux ont été entrepris dans les cellules</w:t>
      </w:r>
      <w:r>
        <w:rPr>
          <w:lang w:val="fr-FR"/>
        </w:rPr>
        <w:t xml:space="preserve">, qui </w:t>
      </w:r>
      <w:r w:rsidRPr="00686CD4">
        <w:rPr>
          <w:lang w:val="fr-FR"/>
        </w:rPr>
        <w:t>amélioreront considérablement les conditions de vie</w:t>
      </w:r>
      <w:r w:rsidR="00495D0F">
        <w:rPr>
          <w:lang w:val="fr-FR"/>
        </w:rPr>
        <w:t> ;</w:t>
      </w:r>
      <w:r w:rsidRPr="00686CD4">
        <w:rPr>
          <w:lang w:val="fr-FR"/>
        </w:rPr>
        <w:t xml:space="preserve"> des efforts sont également déployés en vue de réduire le taux d</w:t>
      </w:r>
      <w:r>
        <w:rPr>
          <w:lang w:val="fr-FR"/>
        </w:rPr>
        <w:t>’</w:t>
      </w:r>
      <w:r w:rsidRPr="00686CD4">
        <w:rPr>
          <w:lang w:val="fr-FR"/>
        </w:rPr>
        <w:t>occupation</w:t>
      </w:r>
      <w:r>
        <w:rPr>
          <w:lang w:val="fr-FR"/>
        </w:rPr>
        <w:t xml:space="preserve"> de cet établissement</w:t>
      </w:r>
      <w:r w:rsidRPr="00686CD4">
        <w:rPr>
          <w:lang w:val="fr-FR"/>
        </w:rPr>
        <w:t>. La prison comptait 258 détenus le 1</w:t>
      </w:r>
      <w:r w:rsidRPr="00686CD4">
        <w:rPr>
          <w:vertAlign w:val="superscript"/>
          <w:lang w:val="fr-FR"/>
        </w:rPr>
        <w:t>e</w:t>
      </w:r>
      <w:r w:rsidR="00587F32">
        <w:rPr>
          <w:vertAlign w:val="superscript"/>
          <w:lang w:val="fr-FR"/>
        </w:rPr>
        <w:t>r</w:t>
      </w:r>
      <w:r w:rsidRPr="00686CD4">
        <w:rPr>
          <w:vertAlign w:val="superscript"/>
          <w:lang w:val="fr-FR"/>
        </w:rPr>
        <w:t> </w:t>
      </w:r>
      <w:r w:rsidRPr="00686CD4">
        <w:rPr>
          <w:lang w:val="fr-FR"/>
        </w:rPr>
        <w:t>novembre 2017, soit un chiffre nettement inférieur à celui de 314 enregistré le 1</w:t>
      </w:r>
      <w:r w:rsidRPr="00686CD4">
        <w:rPr>
          <w:vertAlign w:val="superscript"/>
          <w:lang w:val="fr-FR"/>
        </w:rPr>
        <w:t>e</w:t>
      </w:r>
      <w:r w:rsidR="00587F32">
        <w:rPr>
          <w:vertAlign w:val="superscript"/>
          <w:lang w:val="fr-FR"/>
        </w:rPr>
        <w:t>r</w:t>
      </w:r>
      <w:r w:rsidR="00495D0F">
        <w:rPr>
          <w:vertAlign w:val="superscript"/>
          <w:lang w:val="fr-FR"/>
        </w:rPr>
        <w:t xml:space="preserve"> </w:t>
      </w:r>
      <w:r w:rsidRPr="00686CD4">
        <w:rPr>
          <w:lang w:val="fr-FR"/>
        </w:rPr>
        <w:t>octobre</w:t>
      </w:r>
      <w:r w:rsidR="00495D0F">
        <w:rPr>
          <w:lang w:val="fr-FR"/>
        </w:rPr>
        <w:t xml:space="preserve"> </w:t>
      </w:r>
      <w:r>
        <w:rPr>
          <w:lang w:val="fr-FR"/>
        </w:rPr>
        <w:t>2</w:t>
      </w:r>
      <w:r w:rsidRPr="00686CD4">
        <w:rPr>
          <w:lang w:val="fr-FR"/>
        </w:rPr>
        <w:t>016.</w:t>
      </w:r>
    </w:p>
    <w:p w:rsidR="002A7A34" w:rsidRPr="00686CD4" w:rsidRDefault="002A7A34" w:rsidP="00587F32">
      <w:pPr>
        <w:pStyle w:val="SingleTxtG"/>
        <w:rPr>
          <w:lang w:val="fr-FR"/>
        </w:rPr>
      </w:pPr>
      <w:r w:rsidRPr="00686CD4">
        <w:rPr>
          <w:lang w:val="fr-FR"/>
        </w:rPr>
        <w:t>177.</w:t>
      </w:r>
      <w:r w:rsidRPr="00686CD4">
        <w:rPr>
          <w:lang w:val="fr-FR"/>
        </w:rPr>
        <w:tab/>
        <w:t>Au nombre des mesures prises pour réduire le surpeuplement figurent</w:t>
      </w:r>
      <w:r w:rsidR="00495D0F">
        <w:rPr>
          <w:lang w:val="fr-FR"/>
        </w:rPr>
        <w:t> :</w:t>
      </w:r>
      <w:r w:rsidRPr="00686CD4">
        <w:rPr>
          <w:lang w:val="fr-FR"/>
        </w:rPr>
        <w:t xml:space="preserve"> l</w:t>
      </w:r>
      <w:r>
        <w:rPr>
          <w:lang w:val="fr-FR"/>
        </w:rPr>
        <w:t>’</w:t>
      </w:r>
      <w:r w:rsidRPr="00686CD4">
        <w:rPr>
          <w:lang w:val="fr-FR"/>
        </w:rPr>
        <w:t>approbation de la loi</w:t>
      </w:r>
      <w:r>
        <w:rPr>
          <w:lang w:val="fr-FR"/>
        </w:rPr>
        <w:t xml:space="preserve"> </w:t>
      </w:r>
      <w:r w:rsidR="003C284C" w:rsidRPr="00553571">
        <w:rPr>
          <w:rFonts w:eastAsia="MS Mincho"/>
          <w:lang w:val="fr-FR"/>
        </w:rPr>
        <w:t>n</w:t>
      </w:r>
      <w:r w:rsidR="003C284C" w:rsidRPr="00553571">
        <w:rPr>
          <w:rFonts w:eastAsia="MS Mincho"/>
          <w:vertAlign w:val="superscript"/>
          <w:lang w:val="fr-FR"/>
        </w:rPr>
        <w:t>o</w:t>
      </w:r>
      <w:r w:rsidR="003C284C">
        <w:rPr>
          <w:lang w:val="fr-FR"/>
        </w:rPr>
        <w:t> </w:t>
      </w:r>
      <w:r w:rsidRPr="00686CD4">
        <w:rPr>
          <w:lang w:val="fr-FR"/>
        </w:rPr>
        <w:t xml:space="preserve">94/2017 du 23 août, qui </w:t>
      </w:r>
      <w:r>
        <w:rPr>
          <w:lang w:val="fr-FR"/>
        </w:rPr>
        <w:t>supprime</w:t>
      </w:r>
      <w:r w:rsidRPr="00686CD4">
        <w:rPr>
          <w:lang w:val="fr-FR"/>
        </w:rPr>
        <w:t xml:space="preserve"> les peines de prison comportant des jours de liberté et le régime de semi-détention et le remplace par un système d</w:t>
      </w:r>
      <w:r>
        <w:rPr>
          <w:lang w:val="fr-FR"/>
        </w:rPr>
        <w:t>’</w:t>
      </w:r>
      <w:r w:rsidRPr="00686CD4">
        <w:rPr>
          <w:lang w:val="fr-FR"/>
        </w:rPr>
        <w:t>assignation à résidence avec surveillance électronique (</w:t>
      </w:r>
      <w:r>
        <w:rPr>
          <w:lang w:val="fr-FR"/>
        </w:rPr>
        <w:t xml:space="preserve">méthode de </w:t>
      </w:r>
      <w:r w:rsidRPr="00686CD4">
        <w:rPr>
          <w:lang w:val="fr-FR"/>
        </w:rPr>
        <w:t>resociali</w:t>
      </w:r>
      <w:r>
        <w:rPr>
          <w:lang w:val="fr-FR"/>
        </w:rPr>
        <w:t>sation de</w:t>
      </w:r>
      <w:r w:rsidRPr="00686CD4">
        <w:rPr>
          <w:lang w:val="fr-FR"/>
        </w:rPr>
        <w:t xml:space="preserve"> la personne </w:t>
      </w:r>
      <w:r>
        <w:rPr>
          <w:lang w:val="fr-FR"/>
        </w:rPr>
        <w:t xml:space="preserve">axée sur la prévention </w:t>
      </w:r>
      <w:r w:rsidRPr="00686CD4">
        <w:rPr>
          <w:lang w:val="fr-FR"/>
        </w:rPr>
        <w:t>de</w:t>
      </w:r>
      <w:r>
        <w:rPr>
          <w:lang w:val="fr-FR"/>
        </w:rPr>
        <w:t xml:space="preserve"> la commission de</w:t>
      </w:r>
      <w:r w:rsidRPr="00686CD4">
        <w:rPr>
          <w:lang w:val="fr-FR"/>
        </w:rPr>
        <w:t xml:space="preserve"> nouve</w:t>
      </w:r>
      <w:r>
        <w:rPr>
          <w:lang w:val="fr-FR"/>
        </w:rPr>
        <w:t>lles infractions</w:t>
      </w:r>
      <w:r w:rsidRPr="00686CD4">
        <w:rPr>
          <w:lang w:val="fr-FR"/>
        </w:rPr>
        <w:t xml:space="preserve"> </w:t>
      </w:r>
      <w:r>
        <w:rPr>
          <w:lang w:val="fr-FR"/>
        </w:rPr>
        <w:t>et la réi</w:t>
      </w:r>
      <w:r w:rsidRPr="00686CD4">
        <w:rPr>
          <w:lang w:val="fr-FR"/>
        </w:rPr>
        <w:t>ntégr</w:t>
      </w:r>
      <w:r>
        <w:rPr>
          <w:lang w:val="fr-FR"/>
        </w:rPr>
        <w:t>ation</w:t>
      </w:r>
      <w:r w:rsidRPr="00686CD4">
        <w:rPr>
          <w:lang w:val="fr-FR"/>
        </w:rPr>
        <w:t xml:space="preserve"> </w:t>
      </w:r>
      <w:r>
        <w:rPr>
          <w:lang w:val="fr-FR"/>
        </w:rPr>
        <w:t>du</w:t>
      </w:r>
      <w:r w:rsidRPr="00686CD4">
        <w:rPr>
          <w:lang w:val="fr-FR"/>
        </w:rPr>
        <w:t xml:space="preserve"> condamné dans</w:t>
      </w:r>
      <w:r>
        <w:rPr>
          <w:lang w:val="fr-FR"/>
        </w:rPr>
        <w:t xml:space="preserve"> son milieu</w:t>
      </w:r>
      <w:r w:rsidRPr="00686CD4">
        <w:rPr>
          <w:lang w:val="fr-FR"/>
        </w:rPr>
        <w:t>)</w:t>
      </w:r>
      <w:r w:rsidR="00495D0F">
        <w:rPr>
          <w:lang w:val="fr-FR"/>
        </w:rPr>
        <w:t> ;</w:t>
      </w:r>
      <w:r w:rsidRPr="00686CD4">
        <w:rPr>
          <w:lang w:val="fr-FR"/>
        </w:rPr>
        <w:t xml:space="preserve"> la constitution d</w:t>
      </w:r>
      <w:r>
        <w:rPr>
          <w:lang w:val="fr-FR"/>
        </w:rPr>
        <w:t>’</w:t>
      </w:r>
      <w:r w:rsidRPr="00686CD4">
        <w:rPr>
          <w:lang w:val="fr-FR"/>
        </w:rPr>
        <w:t xml:space="preserve">un groupe de travail </w:t>
      </w:r>
      <w:r>
        <w:rPr>
          <w:lang w:val="fr-FR"/>
        </w:rPr>
        <w:t>multi</w:t>
      </w:r>
      <w:r w:rsidRPr="00686CD4">
        <w:rPr>
          <w:lang w:val="fr-FR"/>
        </w:rPr>
        <w:t>disciplinaire pour l</w:t>
      </w:r>
      <w:r>
        <w:rPr>
          <w:lang w:val="fr-FR"/>
        </w:rPr>
        <w:t>’</w:t>
      </w:r>
      <w:r w:rsidRPr="00686CD4">
        <w:rPr>
          <w:lang w:val="fr-FR"/>
        </w:rPr>
        <w:t>application et le suivi de la loi, c</w:t>
      </w:r>
      <w:r>
        <w:rPr>
          <w:lang w:val="fr-FR"/>
        </w:rPr>
        <w:t>’</w:t>
      </w:r>
      <w:r w:rsidRPr="00686CD4">
        <w:rPr>
          <w:lang w:val="fr-FR"/>
        </w:rPr>
        <w:t>est-à-dire pour l</w:t>
      </w:r>
      <w:r>
        <w:rPr>
          <w:lang w:val="fr-FR"/>
        </w:rPr>
        <w:t>’</w:t>
      </w:r>
      <w:r w:rsidRPr="00686CD4">
        <w:rPr>
          <w:lang w:val="fr-FR"/>
        </w:rPr>
        <w:t xml:space="preserve">évaluation de son application </w:t>
      </w:r>
      <w:r>
        <w:rPr>
          <w:lang w:val="fr-FR"/>
        </w:rPr>
        <w:t xml:space="preserve">ainsi que </w:t>
      </w:r>
      <w:r w:rsidRPr="00686CD4">
        <w:rPr>
          <w:lang w:val="fr-FR"/>
        </w:rPr>
        <w:t xml:space="preserve">des nouveaux problèmes posés par </w:t>
      </w:r>
      <w:r>
        <w:rPr>
          <w:lang w:val="fr-FR"/>
        </w:rPr>
        <w:t xml:space="preserve">le </w:t>
      </w:r>
      <w:r w:rsidRPr="00686CD4">
        <w:rPr>
          <w:lang w:val="fr-FR"/>
        </w:rPr>
        <w:t xml:space="preserve">système de surveillance électronique. Ce groupe de travail a achevé ses travaux et a soumis son rapport </w:t>
      </w:r>
      <w:r w:rsidRPr="004226AE">
        <w:rPr>
          <w:lang w:val="fr-FR"/>
        </w:rPr>
        <w:t>final le 16</w:t>
      </w:r>
      <w:r w:rsidRPr="00035ED5">
        <w:rPr>
          <w:lang w:val="fr-FR"/>
        </w:rPr>
        <w:t> juin</w:t>
      </w:r>
      <w:r w:rsidR="003C284C">
        <w:rPr>
          <w:lang w:val="fr-FR"/>
        </w:rPr>
        <w:t xml:space="preserve"> </w:t>
      </w:r>
      <w:r w:rsidRPr="00ED6346">
        <w:rPr>
          <w:lang w:val="fr-FR"/>
        </w:rPr>
        <w:t>2017</w:t>
      </w:r>
      <w:r w:rsidRPr="00DC6FB4">
        <w:rPr>
          <w:lang w:val="fr-FR"/>
        </w:rPr>
        <w:t>.</w:t>
      </w:r>
      <w:r w:rsidRPr="00686CD4">
        <w:rPr>
          <w:lang w:val="fr-FR"/>
        </w:rPr>
        <w:t xml:space="preserve"> </w:t>
      </w:r>
    </w:p>
    <w:p w:rsidR="002A7A34" w:rsidRPr="00686CD4" w:rsidRDefault="002A7A34" w:rsidP="003C284C">
      <w:pPr>
        <w:pStyle w:val="SingleTxtG"/>
        <w:rPr>
          <w:lang w:val="fr-FR"/>
        </w:rPr>
      </w:pPr>
      <w:r w:rsidRPr="00686CD4">
        <w:rPr>
          <w:lang w:val="fr-FR"/>
        </w:rPr>
        <w:t>178.</w:t>
      </w:r>
      <w:r w:rsidRPr="00686CD4">
        <w:rPr>
          <w:lang w:val="fr-FR"/>
        </w:rPr>
        <w:tab/>
        <w:t>Conformément aux dispositions énoncées à l</w:t>
      </w:r>
      <w:r>
        <w:rPr>
          <w:lang w:val="fr-FR"/>
        </w:rPr>
        <w:t>’</w:t>
      </w:r>
      <w:r w:rsidRPr="00686CD4">
        <w:rPr>
          <w:lang w:val="fr-FR"/>
        </w:rPr>
        <w:t>article</w:t>
      </w:r>
      <w:r>
        <w:rPr>
          <w:lang w:val="fr-FR"/>
        </w:rPr>
        <w:t> </w:t>
      </w:r>
      <w:r w:rsidRPr="00686CD4">
        <w:rPr>
          <w:lang w:val="fr-FR"/>
        </w:rPr>
        <w:t>189 de la loi de finances de</w:t>
      </w:r>
      <w:r>
        <w:rPr>
          <w:lang w:val="fr-FR"/>
        </w:rPr>
        <w:t> </w:t>
      </w:r>
      <w:r w:rsidRPr="00686CD4">
        <w:rPr>
          <w:lang w:val="fr-FR"/>
        </w:rPr>
        <w:t>2017, le Gouvernement définira une stratégie pluriannuelle de requalification et de modernisation du système carcéral durant l</w:t>
      </w:r>
      <w:r>
        <w:rPr>
          <w:lang w:val="fr-FR"/>
        </w:rPr>
        <w:t>’</w:t>
      </w:r>
      <w:r w:rsidRPr="00686CD4">
        <w:rPr>
          <w:lang w:val="fr-FR"/>
        </w:rPr>
        <w:t xml:space="preserve">année. </w:t>
      </w:r>
    </w:p>
    <w:p w:rsidR="002A7A34" w:rsidRPr="00686CD4" w:rsidRDefault="002A7A34" w:rsidP="003C284C">
      <w:pPr>
        <w:pStyle w:val="SingleTxtG"/>
        <w:rPr>
          <w:lang w:val="fr-FR"/>
        </w:rPr>
      </w:pPr>
      <w:r w:rsidRPr="00686CD4">
        <w:rPr>
          <w:lang w:val="fr-FR"/>
        </w:rPr>
        <w:t>179.</w:t>
      </w:r>
      <w:r w:rsidRPr="00686CD4">
        <w:rPr>
          <w:lang w:val="fr-FR"/>
        </w:rPr>
        <w:tab/>
        <w:t>D</w:t>
      </w:r>
      <w:r>
        <w:rPr>
          <w:lang w:val="fr-FR"/>
        </w:rPr>
        <w:t>’</w:t>
      </w:r>
      <w:r w:rsidRPr="00686CD4">
        <w:rPr>
          <w:lang w:val="fr-FR"/>
        </w:rPr>
        <w:t xml:space="preserve">après le programme du </w:t>
      </w:r>
      <w:r>
        <w:rPr>
          <w:lang w:val="fr-FR"/>
        </w:rPr>
        <w:t>G</w:t>
      </w:r>
      <w:r w:rsidRPr="00686CD4">
        <w:rPr>
          <w:lang w:val="fr-FR"/>
        </w:rPr>
        <w:t>ouvernement, le plan établi pour l</w:t>
      </w:r>
      <w:r>
        <w:rPr>
          <w:lang w:val="fr-FR"/>
        </w:rPr>
        <w:t xml:space="preserve">es années à </w:t>
      </w:r>
      <w:r w:rsidRPr="00686CD4">
        <w:rPr>
          <w:lang w:val="fr-FR"/>
        </w:rPr>
        <w:t>venir a pour objet de rationaliser et de moderniser le réseau des prisons ainsi que le réseau national des centres d</w:t>
      </w:r>
      <w:r>
        <w:rPr>
          <w:lang w:val="fr-FR"/>
        </w:rPr>
        <w:t>’</w:t>
      </w:r>
      <w:r w:rsidRPr="00686CD4">
        <w:rPr>
          <w:lang w:val="fr-FR"/>
        </w:rPr>
        <w:t>éducation. Quatre groupes de travail opérant de manière concertée ont préparé un rapport présentant une vision stratégique du système d</w:t>
      </w:r>
      <w:r>
        <w:rPr>
          <w:lang w:val="fr-FR"/>
        </w:rPr>
        <w:t>’</w:t>
      </w:r>
      <w:r w:rsidRPr="00686CD4">
        <w:rPr>
          <w:lang w:val="fr-FR"/>
        </w:rPr>
        <w:t xml:space="preserve">application des sentences et des procédures pénales </w:t>
      </w:r>
      <w:r>
        <w:rPr>
          <w:lang w:val="fr-FR"/>
        </w:rPr>
        <w:t xml:space="preserve">ainsi que </w:t>
      </w:r>
      <w:r w:rsidRPr="00686CD4">
        <w:rPr>
          <w:lang w:val="fr-FR"/>
        </w:rPr>
        <w:t>des mesures d</w:t>
      </w:r>
      <w:r>
        <w:rPr>
          <w:lang w:val="fr-FR"/>
        </w:rPr>
        <w:t>’</w:t>
      </w:r>
      <w:r w:rsidRPr="00686CD4">
        <w:rPr>
          <w:lang w:val="fr-FR"/>
        </w:rPr>
        <w:t xml:space="preserve">accompagnement </w:t>
      </w:r>
      <w:r>
        <w:rPr>
          <w:lang w:val="fr-FR"/>
        </w:rPr>
        <w:t xml:space="preserve">et </w:t>
      </w:r>
      <w:r w:rsidRPr="00686CD4">
        <w:rPr>
          <w:lang w:val="fr-FR"/>
        </w:rPr>
        <w:t xml:space="preserve">de formation, </w:t>
      </w:r>
      <w:r>
        <w:rPr>
          <w:lang w:val="fr-FR"/>
        </w:rPr>
        <w:t xml:space="preserve">et une </w:t>
      </w:r>
      <w:r w:rsidRPr="00686CD4">
        <w:rPr>
          <w:lang w:val="fr-FR"/>
        </w:rPr>
        <w:t>évaluation des besoins en ressources humaines et matérielles. Ce rapport a été publié en septembre</w:t>
      </w:r>
      <w:r>
        <w:rPr>
          <w:lang w:val="fr-FR"/>
        </w:rPr>
        <w:t> </w:t>
      </w:r>
      <w:r w:rsidRPr="00686CD4">
        <w:rPr>
          <w:lang w:val="fr-FR"/>
        </w:rPr>
        <w:t>2017</w:t>
      </w:r>
      <w:r w:rsidRPr="00F16A9E">
        <w:rPr>
          <w:rStyle w:val="Appelnotedebasdep"/>
        </w:rPr>
        <w:footnoteReference w:id="19"/>
      </w:r>
      <w:r w:rsidRPr="00686CD4">
        <w:rPr>
          <w:lang w:val="fr-FR"/>
        </w:rPr>
        <w:t>.</w:t>
      </w:r>
    </w:p>
    <w:p w:rsidR="002A7A34" w:rsidRPr="00686CD4" w:rsidRDefault="002A7A34" w:rsidP="003C284C">
      <w:pPr>
        <w:pStyle w:val="SingleTxtG"/>
        <w:rPr>
          <w:lang w:val="fr-FR"/>
        </w:rPr>
      </w:pPr>
      <w:r w:rsidRPr="00686CD4">
        <w:rPr>
          <w:lang w:val="fr-FR"/>
        </w:rPr>
        <w:t>180.</w:t>
      </w:r>
      <w:r w:rsidRPr="00686CD4">
        <w:rPr>
          <w:lang w:val="fr-FR"/>
        </w:rPr>
        <w:tab/>
      </w:r>
      <w:r>
        <w:rPr>
          <w:lang w:val="fr-FR"/>
        </w:rPr>
        <w:t xml:space="preserve">Sur la base </w:t>
      </w:r>
      <w:r w:rsidRPr="00686CD4">
        <w:rPr>
          <w:lang w:val="fr-FR"/>
        </w:rPr>
        <w:t xml:space="preserve">de ce rapport, le </w:t>
      </w:r>
      <w:r>
        <w:rPr>
          <w:lang w:val="fr-FR"/>
        </w:rPr>
        <w:t>G</w:t>
      </w:r>
      <w:r w:rsidRPr="00686CD4">
        <w:rPr>
          <w:lang w:val="fr-FR"/>
        </w:rPr>
        <w:t xml:space="preserve">ouvernement a </w:t>
      </w:r>
      <w:r>
        <w:rPr>
          <w:lang w:val="fr-FR"/>
        </w:rPr>
        <w:t xml:space="preserve">décidé </w:t>
      </w:r>
      <w:r w:rsidRPr="00686CD4">
        <w:rPr>
          <w:lang w:val="fr-FR"/>
        </w:rPr>
        <w:t xml:space="preserve">de fermer </w:t>
      </w:r>
      <w:r>
        <w:rPr>
          <w:lang w:val="fr-FR"/>
        </w:rPr>
        <w:t xml:space="preserve">huit </w:t>
      </w:r>
      <w:r w:rsidRPr="00686CD4">
        <w:rPr>
          <w:lang w:val="fr-FR"/>
        </w:rPr>
        <w:t xml:space="preserve">établissements pénitentiaires (Lisboa, Caxias, Ponta </w:t>
      </w:r>
      <w:proofErr w:type="spellStart"/>
      <w:r w:rsidRPr="00686CD4">
        <w:rPr>
          <w:lang w:val="fr-FR"/>
        </w:rPr>
        <w:t>Delgada</w:t>
      </w:r>
      <w:proofErr w:type="spellEnd"/>
      <w:r w:rsidRPr="00686CD4">
        <w:rPr>
          <w:lang w:val="fr-FR"/>
        </w:rPr>
        <w:t xml:space="preserve">, Setúbal, Leiria (centre régional), </w:t>
      </w:r>
      <w:proofErr w:type="spellStart"/>
      <w:r w:rsidRPr="00686CD4">
        <w:rPr>
          <w:lang w:val="fr-FR"/>
        </w:rPr>
        <w:t>Viseu</w:t>
      </w:r>
      <w:proofErr w:type="spellEnd"/>
      <w:r w:rsidRPr="00686CD4">
        <w:rPr>
          <w:lang w:val="fr-FR"/>
        </w:rPr>
        <w:t xml:space="preserve"> (centre régional), </w:t>
      </w:r>
      <w:proofErr w:type="spellStart"/>
      <w:r w:rsidRPr="00686CD4">
        <w:rPr>
          <w:lang w:val="fr-FR"/>
        </w:rPr>
        <w:t>Odemira</w:t>
      </w:r>
      <w:proofErr w:type="spellEnd"/>
      <w:r w:rsidRPr="00686CD4">
        <w:rPr>
          <w:lang w:val="fr-FR"/>
        </w:rPr>
        <w:t xml:space="preserve"> et Silves).</w:t>
      </w:r>
    </w:p>
    <w:p w:rsidR="002A7A34" w:rsidRPr="00686CD4" w:rsidRDefault="002A7A34" w:rsidP="003C284C">
      <w:pPr>
        <w:pStyle w:val="SingleTxtG"/>
        <w:keepNext/>
        <w:rPr>
          <w:lang w:val="fr-FR"/>
        </w:rPr>
      </w:pPr>
      <w:r w:rsidRPr="00686CD4">
        <w:rPr>
          <w:lang w:val="fr-FR"/>
        </w:rPr>
        <w:t>181.</w:t>
      </w:r>
      <w:r w:rsidRPr="00686CD4">
        <w:rPr>
          <w:lang w:val="fr-FR"/>
        </w:rPr>
        <w:tab/>
        <w:t>En ce qui concerne les lieux de détention relevant du Ministère des affaires intérieures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L</w:t>
      </w:r>
      <w:r w:rsidRPr="00686CD4">
        <w:rPr>
          <w:lang w:val="fr-FR"/>
        </w:rPr>
        <w:t>es lieux de détention administrés par la Garde nationale républicaine font l</w:t>
      </w:r>
      <w:r>
        <w:rPr>
          <w:lang w:val="fr-FR"/>
        </w:rPr>
        <w:t>’</w:t>
      </w:r>
      <w:r w:rsidRPr="00686CD4">
        <w:rPr>
          <w:lang w:val="fr-FR"/>
        </w:rPr>
        <w:t>objet d</w:t>
      </w:r>
      <w:r>
        <w:rPr>
          <w:lang w:val="fr-FR"/>
        </w:rPr>
        <w:t>’</w:t>
      </w:r>
      <w:r w:rsidRPr="00686CD4">
        <w:rPr>
          <w:lang w:val="fr-FR"/>
        </w:rPr>
        <w:t xml:space="preserve">inspections régulières et appliquent les règles en vigueur, conformément à la réglementation intérieure NEP/GNR 4.09.10 établissant les conditions </w:t>
      </w:r>
      <w:r>
        <w:rPr>
          <w:lang w:val="fr-FR"/>
        </w:rPr>
        <w:t>que doivent remplir l</w:t>
      </w:r>
      <w:r w:rsidRPr="00686CD4">
        <w:rPr>
          <w:lang w:val="fr-FR"/>
        </w:rPr>
        <w:t xml:space="preserve">es cellules et </w:t>
      </w:r>
      <w:r>
        <w:rPr>
          <w:lang w:val="fr-FR"/>
        </w:rPr>
        <w:t>l</w:t>
      </w:r>
      <w:r w:rsidRPr="00686CD4">
        <w:rPr>
          <w:lang w:val="fr-FR"/>
        </w:rPr>
        <w:t>es baraquements de la Garde nationale</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T</w:t>
      </w:r>
      <w:r w:rsidRPr="00686CD4">
        <w:rPr>
          <w:lang w:val="fr-FR"/>
        </w:rPr>
        <w:t>outes les cellules de détenus de la Garde nationale républicaine et de la Police de sécurité publique font l</w:t>
      </w:r>
      <w:r>
        <w:rPr>
          <w:lang w:val="fr-FR"/>
        </w:rPr>
        <w:t>’</w:t>
      </w:r>
      <w:r w:rsidRPr="00686CD4">
        <w:rPr>
          <w:lang w:val="fr-FR"/>
        </w:rPr>
        <w:t>objet d</w:t>
      </w:r>
      <w:r>
        <w:rPr>
          <w:lang w:val="fr-FR"/>
        </w:rPr>
        <w:t>’</w:t>
      </w:r>
      <w:r w:rsidRPr="00686CD4">
        <w:rPr>
          <w:lang w:val="fr-FR"/>
        </w:rPr>
        <w:t>inspections inopinées, menées de manière systématique</w:t>
      </w:r>
      <w:r w:rsidR="00495D0F">
        <w:rPr>
          <w:lang w:val="fr-FR"/>
        </w:rPr>
        <w:t xml:space="preserve"> </w:t>
      </w:r>
      <w:r w:rsidRPr="00686CD4">
        <w:rPr>
          <w:lang w:val="fr-FR"/>
        </w:rPr>
        <w:t>en application des dispositions d</w:t>
      </w:r>
      <w:r>
        <w:rPr>
          <w:lang w:val="fr-FR"/>
        </w:rPr>
        <w:t xml:space="preserve">u </w:t>
      </w:r>
      <w:r w:rsidRPr="00686CD4">
        <w:rPr>
          <w:lang w:val="fr-FR"/>
        </w:rPr>
        <w:t>Règlement relatif aux conditions de détention dans les locaux de la Police judiciaire</w:t>
      </w:r>
      <w:r w:rsidR="00495D0F">
        <w:rPr>
          <w:lang w:val="fr-FR"/>
        </w:rPr>
        <w:t xml:space="preserve"> </w:t>
      </w:r>
      <w:r w:rsidRPr="00686CD4">
        <w:rPr>
          <w:lang w:val="fr-FR"/>
        </w:rPr>
        <w:t>et conformément au plan d</w:t>
      </w:r>
      <w:r>
        <w:rPr>
          <w:lang w:val="fr-FR"/>
        </w:rPr>
        <w:t>’</w:t>
      </w:r>
      <w:r w:rsidRPr="00686CD4">
        <w:rPr>
          <w:lang w:val="fr-FR"/>
        </w:rPr>
        <w:t>activité annuel de l</w:t>
      </w:r>
      <w:r>
        <w:rPr>
          <w:lang w:val="fr-FR"/>
        </w:rPr>
        <w:t>’Inspection générale de l’administration interne</w:t>
      </w:r>
      <w:r w:rsidRPr="00686CD4">
        <w:rPr>
          <w:lang w:val="fr-FR"/>
        </w:rPr>
        <w:t xml:space="preserve">. </w:t>
      </w:r>
      <w:r>
        <w:rPr>
          <w:lang w:val="fr-FR"/>
        </w:rPr>
        <w:t>L</w:t>
      </w:r>
      <w:r w:rsidRPr="00686CD4">
        <w:rPr>
          <w:lang w:val="fr-FR"/>
        </w:rPr>
        <w:t>a capacité d</w:t>
      </w:r>
      <w:r>
        <w:rPr>
          <w:lang w:val="fr-FR"/>
        </w:rPr>
        <w:t>’</w:t>
      </w:r>
      <w:r w:rsidRPr="00686CD4">
        <w:rPr>
          <w:lang w:val="fr-FR"/>
        </w:rPr>
        <w:t xml:space="preserve">occupation </w:t>
      </w:r>
      <w:r w:rsidRPr="00686CD4">
        <w:rPr>
          <w:lang w:val="fr-FR"/>
        </w:rPr>
        <w:lastRenderedPageBreak/>
        <w:t>de chaque cellule est l</w:t>
      </w:r>
      <w:r>
        <w:rPr>
          <w:lang w:val="fr-FR"/>
        </w:rPr>
        <w:t>’</w:t>
      </w:r>
      <w:r w:rsidRPr="00686CD4">
        <w:rPr>
          <w:lang w:val="fr-FR"/>
        </w:rPr>
        <w:t>un des points considér</w:t>
      </w:r>
      <w:r>
        <w:rPr>
          <w:lang w:val="fr-FR"/>
        </w:rPr>
        <w:t>és</w:t>
      </w:r>
      <w:r w:rsidRPr="00686CD4">
        <w:rPr>
          <w:lang w:val="fr-FR"/>
        </w:rPr>
        <w:t xml:space="preserve"> lors des inspections. Le non-respect</w:t>
      </w:r>
      <w:r w:rsidR="00495D0F">
        <w:rPr>
          <w:lang w:val="fr-FR"/>
        </w:rPr>
        <w:t xml:space="preserve"> </w:t>
      </w:r>
      <w:r w:rsidRPr="00686CD4">
        <w:rPr>
          <w:lang w:val="fr-FR"/>
        </w:rPr>
        <w:t>d</w:t>
      </w:r>
      <w:r>
        <w:rPr>
          <w:lang w:val="fr-FR"/>
        </w:rPr>
        <w:t>’</w:t>
      </w:r>
      <w:r w:rsidRPr="00686CD4">
        <w:rPr>
          <w:lang w:val="fr-FR"/>
        </w:rPr>
        <w:t>une ou plusieurs dispositions des règles juridiques en vigueur peut entraîner</w:t>
      </w:r>
      <w:r w:rsidR="00495D0F">
        <w:rPr>
          <w:lang w:val="fr-FR"/>
        </w:rPr>
        <w:t xml:space="preserve"> </w:t>
      </w:r>
      <w:r w:rsidRPr="00686CD4">
        <w:rPr>
          <w:lang w:val="fr-FR"/>
        </w:rPr>
        <w:t>la fermeture de la cellule</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 xml:space="preserve"> Entre</w:t>
      </w:r>
      <w:r w:rsidR="009F6AD2">
        <w:rPr>
          <w:lang w:val="fr-FR"/>
        </w:rPr>
        <w:t xml:space="preserve"> </w:t>
      </w:r>
      <w:r w:rsidRPr="00686CD4">
        <w:rPr>
          <w:lang w:val="fr-FR"/>
        </w:rPr>
        <w:t>2014 et</w:t>
      </w:r>
      <w:r w:rsidR="009F6AD2">
        <w:rPr>
          <w:lang w:val="fr-FR"/>
        </w:rPr>
        <w:t xml:space="preserve"> </w:t>
      </w:r>
      <w:r w:rsidRPr="00686CD4">
        <w:rPr>
          <w:lang w:val="fr-FR"/>
        </w:rPr>
        <w:t>2016,</w:t>
      </w:r>
      <w:r w:rsidR="00495D0F">
        <w:rPr>
          <w:lang w:val="fr-FR"/>
        </w:rPr>
        <w:t xml:space="preserve"> </w:t>
      </w:r>
      <w:r w:rsidRPr="00686CD4">
        <w:rPr>
          <w:lang w:val="fr-FR"/>
        </w:rPr>
        <w:t>les personnes</w:t>
      </w:r>
      <w:r w:rsidR="00495D0F">
        <w:rPr>
          <w:lang w:val="fr-FR"/>
        </w:rPr>
        <w:t xml:space="preserve"> </w:t>
      </w:r>
      <w:r w:rsidRPr="00686CD4">
        <w:rPr>
          <w:lang w:val="fr-FR"/>
        </w:rPr>
        <w:t>détenues dans le centre d</w:t>
      </w:r>
      <w:r>
        <w:rPr>
          <w:lang w:val="fr-FR"/>
        </w:rPr>
        <w:t xml:space="preserve">’hébergement </w:t>
      </w:r>
      <w:r w:rsidRPr="00686CD4">
        <w:rPr>
          <w:lang w:val="fr-FR"/>
        </w:rPr>
        <w:t xml:space="preserve">temporaire du </w:t>
      </w:r>
      <w:r>
        <w:rPr>
          <w:lang w:val="fr-FR"/>
        </w:rPr>
        <w:t>S</w:t>
      </w:r>
      <w:r w:rsidRPr="00686CD4">
        <w:rPr>
          <w:lang w:val="fr-FR"/>
        </w:rPr>
        <w:t>ervice de l</w:t>
      </w:r>
      <w:r>
        <w:rPr>
          <w:lang w:val="fr-FR"/>
        </w:rPr>
        <w:t>’</w:t>
      </w:r>
      <w:r w:rsidRPr="00686CD4">
        <w:rPr>
          <w:lang w:val="fr-FR"/>
        </w:rPr>
        <w:t xml:space="preserve">immigration et des frontières à Porto </w:t>
      </w:r>
      <w:r>
        <w:rPr>
          <w:lang w:val="fr-FR"/>
        </w:rPr>
        <w:t xml:space="preserve">séjournaient dans ce centre en </w:t>
      </w:r>
      <w:r w:rsidRPr="00686CD4">
        <w:rPr>
          <w:lang w:val="fr-FR"/>
        </w:rPr>
        <w:t xml:space="preserve">moyenne </w:t>
      </w:r>
      <w:r>
        <w:rPr>
          <w:lang w:val="fr-FR"/>
        </w:rPr>
        <w:t xml:space="preserve">pendant </w:t>
      </w:r>
      <w:r w:rsidR="009F6AD2">
        <w:rPr>
          <w:lang w:val="fr-FR"/>
        </w:rPr>
        <w:t xml:space="preserve">vingt-sept </w:t>
      </w:r>
      <w:r w:rsidRPr="00686CD4">
        <w:rPr>
          <w:lang w:val="fr-FR"/>
        </w:rPr>
        <w:t xml:space="preserve">jours. </w:t>
      </w:r>
    </w:p>
    <w:p w:rsidR="002A7A34" w:rsidRPr="00686CD4" w:rsidRDefault="002A7A34" w:rsidP="009F6AD2">
      <w:pPr>
        <w:pStyle w:val="H23G"/>
        <w:jc w:val="both"/>
        <w:rPr>
          <w:lang w:val="fr-FR"/>
        </w:rPr>
      </w:pPr>
      <w:r w:rsidRPr="00686CD4">
        <w:rPr>
          <w:lang w:val="fr-FR"/>
        </w:rPr>
        <w:tab/>
      </w:r>
      <w:bookmarkStart w:id="48" w:name="_Toc532494651"/>
      <w:r w:rsidRPr="00686CD4">
        <w:rPr>
          <w:lang w:val="fr-FR"/>
        </w:rPr>
        <w:tab/>
      </w:r>
      <w:r w:rsidRPr="00686CD4">
        <w:rPr>
          <w:lang w:val="fr-FR"/>
        </w:rPr>
        <w:tab/>
        <w:t>b)</w:t>
      </w:r>
      <w:r w:rsidRPr="00686CD4">
        <w:rPr>
          <w:lang w:val="fr-FR"/>
        </w:rPr>
        <w:tab/>
      </w:r>
      <w:r w:rsidRPr="00396D7D">
        <w:rPr>
          <w:lang w:val="fr-FR"/>
        </w:rPr>
        <w:t>Les mesures prises pour améliorer les conditions sanitaires, l</w:t>
      </w:r>
      <w:r>
        <w:rPr>
          <w:lang w:val="fr-FR"/>
        </w:rPr>
        <w:t>’</w:t>
      </w:r>
      <w:r w:rsidRPr="00396D7D">
        <w:rPr>
          <w:lang w:val="fr-FR"/>
        </w:rPr>
        <w:t>aération, la possibilité de faire de l</w:t>
      </w:r>
      <w:r>
        <w:rPr>
          <w:lang w:val="fr-FR"/>
        </w:rPr>
        <w:t>’</w:t>
      </w:r>
      <w:r w:rsidRPr="00396D7D">
        <w:rPr>
          <w:lang w:val="fr-FR"/>
        </w:rPr>
        <w:t>exercice physique en plein air pour les personnes détenues pendant vingt-quatre heures ou plus, et l</w:t>
      </w:r>
      <w:r>
        <w:rPr>
          <w:lang w:val="fr-FR"/>
        </w:rPr>
        <w:t>’</w:t>
      </w:r>
      <w:r w:rsidRPr="00396D7D">
        <w:rPr>
          <w:lang w:val="fr-FR"/>
        </w:rPr>
        <w:t xml:space="preserve">accès à la lumière naturelle et artificielle dans les cellules des postes de police, en particulier au sein du </w:t>
      </w:r>
      <w:proofErr w:type="spellStart"/>
      <w:r w:rsidRPr="00396D7D">
        <w:rPr>
          <w:lang w:val="fr-FR"/>
        </w:rPr>
        <w:t>Comando</w:t>
      </w:r>
      <w:proofErr w:type="spellEnd"/>
      <w:r w:rsidRPr="00396D7D">
        <w:rPr>
          <w:lang w:val="fr-FR"/>
        </w:rPr>
        <w:t xml:space="preserve"> do Porto et dans la région d</w:t>
      </w:r>
      <w:r>
        <w:rPr>
          <w:lang w:val="fr-FR"/>
        </w:rPr>
        <w:t>’</w:t>
      </w:r>
      <w:proofErr w:type="spellStart"/>
      <w:r w:rsidRPr="00396D7D">
        <w:rPr>
          <w:lang w:val="fr-FR"/>
        </w:rPr>
        <w:t>Antas</w:t>
      </w:r>
      <w:proofErr w:type="spellEnd"/>
      <w:r w:rsidRPr="00396D7D">
        <w:rPr>
          <w:lang w:val="fr-FR"/>
        </w:rPr>
        <w:t>, ainsi qu</w:t>
      </w:r>
      <w:r>
        <w:rPr>
          <w:lang w:val="fr-FR"/>
        </w:rPr>
        <w:t>’</w:t>
      </w:r>
      <w:r w:rsidRPr="00396D7D">
        <w:rPr>
          <w:lang w:val="fr-FR"/>
        </w:rPr>
        <w:t>à l</w:t>
      </w:r>
      <w:r>
        <w:rPr>
          <w:lang w:val="fr-FR"/>
        </w:rPr>
        <w:t>’</w:t>
      </w:r>
      <w:r w:rsidRPr="00396D7D">
        <w:rPr>
          <w:lang w:val="fr-FR"/>
        </w:rPr>
        <w:t xml:space="preserve">hôpital psychiatrique de la prison de Santa Cruz do </w:t>
      </w:r>
      <w:proofErr w:type="spellStart"/>
      <w:r w:rsidRPr="00396D7D">
        <w:rPr>
          <w:lang w:val="fr-FR"/>
        </w:rPr>
        <w:t>Bispo</w:t>
      </w:r>
      <w:proofErr w:type="spellEnd"/>
      <w:r w:rsidRPr="00396D7D">
        <w:rPr>
          <w:lang w:val="fr-FR"/>
        </w:rPr>
        <w:t xml:space="preserve"> et à la prison centrale de Lisbonne</w:t>
      </w:r>
      <w:r w:rsidR="00495D0F">
        <w:rPr>
          <w:lang w:val="fr-FR"/>
        </w:rPr>
        <w:t> ;</w:t>
      </w:r>
      <w:bookmarkEnd w:id="48"/>
    </w:p>
    <w:p w:rsidR="002A7A34" w:rsidRPr="00686CD4" w:rsidRDefault="002A7A34" w:rsidP="009F6AD2">
      <w:pPr>
        <w:pStyle w:val="SingleTxtG"/>
        <w:rPr>
          <w:lang w:val="fr-FR"/>
        </w:rPr>
      </w:pPr>
      <w:r w:rsidRPr="00686CD4">
        <w:rPr>
          <w:lang w:val="fr-FR"/>
        </w:rPr>
        <w:t>182.</w:t>
      </w:r>
      <w:r w:rsidRPr="00686CD4">
        <w:rPr>
          <w:lang w:val="fr-FR"/>
        </w:rPr>
        <w:tab/>
        <w:t>Les détenus ont le droit d</w:t>
      </w:r>
      <w:r>
        <w:rPr>
          <w:lang w:val="fr-FR"/>
        </w:rPr>
        <w:t xml:space="preserve">’être en plein air au </w:t>
      </w:r>
      <w:r w:rsidRPr="00686CD4">
        <w:rPr>
          <w:lang w:val="fr-FR"/>
        </w:rPr>
        <w:t>minimum deux heures par jour (</w:t>
      </w:r>
      <w:r>
        <w:rPr>
          <w:lang w:val="fr-FR"/>
        </w:rPr>
        <w:t>a</w:t>
      </w:r>
      <w:r w:rsidRPr="00686CD4">
        <w:rPr>
          <w:lang w:val="fr-FR"/>
        </w:rPr>
        <w:t>rt</w:t>
      </w:r>
      <w:r w:rsidR="005B30B5">
        <w:rPr>
          <w:lang w:val="fr-FR"/>
        </w:rPr>
        <w:t>.</w:t>
      </w:r>
      <w:r>
        <w:rPr>
          <w:lang w:val="fr-FR"/>
        </w:rPr>
        <w:t> </w:t>
      </w:r>
      <w:r w:rsidRPr="00686CD4">
        <w:rPr>
          <w:lang w:val="fr-FR"/>
        </w:rPr>
        <w:t>51 du CEPML).</w:t>
      </w:r>
      <w:r w:rsidR="00495D0F">
        <w:rPr>
          <w:lang w:val="fr-FR"/>
        </w:rPr>
        <w:t xml:space="preserve"> </w:t>
      </w:r>
      <w:r w:rsidRPr="00686CD4">
        <w:rPr>
          <w:lang w:val="fr-FR"/>
        </w:rPr>
        <w:t>En fait,</w:t>
      </w:r>
      <w:r w:rsidR="00495D0F">
        <w:rPr>
          <w:lang w:val="fr-FR"/>
        </w:rPr>
        <w:t xml:space="preserve"> </w:t>
      </w:r>
      <w:r w:rsidRPr="00686CD4">
        <w:rPr>
          <w:lang w:val="fr-FR"/>
        </w:rPr>
        <w:t>la population carcérale générale passe davantage de temps à l</w:t>
      </w:r>
      <w:r>
        <w:rPr>
          <w:lang w:val="fr-FR"/>
        </w:rPr>
        <w:t>’</w:t>
      </w:r>
      <w:r w:rsidRPr="00686CD4">
        <w:rPr>
          <w:lang w:val="fr-FR"/>
        </w:rPr>
        <w:t xml:space="preserve">air libre. </w:t>
      </w:r>
    </w:p>
    <w:p w:rsidR="002A7A34" w:rsidRPr="00686CD4" w:rsidRDefault="002A7A34" w:rsidP="009F6AD2">
      <w:pPr>
        <w:pStyle w:val="SingleTxtG"/>
        <w:rPr>
          <w:lang w:val="fr-FR"/>
        </w:rPr>
      </w:pPr>
      <w:r w:rsidRPr="00686CD4">
        <w:rPr>
          <w:lang w:val="fr-FR"/>
        </w:rPr>
        <w:t>183.</w:t>
      </w:r>
      <w:r w:rsidRPr="00686CD4">
        <w:rPr>
          <w:lang w:val="fr-FR"/>
        </w:rPr>
        <w:tab/>
        <w:t>L</w:t>
      </w:r>
      <w:r>
        <w:rPr>
          <w:lang w:val="fr-FR"/>
        </w:rPr>
        <w:t>’</w:t>
      </w:r>
      <w:r w:rsidRPr="00686CD4">
        <w:rPr>
          <w:lang w:val="fr-FR"/>
        </w:rPr>
        <w:t xml:space="preserve">équipe de santé psychiatrique et mentale de la prison de Santa Cruz do </w:t>
      </w:r>
      <w:proofErr w:type="spellStart"/>
      <w:r w:rsidRPr="00686CD4">
        <w:rPr>
          <w:lang w:val="fr-FR"/>
        </w:rPr>
        <w:t>Bispo</w:t>
      </w:r>
      <w:proofErr w:type="spellEnd"/>
      <w:r w:rsidRPr="00686CD4">
        <w:rPr>
          <w:lang w:val="fr-FR"/>
        </w:rPr>
        <w:t xml:space="preserve"> s</w:t>
      </w:r>
      <w:r>
        <w:rPr>
          <w:lang w:val="fr-FR"/>
        </w:rPr>
        <w:t>’</w:t>
      </w:r>
      <w:r w:rsidRPr="00686CD4">
        <w:rPr>
          <w:lang w:val="fr-FR"/>
        </w:rPr>
        <w:t>emploie à assurer une occupation constructive aux détenus à des fins de récréation et de réhabilitation, en leur proposant par exemple de participer à des projets de bénévoles ou autres</w:t>
      </w:r>
      <w:r>
        <w:rPr>
          <w:lang w:val="fr-FR"/>
        </w:rPr>
        <w:t>,</w:t>
      </w:r>
      <w:r w:rsidRPr="00686CD4">
        <w:rPr>
          <w:lang w:val="fr-FR"/>
        </w:rPr>
        <w:t xml:space="preserve"> conjointement à des entités extérieures.</w:t>
      </w:r>
    </w:p>
    <w:p w:rsidR="002A7A34" w:rsidRPr="00686CD4" w:rsidRDefault="002A7A34" w:rsidP="009F6AD2">
      <w:pPr>
        <w:pStyle w:val="SingleTxtG"/>
        <w:rPr>
          <w:lang w:val="fr-FR"/>
        </w:rPr>
      </w:pPr>
      <w:r w:rsidRPr="00686CD4">
        <w:rPr>
          <w:lang w:val="fr-FR"/>
        </w:rPr>
        <w:t>184.</w:t>
      </w:r>
      <w:r w:rsidRPr="00686CD4">
        <w:rPr>
          <w:lang w:val="fr-FR"/>
        </w:rPr>
        <w:tab/>
        <w:t xml:space="preserve">Selon le rapport final de la </w:t>
      </w:r>
      <w:r>
        <w:rPr>
          <w:lang w:val="fr-FR"/>
        </w:rPr>
        <w:t>C</w:t>
      </w:r>
      <w:r w:rsidRPr="00686CD4">
        <w:rPr>
          <w:lang w:val="fr-FR"/>
        </w:rPr>
        <w:t>ommission pour la réforme de la santé mentale, il est recommandé de créer des services d</w:t>
      </w:r>
      <w:r>
        <w:rPr>
          <w:lang w:val="fr-FR"/>
        </w:rPr>
        <w:t>’</w:t>
      </w:r>
      <w:r w:rsidRPr="00686CD4">
        <w:rPr>
          <w:lang w:val="fr-FR"/>
        </w:rPr>
        <w:t>internement psychiatrique dans les hôpitaux généraux de manière à permettre aux hôpitaux psychiatriques d</w:t>
      </w:r>
      <w:r>
        <w:rPr>
          <w:lang w:val="fr-FR"/>
        </w:rPr>
        <w:t>’</w:t>
      </w:r>
      <w:r w:rsidRPr="00686CD4">
        <w:rPr>
          <w:lang w:val="fr-FR"/>
        </w:rPr>
        <w:t xml:space="preserve">accueillir des </w:t>
      </w:r>
      <w:r>
        <w:rPr>
          <w:lang w:val="fr-FR"/>
        </w:rPr>
        <w:t xml:space="preserve">délinquants mineurs </w:t>
      </w:r>
      <w:r w:rsidRPr="00686CD4">
        <w:rPr>
          <w:lang w:val="fr-FR"/>
        </w:rPr>
        <w:t>faisant l</w:t>
      </w:r>
      <w:r>
        <w:rPr>
          <w:lang w:val="fr-FR"/>
        </w:rPr>
        <w:t>’</w:t>
      </w:r>
      <w:r w:rsidRPr="00686CD4">
        <w:rPr>
          <w:lang w:val="fr-FR"/>
        </w:rPr>
        <w:t>objet de mesures de sécurité. L</w:t>
      </w:r>
      <w:r>
        <w:rPr>
          <w:lang w:val="fr-FR"/>
        </w:rPr>
        <w:t>e</w:t>
      </w:r>
      <w:r w:rsidRPr="00686CD4">
        <w:rPr>
          <w:lang w:val="fr-FR"/>
        </w:rPr>
        <w:t xml:space="preserve"> </w:t>
      </w:r>
      <w:r>
        <w:rPr>
          <w:lang w:val="fr-FR"/>
        </w:rPr>
        <w:t>C</w:t>
      </w:r>
      <w:r w:rsidRPr="00686CD4">
        <w:rPr>
          <w:lang w:val="fr-FR"/>
        </w:rPr>
        <w:t xml:space="preserve">entre de médecine psychiatrique et de santé mentale de la prison de Santa Cruz do </w:t>
      </w:r>
      <w:proofErr w:type="spellStart"/>
      <w:r w:rsidRPr="00686CD4">
        <w:rPr>
          <w:lang w:val="fr-FR"/>
        </w:rPr>
        <w:t>Bispo</w:t>
      </w:r>
      <w:proofErr w:type="spellEnd"/>
      <w:r w:rsidRPr="00686CD4">
        <w:rPr>
          <w:lang w:val="fr-FR"/>
        </w:rPr>
        <w:t xml:space="preserve"> </w:t>
      </w:r>
      <w:r>
        <w:rPr>
          <w:lang w:val="fr-FR"/>
        </w:rPr>
        <w:t xml:space="preserve">bénéficierait </w:t>
      </w:r>
      <w:r w:rsidRPr="00686CD4">
        <w:rPr>
          <w:lang w:val="fr-FR"/>
        </w:rPr>
        <w:t>de cette recommandation.</w:t>
      </w:r>
    </w:p>
    <w:p w:rsidR="002A7A34" w:rsidRPr="00686CD4" w:rsidRDefault="002A7A34" w:rsidP="009F6AD2">
      <w:pPr>
        <w:pStyle w:val="SingleTxtG"/>
        <w:rPr>
          <w:lang w:val="fr-FR"/>
        </w:rPr>
      </w:pPr>
      <w:r w:rsidRPr="00686CD4">
        <w:rPr>
          <w:lang w:val="fr-FR"/>
        </w:rPr>
        <w:t>185.</w:t>
      </w:r>
      <w:r w:rsidRPr="00686CD4">
        <w:rPr>
          <w:lang w:val="fr-FR"/>
        </w:rPr>
        <w:tab/>
        <w:t>Des travaux doivent être menés dans l</w:t>
      </w:r>
      <w:r>
        <w:rPr>
          <w:lang w:val="fr-FR"/>
        </w:rPr>
        <w:t>’</w:t>
      </w:r>
      <w:r w:rsidRPr="00686CD4">
        <w:rPr>
          <w:lang w:val="fr-FR"/>
        </w:rPr>
        <w:t xml:space="preserve">établissement pénitencier de Lisbonne, malgré </w:t>
      </w:r>
      <w:r>
        <w:rPr>
          <w:lang w:val="fr-FR"/>
        </w:rPr>
        <w:t>s</w:t>
      </w:r>
      <w:r w:rsidRPr="00686CD4">
        <w:rPr>
          <w:lang w:val="fr-FR"/>
        </w:rPr>
        <w:t xml:space="preserve">a fermeture prochaine, pour améliorer les conditions qui y règnent, en particulier </w:t>
      </w:r>
      <w:r>
        <w:rPr>
          <w:lang w:val="fr-FR"/>
        </w:rPr>
        <w:t xml:space="preserve">dans les </w:t>
      </w:r>
      <w:r w:rsidRPr="00686CD4">
        <w:rPr>
          <w:lang w:val="fr-FR"/>
        </w:rPr>
        <w:t xml:space="preserve">cuisines, la blanchisserie et </w:t>
      </w:r>
      <w:r>
        <w:rPr>
          <w:lang w:val="fr-FR"/>
        </w:rPr>
        <w:t>le</w:t>
      </w:r>
      <w:r w:rsidRPr="00686CD4">
        <w:rPr>
          <w:lang w:val="fr-FR"/>
        </w:rPr>
        <w:t xml:space="preserve"> centre d</w:t>
      </w:r>
      <w:r>
        <w:rPr>
          <w:lang w:val="fr-FR"/>
        </w:rPr>
        <w:t>’</w:t>
      </w:r>
      <w:r w:rsidRPr="00686CD4">
        <w:rPr>
          <w:lang w:val="fr-FR"/>
        </w:rPr>
        <w:t xml:space="preserve">alimentation thermique ainsi que </w:t>
      </w:r>
      <w:r>
        <w:rPr>
          <w:lang w:val="fr-FR"/>
        </w:rPr>
        <w:t xml:space="preserve">sur </w:t>
      </w:r>
      <w:r w:rsidRPr="00686CD4">
        <w:rPr>
          <w:lang w:val="fr-FR"/>
        </w:rPr>
        <w:t xml:space="preserve">le toit et </w:t>
      </w:r>
      <w:r>
        <w:rPr>
          <w:lang w:val="fr-FR"/>
        </w:rPr>
        <w:t xml:space="preserve">dans </w:t>
      </w:r>
      <w:r w:rsidRPr="00686CD4">
        <w:rPr>
          <w:lang w:val="fr-FR"/>
        </w:rPr>
        <w:t>les logements situés dans les sous-sols des ailes</w:t>
      </w:r>
      <w:r>
        <w:rPr>
          <w:lang w:val="fr-FR"/>
        </w:rPr>
        <w:t> </w:t>
      </w:r>
      <w:r w:rsidRPr="00686CD4">
        <w:rPr>
          <w:lang w:val="fr-FR"/>
        </w:rPr>
        <w:t>B, C, D et</w:t>
      </w:r>
      <w:r>
        <w:rPr>
          <w:lang w:val="fr-FR"/>
        </w:rPr>
        <w:t> </w:t>
      </w:r>
      <w:r w:rsidRPr="00686CD4">
        <w:rPr>
          <w:lang w:val="fr-FR"/>
        </w:rPr>
        <w:t>E.</w:t>
      </w:r>
    </w:p>
    <w:p w:rsidR="002A7A34" w:rsidRPr="00686CD4" w:rsidRDefault="002A7A34" w:rsidP="009F6AD2">
      <w:pPr>
        <w:pStyle w:val="SingleTxtG"/>
        <w:rPr>
          <w:lang w:val="fr-FR"/>
        </w:rPr>
      </w:pPr>
      <w:r w:rsidRPr="00686CD4">
        <w:rPr>
          <w:lang w:val="fr-FR"/>
        </w:rPr>
        <w:t>186.</w:t>
      </w:r>
      <w:r w:rsidRPr="00686CD4">
        <w:rPr>
          <w:lang w:val="fr-FR"/>
        </w:rPr>
        <w:tab/>
        <w:t>Des meubles et du linge ont été achetés pour améliorer les conditions de vie et le confort des détenus dans les cellules</w:t>
      </w:r>
      <w:r>
        <w:rPr>
          <w:lang w:val="fr-FR"/>
        </w:rPr>
        <w:t>. Ces achats (</w:t>
      </w:r>
      <w:r w:rsidRPr="00686CD4">
        <w:rPr>
          <w:lang w:val="fr-FR"/>
        </w:rPr>
        <w:t>235</w:t>
      </w:r>
      <w:r>
        <w:rPr>
          <w:lang w:val="fr-FR"/>
        </w:rPr>
        <w:t> </w:t>
      </w:r>
      <w:r w:rsidRPr="00686CD4">
        <w:rPr>
          <w:lang w:val="fr-FR"/>
        </w:rPr>
        <w:t>matelas, 250</w:t>
      </w:r>
      <w:r>
        <w:rPr>
          <w:lang w:val="fr-FR"/>
        </w:rPr>
        <w:t> </w:t>
      </w:r>
      <w:r w:rsidRPr="00686CD4">
        <w:rPr>
          <w:lang w:val="fr-FR"/>
        </w:rPr>
        <w:t>sommiers, 550</w:t>
      </w:r>
      <w:r>
        <w:rPr>
          <w:lang w:val="fr-FR"/>
        </w:rPr>
        <w:t> </w:t>
      </w:r>
      <w:r w:rsidRPr="00686CD4">
        <w:rPr>
          <w:lang w:val="fr-FR"/>
        </w:rPr>
        <w:t>draps, 550</w:t>
      </w:r>
      <w:r>
        <w:rPr>
          <w:lang w:val="fr-FR"/>
        </w:rPr>
        <w:t> </w:t>
      </w:r>
      <w:r w:rsidRPr="00686CD4">
        <w:rPr>
          <w:lang w:val="fr-FR"/>
        </w:rPr>
        <w:t>taies d</w:t>
      </w:r>
      <w:r>
        <w:rPr>
          <w:lang w:val="fr-FR"/>
        </w:rPr>
        <w:t>’</w:t>
      </w:r>
      <w:r w:rsidRPr="00686CD4">
        <w:rPr>
          <w:lang w:val="fr-FR"/>
        </w:rPr>
        <w:t>oreiller, 350</w:t>
      </w:r>
      <w:r>
        <w:rPr>
          <w:lang w:val="fr-FR"/>
        </w:rPr>
        <w:t> </w:t>
      </w:r>
      <w:r w:rsidRPr="00686CD4">
        <w:rPr>
          <w:lang w:val="fr-FR"/>
        </w:rPr>
        <w:t>couvertures, 250</w:t>
      </w:r>
      <w:r>
        <w:rPr>
          <w:lang w:val="fr-FR"/>
        </w:rPr>
        <w:t> </w:t>
      </w:r>
      <w:r w:rsidRPr="00686CD4">
        <w:rPr>
          <w:lang w:val="fr-FR"/>
        </w:rPr>
        <w:t>gants de toilette et 350</w:t>
      </w:r>
      <w:r>
        <w:rPr>
          <w:lang w:val="fr-FR"/>
        </w:rPr>
        <w:t> </w:t>
      </w:r>
      <w:r w:rsidRPr="00686CD4">
        <w:rPr>
          <w:lang w:val="fr-FR"/>
        </w:rPr>
        <w:t>serviettes de bain</w:t>
      </w:r>
      <w:r>
        <w:rPr>
          <w:lang w:val="fr-FR"/>
        </w:rPr>
        <w:t>) ont</w:t>
      </w:r>
      <w:r w:rsidRPr="00686CD4">
        <w:rPr>
          <w:lang w:val="fr-FR"/>
        </w:rPr>
        <w:t xml:space="preserve"> permis de remplacer une partie d</w:t>
      </w:r>
      <w:r>
        <w:rPr>
          <w:lang w:val="fr-FR"/>
        </w:rPr>
        <w:t xml:space="preserve">u mobilier et </w:t>
      </w:r>
      <w:r w:rsidRPr="00686CD4">
        <w:rPr>
          <w:lang w:val="fr-FR"/>
        </w:rPr>
        <w:t>du linge.</w:t>
      </w:r>
    </w:p>
    <w:p w:rsidR="002A7A34" w:rsidRPr="00686CD4" w:rsidRDefault="002A7A34" w:rsidP="009F6AD2">
      <w:pPr>
        <w:pStyle w:val="SingleTxtG"/>
        <w:rPr>
          <w:lang w:val="fr-FR"/>
        </w:rPr>
      </w:pPr>
      <w:r w:rsidRPr="00686CD4">
        <w:rPr>
          <w:lang w:val="fr-FR"/>
        </w:rPr>
        <w:t>187.</w:t>
      </w:r>
      <w:r w:rsidRPr="00686CD4">
        <w:rPr>
          <w:lang w:val="fr-FR"/>
        </w:rPr>
        <w:tab/>
        <w:t xml:space="preserve">Divers secteurs de la prison, notamment les espaces communs auxquels ont accès les détenus comme la cuisine, les </w:t>
      </w:r>
      <w:r>
        <w:rPr>
          <w:lang w:val="fr-FR"/>
        </w:rPr>
        <w:t>entrepôts</w:t>
      </w:r>
      <w:r w:rsidRPr="00686CD4">
        <w:rPr>
          <w:lang w:val="fr-FR"/>
        </w:rPr>
        <w:t xml:space="preserve">, les cours, les ateliers, le centre de santé, les bars, les salles de visite et les espaces de loisirs, ont </w:t>
      </w:r>
      <w:r>
        <w:rPr>
          <w:lang w:val="fr-FR"/>
        </w:rPr>
        <w:t xml:space="preserve">été </w:t>
      </w:r>
      <w:r w:rsidRPr="00686CD4">
        <w:rPr>
          <w:lang w:val="fr-FR"/>
        </w:rPr>
        <w:t>désinfect</w:t>
      </w:r>
      <w:r>
        <w:rPr>
          <w:lang w:val="fr-FR"/>
        </w:rPr>
        <w:t>és</w:t>
      </w:r>
      <w:r w:rsidRPr="00686CD4">
        <w:rPr>
          <w:lang w:val="fr-FR"/>
        </w:rPr>
        <w:t xml:space="preserve">. Les locaux sont désinfectés </w:t>
      </w:r>
      <w:r>
        <w:rPr>
          <w:lang w:val="fr-FR"/>
        </w:rPr>
        <w:t>une fois par mois dans le but d’</w:t>
      </w:r>
      <w:r w:rsidRPr="00686CD4">
        <w:rPr>
          <w:lang w:val="fr-FR"/>
        </w:rPr>
        <w:t>éliminer les cafards, les ra</w:t>
      </w:r>
      <w:r>
        <w:rPr>
          <w:lang w:val="fr-FR"/>
        </w:rPr>
        <w:t>t</w:t>
      </w:r>
      <w:r w:rsidRPr="00686CD4">
        <w:rPr>
          <w:lang w:val="fr-FR"/>
        </w:rPr>
        <w:t>s, les souris, les puces de lit et les poux.</w:t>
      </w:r>
    </w:p>
    <w:p w:rsidR="002A7A34" w:rsidRPr="00686CD4" w:rsidRDefault="002A7A34" w:rsidP="009F6AD2">
      <w:pPr>
        <w:pStyle w:val="SingleTxtG"/>
        <w:rPr>
          <w:lang w:val="fr-FR"/>
        </w:rPr>
      </w:pPr>
      <w:r w:rsidRPr="00686CD4">
        <w:rPr>
          <w:lang w:val="fr-FR"/>
        </w:rPr>
        <w:t>188.</w:t>
      </w:r>
      <w:r w:rsidRPr="00686CD4">
        <w:rPr>
          <w:lang w:val="fr-FR"/>
        </w:rPr>
        <w:tab/>
      </w:r>
      <w:r>
        <w:rPr>
          <w:lang w:val="fr-FR"/>
        </w:rPr>
        <w:t xml:space="preserve">Afin d’améliorer </w:t>
      </w:r>
      <w:r w:rsidRPr="00686CD4">
        <w:rPr>
          <w:lang w:val="fr-FR"/>
        </w:rPr>
        <w:t>l</w:t>
      </w:r>
      <w:r>
        <w:rPr>
          <w:lang w:val="fr-FR"/>
        </w:rPr>
        <w:t>’</w:t>
      </w:r>
      <w:r w:rsidRPr="00686CD4">
        <w:rPr>
          <w:lang w:val="fr-FR"/>
        </w:rPr>
        <w:t>éclairage, des ampoules ont été installées dans toutes les cellules qui n</w:t>
      </w:r>
      <w:r>
        <w:rPr>
          <w:lang w:val="fr-FR"/>
        </w:rPr>
        <w:t>’</w:t>
      </w:r>
      <w:r w:rsidRPr="00686CD4">
        <w:rPr>
          <w:lang w:val="fr-FR"/>
        </w:rPr>
        <w:t>en possédaient pas</w:t>
      </w:r>
      <w:r w:rsidR="00375B11">
        <w:rPr>
          <w:lang w:val="fr-FR"/>
        </w:rPr>
        <w:t>,</w:t>
      </w:r>
      <w:r w:rsidRPr="00686CD4">
        <w:rPr>
          <w:lang w:val="fr-FR"/>
        </w:rPr>
        <w:t xml:space="preserve"> et les ampoules en mauvais état ont été remplacées.</w:t>
      </w:r>
    </w:p>
    <w:p w:rsidR="002A7A34" w:rsidRPr="00686CD4" w:rsidRDefault="002A7A34" w:rsidP="009F6AD2">
      <w:pPr>
        <w:pStyle w:val="SingleTxtG"/>
        <w:rPr>
          <w:lang w:val="fr-FR"/>
        </w:rPr>
      </w:pPr>
      <w:r w:rsidRPr="00686CD4">
        <w:rPr>
          <w:lang w:val="fr-FR"/>
        </w:rPr>
        <w:t>189.</w:t>
      </w:r>
      <w:r w:rsidRPr="00686CD4">
        <w:rPr>
          <w:lang w:val="fr-FR"/>
        </w:rPr>
        <w:tab/>
        <w:t>D</w:t>
      </w:r>
      <w:r>
        <w:rPr>
          <w:lang w:val="fr-FR"/>
        </w:rPr>
        <w:t>’</w:t>
      </w:r>
      <w:r w:rsidRPr="00686CD4">
        <w:rPr>
          <w:lang w:val="fr-FR"/>
        </w:rPr>
        <w:t>importants efforts ont par ailleurs été déployés pour transférer les détenus de cette prison dans d</w:t>
      </w:r>
      <w:r>
        <w:rPr>
          <w:lang w:val="fr-FR"/>
        </w:rPr>
        <w:t>’</w:t>
      </w:r>
      <w:r w:rsidRPr="00686CD4">
        <w:rPr>
          <w:lang w:val="fr-FR"/>
        </w:rPr>
        <w:t xml:space="preserve">autres établissements pénitentiaires </w:t>
      </w:r>
      <w:r>
        <w:rPr>
          <w:lang w:val="fr-FR"/>
        </w:rPr>
        <w:t xml:space="preserve">dans le but de </w:t>
      </w:r>
      <w:r w:rsidRPr="00686CD4">
        <w:rPr>
          <w:lang w:val="fr-FR"/>
        </w:rPr>
        <w:t>f</w:t>
      </w:r>
      <w:r>
        <w:rPr>
          <w:lang w:val="fr-FR"/>
        </w:rPr>
        <w:t xml:space="preserve">ermer les quartiers résidentiels </w:t>
      </w:r>
      <w:r w:rsidRPr="00686CD4">
        <w:rPr>
          <w:lang w:val="fr-FR"/>
        </w:rPr>
        <w:t>présentant des conditions de vie inadéquate</w:t>
      </w:r>
      <w:r>
        <w:rPr>
          <w:lang w:val="fr-FR"/>
        </w:rPr>
        <w:t>s</w:t>
      </w:r>
      <w:r w:rsidRPr="00686CD4">
        <w:rPr>
          <w:lang w:val="fr-FR"/>
        </w:rPr>
        <w:t xml:space="preserve">. Le nombre de détenus dans la prison de Lisbonne et a été ramené </w:t>
      </w:r>
      <w:r>
        <w:rPr>
          <w:lang w:val="fr-FR"/>
        </w:rPr>
        <w:t xml:space="preserve">de </w:t>
      </w:r>
      <w:r w:rsidR="00375B11">
        <w:rPr>
          <w:lang w:val="fr-FR"/>
        </w:rPr>
        <w:t>1</w:t>
      </w:r>
      <w:r>
        <w:rPr>
          <w:lang w:val="fr-FR"/>
        </w:rPr>
        <w:t> </w:t>
      </w:r>
      <w:r w:rsidRPr="00686CD4">
        <w:rPr>
          <w:lang w:val="fr-FR"/>
        </w:rPr>
        <w:t>253 en octobre</w:t>
      </w:r>
      <w:r w:rsidR="009F6AD2">
        <w:rPr>
          <w:lang w:val="fr-FR"/>
        </w:rPr>
        <w:t xml:space="preserve"> </w:t>
      </w:r>
      <w:r w:rsidRPr="00686CD4">
        <w:rPr>
          <w:lang w:val="fr-FR"/>
        </w:rPr>
        <w:t>2016 à 1</w:t>
      </w:r>
      <w:r>
        <w:rPr>
          <w:lang w:val="fr-FR"/>
        </w:rPr>
        <w:t> </w:t>
      </w:r>
      <w:r w:rsidRPr="00686CD4">
        <w:rPr>
          <w:lang w:val="fr-FR"/>
        </w:rPr>
        <w:t>064 le 1</w:t>
      </w:r>
      <w:r w:rsidRPr="00686CD4">
        <w:rPr>
          <w:vertAlign w:val="superscript"/>
          <w:lang w:val="fr-FR"/>
        </w:rPr>
        <w:t>er</w:t>
      </w:r>
      <w:r w:rsidR="009F6AD2" w:rsidRPr="009F6AD2">
        <w:rPr>
          <w:lang w:val="fr-FR"/>
        </w:rPr>
        <w:t> </w:t>
      </w:r>
      <w:r w:rsidRPr="00686CD4">
        <w:rPr>
          <w:lang w:val="fr-FR"/>
        </w:rPr>
        <w:t>novembre</w:t>
      </w:r>
      <w:r>
        <w:rPr>
          <w:lang w:val="fr-FR"/>
        </w:rPr>
        <w:t> </w:t>
      </w:r>
      <w:r w:rsidRPr="00686CD4">
        <w:rPr>
          <w:lang w:val="fr-FR"/>
        </w:rPr>
        <w:t>20</w:t>
      </w:r>
      <w:r>
        <w:rPr>
          <w:lang w:val="fr-FR"/>
        </w:rPr>
        <w:t>1</w:t>
      </w:r>
      <w:r w:rsidRPr="00686CD4">
        <w:rPr>
          <w:lang w:val="fr-FR"/>
        </w:rPr>
        <w:t>7.</w:t>
      </w:r>
    </w:p>
    <w:p w:rsidR="002A7A34" w:rsidRPr="00686CD4" w:rsidRDefault="002A7A34" w:rsidP="009F6AD2">
      <w:pPr>
        <w:pStyle w:val="SingleTxtG"/>
        <w:rPr>
          <w:lang w:val="fr-FR"/>
        </w:rPr>
      </w:pPr>
      <w:r w:rsidRPr="00686CD4">
        <w:rPr>
          <w:lang w:val="fr-FR"/>
        </w:rPr>
        <w:t>190.</w:t>
      </w:r>
      <w:r w:rsidRPr="00686CD4">
        <w:rPr>
          <w:lang w:val="fr-FR"/>
        </w:rPr>
        <w:tab/>
        <w:t>En raison du mauvais état des sous-sols, le sous-sol de l</w:t>
      </w:r>
      <w:r>
        <w:rPr>
          <w:lang w:val="fr-FR"/>
        </w:rPr>
        <w:t>’</w:t>
      </w:r>
      <w:r w:rsidRPr="00686CD4">
        <w:rPr>
          <w:lang w:val="fr-FR"/>
        </w:rPr>
        <w:t>aile</w:t>
      </w:r>
      <w:r>
        <w:rPr>
          <w:lang w:val="fr-FR"/>
        </w:rPr>
        <w:t> </w:t>
      </w:r>
      <w:r w:rsidRPr="00686CD4">
        <w:rPr>
          <w:lang w:val="fr-FR"/>
        </w:rPr>
        <w:t>B a été fermé, et les cellules situées dans les sous-sols de l</w:t>
      </w:r>
      <w:r>
        <w:rPr>
          <w:lang w:val="fr-FR"/>
        </w:rPr>
        <w:t>’</w:t>
      </w:r>
      <w:r w:rsidRPr="00686CD4">
        <w:rPr>
          <w:lang w:val="fr-FR"/>
        </w:rPr>
        <w:t>aile</w:t>
      </w:r>
      <w:r>
        <w:rPr>
          <w:lang w:val="fr-FR"/>
        </w:rPr>
        <w:t> </w:t>
      </w:r>
      <w:r w:rsidRPr="00686CD4">
        <w:rPr>
          <w:lang w:val="fr-FR"/>
        </w:rPr>
        <w:t xml:space="preserve">D, où sont placés les détenus durant leur admission, ont </w:t>
      </w:r>
      <w:r>
        <w:rPr>
          <w:lang w:val="fr-FR"/>
        </w:rPr>
        <w:t>fait l’objet d’</w:t>
      </w:r>
      <w:r w:rsidRPr="00686CD4">
        <w:rPr>
          <w:lang w:val="fr-FR"/>
        </w:rPr>
        <w:t>amélior</w:t>
      </w:r>
      <w:r>
        <w:rPr>
          <w:lang w:val="fr-FR"/>
        </w:rPr>
        <w:t>ations</w:t>
      </w:r>
      <w:r w:rsidRPr="00686CD4">
        <w:rPr>
          <w:lang w:val="fr-FR"/>
        </w:rPr>
        <w:t>. Les cellules des sous-sols des ailes</w:t>
      </w:r>
      <w:r>
        <w:rPr>
          <w:lang w:val="fr-FR"/>
        </w:rPr>
        <w:t> </w:t>
      </w:r>
      <w:r w:rsidRPr="00686CD4">
        <w:rPr>
          <w:lang w:val="fr-FR"/>
        </w:rPr>
        <w:t>C et</w:t>
      </w:r>
      <w:r>
        <w:rPr>
          <w:lang w:val="fr-FR"/>
        </w:rPr>
        <w:t> </w:t>
      </w:r>
      <w:r w:rsidRPr="00686CD4">
        <w:rPr>
          <w:lang w:val="fr-FR"/>
        </w:rPr>
        <w:t>E ne sont censé</w:t>
      </w:r>
      <w:r>
        <w:rPr>
          <w:lang w:val="fr-FR"/>
        </w:rPr>
        <w:t>e</w:t>
      </w:r>
      <w:r w:rsidRPr="00686CD4">
        <w:rPr>
          <w:lang w:val="fr-FR"/>
        </w:rPr>
        <w:t>s être utilisé</w:t>
      </w:r>
      <w:r>
        <w:rPr>
          <w:lang w:val="fr-FR"/>
        </w:rPr>
        <w:t>es</w:t>
      </w:r>
      <w:r w:rsidRPr="00686CD4">
        <w:rPr>
          <w:lang w:val="fr-FR"/>
        </w:rPr>
        <w:t xml:space="preserve"> que pour des séjours temporaires. Les cellules de l</w:t>
      </w:r>
      <w:r>
        <w:rPr>
          <w:lang w:val="fr-FR"/>
        </w:rPr>
        <w:t>’</w:t>
      </w:r>
      <w:r w:rsidRPr="00686CD4">
        <w:rPr>
          <w:lang w:val="fr-FR"/>
        </w:rPr>
        <w:t>aile</w:t>
      </w:r>
      <w:r>
        <w:rPr>
          <w:lang w:val="fr-FR"/>
        </w:rPr>
        <w:t> </w:t>
      </w:r>
      <w:r w:rsidRPr="00686CD4">
        <w:rPr>
          <w:lang w:val="fr-FR"/>
        </w:rPr>
        <w:t>C répond</w:t>
      </w:r>
      <w:r>
        <w:rPr>
          <w:lang w:val="fr-FR"/>
        </w:rPr>
        <w:t>e</w:t>
      </w:r>
      <w:r w:rsidRPr="00686CD4">
        <w:rPr>
          <w:lang w:val="fr-FR"/>
        </w:rPr>
        <w:t>nt aux conditions d</w:t>
      </w:r>
      <w:r>
        <w:rPr>
          <w:lang w:val="fr-FR"/>
        </w:rPr>
        <w:t>’</w:t>
      </w:r>
      <w:r w:rsidRPr="00686CD4">
        <w:rPr>
          <w:lang w:val="fr-FR"/>
        </w:rPr>
        <w:t>hébergement des détenus faisant l</w:t>
      </w:r>
      <w:r>
        <w:rPr>
          <w:lang w:val="fr-FR"/>
        </w:rPr>
        <w:t>’</w:t>
      </w:r>
      <w:r w:rsidRPr="00686CD4">
        <w:rPr>
          <w:lang w:val="fr-FR"/>
        </w:rPr>
        <w:t>objet de mesures disciplinaires tandis que les cellules de l</w:t>
      </w:r>
      <w:r>
        <w:rPr>
          <w:lang w:val="fr-FR"/>
        </w:rPr>
        <w:t>’</w:t>
      </w:r>
      <w:r w:rsidRPr="00686CD4">
        <w:rPr>
          <w:lang w:val="fr-FR"/>
        </w:rPr>
        <w:t>aile</w:t>
      </w:r>
      <w:r>
        <w:rPr>
          <w:lang w:val="fr-FR"/>
        </w:rPr>
        <w:t> </w:t>
      </w:r>
      <w:r w:rsidRPr="00686CD4">
        <w:rPr>
          <w:lang w:val="fr-FR"/>
        </w:rPr>
        <w:t xml:space="preserve">E </w:t>
      </w:r>
      <w:r>
        <w:rPr>
          <w:lang w:val="fr-FR"/>
        </w:rPr>
        <w:t xml:space="preserve">présentent les conditions requises pour les détenus faisant l’objet de </w:t>
      </w:r>
      <w:r w:rsidRPr="00686CD4">
        <w:rPr>
          <w:lang w:val="fr-FR"/>
        </w:rPr>
        <w:t xml:space="preserve">la mesure disciplinaire </w:t>
      </w:r>
      <w:r>
        <w:rPr>
          <w:lang w:val="fr-FR"/>
        </w:rPr>
        <w:t xml:space="preserve">d’interdiction de circulation hors cellule </w:t>
      </w:r>
      <w:r w:rsidR="00375B11">
        <w:rPr>
          <w:lang w:val="fr-FR"/>
        </w:rPr>
        <w:t>(</w:t>
      </w:r>
      <w:r>
        <w:rPr>
          <w:lang w:val="fr-FR"/>
        </w:rPr>
        <w:t>a</w:t>
      </w:r>
      <w:r w:rsidRPr="00686CD4">
        <w:rPr>
          <w:lang w:val="fr-FR"/>
        </w:rPr>
        <w:t>rt</w:t>
      </w:r>
      <w:r w:rsidR="00375B11">
        <w:rPr>
          <w:lang w:val="fr-FR"/>
        </w:rPr>
        <w:t>.</w:t>
      </w:r>
      <w:r>
        <w:rPr>
          <w:lang w:val="fr-FR"/>
        </w:rPr>
        <w:t> </w:t>
      </w:r>
      <w:r w:rsidRPr="00686CD4">
        <w:rPr>
          <w:lang w:val="fr-FR"/>
        </w:rPr>
        <w:t xml:space="preserve">107) et </w:t>
      </w:r>
      <w:r>
        <w:rPr>
          <w:lang w:val="fr-FR"/>
        </w:rPr>
        <w:t xml:space="preserve">de </w:t>
      </w:r>
      <w:r w:rsidRPr="00686CD4">
        <w:rPr>
          <w:lang w:val="fr-FR"/>
        </w:rPr>
        <w:t xml:space="preserve">mesures </w:t>
      </w:r>
      <w:r>
        <w:rPr>
          <w:lang w:val="fr-FR"/>
        </w:rPr>
        <w:t>de détention à titre de précaution</w:t>
      </w:r>
      <w:r w:rsidRPr="00686CD4">
        <w:rPr>
          <w:lang w:val="fr-FR"/>
        </w:rPr>
        <w:t>.</w:t>
      </w:r>
    </w:p>
    <w:p w:rsidR="002A7A34" w:rsidRPr="00686CD4" w:rsidRDefault="002A7A34" w:rsidP="009F6AD2">
      <w:pPr>
        <w:pStyle w:val="SingleTxtG"/>
        <w:keepLines/>
        <w:rPr>
          <w:lang w:val="fr-FR"/>
        </w:rPr>
      </w:pPr>
      <w:r w:rsidRPr="00686CD4">
        <w:rPr>
          <w:lang w:val="fr-FR"/>
        </w:rPr>
        <w:lastRenderedPageBreak/>
        <w:t>191.</w:t>
      </w:r>
      <w:r w:rsidRPr="00686CD4">
        <w:rPr>
          <w:lang w:val="fr-FR"/>
        </w:rPr>
        <w:tab/>
        <w:t>Les inspections inopinées menées par l</w:t>
      </w:r>
      <w:r>
        <w:rPr>
          <w:lang w:val="fr-FR"/>
        </w:rPr>
        <w:t>’Inspection générale de l’administration interne</w:t>
      </w:r>
      <w:r w:rsidRPr="00686CD4">
        <w:rPr>
          <w:lang w:val="fr-FR"/>
        </w:rPr>
        <w:t xml:space="preserve"> dans les lieux de détention administrés par le </w:t>
      </w:r>
      <w:r>
        <w:rPr>
          <w:lang w:val="fr-FR"/>
        </w:rPr>
        <w:t>M</w:t>
      </w:r>
      <w:r w:rsidRPr="00686CD4">
        <w:rPr>
          <w:lang w:val="fr-FR"/>
        </w:rPr>
        <w:t>inistère des affaires intérieures ont pour objet de vérifier, entre autres, la qualité de la lumière naturelle et de l</w:t>
      </w:r>
      <w:r>
        <w:rPr>
          <w:lang w:val="fr-FR"/>
        </w:rPr>
        <w:t>’</w:t>
      </w:r>
      <w:r w:rsidRPr="00686CD4">
        <w:rPr>
          <w:lang w:val="fr-FR"/>
        </w:rPr>
        <w:t>éclairage artificiel, la ventilation (ainsi que la qualité de l</w:t>
      </w:r>
      <w:r>
        <w:rPr>
          <w:lang w:val="fr-FR"/>
        </w:rPr>
        <w:t>’</w:t>
      </w:r>
      <w:r w:rsidRPr="00686CD4">
        <w:rPr>
          <w:lang w:val="fr-FR"/>
        </w:rPr>
        <w:t>air)</w:t>
      </w:r>
      <w:r>
        <w:rPr>
          <w:lang w:val="fr-FR"/>
        </w:rPr>
        <w:t>,</w:t>
      </w:r>
      <w:r w:rsidRPr="00686CD4">
        <w:rPr>
          <w:lang w:val="fr-FR"/>
        </w:rPr>
        <w:t xml:space="preserve"> les conditions sanitaires, la literie, les systèmes d</w:t>
      </w:r>
      <w:r>
        <w:rPr>
          <w:lang w:val="fr-FR"/>
        </w:rPr>
        <w:t>’</w:t>
      </w:r>
      <w:r w:rsidRPr="00686CD4">
        <w:rPr>
          <w:lang w:val="fr-FR"/>
        </w:rPr>
        <w:t>alarme pouvant être utilisé</w:t>
      </w:r>
      <w:r>
        <w:rPr>
          <w:lang w:val="fr-FR"/>
        </w:rPr>
        <w:t>s</w:t>
      </w:r>
      <w:r w:rsidRPr="00686CD4">
        <w:rPr>
          <w:lang w:val="fr-FR"/>
        </w:rPr>
        <w:t xml:space="preserve"> pour appeler à l</w:t>
      </w:r>
      <w:r>
        <w:rPr>
          <w:lang w:val="fr-FR"/>
        </w:rPr>
        <w:t>’</w:t>
      </w:r>
      <w:r w:rsidRPr="00686CD4">
        <w:rPr>
          <w:lang w:val="fr-FR"/>
        </w:rPr>
        <w:t>aide, si nécessaire, l</w:t>
      </w:r>
      <w:r>
        <w:rPr>
          <w:lang w:val="fr-FR"/>
        </w:rPr>
        <w:t>’</w:t>
      </w:r>
      <w:r w:rsidRPr="00686CD4">
        <w:rPr>
          <w:lang w:val="fr-FR"/>
        </w:rPr>
        <w:t>entretien et l</w:t>
      </w:r>
      <w:r>
        <w:rPr>
          <w:lang w:val="fr-FR"/>
        </w:rPr>
        <w:t>’</w:t>
      </w:r>
      <w:r w:rsidRPr="00686CD4">
        <w:rPr>
          <w:lang w:val="fr-FR"/>
        </w:rPr>
        <w:t>hygiène, conformément au formulaire d</w:t>
      </w:r>
      <w:r>
        <w:rPr>
          <w:lang w:val="fr-FR"/>
        </w:rPr>
        <w:t>’</w:t>
      </w:r>
      <w:r w:rsidRPr="00686CD4">
        <w:rPr>
          <w:lang w:val="fr-FR"/>
        </w:rPr>
        <w:t>inspection utilis</w:t>
      </w:r>
      <w:r>
        <w:rPr>
          <w:lang w:val="fr-FR"/>
        </w:rPr>
        <w:t>é par l’Inspection générale de l’administration interne</w:t>
      </w:r>
      <w:r w:rsidRPr="00686CD4">
        <w:rPr>
          <w:lang w:val="fr-FR"/>
        </w:rPr>
        <w:t>.</w:t>
      </w:r>
    </w:p>
    <w:p w:rsidR="002A7A34" w:rsidRPr="00686CD4" w:rsidRDefault="002A7A34" w:rsidP="009F6AD2">
      <w:pPr>
        <w:pStyle w:val="H23G"/>
        <w:jc w:val="both"/>
        <w:rPr>
          <w:lang w:val="fr-FR"/>
        </w:rPr>
      </w:pPr>
      <w:r w:rsidRPr="00686CD4">
        <w:rPr>
          <w:lang w:val="fr-FR"/>
        </w:rPr>
        <w:tab/>
      </w:r>
      <w:bookmarkStart w:id="49" w:name="_Toc532494652"/>
      <w:r w:rsidRPr="00686CD4">
        <w:rPr>
          <w:lang w:val="fr-FR"/>
        </w:rPr>
        <w:tab/>
      </w:r>
      <w:r w:rsidRPr="00686CD4">
        <w:rPr>
          <w:lang w:val="fr-FR"/>
        </w:rPr>
        <w:tab/>
        <w:t>c)</w:t>
      </w:r>
      <w:r w:rsidRPr="00686CD4">
        <w:rPr>
          <w:lang w:val="fr-FR"/>
        </w:rPr>
        <w:tab/>
      </w:r>
      <w:r w:rsidRPr="007456FD">
        <w:rPr>
          <w:lang w:val="fr-FR"/>
        </w:rPr>
        <w:t>Des données ventilées par sexe, âge et origine ethnique ou nationalité sur le nombre de personnes placées en détention avant jugement, y compris par rapport au nombre total de détenus, ainsi que la durée moyenne et maximale de la détention avant jugement par année. Indiquer les mesures prises pour réduire le nombre de détenus attendant leur jugement</w:t>
      </w:r>
      <w:r w:rsidR="00495D0F">
        <w:rPr>
          <w:lang w:val="fr-FR"/>
        </w:rPr>
        <w:t> ;</w:t>
      </w:r>
      <w:bookmarkEnd w:id="49"/>
    </w:p>
    <w:p w:rsidR="002A7A34" w:rsidRPr="00686CD4" w:rsidRDefault="002A7A34" w:rsidP="00980E2C">
      <w:pPr>
        <w:pStyle w:val="SingleTxtG"/>
        <w:rPr>
          <w:lang w:val="fr-FR"/>
        </w:rPr>
      </w:pPr>
      <w:r w:rsidRPr="00686CD4">
        <w:rPr>
          <w:lang w:val="fr-FR"/>
        </w:rPr>
        <w:t>192.</w:t>
      </w:r>
      <w:r w:rsidRPr="00686CD4">
        <w:rPr>
          <w:lang w:val="fr-FR"/>
        </w:rPr>
        <w:tab/>
        <w:t>Voir le tableau</w:t>
      </w:r>
      <w:r>
        <w:rPr>
          <w:lang w:val="fr-FR"/>
        </w:rPr>
        <w:t> </w:t>
      </w:r>
      <w:r w:rsidRPr="00686CD4">
        <w:rPr>
          <w:lang w:val="fr-FR"/>
        </w:rPr>
        <w:t>XV de l</w:t>
      </w:r>
      <w:r>
        <w:rPr>
          <w:lang w:val="fr-FR"/>
        </w:rPr>
        <w:t>’</w:t>
      </w:r>
      <w:r w:rsidRPr="00686CD4">
        <w:rPr>
          <w:lang w:val="fr-FR"/>
        </w:rPr>
        <w:t>annexe</w:t>
      </w:r>
      <w:r>
        <w:rPr>
          <w:lang w:val="fr-FR"/>
        </w:rPr>
        <w:t> </w:t>
      </w:r>
      <w:r w:rsidRPr="00686CD4">
        <w:rPr>
          <w:lang w:val="fr-FR"/>
        </w:rPr>
        <w:t xml:space="preserve">III, </w:t>
      </w:r>
      <w:r>
        <w:rPr>
          <w:lang w:val="fr-FR"/>
        </w:rPr>
        <w:t>qui indique le nombre de détenus au</w:t>
      </w:r>
      <w:r w:rsidRPr="00686CD4">
        <w:rPr>
          <w:lang w:val="fr-FR"/>
        </w:rPr>
        <w:t xml:space="preserve"> 31</w:t>
      </w:r>
      <w:r>
        <w:rPr>
          <w:lang w:val="fr-FR"/>
        </w:rPr>
        <w:t> dé</w:t>
      </w:r>
      <w:r w:rsidRPr="00686CD4">
        <w:rPr>
          <w:lang w:val="fr-FR"/>
        </w:rPr>
        <w:t>cembr</w:t>
      </w:r>
      <w:r>
        <w:rPr>
          <w:lang w:val="fr-FR"/>
        </w:rPr>
        <w:t>e </w:t>
      </w:r>
      <w:r w:rsidRPr="00686CD4">
        <w:rPr>
          <w:lang w:val="fr-FR"/>
        </w:rPr>
        <w:t xml:space="preserve">2016, </w:t>
      </w:r>
      <w:r>
        <w:rPr>
          <w:lang w:val="fr-FR"/>
        </w:rPr>
        <w:t>par catégorie de détention, sexe et nationalité</w:t>
      </w:r>
      <w:r w:rsidRPr="00686CD4">
        <w:rPr>
          <w:lang w:val="fr-FR"/>
        </w:rPr>
        <w:t>.</w:t>
      </w:r>
    </w:p>
    <w:p w:rsidR="002A7A34" w:rsidRPr="00686CD4" w:rsidRDefault="002A7A34" w:rsidP="002A7A34">
      <w:pPr>
        <w:pStyle w:val="H23G"/>
        <w:rPr>
          <w:lang w:val="fr-FR"/>
        </w:rPr>
      </w:pPr>
      <w:r w:rsidRPr="00686CD4">
        <w:rPr>
          <w:lang w:val="fr-FR"/>
        </w:rPr>
        <w:tab/>
      </w:r>
      <w:bookmarkStart w:id="50" w:name="_Toc532494653"/>
      <w:r w:rsidRPr="00686CD4">
        <w:rPr>
          <w:lang w:val="fr-FR"/>
        </w:rPr>
        <w:tab/>
      </w:r>
      <w:r w:rsidRPr="00686CD4">
        <w:rPr>
          <w:lang w:val="fr-FR"/>
        </w:rPr>
        <w:tab/>
        <w:t>d)</w:t>
      </w:r>
      <w:r w:rsidRPr="00686CD4">
        <w:rPr>
          <w:lang w:val="fr-FR"/>
        </w:rPr>
        <w:tab/>
      </w:r>
      <w:r w:rsidRPr="007456FD">
        <w:rPr>
          <w:lang w:val="fr-FR"/>
        </w:rPr>
        <w:t>Les mesures prises pour que les mineurs détenus dans des établissements pour adultes soient hébergés dans des cellules séparées</w:t>
      </w:r>
      <w:r w:rsidRPr="00686CD4">
        <w:rPr>
          <w:lang w:val="fr-FR"/>
        </w:rPr>
        <w:t>.</w:t>
      </w:r>
      <w:bookmarkEnd w:id="50"/>
    </w:p>
    <w:p w:rsidR="002A7A34" w:rsidRPr="00686CD4" w:rsidRDefault="002A7A34" w:rsidP="001F481A">
      <w:pPr>
        <w:pStyle w:val="SingleTxtG"/>
        <w:rPr>
          <w:lang w:val="fr-FR"/>
        </w:rPr>
      </w:pPr>
      <w:r w:rsidRPr="00686CD4">
        <w:rPr>
          <w:lang w:val="fr-FR"/>
        </w:rPr>
        <w:t>193.</w:t>
      </w:r>
      <w:r w:rsidRPr="00686CD4">
        <w:rPr>
          <w:lang w:val="fr-FR"/>
        </w:rPr>
        <w:tab/>
        <w:t>Il convient de souligner que l</w:t>
      </w:r>
      <w:r>
        <w:rPr>
          <w:lang w:val="fr-FR"/>
        </w:rPr>
        <w:t>’</w:t>
      </w:r>
      <w:r w:rsidRPr="00686CD4">
        <w:rPr>
          <w:lang w:val="fr-FR"/>
        </w:rPr>
        <w:t>établissement pénitentiaire de Leiria n</w:t>
      </w:r>
      <w:r>
        <w:rPr>
          <w:lang w:val="fr-FR"/>
        </w:rPr>
        <w:t>’</w:t>
      </w:r>
      <w:r w:rsidRPr="00686CD4">
        <w:rPr>
          <w:lang w:val="fr-FR"/>
        </w:rPr>
        <w:t>accueille que des détenus mineurs.</w:t>
      </w:r>
    </w:p>
    <w:p w:rsidR="002A7A34" w:rsidRPr="00686CD4" w:rsidRDefault="002A7A34" w:rsidP="001F481A">
      <w:pPr>
        <w:pStyle w:val="SingleTxtG"/>
        <w:rPr>
          <w:lang w:val="fr-FR"/>
        </w:rPr>
      </w:pPr>
      <w:r w:rsidRPr="00686CD4">
        <w:rPr>
          <w:lang w:val="fr-FR"/>
        </w:rPr>
        <w:t>194.</w:t>
      </w:r>
      <w:r w:rsidRPr="00686CD4">
        <w:rPr>
          <w:lang w:val="fr-FR"/>
        </w:rPr>
        <w:tab/>
        <w:t xml:space="preserve">Un projet pilote visant les mineurs </w:t>
      </w:r>
      <w:r>
        <w:rPr>
          <w:lang w:val="fr-FR"/>
        </w:rPr>
        <w:t>a</w:t>
      </w:r>
      <w:r w:rsidRPr="00686CD4">
        <w:rPr>
          <w:lang w:val="fr-FR"/>
        </w:rPr>
        <w:t xml:space="preserve"> été lancé dans trois établissements pénitentiaires. Il a pour objet de répondre aux besoins particuliers de ces détenus en suivant un modèle d</w:t>
      </w:r>
      <w:r>
        <w:rPr>
          <w:lang w:val="fr-FR"/>
        </w:rPr>
        <w:t>’</w:t>
      </w:r>
      <w:r w:rsidRPr="00686CD4">
        <w:rPr>
          <w:lang w:val="fr-FR"/>
        </w:rPr>
        <w:t xml:space="preserve">intervention technique considérant les facteurs </w:t>
      </w:r>
      <w:r>
        <w:rPr>
          <w:lang w:val="fr-FR"/>
        </w:rPr>
        <w:t>d’infraction par groupe d’âge</w:t>
      </w:r>
      <w:r w:rsidRPr="00686CD4">
        <w:rPr>
          <w:lang w:val="fr-FR"/>
        </w:rPr>
        <w:t xml:space="preserve">, </w:t>
      </w:r>
      <w:r>
        <w:rPr>
          <w:lang w:val="fr-FR"/>
        </w:rPr>
        <w:t xml:space="preserve">et donne lieu, en particulier, à l’organisation et à l’application de </w:t>
      </w:r>
      <w:r w:rsidRPr="00686CD4">
        <w:rPr>
          <w:lang w:val="fr-FR"/>
        </w:rPr>
        <w:t>deux programmes</w:t>
      </w:r>
      <w:r w:rsidR="00495D0F">
        <w:rPr>
          <w:lang w:val="fr-FR"/>
        </w:rPr>
        <w:t> :</w:t>
      </w:r>
      <w:r w:rsidRPr="00686CD4">
        <w:rPr>
          <w:lang w:val="fr-FR"/>
        </w:rPr>
        <w:t xml:space="preserve"> le programme d</w:t>
      </w:r>
      <w:r>
        <w:rPr>
          <w:lang w:val="fr-FR"/>
        </w:rPr>
        <w:t>’</w:t>
      </w:r>
      <w:r w:rsidRPr="00686CD4">
        <w:rPr>
          <w:lang w:val="fr-FR"/>
        </w:rPr>
        <w:t>intervention en faveur des jeunes de moins de</w:t>
      </w:r>
      <w:r>
        <w:rPr>
          <w:lang w:val="fr-FR"/>
        </w:rPr>
        <w:t> </w:t>
      </w:r>
      <w:r w:rsidRPr="00686CD4">
        <w:rPr>
          <w:lang w:val="fr-FR"/>
        </w:rPr>
        <w:t xml:space="preserve">21 ans condamnés pour crimes violents, et le programme </w:t>
      </w:r>
      <w:r>
        <w:rPr>
          <w:lang w:val="fr-FR"/>
        </w:rPr>
        <w:t xml:space="preserve">de création </w:t>
      </w:r>
      <w:r w:rsidRPr="00686CD4">
        <w:rPr>
          <w:lang w:val="fr-FR"/>
        </w:rPr>
        <w:t>de trajectoires sociales.</w:t>
      </w:r>
    </w:p>
    <w:p w:rsidR="002A7A34" w:rsidRPr="00686CD4" w:rsidRDefault="002A7A34" w:rsidP="001F481A">
      <w:pPr>
        <w:pStyle w:val="SingleTxtG"/>
        <w:rPr>
          <w:lang w:val="fr-FR"/>
        </w:rPr>
      </w:pPr>
      <w:r w:rsidRPr="00686CD4">
        <w:rPr>
          <w:lang w:val="fr-FR"/>
        </w:rPr>
        <w:t>195.</w:t>
      </w:r>
      <w:r w:rsidRPr="00686CD4">
        <w:rPr>
          <w:lang w:val="fr-FR"/>
        </w:rPr>
        <w:tab/>
        <w:t xml:space="preserve">Ces programmes sont menés dans le cadre de groupes </w:t>
      </w:r>
      <w:r>
        <w:rPr>
          <w:lang w:val="fr-FR"/>
        </w:rPr>
        <w:t xml:space="preserve">de </w:t>
      </w:r>
      <w:r w:rsidRPr="00686CD4">
        <w:rPr>
          <w:lang w:val="fr-FR"/>
        </w:rPr>
        <w:t xml:space="preserve">10 </w:t>
      </w:r>
      <w:r>
        <w:rPr>
          <w:lang w:val="fr-FR"/>
        </w:rPr>
        <w:t>à</w:t>
      </w:r>
      <w:r w:rsidR="00495D0F">
        <w:rPr>
          <w:lang w:val="fr-FR"/>
        </w:rPr>
        <w:t xml:space="preserve"> </w:t>
      </w:r>
      <w:r w:rsidRPr="00686CD4">
        <w:rPr>
          <w:lang w:val="fr-FR"/>
        </w:rPr>
        <w:t>12</w:t>
      </w:r>
      <w:r>
        <w:rPr>
          <w:lang w:val="fr-FR"/>
        </w:rPr>
        <w:t> </w:t>
      </w:r>
      <w:r w:rsidRPr="00686CD4">
        <w:rPr>
          <w:lang w:val="fr-FR"/>
        </w:rPr>
        <w:t>personnes.</w:t>
      </w:r>
    </w:p>
    <w:p w:rsidR="002A7A34" w:rsidRPr="00686CD4" w:rsidRDefault="002A7A34" w:rsidP="001F481A">
      <w:pPr>
        <w:pStyle w:val="SingleTxtG"/>
        <w:rPr>
          <w:lang w:val="fr-FR"/>
        </w:rPr>
      </w:pPr>
      <w:r w:rsidRPr="00686CD4">
        <w:rPr>
          <w:lang w:val="fr-FR"/>
        </w:rPr>
        <w:t>196.</w:t>
      </w:r>
      <w:r w:rsidRPr="00686CD4">
        <w:rPr>
          <w:lang w:val="fr-FR"/>
        </w:rPr>
        <w:tab/>
        <w:t>Le premier programme comporte 22</w:t>
      </w:r>
      <w:r>
        <w:rPr>
          <w:lang w:val="fr-FR"/>
        </w:rPr>
        <w:t> </w:t>
      </w:r>
      <w:r w:rsidRPr="00686CD4">
        <w:rPr>
          <w:lang w:val="fr-FR"/>
        </w:rPr>
        <w:t>sessions et vise à promouvoir et développer des compétences fondamentales en vue d</w:t>
      </w:r>
      <w:r>
        <w:rPr>
          <w:lang w:val="fr-FR"/>
        </w:rPr>
        <w:t>’</w:t>
      </w:r>
      <w:r w:rsidRPr="00686CD4">
        <w:rPr>
          <w:lang w:val="fr-FR"/>
        </w:rPr>
        <w:t>une réinsertion sociale durable et cohérente en améliorant les capacités interpersonnelles des jeunes détenus. Le deuxième programme compte 44</w:t>
      </w:r>
      <w:r>
        <w:rPr>
          <w:lang w:val="fr-FR"/>
        </w:rPr>
        <w:t> </w:t>
      </w:r>
      <w:r w:rsidRPr="00686CD4">
        <w:rPr>
          <w:lang w:val="fr-FR"/>
        </w:rPr>
        <w:t xml:space="preserve">sessions et </w:t>
      </w:r>
      <w:r>
        <w:rPr>
          <w:lang w:val="fr-FR"/>
        </w:rPr>
        <w:t>a</w:t>
      </w:r>
      <w:r w:rsidRPr="00686CD4">
        <w:rPr>
          <w:lang w:val="fr-FR"/>
        </w:rPr>
        <w:t xml:space="preserve"> des objectifs thérapeutiques.</w:t>
      </w:r>
    </w:p>
    <w:p w:rsidR="002A7A34" w:rsidRPr="00686CD4" w:rsidRDefault="002A7A34" w:rsidP="001F481A">
      <w:pPr>
        <w:pStyle w:val="SingleTxtG"/>
        <w:rPr>
          <w:lang w:val="fr-FR"/>
        </w:rPr>
      </w:pPr>
      <w:r w:rsidRPr="00686CD4">
        <w:rPr>
          <w:lang w:val="fr-FR"/>
        </w:rPr>
        <w:t>197.</w:t>
      </w:r>
      <w:r w:rsidRPr="00686CD4">
        <w:rPr>
          <w:lang w:val="fr-FR"/>
        </w:rPr>
        <w:tab/>
        <w:t xml:space="preserve">Les jeunes prisonniers bénéficient, </w:t>
      </w:r>
      <w:r>
        <w:rPr>
          <w:lang w:val="fr-FR"/>
        </w:rPr>
        <w:t xml:space="preserve">en plus </w:t>
      </w:r>
      <w:r w:rsidRPr="00686CD4">
        <w:rPr>
          <w:lang w:val="fr-FR"/>
        </w:rPr>
        <w:t>de ces programmes de réhabilitation particuliers, d</w:t>
      </w:r>
      <w:r>
        <w:rPr>
          <w:lang w:val="fr-FR"/>
        </w:rPr>
        <w:t>’</w:t>
      </w:r>
      <w:r w:rsidRPr="00686CD4">
        <w:rPr>
          <w:lang w:val="fr-FR"/>
        </w:rPr>
        <w:t xml:space="preserve">une gamme </w:t>
      </w:r>
      <w:r>
        <w:rPr>
          <w:lang w:val="fr-FR"/>
        </w:rPr>
        <w:t xml:space="preserve">de mesures </w:t>
      </w:r>
      <w:r w:rsidRPr="00686CD4">
        <w:rPr>
          <w:lang w:val="fr-FR"/>
        </w:rPr>
        <w:t>d</w:t>
      </w:r>
      <w:r>
        <w:rPr>
          <w:lang w:val="fr-FR"/>
        </w:rPr>
        <w:t>’</w:t>
      </w:r>
      <w:r w:rsidRPr="00686CD4">
        <w:rPr>
          <w:lang w:val="fr-FR"/>
        </w:rPr>
        <w:t>orientation éducative, de formation</w:t>
      </w:r>
      <w:r>
        <w:rPr>
          <w:lang w:val="fr-FR"/>
        </w:rPr>
        <w:t>s</w:t>
      </w:r>
      <w:r w:rsidRPr="00686CD4">
        <w:rPr>
          <w:lang w:val="fr-FR"/>
        </w:rPr>
        <w:t xml:space="preserve"> professionnelle</w:t>
      </w:r>
      <w:r>
        <w:rPr>
          <w:lang w:val="fr-FR"/>
        </w:rPr>
        <w:t>s</w:t>
      </w:r>
      <w:r w:rsidRPr="00686CD4">
        <w:rPr>
          <w:lang w:val="fr-FR"/>
        </w:rPr>
        <w:t xml:space="preserve"> et d</w:t>
      </w:r>
      <w:r>
        <w:rPr>
          <w:lang w:val="fr-FR"/>
        </w:rPr>
        <w:t>’</w:t>
      </w:r>
      <w:r w:rsidRPr="00686CD4">
        <w:rPr>
          <w:lang w:val="fr-FR"/>
        </w:rPr>
        <w:t>activités sportives adaptées à leurs caractéristiques, à leurs besoins et à leurs intérêts.</w:t>
      </w:r>
    </w:p>
    <w:p w:rsidR="002A7A34" w:rsidRPr="00686CD4" w:rsidRDefault="002A7A34" w:rsidP="001F481A">
      <w:pPr>
        <w:pStyle w:val="H23G"/>
        <w:jc w:val="both"/>
        <w:rPr>
          <w:lang w:val="fr-FR"/>
        </w:rPr>
      </w:pPr>
      <w:r>
        <w:rPr>
          <w:lang w:val="fr-FR"/>
        </w:rPr>
        <w:tab/>
      </w:r>
      <w:r w:rsidRPr="00686CD4">
        <w:rPr>
          <w:lang w:val="fr-FR"/>
        </w:rPr>
        <w:t>12.</w:t>
      </w:r>
      <w:r w:rsidRPr="00686CD4">
        <w:rPr>
          <w:lang w:val="fr-FR"/>
        </w:rPr>
        <w:tab/>
      </w:r>
      <w:r w:rsidRPr="004415DE">
        <w:rPr>
          <w:lang w:val="fr-FR"/>
        </w:rPr>
        <w:t>Compte tenu des précédentes observations finales du Comité (par. 11 f) et g)), donner des informations à jour sur</w:t>
      </w:r>
      <w:r w:rsidR="00495D0F">
        <w:rPr>
          <w:lang w:val="fr-FR"/>
        </w:rPr>
        <w:t> :</w:t>
      </w:r>
      <w:r w:rsidRPr="00686CD4">
        <w:rPr>
          <w:lang w:val="fr-FR"/>
        </w:rPr>
        <w:t xml:space="preserve"> </w:t>
      </w:r>
      <w:bookmarkStart w:id="51" w:name="_Toc532494654"/>
      <w:bookmarkEnd w:id="51"/>
    </w:p>
    <w:p w:rsidR="002A7A34" w:rsidRPr="004415DE" w:rsidRDefault="002A7A34" w:rsidP="001F481A">
      <w:pPr>
        <w:pStyle w:val="H23G"/>
        <w:jc w:val="both"/>
        <w:rPr>
          <w:lang w:val="fr-FR"/>
        </w:rPr>
      </w:pPr>
      <w:r w:rsidRPr="00686CD4">
        <w:rPr>
          <w:lang w:val="fr-FR"/>
        </w:rPr>
        <w:tab/>
      </w:r>
      <w:bookmarkStart w:id="52" w:name="_Toc532494655"/>
      <w:r w:rsidRPr="00686CD4">
        <w:rPr>
          <w:lang w:val="fr-FR"/>
        </w:rPr>
        <w:tab/>
      </w:r>
      <w:r w:rsidRPr="00686CD4">
        <w:rPr>
          <w:lang w:val="fr-FR"/>
        </w:rPr>
        <w:tab/>
        <w:t>a)</w:t>
      </w:r>
      <w:r w:rsidRPr="00686CD4">
        <w:rPr>
          <w:lang w:val="fr-FR"/>
        </w:rPr>
        <w:tab/>
      </w:r>
      <w:r w:rsidRPr="004415DE">
        <w:rPr>
          <w:lang w:val="fr-FR"/>
        </w:rPr>
        <w:t>Les mesures prises pour accroître l</w:t>
      </w:r>
      <w:r>
        <w:rPr>
          <w:lang w:val="fr-FR"/>
        </w:rPr>
        <w:t>’</w:t>
      </w:r>
      <w:r w:rsidRPr="004415DE">
        <w:rPr>
          <w:lang w:val="fr-FR"/>
        </w:rPr>
        <w:t>accès aux services de soins de santé mentale dans tous les établissements pénitentiaires</w:t>
      </w:r>
      <w:r w:rsidR="00495D0F">
        <w:rPr>
          <w:lang w:val="fr-FR"/>
        </w:rPr>
        <w:t> ;</w:t>
      </w:r>
      <w:bookmarkEnd w:id="52"/>
    </w:p>
    <w:p w:rsidR="002A7A34" w:rsidRPr="00686CD4" w:rsidRDefault="002A7A34" w:rsidP="001F481A">
      <w:pPr>
        <w:pStyle w:val="SingleTxtG"/>
        <w:rPr>
          <w:lang w:val="fr-FR"/>
        </w:rPr>
      </w:pPr>
      <w:r w:rsidRPr="00686CD4">
        <w:rPr>
          <w:lang w:val="fr-FR"/>
        </w:rPr>
        <w:t>198.</w:t>
      </w:r>
      <w:r w:rsidRPr="00686CD4">
        <w:rPr>
          <w:lang w:val="fr-FR"/>
        </w:rPr>
        <w:tab/>
        <w:t xml:space="preserve">Le Ministère de la </w:t>
      </w:r>
      <w:r w:rsidR="001F481A">
        <w:rPr>
          <w:lang w:val="fr-FR"/>
        </w:rPr>
        <w:t>j</w:t>
      </w:r>
      <w:r w:rsidRPr="00686CD4">
        <w:rPr>
          <w:lang w:val="fr-FR"/>
        </w:rPr>
        <w:t xml:space="preserve">ustice a créé un service organique appelé </w:t>
      </w:r>
      <w:r>
        <w:rPr>
          <w:lang w:val="fr-FR"/>
        </w:rPr>
        <w:t>C</w:t>
      </w:r>
      <w:r w:rsidRPr="00686CD4">
        <w:rPr>
          <w:lang w:val="fr-FR"/>
        </w:rPr>
        <w:t xml:space="preserve">entre de compétences pour la gestion de la santé mentale qui </w:t>
      </w:r>
      <w:r>
        <w:rPr>
          <w:lang w:val="fr-FR"/>
        </w:rPr>
        <w:t>em</w:t>
      </w:r>
      <w:r w:rsidRPr="00686CD4">
        <w:rPr>
          <w:lang w:val="fr-FR"/>
        </w:rPr>
        <w:t xml:space="preserve">ploie des techniciens de la santé venant de la </w:t>
      </w:r>
      <w:r w:rsidRPr="004415DE">
        <w:rPr>
          <w:lang w:val="fr-FR"/>
        </w:rPr>
        <w:t>Direction générale de la réinsertion et des services pénitentiaires</w:t>
      </w:r>
      <w:r>
        <w:rPr>
          <w:lang w:val="fr-FR"/>
        </w:rPr>
        <w:t xml:space="preserve"> et se</w:t>
      </w:r>
      <w:r w:rsidRPr="00686CD4">
        <w:rPr>
          <w:lang w:val="fr-FR"/>
        </w:rPr>
        <w:t xml:space="preserve"> </w:t>
      </w:r>
      <w:r>
        <w:rPr>
          <w:lang w:val="fr-FR"/>
        </w:rPr>
        <w:t xml:space="preserve">consacre </w:t>
      </w:r>
      <w:r w:rsidRPr="00686CD4">
        <w:rPr>
          <w:lang w:val="fr-FR"/>
        </w:rPr>
        <w:t xml:space="preserve">uniquement à la santé dans les prisons. Ce service a intensifié le contrôle et la surveillance </w:t>
      </w:r>
      <w:r>
        <w:rPr>
          <w:lang w:val="fr-FR"/>
        </w:rPr>
        <w:t xml:space="preserve">du </w:t>
      </w:r>
      <w:r w:rsidRPr="00686CD4">
        <w:rPr>
          <w:lang w:val="fr-FR"/>
        </w:rPr>
        <w:t>personnel médical des sociétés privées travaillant dans les prisons.</w:t>
      </w:r>
    </w:p>
    <w:p w:rsidR="002A7A34" w:rsidRPr="00686CD4" w:rsidRDefault="002A7A34" w:rsidP="001F481A">
      <w:pPr>
        <w:pStyle w:val="SingleTxtG"/>
        <w:rPr>
          <w:lang w:val="fr-FR"/>
        </w:rPr>
      </w:pPr>
      <w:r w:rsidRPr="00686CD4">
        <w:rPr>
          <w:lang w:val="fr-FR"/>
        </w:rPr>
        <w:t>199.</w:t>
      </w:r>
      <w:r w:rsidRPr="00686CD4">
        <w:rPr>
          <w:lang w:val="fr-FR"/>
        </w:rPr>
        <w:tab/>
        <w:t xml:space="preserve">Afin de remédier au manque de ressources humaines et aux nombreuses absences du personnel médical des prisons, la </w:t>
      </w:r>
      <w:r w:rsidRPr="003069CD">
        <w:rPr>
          <w:lang w:val="fr-FR"/>
        </w:rPr>
        <w:t>Direction générale de la réinsertion et des services pénitentiaires</w:t>
      </w:r>
      <w:r w:rsidRPr="00686CD4">
        <w:rPr>
          <w:lang w:val="fr-FR"/>
        </w:rPr>
        <w:t xml:space="preserve"> propose désormais des emplois aux fonctionnaires. Cette mesure (en cours d</w:t>
      </w:r>
      <w:r>
        <w:rPr>
          <w:lang w:val="fr-FR"/>
        </w:rPr>
        <w:t>’</w:t>
      </w:r>
      <w:r w:rsidRPr="00686CD4">
        <w:rPr>
          <w:lang w:val="fr-FR"/>
        </w:rPr>
        <w:t xml:space="preserve">exécution) permet aux fonctionnaires de </w:t>
      </w:r>
      <w:r>
        <w:rPr>
          <w:lang w:val="fr-FR"/>
        </w:rPr>
        <w:t xml:space="preserve">jouir de la mobilité interne et de </w:t>
      </w:r>
      <w:r w:rsidRPr="00686CD4">
        <w:rPr>
          <w:lang w:val="fr-FR"/>
        </w:rPr>
        <w:t>travailler dans différentes prisons</w:t>
      </w:r>
      <w:r>
        <w:rPr>
          <w:lang w:val="fr-FR"/>
        </w:rPr>
        <w:t xml:space="preserve">, ce qui permettra d’abaisser </w:t>
      </w:r>
      <w:r w:rsidRPr="00686CD4">
        <w:rPr>
          <w:lang w:val="fr-FR"/>
        </w:rPr>
        <w:t>progressivement le</w:t>
      </w:r>
      <w:r>
        <w:rPr>
          <w:lang w:val="fr-FR"/>
        </w:rPr>
        <w:t xml:space="preserve"> nombre d’employés </w:t>
      </w:r>
      <w:r w:rsidRPr="00686CD4">
        <w:rPr>
          <w:lang w:val="fr-FR"/>
        </w:rPr>
        <w:t>venant de sociétés privées, à stabiliser la rotation des effectifs et à réduire la dépendance à l</w:t>
      </w:r>
      <w:r>
        <w:rPr>
          <w:lang w:val="fr-FR"/>
        </w:rPr>
        <w:t>’</w:t>
      </w:r>
      <w:r w:rsidRPr="00686CD4">
        <w:rPr>
          <w:lang w:val="fr-FR"/>
        </w:rPr>
        <w:t>égard de tierces parties</w:t>
      </w:r>
      <w:r w:rsidR="00375B11">
        <w:rPr>
          <w:lang w:val="fr-FR"/>
        </w:rPr>
        <w:t>.</w:t>
      </w:r>
    </w:p>
    <w:p w:rsidR="002A7A34" w:rsidRPr="00686CD4" w:rsidRDefault="002A7A34" w:rsidP="001F481A">
      <w:pPr>
        <w:pStyle w:val="SingleTxtG"/>
        <w:keepLines/>
        <w:rPr>
          <w:lang w:val="fr-FR"/>
        </w:rPr>
      </w:pPr>
      <w:r w:rsidRPr="00686CD4">
        <w:rPr>
          <w:lang w:val="fr-FR"/>
        </w:rPr>
        <w:lastRenderedPageBreak/>
        <w:t>200.</w:t>
      </w:r>
      <w:r w:rsidRPr="00686CD4">
        <w:rPr>
          <w:lang w:val="fr-FR"/>
        </w:rPr>
        <w:tab/>
        <w:t>Dans le cadre de la normalisation et de l</w:t>
      </w:r>
      <w:r>
        <w:rPr>
          <w:lang w:val="fr-FR"/>
        </w:rPr>
        <w:t xml:space="preserve">’affectation </w:t>
      </w:r>
      <w:r w:rsidRPr="00686CD4">
        <w:rPr>
          <w:lang w:val="fr-FR"/>
        </w:rPr>
        <w:t xml:space="preserve">de ressources dans les domaines </w:t>
      </w:r>
      <w:r>
        <w:rPr>
          <w:lang w:val="fr-FR"/>
        </w:rPr>
        <w:t>cliniques</w:t>
      </w:r>
      <w:r w:rsidRPr="00686CD4">
        <w:rPr>
          <w:lang w:val="fr-FR"/>
        </w:rPr>
        <w:t xml:space="preserve">, des procédures de passation des marchés seront également </w:t>
      </w:r>
      <w:r>
        <w:rPr>
          <w:lang w:val="fr-FR"/>
        </w:rPr>
        <w:t xml:space="preserve">mises en place </w:t>
      </w:r>
      <w:r w:rsidRPr="00686CD4">
        <w:rPr>
          <w:lang w:val="fr-FR"/>
        </w:rPr>
        <w:t>(en cours d</w:t>
      </w:r>
      <w:r>
        <w:rPr>
          <w:lang w:val="fr-FR"/>
        </w:rPr>
        <w:t>’</w:t>
      </w:r>
      <w:r w:rsidRPr="00686CD4">
        <w:rPr>
          <w:lang w:val="fr-FR"/>
        </w:rPr>
        <w:t>exécution) et, pour finir, des appels d</w:t>
      </w:r>
      <w:r>
        <w:rPr>
          <w:lang w:val="fr-FR"/>
        </w:rPr>
        <w:t>’</w:t>
      </w:r>
      <w:r w:rsidRPr="00686CD4">
        <w:rPr>
          <w:lang w:val="fr-FR"/>
        </w:rPr>
        <w:t>offres seront lancés en vue d</w:t>
      </w:r>
      <w:r>
        <w:rPr>
          <w:lang w:val="fr-FR"/>
        </w:rPr>
        <w:t>’</w:t>
      </w:r>
      <w:r w:rsidRPr="00686CD4">
        <w:rPr>
          <w:lang w:val="fr-FR"/>
        </w:rPr>
        <w:t xml:space="preserve">admettre tes professionnels dans les effectifs médicaux de la </w:t>
      </w:r>
      <w:r w:rsidRPr="003069CD">
        <w:rPr>
          <w:lang w:val="fr-FR"/>
        </w:rPr>
        <w:t>Direction générale de la réinsertion et des services pénitentiaires</w:t>
      </w:r>
      <w:r w:rsidRPr="00686CD4">
        <w:rPr>
          <w:lang w:val="fr-FR"/>
        </w:rPr>
        <w:t>. L</w:t>
      </w:r>
      <w:r>
        <w:rPr>
          <w:lang w:val="fr-FR"/>
        </w:rPr>
        <w:t>’</w:t>
      </w:r>
      <w:r w:rsidRPr="00686CD4">
        <w:rPr>
          <w:lang w:val="fr-FR"/>
        </w:rPr>
        <w:t>élimination des contraintes existant</w:t>
      </w:r>
      <w:r>
        <w:rPr>
          <w:lang w:val="fr-FR"/>
        </w:rPr>
        <w:t xml:space="preserve"> </w:t>
      </w:r>
      <w:r w:rsidRPr="00686CD4">
        <w:rPr>
          <w:lang w:val="fr-FR"/>
        </w:rPr>
        <w:t>au niveau des ressources humaines devrait permettre d</w:t>
      </w:r>
      <w:r>
        <w:rPr>
          <w:lang w:val="fr-FR"/>
        </w:rPr>
        <w:t>’</w:t>
      </w:r>
      <w:r w:rsidRPr="00686CD4">
        <w:rPr>
          <w:lang w:val="fr-FR"/>
        </w:rPr>
        <w:t>améliorer la qualité de la santé dans les prisons.</w:t>
      </w:r>
    </w:p>
    <w:p w:rsidR="002A7A34" w:rsidRPr="00686CD4" w:rsidRDefault="002A7A34" w:rsidP="001F481A">
      <w:pPr>
        <w:pStyle w:val="SingleTxtG"/>
        <w:rPr>
          <w:lang w:val="fr-FR"/>
        </w:rPr>
      </w:pPr>
      <w:r w:rsidRPr="00686CD4">
        <w:rPr>
          <w:lang w:val="fr-FR"/>
        </w:rPr>
        <w:t>201.</w:t>
      </w:r>
      <w:r w:rsidRPr="00686CD4">
        <w:rPr>
          <w:lang w:val="fr-FR"/>
        </w:rPr>
        <w:tab/>
        <w:t xml:space="preserve">La </w:t>
      </w:r>
      <w:r>
        <w:rPr>
          <w:lang w:val="fr-FR"/>
        </w:rPr>
        <w:t>C</w:t>
      </w:r>
      <w:r w:rsidRPr="00686CD4">
        <w:rPr>
          <w:lang w:val="fr-FR"/>
        </w:rPr>
        <w:t>ommission pour la réforme de la santé mentale</w:t>
      </w:r>
      <w:r w:rsidRPr="00F16A9E">
        <w:rPr>
          <w:rStyle w:val="Appelnotedebasdep"/>
        </w:rPr>
        <w:footnoteReference w:id="20"/>
      </w:r>
      <w:r w:rsidRPr="00686CD4">
        <w:rPr>
          <w:lang w:val="fr-FR"/>
        </w:rPr>
        <w:t xml:space="preserve"> a recommandé d</w:t>
      </w:r>
      <w:r>
        <w:rPr>
          <w:lang w:val="fr-FR"/>
        </w:rPr>
        <w:t>’</w:t>
      </w:r>
      <w:r w:rsidRPr="00686CD4">
        <w:rPr>
          <w:lang w:val="fr-FR"/>
        </w:rPr>
        <w:t>ouvrir des services d</w:t>
      </w:r>
      <w:r>
        <w:rPr>
          <w:lang w:val="fr-FR"/>
        </w:rPr>
        <w:t>’</w:t>
      </w:r>
      <w:r w:rsidRPr="00686CD4">
        <w:rPr>
          <w:lang w:val="fr-FR"/>
        </w:rPr>
        <w:t xml:space="preserve">isolement psychiatrique dans les hôpitaux généraux pour permettre aux </w:t>
      </w:r>
      <w:r>
        <w:rPr>
          <w:lang w:val="fr-FR"/>
        </w:rPr>
        <w:t xml:space="preserve">centres </w:t>
      </w:r>
      <w:r w:rsidRPr="00686CD4">
        <w:rPr>
          <w:lang w:val="fr-FR"/>
        </w:rPr>
        <w:t>psychiatriques d</w:t>
      </w:r>
      <w:r>
        <w:rPr>
          <w:lang w:val="fr-FR"/>
        </w:rPr>
        <w:t>’</w:t>
      </w:r>
      <w:r w:rsidRPr="00686CD4">
        <w:rPr>
          <w:lang w:val="fr-FR"/>
        </w:rPr>
        <w:t xml:space="preserve">accueillir des </w:t>
      </w:r>
      <w:r>
        <w:rPr>
          <w:lang w:val="fr-FR"/>
        </w:rPr>
        <w:t xml:space="preserve">délinquants mineurs </w:t>
      </w:r>
      <w:r w:rsidRPr="00686CD4">
        <w:rPr>
          <w:lang w:val="fr-FR"/>
        </w:rPr>
        <w:t>faisant l</w:t>
      </w:r>
      <w:r>
        <w:rPr>
          <w:lang w:val="fr-FR"/>
        </w:rPr>
        <w:t>’</w:t>
      </w:r>
      <w:r w:rsidRPr="00686CD4">
        <w:rPr>
          <w:lang w:val="fr-FR"/>
        </w:rPr>
        <w:t>objet de mesures de sécurité.</w:t>
      </w:r>
    </w:p>
    <w:p w:rsidR="002A7A34" w:rsidRPr="00686CD4" w:rsidRDefault="002A7A34" w:rsidP="001F481A">
      <w:pPr>
        <w:pStyle w:val="H23G"/>
        <w:jc w:val="both"/>
        <w:rPr>
          <w:lang w:val="fr-FR"/>
        </w:rPr>
      </w:pPr>
      <w:r w:rsidRPr="00686CD4">
        <w:rPr>
          <w:lang w:val="fr-FR"/>
        </w:rPr>
        <w:tab/>
      </w:r>
      <w:bookmarkStart w:id="53" w:name="_Toc532494656"/>
      <w:r w:rsidRPr="00686CD4">
        <w:rPr>
          <w:lang w:val="fr-FR"/>
        </w:rPr>
        <w:tab/>
      </w:r>
      <w:r w:rsidRPr="00686CD4">
        <w:rPr>
          <w:lang w:val="fr-FR"/>
        </w:rPr>
        <w:tab/>
        <w:t>b)</w:t>
      </w:r>
      <w:r w:rsidRPr="00686CD4">
        <w:rPr>
          <w:lang w:val="fr-FR"/>
        </w:rPr>
        <w:tab/>
      </w:r>
      <w:r w:rsidRPr="002461E0">
        <w:rPr>
          <w:lang w:val="fr-FR"/>
        </w:rPr>
        <w:t>Les mesures prises pour renforcer le personnel médical dans les hôpitaux psychiatriques médico-légaux, ainsi que les activités de réadaptation</w:t>
      </w:r>
      <w:r w:rsidR="00495D0F">
        <w:rPr>
          <w:lang w:val="fr-FR"/>
        </w:rPr>
        <w:t> ;</w:t>
      </w:r>
      <w:bookmarkEnd w:id="53"/>
    </w:p>
    <w:p w:rsidR="002A7A34" w:rsidRPr="00686CD4" w:rsidRDefault="002A7A34" w:rsidP="001F481A">
      <w:pPr>
        <w:pStyle w:val="SingleTxtG"/>
        <w:rPr>
          <w:lang w:val="fr-FR"/>
        </w:rPr>
      </w:pPr>
      <w:r w:rsidRPr="00686CD4">
        <w:rPr>
          <w:lang w:val="fr-FR"/>
        </w:rPr>
        <w:t>202.</w:t>
      </w:r>
      <w:r w:rsidRPr="00686CD4">
        <w:rPr>
          <w:lang w:val="fr-FR"/>
        </w:rPr>
        <w:tab/>
      </w:r>
      <w:r>
        <w:rPr>
          <w:lang w:val="fr-FR"/>
        </w:rPr>
        <w:t>D</w:t>
      </w:r>
      <w:r w:rsidRPr="00686CD4">
        <w:rPr>
          <w:lang w:val="fr-FR"/>
        </w:rPr>
        <w:t>es professionnels de la santé mentale (psychiatres, personnels infirmiers et d</w:t>
      </w:r>
      <w:r>
        <w:rPr>
          <w:lang w:val="fr-FR"/>
        </w:rPr>
        <w:t>’</w:t>
      </w:r>
      <w:r w:rsidRPr="00686CD4">
        <w:rPr>
          <w:lang w:val="fr-FR"/>
        </w:rPr>
        <w:t xml:space="preserve">assistance) ont été </w:t>
      </w:r>
      <w:r>
        <w:rPr>
          <w:lang w:val="fr-FR"/>
        </w:rPr>
        <w:t xml:space="preserve">affectés à </w:t>
      </w:r>
      <w:r w:rsidRPr="00686CD4">
        <w:rPr>
          <w:lang w:val="fr-FR"/>
        </w:rPr>
        <w:t>trois services médicaux accueillant des détenus (</w:t>
      </w:r>
      <w:r>
        <w:rPr>
          <w:lang w:val="fr-FR"/>
        </w:rPr>
        <w:t>C</w:t>
      </w:r>
      <w:r w:rsidRPr="00686CD4">
        <w:rPr>
          <w:lang w:val="fr-FR"/>
        </w:rPr>
        <w:t xml:space="preserve">entre hospitalier psychiatrique de Lisbonne, hôpital de la prison de São João de Deus et prison de Santa Cruz do </w:t>
      </w:r>
      <w:proofErr w:type="spellStart"/>
      <w:r w:rsidRPr="00686CD4">
        <w:rPr>
          <w:lang w:val="fr-FR"/>
        </w:rPr>
        <w:t>Bispo</w:t>
      </w:r>
      <w:proofErr w:type="spellEnd"/>
      <w:r w:rsidRPr="00686CD4">
        <w:rPr>
          <w:lang w:val="fr-FR"/>
        </w:rPr>
        <w:t>) au cours de l</w:t>
      </w:r>
      <w:r>
        <w:rPr>
          <w:lang w:val="fr-FR"/>
        </w:rPr>
        <w:t xml:space="preserve">’année écoulée. L’hôpital </w:t>
      </w:r>
      <w:r w:rsidRPr="00686CD4">
        <w:rPr>
          <w:lang w:val="fr-FR"/>
        </w:rPr>
        <w:t>psychiatrique de Lisbonne a</w:t>
      </w:r>
      <w:r>
        <w:rPr>
          <w:lang w:val="fr-FR"/>
        </w:rPr>
        <w:t xml:space="preserve"> par ailleurs</w:t>
      </w:r>
      <w:r w:rsidRPr="00686CD4">
        <w:rPr>
          <w:lang w:val="fr-FR"/>
        </w:rPr>
        <w:t xml:space="preserve"> demandé que soient recrutés des psychologues et des </w:t>
      </w:r>
      <w:r>
        <w:rPr>
          <w:lang w:val="fr-FR"/>
        </w:rPr>
        <w:t xml:space="preserve">thérapeutes professionnels </w:t>
      </w:r>
      <w:r w:rsidRPr="00686CD4">
        <w:rPr>
          <w:lang w:val="fr-FR"/>
        </w:rPr>
        <w:t>dans le but d</w:t>
      </w:r>
      <w:r>
        <w:rPr>
          <w:lang w:val="fr-FR"/>
        </w:rPr>
        <w:t>’</w:t>
      </w:r>
      <w:r w:rsidRPr="00686CD4">
        <w:rPr>
          <w:lang w:val="fr-FR"/>
        </w:rPr>
        <w:t xml:space="preserve">améliorer la prestation de soins de réhabilitation </w:t>
      </w:r>
      <w:proofErr w:type="spellStart"/>
      <w:r w:rsidRPr="00686CD4">
        <w:rPr>
          <w:lang w:val="fr-FR"/>
        </w:rPr>
        <w:t>psychosociale</w:t>
      </w:r>
      <w:proofErr w:type="spellEnd"/>
      <w:r w:rsidRPr="00686CD4">
        <w:rPr>
          <w:lang w:val="fr-FR"/>
        </w:rPr>
        <w:t>.</w:t>
      </w:r>
    </w:p>
    <w:p w:rsidR="002A7A34" w:rsidRPr="00686CD4" w:rsidRDefault="002A7A34" w:rsidP="001F481A">
      <w:pPr>
        <w:pStyle w:val="H23G"/>
        <w:jc w:val="both"/>
        <w:rPr>
          <w:lang w:val="fr-FR"/>
        </w:rPr>
      </w:pPr>
      <w:r w:rsidRPr="00686CD4">
        <w:rPr>
          <w:lang w:val="fr-FR"/>
        </w:rPr>
        <w:tab/>
      </w:r>
      <w:bookmarkStart w:id="54" w:name="_Toc532494657"/>
      <w:r w:rsidRPr="00686CD4">
        <w:rPr>
          <w:lang w:val="fr-FR"/>
        </w:rPr>
        <w:tab/>
      </w:r>
      <w:r w:rsidRPr="00686CD4">
        <w:rPr>
          <w:lang w:val="fr-FR"/>
        </w:rPr>
        <w:tab/>
        <w:t>c)</w:t>
      </w:r>
      <w:r w:rsidRPr="00686CD4">
        <w:rPr>
          <w:lang w:val="fr-FR"/>
        </w:rPr>
        <w:tab/>
      </w:r>
      <w:r w:rsidRPr="00EE64BA">
        <w:rPr>
          <w:lang w:val="fr-FR"/>
        </w:rPr>
        <w:t>Les mesures prises pour empêcher le recours à des moyens de contention dans les hôpitaux psychiatriques médico-légaux ou pour n</w:t>
      </w:r>
      <w:r>
        <w:rPr>
          <w:lang w:val="fr-FR"/>
        </w:rPr>
        <w:t>’</w:t>
      </w:r>
      <w:r w:rsidRPr="00EE64BA">
        <w:rPr>
          <w:lang w:val="fr-FR"/>
        </w:rPr>
        <w:t>utiliser ces moyens qu</w:t>
      </w:r>
      <w:r>
        <w:rPr>
          <w:lang w:val="fr-FR"/>
        </w:rPr>
        <w:t>’</w:t>
      </w:r>
      <w:r w:rsidRPr="00EE64BA">
        <w:rPr>
          <w:lang w:val="fr-FR"/>
        </w:rPr>
        <w:t>en dernier ressort</w:t>
      </w:r>
      <w:r w:rsidRPr="00686CD4">
        <w:rPr>
          <w:lang w:val="fr-FR"/>
        </w:rPr>
        <w:t>.</w:t>
      </w:r>
      <w:bookmarkEnd w:id="54"/>
    </w:p>
    <w:p w:rsidR="002A7A34" w:rsidRPr="00686CD4" w:rsidRDefault="002A7A34" w:rsidP="001F481A">
      <w:pPr>
        <w:pStyle w:val="SingleTxtG"/>
        <w:rPr>
          <w:lang w:val="fr-FR"/>
        </w:rPr>
      </w:pPr>
      <w:r w:rsidRPr="00686CD4">
        <w:rPr>
          <w:lang w:val="fr-FR"/>
        </w:rPr>
        <w:t>203.</w:t>
      </w:r>
      <w:r w:rsidRPr="00686CD4">
        <w:rPr>
          <w:lang w:val="fr-FR"/>
        </w:rPr>
        <w:tab/>
        <w:t xml:space="preserve">Le </w:t>
      </w:r>
      <w:r w:rsidR="00375B11">
        <w:rPr>
          <w:lang w:val="fr-FR"/>
        </w:rPr>
        <w:t>M</w:t>
      </w:r>
      <w:r w:rsidRPr="00686CD4">
        <w:rPr>
          <w:lang w:val="fr-FR"/>
        </w:rPr>
        <w:t>anuel des procédures de prestations de soins de santé en prison (du 5</w:t>
      </w:r>
      <w:r>
        <w:rPr>
          <w:lang w:val="fr-FR"/>
        </w:rPr>
        <w:t> </w:t>
      </w:r>
      <w:r w:rsidRPr="00686CD4">
        <w:rPr>
          <w:lang w:val="fr-FR"/>
        </w:rPr>
        <w:t>juin</w:t>
      </w:r>
      <w:r>
        <w:rPr>
          <w:lang w:val="fr-FR"/>
        </w:rPr>
        <w:t> </w:t>
      </w:r>
      <w:r w:rsidRPr="00686CD4">
        <w:rPr>
          <w:lang w:val="fr-FR"/>
        </w:rPr>
        <w:t xml:space="preserve">2009, en cours de révision) respecte les normes internationales et doit être lu conjointement </w:t>
      </w:r>
      <w:r w:rsidR="00375B11">
        <w:rPr>
          <w:lang w:val="fr-FR"/>
        </w:rPr>
        <w:t>avec</w:t>
      </w:r>
      <w:r w:rsidRPr="00686CD4">
        <w:rPr>
          <w:lang w:val="fr-FR"/>
        </w:rPr>
        <w:t xml:space="preserve"> la loi </w:t>
      </w:r>
      <w:r w:rsidR="001F481A" w:rsidRPr="00553571">
        <w:rPr>
          <w:rFonts w:eastAsia="MS Mincho"/>
          <w:lang w:val="fr-FR"/>
        </w:rPr>
        <w:t>n</w:t>
      </w:r>
      <w:r w:rsidR="001F481A" w:rsidRPr="00553571">
        <w:rPr>
          <w:rFonts w:eastAsia="MS Mincho"/>
          <w:vertAlign w:val="superscript"/>
          <w:lang w:val="fr-FR"/>
        </w:rPr>
        <w:t>o</w:t>
      </w:r>
      <w:r w:rsidR="001F481A">
        <w:rPr>
          <w:lang w:val="fr-FR"/>
        </w:rPr>
        <w:t> </w:t>
      </w:r>
      <w:r w:rsidRPr="00686CD4">
        <w:rPr>
          <w:lang w:val="fr-FR"/>
        </w:rPr>
        <w:t>115/2009 du 12</w:t>
      </w:r>
      <w:r>
        <w:rPr>
          <w:lang w:val="fr-FR"/>
        </w:rPr>
        <w:t> </w:t>
      </w:r>
      <w:r w:rsidRPr="00686CD4">
        <w:rPr>
          <w:lang w:val="fr-FR"/>
        </w:rPr>
        <w:t>octobre. Le paragraphe</w:t>
      </w:r>
      <w:r>
        <w:rPr>
          <w:lang w:val="fr-FR"/>
        </w:rPr>
        <w:t> </w:t>
      </w:r>
      <w:r w:rsidRPr="00686CD4">
        <w:rPr>
          <w:lang w:val="fr-FR"/>
        </w:rPr>
        <w:t xml:space="preserve">33 du </w:t>
      </w:r>
      <w:r w:rsidR="00375B11">
        <w:rPr>
          <w:lang w:val="fr-FR"/>
        </w:rPr>
        <w:t>M</w:t>
      </w:r>
      <w:r w:rsidRPr="00686CD4">
        <w:rPr>
          <w:lang w:val="fr-FR"/>
        </w:rPr>
        <w:t>anuel fait référence aux procédures qui doivent être suivies conformément aux articles</w:t>
      </w:r>
      <w:r>
        <w:rPr>
          <w:lang w:val="fr-FR"/>
        </w:rPr>
        <w:t> </w:t>
      </w:r>
      <w:r w:rsidRPr="00686CD4">
        <w:rPr>
          <w:lang w:val="fr-FR"/>
        </w:rPr>
        <w:t>34, 35, 109, 92, 93 et</w:t>
      </w:r>
      <w:r>
        <w:rPr>
          <w:lang w:val="fr-FR"/>
        </w:rPr>
        <w:t> </w:t>
      </w:r>
      <w:r w:rsidRPr="00686CD4">
        <w:rPr>
          <w:lang w:val="fr-FR"/>
        </w:rPr>
        <w:t xml:space="preserve">95. </w:t>
      </w:r>
    </w:p>
    <w:p w:rsidR="002A7A34" w:rsidRPr="00686CD4" w:rsidRDefault="002A7A34" w:rsidP="001F481A">
      <w:pPr>
        <w:pStyle w:val="SingleTxtG"/>
        <w:rPr>
          <w:lang w:val="fr-FR"/>
        </w:rPr>
      </w:pPr>
      <w:r w:rsidRPr="00686CD4">
        <w:rPr>
          <w:lang w:val="fr-FR"/>
        </w:rPr>
        <w:t>204.</w:t>
      </w:r>
      <w:r w:rsidRPr="00686CD4">
        <w:rPr>
          <w:lang w:val="fr-FR"/>
        </w:rPr>
        <w:tab/>
        <w:t>Le recours à des moyens de co</w:t>
      </w:r>
      <w:r>
        <w:rPr>
          <w:lang w:val="fr-FR"/>
        </w:rPr>
        <w:t>ntention</w:t>
      </w:r>
      <w:r w:rsidRPr="00686CD4">
        <w:rPr>
          <w:lang w:val="fr-FR"/>
        </w:rPr>
        <w:t xml:space="preserve"> suit de surcroît les procédures énoncées dans la réglementation </w:t>
      </w:r>
      <w:r>
        <w:rPr>
          <w:lang w:val="fr-FR"/>
        </w:rPr>
        <w:t xml:space="preserve">en la matière </w:t>
      </w:r>
      <w:r w:rsidRPr="00686CD4">
        <w:rPr>
          <w:lang w:val="fr-FR"/>
        </w:rPr>
        <w:t xml:space="preserve">(RUMCEP), ordonnance </w:t>
      </w:r>
      <w:r w:rsidR="00E31FCF" w:rsidRPr="00553571">
        <w:rPr>
          <w:rFonts w:eastAsia="MS Mincho"/>
          <w:lang w:val="fr-FR"/>
        </w:rPr>
        <w:t>n</w:t>
      </w:r>
      <w:r w:rsidR="00E31FCF" w:rsidRPr="00553571">
        <w:rPr>
          <w:rFonts w:eastAsia="MS Mincho"/>
          <w:vertAlign w:val="superscript"/>
          <w:lang w:val="fr-FR"/>
        </w:rPr>
        <w:t>o</w:t>
      </w:r>
      <w:r w:rsidR="00E31FCF">
        <w:rPr>
          <w:lang w:val="fr-FR"/>
        </w:rPr>
        <w:t> </w:t>
      </w:r>
      <w:r w:rsidRPr="00686CD4">
        <w:rPr>
          <w:lang w:val="fr-FR"/>
        </w:rPr>
        <w:t>5801/2011 du 4</w:t>
      </w:r>
      <w:r>
        <w:rPr>
          <w:lang w:val="fr-FR"/>
        </w:rPr>
        <w:t> </w:t>
      </w:r>
      <w:r w:rsidRPr="00686CD4">
        <w:rPr>
          <w:lang w:val="fr-FR"/>
        </w:rPr>
        <w:t>avril.</w:t>
      </w:r>
    </w:p>
    <w:p w:rsidR="002A7A34" w:rsidRPr="00686CD4" w:rsidRDefault="002A7A34" w:rsidP="002A7A34">
      <w:pPr>
        <w:pStyle w:val="H23G"/>
        <w:rPr>
          <w:lang w:val="fr-FR"/>
        </w:rPr>
      </w:pPr>
      <w:r>
        <w:rPr>
          <w:lang w:val="fr-FR"/>
        </w:rPr>
        <w:tab/>
      </w:r>
      <w:r w:rsidRPr="00686CD4">
        <w:rPr>
          <w:lang w:val="fr-FR"/>
        </w:rPr>
        <w:t>13.</w:t>
      </w:r>
      <w:r w:rsidRPr="00686CD4">
        <w:rPr>
          <w:lang w:val="fr-FR"/>
        </w:rPr>
        <w:tab/>
      </w:r>
      <w:r w:rsidRPr="00EE64BA">
        <w:rPr>
          <w:lang w:val="fr-FR"/>
        </w:rPr>
        <w:t>Compte tenu des précédentes observations finales du Comité (par.</w:t>
      </w:r>
      <w:r>
        <w:rPr>
          <w:lang w:val="fr-FR"/>
        </w:rPr>
        <w:t> </w:t>
      </w:r>
      <w:r w:rsidRPr="00EE64BA">
        <w:rPr>
          <w:lang w:val="fr-FR"/>
        </w:rPr>
        <w:t>11</w:t>
      </w:r>
      <w:r w:rsidR="00375B11">
        <w:rPr>
          <w:lang w:val="fr-FR"/>
        </w:rPr>
        <w:t> </w:t>
      </w:r>
      <w:r w:rsidRPr="00EE64BA">
        <w:rPr>
          <w:lang w:val="fr-FR"/>
        </w:rPr>
        <w:t>e) et 12), donner les renseignements ci-après relatifs au régime disciplinaire dans les prisons</w:t>
      </w:r>
      <w:r w:rsidR="00495D0F">
        <w:rPr>
          <w:lang w:val="fr-FR"/>
        </w:rPr>
        <w:t> :</w:t>
      </w:r>
      <w:r w:rsidRPr="00686CD4">
        <w:rPr>
          <w:lang w:val="fr-FR"/>
        </w:rPr>
        <w:t xml:space="preserve"> </w:t>
      </w:r>
      <w:bookmarkStart w:id="55" w:name="_Toc532494658"/>
      <w:bookmarkEnd w:id="55"/>
    </w:p>
    <w:p w:rsidR="002A7A34" w:rsidRPr="00686CD4" w:rsidRDefault="002A7A34" w:rsidP="00E31FCF">
      <w:pPr>
        <w:pStyle w:val="H23G"/>
        <w:jc w:val="both"/>
        <w:rPr>
          <w:lang w:val="fr-FR"/>
        </w:rPr>
      </w:pPr>
      <w:r w:rsidRPr="00686CD4">
        <w:rPr>
          <w:lang w:val="fr-FR"/>
        </w:rPr>
        <w:tab/>
      </w:r>
      <w:bookmarkStart w:id="56" w:name="_Toc532494659"/>
      <w:r w:rsidRPr="00686CD4">
        <w:rPr>
          <w:lang w:val="fr-FR"/>
        </w:rPr>
        <w:tab/>
      </w:r>
      <w:r w:rsidRPr="00686CD4">
        <w:rPr>
          <w:lang w:val="fr-FR"/>
        </w:rPr>
        <w:tab/>
        <w:t>a)</w:t>
      </w:r>
      <w:r w:rsidRPr="00686CD4">
        <w:rPr>
          <w:lang w:val="fr-FR"/>
        </w:rPr>
        <w:tab/>
      </w:r>
      <w:r w:rsidRPr="00EE64BA">
        <w:rPr>
          <w:lang w:val="fr-FR"/>
        </w:rPr>
        <w:t>Les mesures prises pour modifier l</w:t>
      </w:r>
      <w:r>
        <w:rPr>
          <w:lang w:val="fr-FR"/>
        </w:rPr>
        <w:t>’</w:t>
      </w:r>
      <w:r w:rsidRPr="00EE64BA">
        <w:rPr>
          <w:lang w:val="fr-FR"/>
        </w:rPr>
        <w:t xml:space="preserve">article 105 de la loi </w:t>
      </w:r>
      <w:r w:rsidR="00E31FCF" w:rsidRPr="00553571">
        <w:rPr>
          <w:rFonts w:eastAsia="MS Mincho"/>
          <w:lang w:val="fr-FR"/>
        </w:rPr>
        <w:t>n</w:t>
      </w:r>
      <w:r w:rsidR="00E31FCF" w:rsidRPr="00553571">
        <w:rPr>
          <w:rFonts w:eastAsia="MS Mincho"/>
          <w:vertAlign w:val="superscript"/>
          <w:lang w:val="fr-FR"/>
        </w:rPr>
        <w:t>o</w:t>
      </w:r>
      <w:r w:rsidR="00E31FCF">
        <w:rPr>
          <w:lang w:val="fr-FR"/>
        </w:rPr>
        <w:t> </w:t>
      </w:r>
      <w:r w:rsidRPr="00EE64BA">
        <w:rPr>
          <w:lang w:val="fr-FR"/>
        </w:rPr>
        <w:t>115/2009 et procéder à un réexamen complet de l</w:t>
      </w:r>
      <w:r>
        <w:rPr>
          <w:lang w:val="fr-FR"/>
        </w:rPr>
        <w:t>’</w:t>
      </w:r>
      <w:r w:rsidRPr="00EE64BA">
        <w:rPr>
          <w:lang w:val="fr-FR"/>
        </w:rPr>
        <w:t>utilisation du régime d</w:t>
      </w:r>
      <w:r>
        <w:rPr>
          <w:lang w:val="fr-FR"/>
        </w:rPr>
        <w:t>’</w:t>
      </w:r>
      <w:r w:rsidRPr="00EE64BA">
        <w:rPr>
          <w:lang w:val="fr-FR"/>
        </w:rPr>
        <w:t>isolement en tant que sanction disciplinaire</w:t>
      </w:r>
      <w:r w:rsidR="00495D0F">
        <w:rPr>
          <w:lang w:val="fr-FR"/>
        </w:rPr>
        <w:t> ;</w:t>
      </w:r>
      <w:bookmarkEnd w:id="56"/>
    </w:p>
    <w:p w:rsidR="002A7A34" w:rsidRPr="00686CD4" w:rsidRDefault="002A7A34" w:rsidP="002A7A34">
      <w:pPr>
        <w:pStyle w:val="SingleTxtG"/>
        <w:rPr>
          <w:lang w:val="fr-FR"/>
        </w:rPr>
      </w:pPr>
      <w:r w:rsidRPr="00686CD4">
        <w:rPr>
          <w:lang w:val="fr-FR"/>
        </w:rPr>
        <w:t xml:space="preserve">205. </w:t>
      </w:r>
      <w:r w:rsidRPr="00686CD4">
        <w:rPr>
          <w:lang w:val="fr-FR"/>
        </w:rPr>
        <w:tab/>
        <w:t>Aucune modification n</w:t>
      </w:r>
      <w:r>
        <w:rPr>
          <w:lang w:val="fr-FR"/>
        </w:rPr>
        <w:t>’</w:t>
      </w:r>
      <w:r w:rsidRPr="00686CD4">
        <w:rPr>
          <w:lang w:val="fr-FR"/>
        </w:rPr>
        <w:t>a été apportée à la loi</w:t>
      </w:r>
      <w:r w:rsidR="00495D0F">
        <w:rPr>
          <w:lang w:val="fr-FR"/>
        </w:rPr>
        <w:t xml:space="preserve"> </w:t>
      </w:r>
      <w:r w:rsidR="00E31FCF" w:rsidRPr="00553571">
        <w:rPr>
          <w:rFonts w:eastAsia="MS Mincho"/>
          <w:lang w:val="fr-FR"/>
        </w:rPr>
        <w:t>n</w:t>
      </w:r>
      <w:r w:rsidR="00E31FCF" w:rsidRPr="00553571">
        <w:rPr>
          <w:rFonts w:eastAsia="MS Mincho"/>
          <w:vertAlign w:val="superscript"/>
          <w:lang w:val="fr-FR"/>
        </w:rPr>
        <w:t>o</w:t>
      </w:r>
      <w:r w:rsidR="00E31FCF">
        <w:rPr>
          <w:lang w:val="fr-FR"/>
        </w:rPr>
        <w:t> </w:t>
      </w:r>
      <w:r w:rsidRPr="00686CD4">
        <w:rPr>
          <w:lang w:val="fr-FR"/>
        </w:rPr>
        <w:t>115/2009 en ce domaine.</w:t>
      </w:r>
    </w:p>
    <w:p w:rsidR="002A7A34" w:rsidRPr="00686CD4" w:rsidRDefault="002A7A34" w:rsidP="00E31FCF">
      <w:pPr>
        <w:pStyle w:val="H23G"/>
        <w:jc w:val="both"/>
        <w:rPr>
          <w:lang w:val="fr-FR"/>
        </w:rPr>
      </w:pPr>
      <w:r w:rsidRPr="00686CD4">
        <w:rPr>
          <w:lang w:val="fr-FR"/>
        </w:rPr>
        <w:tab/>
      </w:r>
      <w:bookmarkStart w:id="57" w:name="_Toc532494660"/>
      <w:r w:rsidRPr="00686CD4">
        <w:rPr>
          <w:lang w:val="fr-FR"/>
        </w:rPr>
        <w:tab/>
      </w:r>
      <w:r w:rsidRPr="00686CD4">
        <w:rPr>
          <w:lang w:val="fr-FR"/>
        </w:rPr>
        <w:tab/>
        <w:t>b)</w:t>
      </w:r>
      <w:r w:rsidRPr="00686CD4">
        <w:rPr>
          <w:lang w:val="fr-FR"/>
        </w:rPr>
        <w:tab/>
      </w:r>
      <w:r w:rsidRPr="00EE64BA">
        <w:rPr>
          <w:lang w:val="fr-FR"/>
        </w:rPr>
        <w:t>Les mesures prises pour s</w:t>
      </w:r>
      <w:r>
        <w:rPr>
          <w:lang w:val="fr-FR"/>
        </w:rPr>
        <w:t>’</w:t>
      </w:r>
      <w:r w:rsidRPr="00EE64BA">
        <w:rPr>
          <w:lang w:val="fr-FR"/>
        </w:rPr>
        <w:t>assurer que les prisonniers soient entendus et puissent bénéficier d</w:t>
      </w:r>
      <w:r>
        <w:rPr>
          <w:lang w:val="fr-FR"/>
        </w:rPr>
        <w:t>’</w:t>
      </w:r>
      <w:r w:rsidRPr="00EE64BA">
        <w:rPr>
          <w:lang w:val="fr-FR"/>
        </w:rPr>
        <w:t>un contre-interrogatoire avant que la mesure disciplinaire ne soit imposée</w:t>
      </w:r>
      <w:r w:rsidR="00495D0F">
        <w:rPr>
          <w:lang w:val="fr-FR"/>
        </w:rPr>
        <w:t> ;</w:t>
      </w:r>
      <w:bookmarkEnd w:id="57"/>
    </w:p>
    <w:p w:rsidR="002A7A34" w:rsidRPr="00686CD4" w:rsidRDefault="002A7A34" w:rsidP="00890490">
      <w:pPr>
        <w:pStyle w:val="SingleTxtG"/>
        <w:rPr>
          <w:lang w:val="fr-FR"/>
        </w:rPr>
      </w:pPr>
      <w:r w:rsidRPr="00686CD4">
        <w:rPr>
          <w:lang w:val="fr-FR"/>
        </w:rPr>
        <w:t>206.</w:t>
      </w:r>
      <w:r w:rsidRPr="00686CD4">
        <w:rPr>
          <w:lang w:val="fr-FR"/>
        </w:rPr>
        <w:tab/>
        <w:t>Les articles</w:t>
      </w:r>
      <w:r>
        <w:rPr>
          <w:lang w:val="fr-FR"/>
        </w:rPr>
        <w:t> </w:t>
      </w:r>
      <w:r w:rsidRPr="00686CD4">
        <w:rPr>
          <w:lang w:val="fr-FR"/>
        </w:rPr>
        <w:t>110</w:t>
      </w:r>
      <w:r>
        <w:rPr>
          <w:lang w:val="fr-FR"/>
        </w:rPr>
        <w:t xml:space="preserve"> à</w:t>
      </w:r>
      <w:r w:rsidR="00E31FCF">
        <w:rPr>
          <w:lang w:val="fr-FR"/>
        </w:rPr>
        <w:t xml:space="preserve"> </w:t>
      </w:r>
      <w:r w:rsidRPr="00686CD4">
        <w:rPr>
          <w:lang w:val="fr-FR"/>
        </w:rPr>
        <w:t>112 du Code d</w:t>
      </w:r>
      <w:r>
        <w:rPr>
          <w:lang w:val="fr-FR"/>
        </w:rPr>
        <w:t>’</w:t>
      </w:r>
      <w:r w:rsidRPr="00686CD4">
        <w:rPr>
          <w:lang w:val="fr-FR"/>
        </w:rPr>
        <w:t>exécution des peines et des mesures privatives de liberté r</w:t>
      </w:r>
      <w:r>
        <w:rPr>
          <w:lang w:val="fr-FR"/>
        </w:rPr>
        <w:t>é</w:t>
      </w:r>
      <w:r w:rsidRPr="00686CD4">
        <w:rPr>
          <w:lang w:val="fr-FR"/>
        </w:rPr>
        <w:t>g</w:t>
      </w:r>
      <w:r>
        <w:rPr>
          <w:lang w:val="fr-FR"/>
        </w:rPr>
        <w:t xml:space="preserve">issent </w:t>
      </w:r>
      <w:r w:rsidRPr="00686CD4">
        <w:rPr>
          <w:lang w:val="fr-FR"/>
        </w:rPr>
        <w:t>le régime disciplinaire dans les prisons et sont conformes aux recommandations énoncées aux paragraphes</w:t>
      </w:r>
      <w:r>
        <w:rPr>
          <w:lang w:val="fr-FR"/>
        </w:rPr>
        <w:t> </w:t>
      </w:r>
      <w:r w:rsidRPr="00686CD4">
        <w:rPr>
          <w:lang w:val="fr-FR"/>
        </w:rPr>
        <w:t>13</w:t>
      </w:r>
      <w:r w:rsidR="004B44AA">
        <w:rPr>
          <w:lang w:val="fr-FR"/>
        </w:rPr>
        <w:t> </w:t>
      </w:r>
      <w:r w:rsidRPr="00686CD4">
        <w:rPr>
          <w:lang w:val="fr-FR"/>
        </w:rPr>
        <w:t>b), 13</w:t>
      </w:r>
      <w:r w:rsidR="004B44AA">
        <w:rPr>
          <w:lang w:val="fr-FR"/>
        </w:rPr>
        <w:t> </w:t>
      </w:r>
      <w:r w:rsidRPr="00686CD4">
        <w:rPr>
          <w:lang w:val="fr-FR"/>
        </w:rPr>
        <w:t>c) et</w:t>
      </w:r>
      <w:r w:rsidR="004B44AA">
        <w:rPr>
          <w:lang w:val="fr-FR"/>
        </w:rPr>
        <w:t xml:space="preserve"> </w:t>
      </w:r>
      <w:r w:rsidRPr="00686CD4">
        <w:rPr>
          <w:lang w:val="fr-FR"/>
        </w:rPr>
        <w:t>13</w:t>
      </w:r>
      <w:r w:rsidR="004B44AA">
        <w:rPr>
          <w:lang w:val="fr-FR"/>
        </w:rPr>
        <w:t> </w:t>
      </w:r>
      <w:r w:rsidRPr="00686CD4">
        <w:rPr>
          <w:lang w:val="fr-FR"/>
        </w:rPr>
        <w:t xml:space="preserve">d). </w:t>
      </w:r>
    </w:p>
    <w:p w:rsidR="002A7A34" w:rsidRPr="00686CD4" w:rsidRDefault="002A7A34" w:rsidP="00890490">
      <w:pPr>
        <w:pStyle w:val="SingleTxtG"/>
        <w:rPr>
          <w:lang w:val="fr-FR"/>
        </w:rPr>
      </w:pPr>
      <w:r w:rsidRPr="00686CD4">
        <w:rPr>
          <w:lang w:val="fr-FR"/>
        </w:rPr>
        <w:t>207.</w:t>
      </w:r>
      <w:r w:rsidRPr="00686CD4">
        <w:rPr>
          <w:lang w:val="fr-FR"/>
        </w:rPr>
        <w:tab/>
        <w:t>L</w:t>
      </w:r>
      <w:r>
        <w:rPr>
          <w:lang w:val="fr-FR"/>
        </w:rPr>
        <w:t>’</w:t>
      </w:r>
      <w:r w:rsidRPr="00686CD4">
        <w:rPr>
          <w:lang w:val="fr-FR"/>
        </w:rPr>
        <w:t>application d</w:t>
      </w:r>
      <w:r>
        <w:rPr>
          <w:lang w:val="fr-FR"/>
        </w:rPr>
        <w:t>’</w:t>
      </w:r>
      <w:r w:rsidRPr="00686CD4">
        <w:rPr>
          <w:lang w:val="fr-FR"/>
        </w:rPr>
        <w:t>une mesure disciplinaire est toujours précédée d</w:t>
      </w:r>
      <w:r>
        <w:rPr>
          <w:lang w:val="fr-FR"/>
        </w:rPr>
        <w:t>’</w:t>
      </w:r>
      <w:r w:rsidRPr="00686CD4">
        <w:rPr>
          <w:lang w:val="fr-FR"/>
        </w:rPr>
        <w:t xml:space="preserve">une procédure écrite ou enregistrée. Le détenu est informé des allégations à son encontre et </w:t>
      </w:r>
      <w:r>
        <w:rPr>
          <w:lang w:val="fr-FR"/>
        </w:rPr>
        <w:t xml:space="preserve">est assuré de pouvoir </w:t>
      </w:r>
      <w:r w:rsidRPr="00686CD4">
        <w:rPr>
          <w:lang w:val="fr-FR"/>
        </w:rPr>
        <w:t>obtenir l</w:t>
      </w:r>
      <w:r>
        <w:rPr>
          <w:lang w:val="fr-FR"/>
        </w:rPr>
        <w:t>’</w:t>
      </w:r>
      <w:r w:rsidRPr="00686CD4">
        <w:rPr>
          <w:lang w:val="fr-FR"/>
        </w:rPr>
        <w:t>assistance d</w:t>
      </w:r>
      <w:r>
        <w:rPr>
          <w:lang w:val="fr-FR"/>
        </w:rPr>
        <w:t>’</w:t>
      </w:r>
      <w:r w:rsidRPr="00686CD4">
        <w:rPr>
          <w:lang w:val="fr-FR"/>
        </w:rPr>
        <w:t>un avocat, d</w:t>
      </w:r>
      <w:r>
        <w:rPr>
          <w:lang w:val="fr-FR"/>
        </w:rPr>
        <w:t>’</w:t>
      </w:r>
      <w:r w:rsidRPr="00686CD4">
        <w:rPr>
          <w:lang w:val="fr-FR"/>
        </w:rPr>
        <w:t>être entendu et de soumettre des preuves pour se défendre.</w:t>
      </w:r>
    </w:p>
    <w:p w:rsidR="002A7A34" w:rsidRPr="00686CD4" w:rsidRDefault="002A7A34" w:rsidP="00890490">
      <w:pPr>
        <w:pStyle w:val="SingleTxtG"/>
        <w:rPr>
          <w:lang w:val="fr-FR"/>
        </w:rPr>
      </w:pPr>
      <w:r w:rsidRPr="00686CD4">
        <w:rPr>
          <w:lang w:val="fr-FR"/>
        </w:rPr>
        <w:t>208.</w:t>
      </w:r>
      <w:r w:rsidRPr="00686CD4">
        <w:rPr>
          <w:lang w:val="fr-FR"/>
        </w:rPr>
        <w:tab/>
        <w:t xml:space="preserve">La décision finale et ses motifs sont notifiés au détenu </w:t>
      </w:r>
      <w:r>
        <w:rPr>
          <w:lang w:val="fr-FR"/>
        </w:rPr>
        <w:t xml:space="preserve">ou </w:t>
      </w:r>
      <w:r w:rsidRPr="00686CD4">
        <w:rPr>
          <w:lang w:val="fr-FR"/>
        </w:rPr>
        <w:t>à l</w:t>
      </w:r>
      <w:r>
        <w:rPr>
          <w:lang w:val="fr-FR"/>
        </w:rPr>
        <w:t>’</w:t>
      </w:r>
      <w:r w:rsidRPr="00686CD4">
        <w:rPr>
          <w:lang w:val="fr-FR"/>
        </w:rPr>
        <w:t xml:space="preserve">avocat qui </w:t>
      </w:r>
      <w:r>
        <w:rPr>
          <w:lang w:val="fr-FR"/>
        </w:rPr>
        <w:t xml:space="preserve">le </w:t>
      </w:r>
      <w:r w:rsidRPr="00686CD4">
        <w:rPr>
          <w:lang w:val="fr-FR"/>
        </w:rPr>
        <w:t>défend et sont inscrits dans le dossier personnel du détenu. L</w:t>
      </w:r>
      <w:r>
        <w:rPr>
          <w:lang w:val="fr-FR"/>
        </w:rPr>
        <w:t>’</w:t>
      </w:r>
      <w:r w:rsidRPr="00686CD4">
        <w:rPr>
          <w:lang w:val="fr-FR"/>
        </w:rPr>
        <w:t>application d</w:t>
      </w:r>
      <w:r>
        <w:rPr>
          <w:lang w:val="fr-FR"/>
        </w:rPr>
        <w:t>’</w:t>
      </w:r>
      <w:r w:rsidRPr="00686CD4">
        <w:rPr>
          <w:lang w:val="fr-FR"/>
        </w:rPr>
        <w:t>une mesure disciplinaire relève du directeur de l</w:t>
      </w:r>
      <w:r>
        <w:rPr>
          <w:lang w:val="fr-FR"/>
        </w:rPr>
        <w:t>’</w:t>
      </w:r>
      <w:r w:rsidRPr="00686CD4">
        <w:rPr>
          <w:lang w:val="fr-FR"/>
        </w:rPr>
        <w:t>établissement pénitentiaire.</w:t>
      </w:r>
    </w:p>
    <w:p w:rsidR="002A7A34" w:rsidRPr="00686CD4" w:rsidRDefault="002A7A34" w:rsidP="00890490">
      <w:pPr>
        <w:pStyle w:val="SingleTxtG"/>
        <w:keepLines/>
        <w:rPr>
          <w:lang w:val="fr-FR"/>
        </w:rPr>
      </w:pPr>
      <w:r w:rsidRPr="00686CD4">
        <w:rPr>
          <w:lang w:val="fr-FR"/>
        </w:rPr>
        <w:lastRenderedPageBreak/>
        <w:t>209.</w:t>
      </w:r>
      <w:r w:rsidRPr="00686CD4">
        <w:rPr>
          <w:lang w:val="fr-FR"/>
        </w:rPr>
        <w:tab/>
        <w:t>Les conditions relatives au placement de détenus en régime de sûreté sont strictement réglementées conformément à l</w:t>
      </w:r>
      <w:r>
        <w:rPr>
          <w:lang w:val="fr-FR"/>
        </w:rPr>
        <w:t>’</w:t>
      </w:r>
      <w:r w:rsidRPr="00686CD4">
        <w:rPr>
          <w:lang w:val="fr-FR"/>
        </w:rPr>
        <w:t>article</w:t>
      </w:r>
      <w:r>
        <w:rPr>
          <w:lang w:val="fr-FR"/>
        </w:rPr>
        <w:t> </w:t>
      </w:r>
      <w:r w:rsidRPr="00686CD4">
        <w:rPr>
          <w:lang w:val="fr-FR"/>
        </w:rPr>
        <w:t>15 du Code d</w:t>
      </w:r>
      <w:r>
        <w:rPr>
          <w:lang w:val="fr-FR"/>
        </w:rPr>
        <w:t>’</w:t>
      </w:r>
      <w:r w:rsidRPr="00686CD4">
        <w:rPr>
          <w:lang w:val="fr-FR"/>
        </w:rPr>
        <w:t>exécution des peines et des mesures privatives de liberté. La mesure de sûreté doit être réévaluée tous les six mois (tous les trois mois pour les détenus âgés de moins de 21</w:t>
      </w:r>
      <w:r>
        <w:rPr>
          <w:lang w:val="fr-FR"/>
        </w:rPr>
        <w:t> </w:t>
      </w:r>
      <w:r w:rsidRPr="00686CD4">
        <w:rPr>
          <w:lang w:val="fr-FR"/>
        </w:rPr>
        <w:t xml:space="preserve">ans), </w:t>
      </w:r>
      <w:r>
        <w:rPr>
          <w:lang w:val="fr-FR"/>
        </w:rPr>
        <w:t xml:space="preserve">mais peut aussi l’être </w:t>
      </w:r>
      <w:r w:rsidRPr="00686CD4">
        <w:rPr>
          <w:lang w:val="fr-FR"/>
        </w:rPr>
        <w:t xml:space="preserve">à tout moment si les circonstances changent. La décision de mettre en place, de maintenir </w:t>
      </w:r>
      <w:r>
        <w:rPr>
          <w:lang w:val="fr-FR"/>
        </w:rPr>
        <w:t xml:space="preserve">et </w:t>
      </w:r>
      <w:r w:rsidRPr="00686CD4">
        <w:rPr>
          <w:lang w:val="fr-FR"/>
        </w:rPr>
        <w:t>d</w:t>
      </w:r>
      <w:r>
        <w:rPr>
          <w:lang w:val="fr-FR"/>
        </w:rPr>
        <w:t>’</w:t>
      </w:r>
      <w:r w:rsidRPr="00686CD4">
        <w:rPr>
          <w:lang w:val="fr-FR"/>
        </w:rPr>
        <w:t>arrêter</w:t>
      </w:r>
      <w:r>
        <w:rPr>
          <w:lang w:val="fr-FR"/>
        </w:rPr>
        <w:t xml:space="preserve"> un </w:t>
      </w:r>
      <w:r w:rsidRPr="00686CD4">
        <w:rPr>
          <w:lang w:val="fr-FR"/>
        </w:rPr>
        <w:t>régime de sûreté est transmise au tribunal chargé de l</w:t>
      </w:r>
      <w:r>
        <w:rPr>
          <w:lang w:val="fr-FR"/>
        </w:rPr>
        <w:t>’</w:t>
      </w:r>
      <w:r w:rsidRPr="00686CD4">
        <w:rPr>
          <w:lang w:val="fr-FR"/>
        </w:rPr>
        <w:t xml:space="preserve">application des sentences pour vérification de sa légalité. </w:t>
      </w:r>
    </w:p>
    <w:p w:rsidR="002A7A34" w:rsidRPr="00686CD4" w:rsidRDefault="002A7A34" w:rsidP="00890490">
      <w:pPr>
        <w:pStyle w:val="SingleTxtG"/>
        <w:rPr>
          <w:lang w:val="fr-FR"/>
        </w:rPr>
      </w:pPr>
      <w:r w:rsidRPr="00686CD4">
        <w:rPr>
          <w:lang w:val="fr-FR"/>
        </w:rPr>
        <w:t>210.</w:t>
      </w:r>
      <w:r w:rsidRPr="00686CD4">
        <w:rPr>
          <w:lang w:val="fr-FR"/>
        </w:rPr>
        <w:tab/>
        <w:t>Il importe de souligner, en ce qui concerne l</w:t>
      </w:r>
      <w:r>
        <w:rPr>
          <w:lang w:val="fr-FR"/>
        </w:rPr>
        <w:t>’</w:t>
      </w:r>
      <w:r w:rsidRPr="00686CD4">
        <w:rPr>
          <w:lang w:val="fr-FR"/>
        </w:rPr>
        <w:t xml:space="preserve">impartialité avec laquelle les plaintes des détenus sont traitées, que le </w:t>
      </w:r>
      <w:r>
        <w:rPr>
          <w:lang w:val="fr-FR"/>
        </w:rPr>
        <w:t>S</w:t>
      </w:r>
      <w:r w:rsidRPr="00686CD4">
        <w:rPr>
          <w:lang w:val="fr-FR"/>
        </w:rPr>
        <w:t>ervice d</w:t>
      </w:r>
      <w:r>
        <w:rPr>
          <w:lang w:val="fr-FR"/>
        </w:rPr>
        <w:t>’</w:t>
      </w:r>
      <w:r w:rsidRPr="00686CD4">
        <w:rPr>
          <w:lang w:val="fr-FR"/>
        </w:rPr>
        <w:t>audit et d</w:t>
      </w:r>
      <w:r>
        <w:rPr>
          <w:lang w:val="fr-FR"/>
        </w:rPr>
        <w:t>’i</w:t>
      </w:r>
      <w:r w:rsidRPr="00686CD4">
        <w:rPr>
          <w:lang w:val="fr-FR"/>
        </w:rPr>
        <w:t xml:space="preserve">nspection de la </w:t>
      </w:r>
      <w:r w:rsidRPr="004074F2">
        <w:rPr>
          <w:lang w:val="fr-FR"/>
        </w:rPr>
        <w:t>Direction générale de la réinsertion et des services pénitentiaires</w:t>
      </w:r>
      <w:r w:rsidRPr="00686CD4">
        <w:rPr>
          <w:lang w:val="fr-FR"/>
        </w:rPr>
        <w:t xml:space="preserve"> est coordonné par un juge et de</w:t>
      </w:r>
      <w:r>
        <w:rPr>
          <w:lang w:val="fr-FR"/>
        </w:rPr>
        <w:t>ux</w:t>
      </w:r>
      <w:r w:rsidRPr="00686CD4">
        <w:rPr>
          <w:lang w:val="fr-FR"/>
        </w:rPr>
        <w:t xml:space="preserve"> procureur</w:t>
      </w:r>
      <w:r>
        <w:rPr>
          <w:lang w:val="fr-FR"/>
        </w:rPr>
        <w:t>s</w:t>
      </w:r>
      <w:r w:rsidRPr="00686CD4">
        <w:rPr>
          <w:lang w:val="fr-FR"/>
        </w:rPr>
        <w:t xml:space="preserve"> détaché</w:t>
      </w:r>
      <w:r>
        <w:rPr>
          <w:lang w:val="fr-FR"/>
        </w:rPr>
        <w:t>s</w:t>
      </w:r>
      <w:r w:rsidRPr="00686CD4">
        <w:rPr>
          <w:lang w:val="fr-FR"/>
        </w:rPr>
        <w:t xml:space="preserve"> à cet effet. </w:t>
      </w:r>
      <w:r>
        <w:rPr>
          <w:lang w:val="fr-FR"/>
        </w:rPr>
        <w:t>Ils p</w:t>
      </w:r>
      <w:r w:rsidRPr="00686CD4">
        <w:rPr>
          <w:lang w:val="fr-FR"/>
        </w:rPr>
        <w:t xml:space="preserve">euvent entreprendre leurs activités de surveillance et de discipline sur la base de plaintes émanant des détenus </w:t>
      </w:r>
      <w:r>
        <w:rPr>
          <w:lang w:val="fr-FR"/>
        </w:rPr>
        <w:t xml:space="preserve">ou </w:t>
      </w:r>
      <w:r w:rsidRPr="00686CD4">
        <w:rPr>
          <w:lang w:val="fr-FR"/>
        </w:rPr>
        <w:t>des membres de leur famille et aussi ès qualités. Toute allégation de mauvais traitements donne systématiquement lieu à l</w:t>
      </w:r>
      <w:r>
        <w:rPr>
          <w:lang w:val="fr-FR"/>
        </w:rPr>
        <w:t>’</w:t>
      </w:r>
      <w:r w:rsidRPr="00686CD4">
        <w:rPr>
          <w:lang w:val="fr-FR"/>
        </w:rPr>
        <w:t>ouverture d</w:t>
      </w:r>
      <w:r>
        <w:rPr>
          <w:lang w:val="fr-FR"/>
        </w:rPr>
        <w:t>’</w:t>
      </w:r>
      <w:r w:rsidRPr="00686CD4">
        <w:rPr>
          <w:lang w:val="fr-FR"/>
        </w:rPr>
        <w:t>une procédure d</w:t>
      </w:r>
      <w:r>
        <w:rPr>
          <w:lang w:val="fr-FR"/>
        </w:rPr>
        <w:t>’</w:t>
      </w:r>
      <w:r w:rsidRPr="00686CD4">
        <w:rPr>
          <w:lang w:val="fr-FR"/>
        </w:rPr>
        <w:t xml:space="preserve">enquête. </w:t>
      </w:r>
      <w:r>
        <w:rPr>
          <w:lang w:val="fr-FR"/>
        </w:rPr>
        <w:t>Les f</w:t>
      </w:r>
      <w:r w:rsidRPr="00686CD4">
        <w:rPr>
          <w:lang w:val="fr-FR"/>
        </w:rPr>
        <w:t>ait</w:t>
      </w:r>
      <w:r>
        <w:rPr>
          <w:lang w:val="fr-FR"/>
        </w:rPr>
        <w:t>s</w:t>
      </w:r>
      <w:r w:rsidRPr="00686CD4">
        <w:rPr>
          <w:lang w:val="fr-FR"/>
        </w:rPr>
        <w:t xml:space="preserve"> </w:t>
      </w:r>
      <w:r>
        <w:rPr>
          <w:lang w:val="fr-FR"/>
        </w:rPr>
        <w:t>constituant la mise en mouvement de l’action publique</w:t>
      </w:r>
      <w:r w:rsidRPr="00686CD4">
        <w:rPr>
          <w:lang w:val="fr-FR"/>
        </w:rPr>
        <w:t xml:space="preserve"> sont obligatoirement communiqués au </w:t>
      </w:r>
      <w:r>
        <w:rPr>
          <w:lang w:val="fr-FR"/>
        </w:rPr>
        <w:t>ministère public</w:t>
      </w:r>
      <w:r w:rsidRPr="00686CD4">
        <w:rPr>
          <w:lang w:val="fr-FR"/>
        </w:rPr>
        <w:t xml:space="preserve"> </w:t>
      </w:r>
      <w:r>
        <w:rPr>
          <w:lang w:val="fr-FR"/>
        </w:rPr>
        <w:t xml:space="preserve">pour engagement </w:t>
      </w:r>
      <w:r w:rsidRPr="00686CD4">
        <w:rPr>
          <w:lang w:val="fr-FR"/>
        </w:rPr>
        <w:t>de poursuites pénales.</w:t>
      </w:r>
    </w:p>
    <w:p w:rsidR="002A7A34" w:rsidRPr="00686CD4" w:rsidRDefault="002A7A34" w:rsidP="00890490">
      <w:pPr>
        <w:pStyle w:val="SingleTxtG"/>
        <w:rPr>
          <w:lang w:val="fr-FR"/>
        </w:rPr>
      </w:pPr>
      <w:r w:rsidRPr="00686CD4">
        <w:rPr>
          <w:lang w:val="fr-FR"/>
        </w:rPr>
        <w:t>211.</w:t>
      </w:r>
      <w:r w:rsidRPr="00686CD4">
        <w:rPr>
          <w:lang w:val="fr-FR"/>
        </w:rPr>
        <w:tab/>
        <w:t xml:space="preserve">Les activités de la </w:t>
      </w:r>
      <w:r w:rsidRPr="004074F2">
        <w:rPr>
          <w:lang w:val="fr-FR"/>
        </w:rPr>
        <w:t>Direction générale de la réinsertion et des services pénitentiaires</w:t>
      </w:r>
      <w:r w:rsidRPr="00686CD4">
        <w:rPr>
          <w:lang w:val="fr-FR"/>
        </w:rPr>
        <w:t xml:space="preserve"> font l</w:t>
      </w:r>
      <w:r>
        <w:rPr>
          <w:lang w:val="fr-FR"/>
        </w:rPr>
        <w:t>’</w:t>
      </w:r>
      <w:r w:rsidRPr="00686CD4">
        <w:rPr>
          <w:lang w:val="fr-FR"/>
        </w:rPr>
        <w:t>objet d</w:t>
      </w:r>
      <w:r>
        <w:rPr>
          <w:lang w:val="fr-FR"/>
        </w:rPr>
        <w:t>’</w:t>
      </w:r>
      <w:r w:rsidRPr="00686CD4">
        <w:rPr>
          <w:lang w:val="fr-FR"/>
        </w:rPr>
        <w:t xml:space="preserve">une surveillance permanente </w:t>
      </w:r>
      <w:r>
        <w:rPr>
          <w:lang w:val="fr-FR"/>
        </w:rPr>
        <w:t xml:space="preserve">exercée dans le cadre de </w:t>
      </w:r>
      <w:r w:rsidRPr="00686CD4">
        <w:rPr>
          <w:lang w:val="fr-FR"/>
        </w:rPr>
        <w:t>visites régulières d</w:t>
      </w:r>
      <w:r>
        <w:rPr>
          <w:lang w:val="fr-FR"/>
        </w:rPr>
        <w:t>’</w:t>
      </w:r>
      <w:r w:rsidRPr="00686CD4">
        <w:rPr>
          <w:lang w:val="fr-FR"/>
        </w:rPr>
        <w:t xml:space="preserve">organes souverains </w:t>
      </w:r>
      <w:r w:rsidR="00890490">
        <w:rPr>
          <w:lang w:val="fr-FR"/>
        </w:rPr>
        <w:t>−</w:t>
      </w:r>
      <w:r w:rsidRPr="00686CD4">
        <w:rPr>
          <w:lang w:val="fr-FR"/>
        </w:rPr>
        <w:t xml:space="preserve"> procureur</w:t>
      </w:r>
      <w:r>
        <w:rPr>
          <w:lang w:val="fr-FR"/>
        </w:rPr>
        <w:t>s</w:t>
      </w:r>
      <w:r w:rsidRPr="00686CD4">
        <w:rPr>
          <w:lang w:val="fr-FR"/>
        </w:rPr>
        <w:t>, membre</w:t>
      </w:r>
      <w:r>
        <w:rPr>
          <w:lang w:val="fr-FR"/>
        </w:rPr>
        <w:t>s</w:t>
      </w:r>
      <w:r w:rsidRPr="00686CD4">
        <w:rPr>
          <w:lang w:val="fr-FR"/>
        </w:rPr>
        <w:t xml:space="preserve"> du </w:t>
      </w:r>
      <w:r>
        <w:rPr>
          <w:lang w:val="fr-FR"/>
        </w:rPr>
        <w:t>G</w:t>
      </w:r>
      <w:r w:rsidRPr="00686CD4">
        <w:rPr>
          <w:lang w:val="fr-FR"/>
        </w:rPr>
        <w:t>ouvernement et membre</w:t>
      </w:r>
      <w:r>
        <w:rPr>
          <w:lang w:val="fr-FR"/>
        </w:rPr>
        <w:t>s</w:t>
      </w:r>
      <w:r w:rsidRPr="00686CD4">
        <w:rPr>
          <w:lang w:val="fr-FR"/>
        </w:rPr>
        <w:t xml:space="preserve"> du </w:t>
      </w:r>
      <w:r>
        <w:rPr>
          <w:lang w:val="fr-FR"/>
        </w:rPr>
        <w:t>P</w:t>
      </w:r>
      <w:r w:rsidRPr="00686CD4">
        <w:rPr>
          <w:lang w:val="fr-FR"/>
        </w:rPr>
        <w:t xml:space="preserve">arlement </w:t>
      </w:r>
      <w:r w:rsidR="00890490">
        <w:rPr>
          <w:lang w:val="fr-FR"/>
        </w:rPr>
        <w:t>− </w:t>
      </w:r>
      <w:r>
        <w:rPr>
          <w:lang w:val="fr-FR"/>
        </w:rPr>
        <w:t xml:space="preserve">du </w:t>
      </w:r>
      <w:r w:rsidRPr="00686CD4">
        <w:rPr>
          <w:lang w:val="fr-FR"/>
        </w:rPr>
        <w:t xml:space="preserve">Médiateur (désigné en tant que </w:t>
      </w:r>
      <w:r>
        <w:rPr>
          <w:lang w:val="fr-FR"/>
        </w:rPr>
        <w:t>M</w:t>
      </w:r>
      <w:r w:rsidRPr="00686CD4">
        <w:rPr>
          <w:lang w:val="fr-FR"/>
        </w:rPr>
        <w:t xml:space="preserve">écanisme national de prévention conformément au Protocole facultatif se rapportant à la Convention contre la torture et </w:t>
      </w:r>
      <w:r w:rsidR="004B44AA">
        <w:rPr>
          <w:lang w:val="fr-FR"/>
        </w:rPr>
        <w:t>autres peines</w:t>
      </w:r>
      <w:r w:rsidRPr="00686CD4">
        <w:rPr>
          <w:lang w:val="fr-FR"/>
        </w:rPr>
        <w:t xml:space="preserve"> ou traitements cruels, inhumains ou dégradants) et d</w:t>
      </w:r>
      <w:r>
        <w:rPr>
          <w:lang w:val="fr-FR"/>
        </w:rPr>
        <w:t>’</w:t>
      </w:r>
      <w:r w:rsidRPr="00686CD4">
        <w:rPr>
          <w:lang w:val="fr-FR"/>
        </w:rPr>
        <w:t>ONG s</w:t>
      </w:r>
      <w:r>
        <w:rPr>
          <w:lang w:val="fr-FR"/>
        </w:rPr>
        <w:t>’</w:t>
      </w:r>
      <w:r w:rsidRPr="00686CD4">
        <w:rPr>
          <w:lang w:val="fr-FR"/>
        </w:rPr>
        <w:t>employant à promouvoir et à protéger les droits des détenus (art</w:t>
      </w:r>
      <w:r w:rsidR="004B44AA">
        <w:rPr>
          <w:lang w:val="fr-FR"/>
        </w:rPr>
        <w:t>.</w:t>
      </w:r>
      <w:r>
        <w:rPr>
          <w:lang w:val="fr-FR"/>
        </w:rPr>
        <w:t> </w:t>
      </w:r>
      <w:r w:rsidRPr="00686CD4">
        <w:rPr>
          <w:lang w:val="fr-FR"/>
        </w:rPr>
        <w:t xml:space="preserve">66 </w:t>
      </w:r>
      <w:r>
        <w:rPr>
          <w:lang w:val="fr-FR"/>
        </w:rPr>
        <w:t xml:space="preserve">du </w:t>
      </w:r>
      <w:r w:rsidRPr="00686CD4">
        <w:rPr>
          <w:lang w:val="fr-FR"/>
        </w:rPr>
        <w:t>Code d</w:t>
      </w:r>
      <w:r>
        <w:rPr>
          <w:lang w:val="fr-FR"/>
        </w:rPr>
        <w:t>’</w:t>
      </w:r>
      <w:r w:rsidRPr="00686CD4">
        <w:rPr>
          <w:lang w:val="fr-FR"/>
        </w:rPr>
        <w:t>exécution des peines et des mesures privatives de liberté). Les détenus ont le droit de tenir une correspondance</w:t>
      </w:r>
      <w:r>
        <w:rPr>
          <w:lang w:val="fr-FR"/>
        </w:rPr>
        <w:t xml:space="preserve"> ne faisant l’objet d’</w:t>
      </w:r>
      <w:r w:rsidRPr="00686CD4">
        <w:rPr>
          <w:lang w:val="fr-FR"/>
        </w:rPr>
        <w:t xml:space="preserve">aucun contrôle avec </w:t>
      </w:r>
      <w:r>
        <w:rPr>
          <w:lang w:val="fr-FR"/>
        </w:rPr>
        <w:t xml:space="preserve">des </w:t>
      </w:r>
      <w:r w:rsidRPr="00686CD4">
        <w:rPr>
          <w:lang w:val="fr-FR"/>
        </w:rPr>
        <w:t xml:space="preserve">avocats, </w:t>
      </w:r>
      <w:r>
        <w:rPr>
          <w:lang w:val="fr-FR"/>
        </w:rPr>
        <w:t xml:space="preserve">des </w:t>
      </w:r>
      <w:r w:rsidRPr="00686CD4">
        <w:rPr>
          <w:lang w:val="fr-FR"/>
        </w:rPr>
        <w:t xml:space="preserve">notaires, </w:t>
      </w:r>
      <w:r>
        <w:rPr>
          <w:lang w:val="fr-FR"/>
        </w:rPr>
        <w:t xml:space="preserve">des </w:t>
      </w:r>
      <w:r w:rsidRPr="00686CD4">
        <w:rPr>
          <w:lang w:val="fr-FR"/>
        </w:rPr>
        <w:t xml:space="preserve">juristes, </w:t>
      </w:r>
      <w:r>
        <w:rPr>
          <w:lang w:val="fr-FR"/>
        </w:rPr>
        <w:t xml:space="preserve">des services </w:t>
      </w:r>
      <w:r w:rsidRPr="00686CD4">
        <w:rPr>
          <w:lang w:val="fr-FR"/>
        </w:rPr>
        <w:t xml:space="preserve">diplomatiques et consulaires, </w:t>
      </w:r>
      <w:r>
        <w:rPr>
          <w:lang w:val="fr-FR"/>
        </w:rPr>
        <w:t xml:space="preserve">des </w:t>
      </w:r>
      <w:r w:rsidRPr="00686CD4">
        <w:rPr>
          <w:lang w:val="fr-FR"/>
        </w:rPr>
        <w:t>organes souverains,</w:t>
      </w:r>
      <w:r>
        <w:rPr>
          <w:lang w:val="fr-FR"/>
        </w:rPr>
        <w:t xml:space="preserve"> le</w:t>
      </w:r>
      <w:r w:rsidRPr="00686CD4">
        <w:rPr>
          <w:lang w:val="fr-FR"/>
        </w:rPr>
        <w:t xml:space="preserve"> Médiateur, l</w:t>
      </w:r>
      <w:r>
        <w:rPr>
          <w:lang w:val="fr-FR"/>
        </w:rPr>
        <w:t>’</w:t>
      </w:r>
      <w:r w:rsidRPr="00686CD4">
        <w:rPr>
          <w:lang w:val="fr-FR"/>
        </w:rPr>
        <w:t xml:space="preserve">Inspection générale de la justice </w:t>
      </w:r>
      <w:r>
        <w:rPr>
          <w:lang w:val="fr-FR"/>
        </w:rPr>
        <w:t xml:space="preserve">et </w:t>
      </w:r>
      <w:r w:rsidRPr="00686CD4">
        <w:rPr>
          <w:lang w:val="fr-FR"/>
        </w:rPr>
        <w:t>le barreau (art</w:t>
      </w:r>
      <w:r w:rsidR="00890490">
        <w:rPr>
          <w:lang w:val="fr-FR"/>
        </w:rPr>
        <w:t>.</w:t>
      </w:r>
      <w:r>
        <w:rPr>
          <w:lang w:val="fr-FR"/>
        </w:rPr>
        <w:t> </w:t>
      </w:r>
      <w:r w:rsidRPr="00686CD4">
        <w:rPr>
          <w:lang w:val="fr-FR"/>
        </w:rPr>
        <w:t>68</w:t>
      </w:r>
      <w:r w:rsidR="004B44AA">
        <w:rPr>
          <w:lang w:val="fr-FR"/>
        </w:rPr>
        <w:t> </w:t>
      </w:r>
      <w:r w:rsidRPr="00686CD4">
        <w:rPr>
          <w:lang w:val="fr-FR"/>
        </w:rPr>
        <w:t>4) du Code d</w:t>
      </w:r>
      <w:r>
        <w:rPr>
          <w:lang w:val="fr-FR"/>
        </w:rPr>
        <w:t>’</w:t>
      </w:r>
      <w:r w:rsidRPr="00686CD4">
        <w:rPr>
          <w:lang w:val="fr-FR"/>
        </w:rPr>
        <w:t>exécution des peines et des mesures privatives de liberté).</w:t>
      </w:r>
    </w:p>
    <w:p w:rsidR="002A7A34" w:rsidRPr="00686CD4" w:rsidRDefault="002A7A34" w:rsidP="00890490">
      <w:pPr>
        <w:pStyle w:val="H23G"/>
        <w:jc w:val="both"/>
        <w:rPr>
          <w:lang w:val="fr-FR"/>
        </w:rPr>
      </w:pPr>
      <w:r w:rsidRPr="00686CD4">
        <w:rPr>
          <w:lang w:val="fr-FR"/>
        </w:rPr>
        <w:tab/>
      </w:r>
      <w:bookmarkStart w:id="58" w:name="_Toc532494661"/>
      <w:r w:rsidRPr="00686CD4">
        <w:rPr>
          <w:lang w:val="fr-FR"/>
        </w:rPr>
        <w:tab/>
      </w:r>
      <w:r w:rsidRPr="00686CD4">
        <w:rPr>
          <w:lang w:val="fr-FR"/>
        </w:rPr>
        <w:tab/>
        <w:t>c)</w:t>
      </w:r>
      <w:r w:rsidRPr="00686CD4">
        <w:rPr>
          <w:lang w:val="fr-FR"/>
        </w:rPr>
        <w:tab/>
      </w:r>
      <w:r w:rsidRPr="00AA3F80">
        <w:rPr>
          <w:lang w:val="fr-FR"/>
        </w:rPr>
        <w:t>Les mesures prises pour que les décisions de placement de prisonniers dans des unités de sécurité et les décisions de prolongation de ce placement soient motivées et notifiées aux personnes concernées, et qu</w:t>
      </w:r>
      <w:r>
        <w:rPr>
          <w:lang w:val="fr-FR"/>
        </w:rPr>
        <w:t>’</w:t>
      </w:r>
      <w:r w:rsidRPr="00AA3F80">
        <w:rPr>
          <w:lang w:val="fr-FR"/>
        </w:rPr>
        <w:t>elles puissent faire l</w:t>
      </w:r>
      <w:r>
        <w:rPr>
          <w:lang w:val="fr-FR"/>
        </w:rPr>
        <w:t>’</w:t>
      </w:r>
      <w:r w:rsidRPr="00AA3F80">
        <w:rPr>
          <w:lang w:val="fr-FR"/>
        </w:rPr>
        <w:t>objet d</w:t>
      </w:r>
      <w:r>
        <w:rPr>
          <w:lang w:val="fr-FR"/>
        </w:rPr>
        <w:t>’</w:t>
      </w:r>
      <w:r w:rsidRPr="00AA3F80">
        <w:rPr>
          <w:lang w:val="fr-FR"/>
        </w:rPr>
        <w:t>un recours</w:t>
      </w:r>
      <w:r w:rsidR="00495D0F">
        <w:rPr>
          <w:lang w:val="fr-FR"/>
        </w:rPr>
        <w:t> ;</w:t>
      </w:r>
      <w:bookmarkEnd w:id="58"/>
    </w:p>
    <w:p w:rsidR="002A7A34" w:rsidRPr="00686CD4" w:rsidRDefault="002A7A34" w:rsidP="002A7A34">
      <w:pPr>
        <w:pStyle w:val="SingleTxtG"/>
        <w:rPr>
          <w:lang w:val="fr-FR"/>
        </w:rPr>
      </w:pPr>
      <w:r w:rsidRPr="00686CD4">
        <w:rPr>
          <w:lang w:val="fr-FR"/>
        </w:rPr>
        <w:t>212.</w:t>
      </w:r>
      <w:r w:rsidRPr="00686CD4">
        <w:rPr>
          <w:lang w:val="fr-FR"/>
        </w:rPr>
        <w:tab/>
        <w:t>Voir la réponse donnée au paragraphe</w:t>
      </w:r>
      <w:r>
        <w:rPr>
          <w:lang w:val="fr-FR"/>
        </w:rPr>
        <w:t> </w:t>
      </w:r>
      <w:r w:rsidRPr="00686CD4">
        <w:rPr>
          <w:lang w:val="fr-FR"/>
        </w:rPr>
        <w:t>13</w:t>
      </w:r>
      <w:r w:rsidR="004B44AA">
        <w:rPr>
          <w:lang w:val="fr-FR"/>
        </w:rPr>
        <w:t> </w:t>
      </w:r>
      <w:r w:rsidRPr="00686CD4">
        <w:rPr>
          <w:lang w:val="fr-FR"/>
        </w:rPr>
        <w:t>b).</w:t>
      </w:r>
    </w:p>
    <w:p w:rsidR="002A7A34" w:rsidRPr="00686CD4" w:rsidRDefault="002A7A34" w:rsidP="00890490">
      <w:pPr>
        <w:pStyle w:val="H23G"/>
        <w:jc w:val="both"/>
        <w:rPr>
          <w:lang w:val="fr-FR"/>
        </w:rPr>
      </w:pPr>
      <w:r w:rsidRPr="00686CD4">
        <w:rPr>
          <w:lang w:val="fr-FR"/>
        </w:rPr>
        <w:tab/>
      </w:r>
      <w:bookmarkStart w:id="59" w:name="_Toc532494662"/>
      <w:r w:rsidRPr="00686CD4">
        <w:rPr>
          <w:lang w:val="fr-FR"/>
        </w:rPr>
        <w:tab/>
      </w:r>
      <w:r w:rsidRPr="00686CD4">
        <w:rPr>
          <w:lang w:val="fr-FR"/>
        </w:rPr>
        <w:tab/>
        <w:t xml:space="preserve">d) </w:t>
      </w:r>
      <w:r w:rsidRPr="00686CD4">
        <w:rPr>
          <w:lang w:val="fr-FR"/>
        </w:rPr>
        <w:tab/>
      </w:r>
      <w:r w:rsidRPr="00AA3F80">
        <w:rPr>
          <w:lang w:val="fr-FR"/>
        </w:rPr>
        <w:t>Les mesures prises pour mettre en place des mécanismes impartiaux d</w:t>
      </w:r>
      <w:r>
        <w:rPr>
          <w:lang w:val="fr-FR"/>
        </w:rPr>
        <w:t>’</w:t>
      </w:r>
      <w:r w:rsidRPr="00AA3F80">
        <w:rPr>
          <w:lang w:val="fr-FR"/>
        </w:rPr>
        <w:t>examen des plaintes des détenus concernant leurs conditions de détention et les sanctions disciplinaires imposées</w:t>
      </w:r>
      <w:r w:rsidRPr="00686CD4">
        <w:rPr>
          <w:lang w:val="fr-FR"/>
        </w:rPr>
        <w:t>.</w:t>
      </w:r>
      <w:bookmarkEnd w:id="59"/>
    </w:p>
    <w:p w:rsidR="002A7A34" w:rsidRPr="00686CD4" w:rsidRDefault="002A7A34" w:rsidP="00890490">
      <w:pPr>
        <w:pStyle w:val="SingleTxtG"/>
        <w:rPr>
          <w:lang w:val="fr-FR"/>
        </w:rPr>
      </w:pPr>
      <w:r w:rsidRPr="00686CD4">
        <w:rPr>
          <w:lang w:val="fr-FR"/>
        </w:rPr>
        <w:t>213.</w:t>
      </w:r>
      <w:r w:rsidRPr="00686CD4">
        <w:rPr>
          <w:lang w:val="fr-FR"/>
        </w:rPr>
        <w:tab/>
        <w:t>Voir la réponse donnée au paragraphe</w:t>
      </w:r>
      <w:r>
        <w:rPr>
          <w:lang w:val="fr-FR"/>
        </w:rPr>
        <w:t> </w:t>
      </w:r>
      <w:r w:rsidRPr="00686CD4">
        <w:rPr>
          <w:lang w:val="fr-FR"/>
        </w:rPr>
        <w:t>13</w:t>
      </w:r>
      <w:r w:rsidR="004B44AA">
        <w:rPr>
          <w:lang w:val="fr-FR"/>
        </w:rPr>
        <w:t> </w:t>
      </w:r>
      <w:r w:rsidRPr="00686CD4">
        <w:rPr>
          <w:lang w:val="fr-FR"/>
        </w:rPr>
        <w:t>b).</w:t>
      </w:r>
    </w:p>
    <w:p w:rsidR="002A7A34" w:rsidRPr="00686CD4" w:rsidRDefault="002A7A34" w:rsidP="00890490">
      <w:pPr>
        <w:pStyle w:val="H23G"/>
        <w:jc w:val="both"/>
        <w:rPr>
          <w:lang w:val="fr-FR"/>
        </w:rPr>
      </w:pPr>
      <w:r>
        <w:rPr>
          <w:lang w:val="fr-FR"/>
        </w:rPr>
        <w:tab/>
      </w:r>
      <w:r w:rsidRPr="00686CD4">
        <w:rPr>
          <w:lang w:val="fr-FR"/>
        </w:rPr>
        <w:t>14.</w:t>
      </w:r>
      <w:r w:rsidRPr="00686CD4">
        <w:rPr>
          <w:lang w:val="fr-FR"/>
        </w:rPr>
        <w:tab/>
      </w:r>
      <w:r w:rsidRPr="00AA3F80">
        <w:rPr>
          <w:lang w:val="fr-FR"/>
        </w:rPr>
        <w:t>Compte tenu des précédentes observations finales du Comité (par.</w:t>
      </w:r>
      <w:r>
        <w:rPr>
          <w:lang w:val="fr-FR"/>
        </w:rPr>
        <w:t> </w:t>
      </w:r>
      <w:r w:rsidRPr="00AA3F80">
        <w:rPr>
          <w:lang w:val="fr-FR"/>
        </w:rPr>
        <w:t>11</w:t>
      </w:r>
      <w:r>
        <w:rPr>
          <w:lang w:val="fr-FR"/>
        </w:rPr>
        <w:t> </w:t>
      </w:r>
      <w:r w:rsidRPr="00AA3F80">
        <w:rPr>
          <w:lang w:val="fr-FR"/>
        </w:rPr>
        <w:t>d)), fournir</w:t>
      </w:r>
      <w:r w:rsidR="00495D0F">
        <w:rPr>
          <w:lang w:val="fr-FR"/>
        </w:rPr>
        <w:t> :</w:t>
      </w:r>
      <w:r w:rsidRPr="00686CD4">
        <w:rPr>
          <w:lang w:val="fr-FR"/>
        </w:rPr>
        <w:t xml:space="preserve"> </w:t>
      </w:r>
      <w:bookmarkStart w:id="60" w:name="_Toc532494663"/>
      <w:bookmarkEnd w:id="60"/>
    </w:p>
    <w:p w:rsidR="002A7A34" w:rsidRPr="00686CD4" w:rsidRDefault="002A7A34" w:rsidP="00890490">
      <w:pPr>
        <w:pStyle w:val="H23G"/>
        <w:jc w:val="both"/>
        <w:rPr>
          <w:lang w:val="fr-FR"/>
        </w:rPr>
      </w:pPr>
      <w:r w:rsidRPr="00686CD4">
        <w:rPr>
          <w:lang w:val="fr-FR"/>
        </w:rPr>
        <w:tab/>
      </w:r>
      <w:bookmarkStart w:id="61" w:name="_Toc532494664"/>
      <w:r w:rsidRPr="00686CD4">
        <w:rPr>
          <w:lang w:val="fr-FR"/>
        </w:rPr>
        <w:tab/>
      </w:r>
      <w:r w:rsidRPr="00686CD4">
        <w:rPr>
          <w:lang w:val="fr-FR"/>
        </w:rPr>
        <w:tab/>
        <w:t>a)</w:t>
      </w:r>
      <w:r w:rsidRPr="00686CD4">
        <w:rPr>
          <w:lang w:val="fr-FR"/>
        </w:rPr>
        <w:tab/>
      </w:r>
      <w:r w:rsidRPr="00AA3F80">
        <w:rPr>
          <w:lang w:val="fr-FR"/>
        </w:rPr>
        <w:t>Des statistiques annuelles, depuis</w:t>
      </w:r>
      <w:r>
        <w:rPr>
          <w:lang w:val="fr-FR"/>
        </w:rPr>
        <w:t> </w:t>
      </w:r>
      <w:r w:rsidRPr="00AA3F80">
        <w:rPr>
          <w:lang w:val="fr-FR"/>
        </w:rPr>
        <w:t>2013, ventilées par lieu de privation de liberté et sexe, âge et origine ethnique de la victime, sur</w:t>
      </w:r>
      <w:r w:rsidR="00495D0F">
        <w:rPr>
          <w:lang w:val="fr-FR"/>
        </w:rPr>
        <w:t> :</w:t>
      </w:r>
      <w:r w:rsidRPr="00AA3F80">
        <w:rPr>
          <w:lang w:val="fr-FR"/>
        </w:rPr>
        <w:t xml:space="preserve"> i)</w:t>
      </w:r>
      <w:r>
        <w:rPr>
          <w:lang w:val="fr-FR"/>
        </w:rPr>
        <w:t> </w:t>
      </w:r>
      <w:r w:rsidRPr="00AA3F80">
        <w:rPr>
          <w:lang w:val="fr-FR"/>
        </w:rPr>
        <w:t>le nombre de décès en détention en indiquant la cause du décès</w:t>
      </w:r>
      <w:r w:rsidR="00495D0F">
        <w:rPr>
          <w:lang w:val="fr-FR"/>
        </w:rPr>
        <w:t> ;</w:t>
      </w:r>
      <w:r w:rsidRPr="00AA3F80">
        <w:rPr>
          <w:lang w:val="fr-FR"/>
        </w:rPr>
        <w:t xml:space="preserve"> ii) le nombre de personnes blessées suite à des actes de violence commis dans les lieux de détention, en indiquant si l</w:t>
      </w:r>
      <w:r>
        <w:rPr>
          <w:lang w:val="fr-FR"/>
        </w:rPr>
        <w:t>’</w:t>
      </w:r>
      <w:r w:rsidRPr="00AA3F80">
        <w:rPr>
          <w:lang w:val="fr-FR"/>
        </w:rPr>
        <w:t>auteur de ces actes était un fonctionnaire ou un autre détenu. Donner également des informations détaillées sur l</w:t>
      </w:r>
      <w:r>
        <w:rPr>
          <w:lang w:val="fr-FR"/>
        </w:rPr>
        <w:t>’</w:t>
      </w:r>
      <w:r w:rsidRPr="00AA3F80">
        <w:rPr>
          <w:lang w:val="fr-FR"/>
        </w:rPr>
        <w:t>issue des enquêtes ouvertes sur ces décès ou ces violences, et sur les sanctions imposées aux personnes reconnues coupables d</w:t>
      </w:r>
      <w:r>
        <w:rPr>
          <w:lang w:val="fr-FR"/>
        </w:rPr>
        <w:t>’</w:t>
      </w:r>
      <w:r w:rsidRPr="00AA3F80">
        <w:rPr>
          <w:lang w:val="fr-FR"/>
        </w:rPr>
        <w:t>actes de torture, de mauvais traitements ou de négligences ayant entraîné la mort ou des blessures. Préciser quelles informations et mesures de réparation ont été fournies aux victimes de ces violations et à leur famille</w:t>
      </w:r>
      <w:r w:rsidR="00495D0F">
        <w:rPr>
          <w:lang w:val="fr-FR"/>
        </w:rPr>
        <w:t> ;</w:t>
      </w:r>
      <w:bookmarkEnd w:id="61"/>
    </w:p>
    <w:p w:rsidR="002A7A34" w:rsidRPr="00686CD4" w:rsidRDefault="002A7A34" w:rsidP="00890490">
      <w:pPr>
        <w:pStyle w:val="SingleTxtG"/>
        <w:rPr>
          <w:lang w:val="fr-FR"/>
        </w:rPr>
      </w:pPr>
      <w:r w:rsidRPr="00686CD4">
        <w:rPr>
          <w:lang w:val="fr-FR"/>
        </w:rPr>
        <w:t>214.</w:t>
      </w:r>
      <w:r w:rsidRPr="00686CD4">
        <w:rPr>
          <w:lang w:val="fr-FR"/>
        </w:rPr>
        <w:tab/>
        <w:t>Voir le tableau</w:t>
      </w:r>
      <w:r>
        <w:rPr>
          <w:lang w:val="fr-FR"/>
        </w:rPr>
        <w:t> </w:t>
      </w:r>
      <w:r w:rsidRPr="00686CD4">
        <w:rPr>
          <w:lang w:val="fr-FR"/>
        </w:rPr>
        <w:t>XVI (</w:t>
      </w:r>
      <w:r>
        <w:rPr>
          <w:lang w:val="fr-FR"/>
        </w:rPr>
        <w:t>A</w:t>
      </w:r>
      <w:r w:rsidRPr="00686CD4">
        <w:rPr>
          <w:lang w:val="fr-FR"/>
        </w:rPr>
        <w:t>ffaires, par</w:t>
      </w:r>
      <w:r>
        <w:rPr>
          <w:lang w:val="fr-FR"/>
        </w:rPr>
        <w:t xml:space="preserve"> type de</w:t>
      </w:r>
      <w:r w:rsidRPr="00686CD4">
        <w:rPr>
          <w:lang w:val="fr-FR"/>
        </w:rPr>
        <w:t xml:space="preserve"> mesure disciplinaire, 2013/2015), le tableau</w:t>
      </w:r>
      <w:r>
        <w:rPr>
          <w:lang w:val="fr-FR"/>
        </w:rPr>
        <w:t> </w:t>
      </w:r>
      <w:r w:rsidRPr="00686CD4">
        <w:rPr>
          <w:lang w:val="fr-FR"/>
        </w:rPr>
        <w:t>XVII (</w:t>
      </w:r>
      <w:r>
        <w:rPr>
          <w:lang w:val="fr-FR"/>
        </w:rPr>
        <w:t>A</w:t>
      </w:r>
      <w:r w:rsidRPr="00686CD4">
        <w:rPr>
          <w:lang w:val="fr-FR"/>
        </w:rPr>
        <w:t>ffaire</w:t>
      </w:r>
      <w:r>
        <w:rPr>
          <w:lang w:val="fr-FR"/>
        </w:rPr>
        <w:t>s</w:t>
      </w:r>
      <w:r w:rsidRPr="00686CD4">
        <w:rPr>
          <w:lang w:val="fr-FR"/>
        </w:rPr>
        <w:t xml:space="preserve">, par </w:t>
      </w:r>
      <w:r>
        <w:rPr>
          <w:lang w:val="fr-FR"/>
        </w:rPr>
        <w:t xml:space="preserve">type de </w:t>
      </w:r>
      <w:r w:rsidRPr="00686CD4">
        <w:rPr>
          <w:lang w:val="fr-FR"/>
        </w:rPr>
        <w:t>mesure disciplinaire, année 2016)</w:t>
      </w:r>
      <w:r>
        <w:rPr>
          <w:lang w:val="fr-FR"/>
        </w:rPr>
        <w:t>,</w:t>
      </w:r>
      <w:r w:rsidRPr="00686CD4">
        <w:rPr>
          <w:lang w:val="fr-FR"/>
        </w:rPr>
        <w:t xml:space="preserve"> et le tableau</w:t>
      </w:r>
      <w:r>
        <w:rPr>
          <w:lang w:val="fr-FR"/>
        </w:rPr>
        <w:t> </w:t>
      </w:r>
      <w:r w:rsidRPr="00686CD4">
        <w:rPr>
          <w:lang w:val="fr-FR"/>
        </w:rPr>
        <w:t>XVIII (Causes de décès dans le système pénitentiaire) de l</w:t>
      </w:r>
      <w:r>
        <w:rPr>
          <w:lang w:val="fr-FR"/>
        </w:rPr>
        <w:t>’</w:t>
      </w:r>
      <w:r w:rsidRPr="00686CD4">
        <w:rPr>
          <w:lang w:val="fr-FR"/>
        </w:rPr>
        <w:t>annexe</w:t>
      </w:r>
      <w:r>
        <w:rPr>
          <w:lang w:val="fr-FR"/>
        </w:rPr>
        <w:t> </w:t>
      </w:r>
      <w:r w:rsidRPr="00686CD4">
        <w:rPr>
          <w:lang w:val="fr-FR"/>
        </w:rPr>
        <w:t>III.</w:t>
      </w:r>
    </w:p>
    <w:p w:rsidR="002A7A34" w:rsidRPr="00686CD4" w:rsidRDefault="002A7A34" w:rsidP="00890490">
      <w:pPr>
        <w:pStyle w:val="SingleTxtG"/>
        <w:rPr>
          <w:lang w:val="fr-FR"/>
        </w:rPr>
      </w:pPr>
      <w:r w:rsidRPr="00686CD4">
        <w:rPr>
          <w:lang w:val="fr-FR"/>
        </w:rPr>
        <w:t>215.</w:t>
      </w:r>
      <w:r w:rsidRPr="00686CD4">
        <w:rPr>
          <w:lang w:val="fr-FR"/>
        </w:rPr>
        <w:tab/>
        <w:t>Le</w:t>
      </w:r>
      <w:r>
        <w:rPr>
          <w:lang w:val="fr-FR"/>
        </w:rPr>
        <w:t xml:space="preserve"> Service </w:t>
      </w:r>
      <w:r w:rsidRPr="00686CD4">
        <w:rPr>
          <w:lang w:val="fr-FR"/>
        </w:rPr>
        <w:t>de l</w:t>
      </w:r>
      <w:r>
        <w:rPr>
          <w:lang w:val="fr-FR"/>
        </w:rPr>
        <w:t>’</w:t>
      </w:r>
      <w:r w:rsidRPr="00686CD4">
        <w:rPr>
          <w:lang w:val="fr-FR"/>
        </w:rPr>
        <w:t>immigration et des frontières n</w:t>
      </w:r>
      <w:r>
        <w:rPr>
          <w:lang w:val="fr-FR"/>
        </w:rPr>
        <w:t>’</w:t>
      </w:r>
      <w:r w:rsidRPr="00686CD4">
        <w:rPr>
          <w:lang w:val="fr-FR"/>
        </w:rPr>
        <w:t xml:space="preserve">a </w:t>
      </w:r>
      <w:r>
        <w:rPr>
          <w:lang w:val="fr-FR"/>
        </w:rPr>
        <w:t xml:space="preserve">eu aucune </w:t>
      </w:r>
      <w:r w:rsidRPr="00686CD4">
        <w:rPr>
          <w:lang w:val="fr-FR"/>
        </w:rPr>
        <w:t xml:space="preserve">affaire </w:t>
      </w:r>
      <w:r>
        <w:rPr>
          <w:lang w:val="fr-FR"/>
        </w:rPr>
        <w:t>à</w:t>
      </w:r>
      <w:r w:rsidRPr="00686CD4">
        <w:rPr>
          <w:lang w:val="fr-FR"/>
        </w:rPr>
        <w:t xml:space="preserve"> déclar</w:t>
      </w:r>
      <w:r>
        <w:rPr>
          <w:lang w:val="fr-FR"/>
        </w:rPr>
        <w:t>er</w:t>
      </w:r>
      <w:r w:rsidRPr="00686CD4">
        <w:rPr>
          <w:lang w:val="fr-FR"/>
        </w:rPr>
        <w:t xml:space="preserve"> durant la période considérée. </w:t>
      </w:r>
    </w:p>
    <w:p w:rsidR="002A7A34" w:rsidRPr="00686CD4" w:rsidRDefault="002A7A34" w:rsidP="00315004">
      <w:pPr>
        <w:pStyle w:val="SingleTxtG"/>
        <w:rPr>
          <w:lang w:val="fr-FR"/>
        </w:rPr>
      </w:pPr>
      <w:r w:rsidRPr="00686CD4">
        <w:rPr>
          <w:lang w:val="fr-FR"/>
        </w:rPr>
        <w:lastRenderedPageBreak/>
        <w:t>216.</w:t>
      </w:r>
      <w:r w:rsidRPr="00686CD4">
        <w:rPr>
          <w:lang w:val="fr-FR"/>
        </w:rPr>
        <w:tab/>
        <w:t>L</w:t>
      </w:r>
      <w:r>
        <w:rPr>
          <w:lang w:val="fr-FR"/>
        </w:rPr>
        <w:t>’Inspection générale de l’administration interne</w:t>
      </w:r>
      <w:r w:rsidRPr="00686CD4">
        <w:rPr>
          <w:lang w:val="fr-FR"/>
        </w:rPr>
        <w:t xml:space="preserve"> souligne que</w:t>
      </w:r>
      <w:r>
        <w:rPr>
          <w:lang w:val="fr-FR"/>
        </w:rPr>
        <w:t>, si</w:t>
      </w:r>
      <w:r w:rsidRPr="00686CD4">
        <w:rPr>
          <w:lang w:val="fr-FR"/>
        </w:rPr>
        <w:t xml:space="preserve"> sa mission et ses responsabilités </w:t>
      </w:r>
      <w:r>
        <w:rPr>
          <w:lang w:val="fr-FR"/>
        </w:rPr>
        <w:t>s</w:t>
      </w:r>
      <w:r w:rsidRPr="00686CD4">
        <w:rPr>
          <w:lang w:val="fr-FR"/>
        </w:rPr>
        <w:t xml:space="preserve">ont </w:t>
      </w:r>
      <w:r>
        <w:rPr>
          <w:lang w:val="fr-FR"/>
        </w:rPr>
        <w:t xml:space="preserve">de </w:t>
      </w:r>
      <w:r w:rsidRPr="00686CD4">
        <w:rPr>
          <w:lang w:val="fr-FR"/>
        </w:rPr>
        <w:t>plus vaste</w:t>
      </w:r>
      <w:r>
        <w:rPr>
          <w:lang w:val="fr-FR"/>
        </w:rPr>
        <w:t xml:space="preserve"> portée que cette question p</w:t>
      </w:r>
      <w:r w:rsidRPr="00686CD4">
        <w:rPr>
          <w:lang w:val="fr-FR"/>
        </w:rPr>
        <w:t>articuli</w:t>
      </w:r>
      <w:r>
        <w:rPr>
          <w:lang w:val="fr-FR"/>
        </w:rPr>
        <w:t>ère</w:t>
      </w:r>
      <w:r w:rsidRPr="00686CD4">
        <w:rPr>
          <w:lang w:val="fr-FR"/>
        </w:rPr>
        <w:t xml:space="preserve">, </w:t>
      </w:r>
      <w:r>
        <w:rPr>
          <w:lang w:val="fr-FR"/>
        </w:rPr>
        <w:t xml:space="preserve">celle-ci fait partie intégrante de </w:t>
      </w:r>
      <w:r w:rsidRPr="00686CD4">
        <w:rPr>
          <w:lang w:val="fr-FR"/>
        </w:rPr>
        <w:t xml:space="preserve">ses devoirs et </w:t>
      </w:r>
      <w:r>
        <w:rPr>
          <w:lang w:val="fr-FR"/>
        </w:rPr>
        <w:t xml:space="preserve">de </w:t>
      </w:r>
      <w:r w:rsidRPr="00686CD4">
        <w:rPr>
          <w:lang w:val="fr-FR"/>
        </w:rPr>
        <w:t>ses activités. Les rapports établis en cas d</w:t>
      </w:r>
      <w:r>
        <w:rPr>
          <w:lang w:val="fr-FR"/>
        </w:rPr>
        <w:t>’infraction primaire</w:t>
      </w:r>
      <w:r w:rsidRPr="00686CD4">
        <w:rPr>
          <w:lang w:val="fr-FR"/>
        </w:rPr>
        <w:t xml:space="preserve"> donnent systématiquement lieu à l</w:t>
      </w:r>
      <w:r>
        <w:rPr>
          <w:lang w:val="fr-FR"/>
        </w:rPr>
        <w:t>’</w:t>
      </w:r>
      <w:r w:rsidRPr="00686CD4">
        <w:rPr>
          <w:lang w:val="fr-FR"/>
        </w:rPr>
        <w:t>ouverture d</w:t>
      </w:r>
      <w:r>
        <w:rPr>
          <w:lang w:val="fr-FR"/>
        </w:rPr>
        <w:t>’</w:t>
      </w:r>
      <w:r w:rsidRPr="00686CD4">
        <w:rPr>
          <w:lang w:val="fr-FR"/>
        </w:rPr>
        <w:t>une procédure ayant pour objet d</w:t>
      </w:r>
      <w:r>
        <w:rPr>
          <w:lang w:val="fr-FR"/>
        </w:rPr>
        <w:t>’</w:t>
      </w:r>
      <w:r w:rsidRPr="00686CD4">
        <w:rPr>
          <w:lang w:val="fr-FR"/>
        </w:rPr>
        <w:t>établir les faits. L</w:t>
      </w:r>
      <w:r>
        <w:rPr>
          <w:lang w:val="fr-FR"/>
        </w:rPr>
        <w:t>’</w:t>
      </w:r>
      <w:r w:rsidRPr="00686CD4">
        <w:rPr>
          <w:lang w:val="fr-FR"/>
        </w:rPr>
        <w:t>action disciplinaire a un caractère non officiel et n</w:t>
      </w:r>
      <w:r>
        <w:rPr>
          <w:lang w:val="fr-FR"/>
        </w:rPr>
        <w:t>’</w:t>
      </w:r>
      <w:r w:rsidRPr="00686CD4">
        <w:rPr>
          <w:lang w:val="fr-FR"/>
        </w:rPr>
        <w:t>est pas tributaire de l</w:t>
      </w:r>
      <w:r>
        <w:rPr>
          <w:lang w:val="fr-FR"/>
        </w:rPr>
        <w:t>’</w:t>
      </w:r>
      <w:r w:rsidRPr="00686CD4">
        <w:rPr>
          <w:lang w:val="fr-FR"/>
        </w:rPr>
        <w:t>établissement d</w:t>
      </w:r>
      <w:r>
        <w:rPr>
          <w:lang w:val="fr-FR"/>
        </w:rPr>
        <w:t>’</w:t>
      </w:r>
      <w:r w:rsidRPr="00686CD4">
        <w:rPr>
          <w:lang w:val="fr-FR"/>
        </w:rPr>
        <w:t>un rapport (art</w:t>
      </w:r>
      <w:r w:rsidR="004B44AA">
        <w:rPr>
          <w:lang w:val="fr-FR"/>
        </w:rPr>
        <w:t>.</w:t>
      </w:r>
      <w:r>
        <w:rPr>
          <w:lang w:val="fr-FR"/>
        </w:rPr>
        <w:t> </w:t>
      </w:r>
      <w:r w:rsidRPr="00686CD4">
        <w:rPr>
          <w:lang w:val="fr-FR"/>
        </w:rPr>
        <w:t>71 et</w:t>
      </w:r>
      <w:r>
        <w:rPr>
          <w:lang w:val="fr-FR"/>
        </w:rPr>
        <w:t> </w:t>
      </w:r>
      <w:r w:rsidRPr="00686CD4">
        <w:rPr>
          <w:lang w:val="fr-FR"/>
        </w:rPr>
        <w:t xml:space="preserve">72 du </w:t>
      </w:r>
      <w:r w:rsidR="00C93144">
        <w:rPr>
          <w:lang w:val="fr-FR"/>
        </w:rPr>
        <w:t>R</w:t>
      </w:r>
      <w:r w:rsidRPr="00686CD4">
        <w:rPr>
          <w:lang w:val="fr-FR"/>
        </w:rPr>
        <w:t xml:space="preserve">èglement disciplinaire de la </w:t>
      </w:r>
      <w:r>
        <w:rPr>
          <w:lang w:val="fr-FR"/>
        </w:rPr>
        <w:t>G</w:t>
      </w:r>
      <w:r w:rsidRPr="00686CD4">
        <w:rPr>
          <w:lang w:val="fr-FR"/>
        </w:rPr>
        <w:t>arde nationale républicaine, art</w:t>
      </w:r>
      <w:r w:rsidR="00C93144">
        <w:rPr>
          <w:lang w:val="fr-FR"/>
        </w:rPr>
        <w:t>.</w:t>
      </w:r>
      <w:r>
        <w:rPr>
          <w:lang w:val="fr-FR"/>
        </w:rPr>
        <w:t> </w:t>
      </w:r>
      <w:r w:rsidRPr="00686CD4">
        <w:rPr>
          <w:lang w:val="fr-FR"/>
        </w:rPr>
        <w:t>20 et</w:t>
      </w:r>
      <w:r>
        <w:rPr>
          <w:lang w:val="fr-FR"/>
        </w:rPr>
        <w:t> </w:t>
      </w:r>
      <w:r w:rsidRPr="00686CD4">
        <w:rPr>
          <w:lang w:val="fr-FR"/>
        </w:rPr>
        <w:t xml:space="preserve">61 du </w:t>
      </w:r>
      <w:r w:rsidR="00C93144">
        <w:rPr>
          <w:lang w:val="fr-FR"/>
        </w:rPr>
        <w:t>R</w:t>
      </w:r>
      <w:r w:rsidRPr="00686CD4">
        <w:rPr>
          <w:lang w:val="fr-FR"/>
        </w:rPr>
        <w:t xml:space="preserve">èglement disciplinaire de la </w:t>
      </w:r>
      <w:r>
        <w:rPr>
          <w:lang w:val="fr-FR"/>
        </w:rPr>
        <w:t>P</w:t>
      </w:r>
      <w:r w:rsidRPr="00686CD4">
        <w:rPr>
          <w:lang w:val="fr-FR"/>
        </w:rPr>
        <w:t>olice de sécurité publique</w:t>
      </w:r>
      <w:r>
        <w:rPr>
          <w:lang w:val="fr-FR"/>
        </w:rPr>
        <w:t>,</w:t>
      </w:r>
      <w:r w:rsidRPr="00686CD4">
        <w:rPr>
          <w:lang w:val="fr-FR"/>
        </w:rPr>
        <w:t xml:space="preserve"> et art</w:t>
      </w:r>
      <w:r w:rsidR="00C93144">
        <w:rPr>
          <w:lang w:val="fr-FR"/>
        </w:rPr>
        <w:t>.</w:t>
      </w:r>
      <w:r>
        <w:rPr>
          <w:lang w:val="fr-FR"/>
        </w:rPr>
        <w:t> </w:t>
      </w:r>
      <w:r w:rsidRPr="00686CD4">
        <w:rPr>
          <w:lang w:val="fr-FR"/>
        </w:rPr>
        <w:t xml:space="preserve">194 de la loi générale du travail dans la fonction publique). </w:t>
      </w:r>
    </w:p>
    <w:p w:rsidR="002A7A34" w:rsidRPr="00686CD4" w:rsidRDefault="002A7A34" w:rsidP="00315004">
      <w:pPr>
        <w:pStyle w:val="SingleTxtG"/>
        <w:rPr>
          <w:lang w:val="fr-FR"/>
        </w:rPr>
      </w:pPr>
      <w:r w:rsidRPr="00686CD4">
        <w:rPr>
          <w:lang w:val="fr-FR"/>
        </w:rPr>
        <w:t>217.</w:t>
      </w:r>
      <w:r w:rsidRPr="00686CD4">
        <w:rPr>
          <w:lang w:val="fr-FR"/>
        </w:rPr>
        <w:tab/>
        <w:t>Voir le tableau</w:t>
      </w:r>
      <w:r>
        <w:rPr>
          <w:lang w:val="fr-FR"/>
        </w:rPr>
        <w:t> </w:t>
      </w:r>
      <w:r w:rsidRPr="00686CD4">
        <w:rPr>
          <w:lang w:val="fr-FR"/>
        </w:rPr>
        <w:t>XIX de l</w:t>
      </w:r>
      <w:r>
        <w:rPr>
          <w:lang w:val="fr-FR"/>
        </w:rPr>
        <w:t>’</w:t>
      </w:r>
      <w:r w:rsidRPr="00686CD4">
        <w:rPr>
          <w:lang w:val="fr-FR"/>
        </w:rPr>
        <w:t>annexe III.</w:t>
      </w:r>
    </w:p>
    <w:p w:rsidR="002A7A34" w:rsidRPr="00686CD4" w:rsidRDefault="002A7A34" w:rsidP="00315004">
      <w:pPr>
        <w:pStyle w:val="H23G"/>
        <w:jc w:val="both"/>
        <w:rPr>
          <w:lang w:val="fr-FR"/>
        </w:rPr>
      </w:pPr>
      <w:r w:rsidRPr="00686CD4">
        <w:rPr>
          <w:lang w:val="fr-FR"/>
        </w:rPr>
        <w:tab/>
      </w:r>
      <w:bookmarkStart w:id="62" w:name="_Toc532494665"/>
      <w:r w:rsidRPr="00686CD4">
        <w:rPr>
          <w:lang w:val="fr-FR"/>
        </w:rPr>
        <w:tab/>
      </w:r>
      <w:r w:rsidRPr="00686CD4">
        <w:rPr>
          <w:lang w:val="fr-FR"/>
        </w:rPr>
        <w:tab/>
        <w:t>b)</w:t>
      </w:r>
      <w:r w:rsidRPr="00686CD4">
        <w:rPr>
          <w:lang w:val="fr-FR"/>
        </w:rPr>
        <w:tab/>
      </w:r>
      <w:r w:rsidRPr="00C809AA">
        <w:rPr>
          <w:lang w:val="fr-FR"/>
        </w:rPr>
        <w:t>Des informations sur les mesures prises pour améliorer la surveillance et le repérage des détenus à risque, et pour prévenir les suicides et la violence entre prisonniers</w:t>
      </w:r>
      <w:r w:rsidR="00495D0F">
        <w:rPr>
          <w:lang w:val="fr-FR"/>
        </w:rPr>
        <w:t> ;</w:t>
      </w:r>
      <w:bookmarkEnd w:id="62"/>
    </w:p>
    <w:p w:rsidR="002A7A34" w:rsidRPr="00686CD4" w:rsidRDefault="002A7A34" w:rsidP="00315004">
      <w:pPr>
        <w:pStyle w:val="SingleTxtG"/>
        <w:rPr>
          <w:lang w:val="fr-FR"/>
        </w:rPr>
      </w:pPr>
      <w:r w:rsidRPr="00686CD4">
        <w:rPr>
          <w:lang w:val="fr-FR"/>
        </w:rPr>
        <w:t>218.</w:t>
      </w:r>
      <w:r w:rsidRPr="00686CD4">
        <w:rPr>
          <w:lang w:val="fr-FR"/>
        </w:rPr>
        <w:tab/>
        <w:t xml:space="preserve">Le programme intégré pour la prévention du suicide, mis en place </w:t>
      </w:r>
      <w:r w:rsidR="00B545C2">
        <w:rPr>
          <w:lang w:val="fr-FR"/>
        </w:rPr>
        <w:t xml:space="preserve">en </w:t>
      </w:r>
      <w:r w:rsidRPr="00686CD4">
        <w:rPr>
          <w:lang w:val="fr-FR"/>
        </w:rPr>
        <w:t xml:space="preserve">2010, se poursuit. Ce programme, qui est appliqué dans toutes les prisons, </w:t>
      </w:r>
      <w:r>
        <w:rPr>
          <w:lang w:val="fr-FR"/>
        </w:rPr>
        <w:t xml:space="preserve">suit une </w:t>
      </w:r>
      <w:r w:rsidRPr="00686CD4">
        <w:rPr>
          <w:lang w:val="fr-FR"/>
        </w:rPr>
        <w:t xml:space="preserve">double approche </w:t>
      </w:r>
      <w:r>
        <w:rPr>
          <w:lang w:val="fr-FR"/>
        </w:rPr>
        <w:t xml:space="preserve">pour </w:t>
      </w:r>
      <w:r w:rsidRPr="00686CD4">
        <w:rPr>
          <w:lang w:val="fr-FR"/>
        </w:rPr>
        <w:t>détecter de manière précoce les signes d</w:t>
      </w:r>
      <w:r>
        <w:rPr>
          <w:lang w:val="fr-FR"/>
        </w:rPr>
        <w:t>’</w:t>
      </w:r>
      <w:r w:rsidRPr="00686CD4">
        <w:rPr>
          <w:lang w:val="fr-FR"/>
        </w:rPr>
        <w:t xml:space="preserve">intention suicidaire et les facteurs de risque des nouveaux détenus et </w:t>
      </w:r>
      <w:r>
        <w:rPr>
          <w:lang w:val="fr-FR"/>
        </w:rPr>
        <w:t xml:space="preserve">pour </w:t>
      </w:r>
      <w:r w:rsidRPr="00686CD4">
        <w:rPr>
          <w:lang w:val="fr-FR"/>
        </w:rPr>
        <w:t xml:space="preserve">signaler les </w:t>
      </w:r>
      <w:r>
        <w:rPr>
          <w:lang w:val="fr-FR"/>
        </w:rPr>
        <w:t xml:space="preserve">personnes purgeant </w:t>
      </w:r>
      <w:r w:rsidRPr="00686CD4">
        <w:rPr>
          <w:lang w:val="fr-FR"/>
        </w:rPr>
        <w:t>déjà une peine de prison qui présente</w:t>
      </w:r>
      <w:r>
        <w:rPr>
          <w:lang w:val="fr-FR"/>
        </w:rPr>
        <w:t>nt</w:t>
      </w:r>
      <w:r w:rsidRPr="00686CD4">
        <w:rPr>
          <w:lang w:val="fr-FR"/>
        </w:rPr>
        <w:t xml:space="preserve"> des risques de suicide. L</w:t>
      </w:r>
      <w:r>
        <w:rPr>
          <w:lang w:val="fr-FR"/>
        </w:rPr>
        <w:t>’</w:t>
      </w:r>
      <w:r w:rsidRPr="00686CD4">
        <w:rPr>
          <w:lang w:val="fr-FR"/>
        </w:rPr>
        <w:t xml:space="preserve">application de ce programme </w:t>
      </w:r>
      <w:r>
        <w:rPr>
          <w:lang w:val="fr-FR"/>
        </w:rPr>
        <w:t xml:space="preserve">exige </w:t>
      </w:r>
      <w:r w:rsidRPr="00686CD4">
        <w:rPr>
          <w:lang w:val="fr-FR"/>
        </w:rPr>
        <w:t xml:space="preserve">une étroite coordination des </w:t>
      </w:r>
      <w:r>
        <w:rPr>
          <w:lang w:val="fr-FR"/>
        </w:rPr>
        <w:t xml:space="preserve">activités personnes </w:t>
      </w:r>
      <w:r w:rsidRPr="00686CD4">
        <w:rPr>
          <w:lang w:val="fr-FR"/>
        </w:rPr>
        <w:t>chargé</w:t>
      </w:r>
      <w:r>
        <w:rPr>
          <w:lang w:val="fr-FR"/>
        </w:rPr>
        <w:t>e</w:t>
      </w:r>
      <w:r w:rsidRPr="00686CD4">
        <w:rPr>
          <w:lang w:val="fr-FR"/>
        </w:rPr>
        <w:t>s de la surveillance, de l</w:t>
      </w:r>
      <w:r>
        <w:rPr>
          <w:lang w:val="fr-FR"/>
        </w:rPr>
        <w:t>’</w:t>
      </w:r>
      <w:r w:rsidRPr="00686CD4">
        <w:rPr>
          <w:lang w:val="fr-FR"/>
        </w:rPr>
        <w:t>éducation et de la santé, qui doivent régulièrement s</w:t>
      </w:r>
      <w:r>
        <w:rPr>
          <w:lang w:val="fr-FR"/>
        </w:rPr>
        <w:t>’</w:t>
      </w:r>
      <w:r w:rsidRPr="00686CD4">
        <w:rPr>
          <w:lang w:val="fr-FR"/>
        </w:rPr>
        <w:t xml:space="preserve">entretenir des affaires recensées </w:t>
      </w:r>
      <w:r>
        <w:rPr>
          <w:lang w:val="fr-FR"/>
        </w:rPr>
        <w:t xml:space="preserve">lors </w:t>
      </w:r>
      <w:r w:rsidRPr="00686CD4">
        <w:rPr>
          <w:lang w:val="fr-FR"/>
        </w:rPr>
        <w:t xml:space="preserve">cadre </w:t>
      </w:r>
      <w:r>
        <w:rPr>
          <w:lang w:val="fr-FR"/>
        </w:rPr>
        <w:t xml:space="preserve">des </w:t>
      </w:r>
      <w:r w:rsidRPr="00686CD4">
        <w:rPr>
          <w:lang w:val="fr-FR"/>
        </w:rPr>
        <w:t>réunion</w:t>
      </w:r>
      <w:r>
        <w:rPr>
          <w:lang w:val="fr-FR"/>
        </w:rPr>
        <w:t>s</w:t>
      </w:r>
      <w:r w:rsidRPr="00686CD4">
        <w:rPr>
          <w:lang w:val="fr-FR"/>
        </w:rPr>
        <w:t xml:space="preserve"> de l</w:t>
      </w:r>
      <w:r>
        <w:rPr>
          <w:lang w:val="fr-FR"/>
        </w:rPr>
        <w:t>’</w:t>
      </w:r>
      <w:r w:rsidRPr="00686CD4">
        <w:rPr>
          <w:lang w:val="fr-FR"/>
        </w:rPr>
        <w:t>équipe d</w:t>
      </w:r>
      <w:r>
        <w:rPr>
          <w:lang w:val="fr-FR"/>
        </w:rPr>
        <w:t>’</w:t>
      </w:r>
      <w:r w:rsidRPr="00686CD4">
        <w:rPr>
          <w:lang w:val="fr-FR"/>
        </w:rPr>
        <w:t>observation permanente constitué</w:t>
      </w:r>
      <w:r>
        <w:rPr>
          <w:lang w:val="fr-FR"/>
        </w:rPr>
        <w:t>e</w:t>
      </w:r>
      <w:r w:rsidRPr="00686CD4">
        <w:rPr>
          <w:lang w:val="fr-FR"/>
        </w:rPr>
        <w:t xml:space="preserve"> dans chaque établissement pénitentiaire.</w:t>
      </w:r>
    </w:p>
    <w:p w:rsidR="002A7A34" w:rsidRPr="00686CD4" w:rsidRDefault="002A7A34" w:rsidP="00315004">
      <w:pPr>
        <w:pStyle w:val="SingleTxtG"/>
        <w:rPr>
          <w:lang w:val="fr-FR"/>
        </w:rPr>
      </w:pPr>
      <w:r w:rsidRPr="00686CD4">
        <w:rPr>
          <w:lang w:val="fr-FR"/>
        </w:rPr>
        <w:t>219.</w:t>
      </w:r>
      <w:r w:rsidRPr="00686CD4">
        <w:rPr>
          <w:lang w:val="fr-FR"/>
        </w:rPr>
        <w:tab/>
        <w:t>Le tableau</w:t>
      </w:r>
      <w:r>
        <w:rPr>
          <w:lang w:val="fr-FR"/>
        </w:rPr>
        <w:t> </w:t>
      </w:r>
      <w:r w:rsidRPr="00686CD4">
        <w:rPr>
          <w:lang w:val="fr-FR"/>
        </w:rPr>
        <w:t>XX de l</w:t>
      </w:r>
      <w:r>
        <w:rPr>
          <w:lang w:val="fr-FR"/>
        </w:rPr>
        <w:t>’</w:t>
      </w:r>
      <w:r w:rsidRPr="00686CD4">
        <w:rPr>
          <w:lang w:val="fr-FR"/>
        </w:rPr>
        <w:t>annexe</w:t>
      </w:r>
      <w:r>
        <w:rPr>
          <w:lang w:val="fr-FR"/>
        </w:rPr>
        <w:t> </w:t>
      </w:r>
      <w:r w:rsidRPr="00686CD4">
        <w:rPr>
          <w:lang w:val="fr-FR"/>
        </w:rPr>
        <w:t>III indique l</w:t>
      </w:r>
      <w:r>
        <w:rPr>
          <w:lang w:val="fr-FR"/>
        </w:rPr>
        <w:t>’</w:t>
      </w:r>
      <w:r w:rsidRPr="00686CD4">
        <w:rPr>
          <w:lang w:val="fr-FR"/>
        </w:rPr>
        <w:t>évolution des interventions en cas de comportement addictif de prisonniers observé</w:t>
      </w:r>
      <w:r>
        <w:rPr>
          <w:lang w:val="fr-FR"/>
        </w:rPr>
        <w:t>e</w:t>
      </w:r>
      <w:r w:rsidRPr="00686CD4">
        <w:rPr>
          <w:lang w:val="fr-FR"/>
        </w:rPr>
        <w:t xml:space="preserve"> au cours des six dernières années par les structures du service national de santé ainsi que les structures internes des prisons.</w:t>
      </w:r>
    </w:p>
    <w:p w:rsidR="002A7A34" w:rsidRPr="00686CD4" w:rsidRDefault="002A7A34" w:rsidP="00315004">
      <w:pPr>
        <w:pStyle w:val="SingleTxtG"/>
        <w:rPr>
          <w:lang w:val="fr-FR"/>
        </w:rPr>
      </w:pPr>
      <w:r w:rsidRPr="00686CD4">
        <w:rPr>
          <w:lang w:val="fr-FR"/>
        </w:rPr>
        <w:t>220.</w:t>
      </w:r>
      <w:r w:rsidRPr="00686CD4">
        <w:rPr>
          <w:lang w:val="fr-FR"/>
        </w:rPr>
        <w:tab/>
        <w:t>Les programmes de réinsertion sociale mené</w:t>
      </w:r>
      <w:r>
        <w:rPr>
          <w:lang w:val="fr-FR"/>
        </w:rPr>
        <w:t>s</w:t>
      </w:r>
      <w:r w:rsidRPr="00686CD4">
        <w:rPr>
          <w:lang w:val="fr-FR"/>
        </w:rPr>
        <w:t xml:space="preserve"> dans le cadre des traitements suivis dans les prisons donnent lieu à des interventions spécialisées, adaptées aux besoins particuliers des détenus et prenant en compte les besoins et les risques criminogènes évalués. Ils suivent une méthode d</w:t>
      </w:r>
      <w:r>
        <w:rPr>
          <w:lang w:val="fr-FR"/>
        </w:rPr>
        <w:t>’</w:t>
      </w:r>
      <w:r w:rsidRPr="00686CD4">
        <w:rPr>
          <w:lang w:val="fr-FR"/>
        </w:rPr>
        <w:t>intervention structurée, qui couvre des facteurs de d</w:t>
      </w:r>
      <w:r>
        <w:rPr>
          <w:lang w:val="fr-FR"/>
        </w:rPr>
        <w:t>’infraction</w:t>
      </w:r>
      <w:r w:rsidRPr="00686CD4">
        <w:rPr>
          <w:lang w:val="fr-FR"/>
        </w:rPr>
        <w:t xml:space="preserve"> ou de risque ou des groupes d</w:t>
      </w:r>
      <w:r>
        <w:rPr>
          <w:lang w:val="fr-FR"/>
        </w:rPr>
        <w:t>’</w:t>
      </w:r>
      <w:r w:rsidRPr="00686CD4">
        <w:rPr>
          <w:lang w:val="fr-FR"/>
        </w:rPr>
        <w:t xml:space="preserve">utilisateurs présentant des caractéristiques communes, et </w:t>
      </w:r>
      <w:r>
        <w:rPr>
          <w:lang w:val="fr-FR"/>
        </w:rPr>
        <w:t xml:space="preserve">qui </w:t>
      </w:r>
      <w:r w:rsidRPr="00686CD4">
        <w:rPr>
          <w:lang w:val="fr-FR"/>
        </w:rPr>
        <w:t xml:space="preserve">est appliquée dans le cadre de sessions </w:t>
      </w:r>
      <w:r>
        <w:rPr>
          <w:lang w:val="fr-FR"/>
        </w:rPr>
        <w:t xml:space="preserve">consacrées à des </w:t>
      </w:r>
      <w:r w:rsidRPr="00686CD4">
        <w:rPr>
          <w:lang w:val="fr-FR"/>
        </w:rPr>
        <w:t>module</w:t>
      </w:r>
      <w:r>
        <w:rPr>
          <w:lang w:val="fr-FR"/>
        </w:rPr>
        <w:t>s</w:t>
      </w:r>
      <w:r w:rsidRPr="00686CD4">
        <w:rPr>
          <w:lang w:val="fr-FR"/>
        </w:rPr>
        <w:t xml:space="preserve"> d</w:t>
      </w:r>
      <w:r>
        <w:rPr>
          <w:lang w:val="fr-FR"/>
        </w:rPr>
        <w:t>’</w:t>
      </w:r>
      <w:r w:rsidRPr="00686CD4">
        <w:rPr>
          <w:lang w:val="fr-FR"/>
        </w:rPr>
        <w:t>une durée définie et donnant lieu à des évaluations.</w:t>
      </w:r>
    </w:p>
    <w:p w:rsidR="002A7A34" w:rsidRPr="00686CD4" w:rsidRDefault="002A7A34" w:rsidP="00315004">
      <w:pPr>
        <w:pStyle w:val="SingleTxtG"/>
        <w:rPr>
          <w:lang w:val="fr-FR"/>
        </w:rPr>
      </w:pPr>
      <w:r w:rsidRPr="00686CD4">
        <w:rPr>
          <w:lang w:val="fr-FR"/>
        </w:rPr>
        <w:t>221.</w:t>
      </w:r>
      <w:r w:rsidRPr="00686CD4">
        <w:rPr>
          <w:lang w:val="fr-FR"/>
        </w:rPr>
        <w:tab/>
        <w:t>Le tableau</w:t>
      </w:r>
      <w:r>
        <w:rPr>
          <w:lang w:val="fr-FR"/>
        </w:rPr>
        <w:t> </w:t>
      </w:r>
      <w:r w:rsidRPr="00686CD4">
        <w:rPr>
          <w:lang w:val="fr-FR"/>
        </w:rPr>
        <w:t>XXI de l</w:t>
      </w:r>
      <w:r>
        <w:rPr>
          <w:lang w:val="fr-FR"/>
        </w:rPr>
        <w:t>’</w:t>
      </w:r>
      <w:r w:rsidRPr="00686CD4">
        <w:rPr>
          <w:lang w:val="fr-FR"/>
        </w:rPr>
        <w:t>annexe</w:t>
      </w:r>
      <w:r>
        <w:rPr>
          <w:lang w:val="fr-FR"/>
        </w:rPr>
        <w:t> </w:t>
      </w:r>
      <w:r w:rsidRPr="00686CD4">
        <w:rPr>
          <w:lang w:val="fr-FR"/>
        </w:rPr>
        <w:t>III indique les programmes disponibles selon la phase de l</w:t>
      </w:r>
      <w:r>
        <w:rPr>
          <w:lang w:val="fr-FR"/>
        </w:rPr>
        <w:t>’</w:t>
      </w:r>
      <w:r w:rsidRPr="00686CD4">
        <w:rPr>
          <w:lang w:val="fr-FR"/>
        </w:rPr>
        <w:t>exécution de la sentence et le contexte de son application.</w:t>
      </w:r>
    </w:p>
    <w:p w:rsidR="002A7A34" w:rsidRPr="00686CD4" w:rsidRDefault="002A7A34" w:rsidP="00315004">
      <w:pPr>
        <w:pStyle w:val="SingleTxtG"/>
        <w:rPr>
          <w:lang w:val="fr-FR"/>
        </w:rPr>
      </w:pPr>
      <w:r w:rsidRPr="00686CD4">
        <w:rPr>
          <w:lang w:val="fr-FR"/>
        </w:rPr>
        <w:t>222.</w:t>
      </w:r>
      <w:r w:rsidRPr="00686CD4">
        <w:rPr>
          <w:lang w:val="fr-FR"/>
        </w:rPr>
        <w:tab/>
        <w:t>Les programmes d</w:t>
      </w:r>
      <w:r>
        <w:rPr>
          <w:lang w:val="fr-FR"/>
        </w:rPr>
        <w:t>’</w:t>
      </w:r>
      <w:r w:rsidRPr="00686CD4">
        <w:rPr>
          <w:lang w:val="fr-FR"/>
        </w:rPr>
        <w:t>intervention visant des problèmes particuliers ont pris beaucoup d</w:t>
      </w:r>
      <w:r>
        <w:rPr>
          <w:lang w:val="fr-FR"/>
        </w:rPr>
        <w:t>’</w:t>
      </w:r>
      <w:r w:rsidRPr="00686CD4">
        <w:rPr>
          <w:lang w:val="fr-FR"/>
        </w:rPr>
        <w:t xml:space="preserve">ampleur depuis leur lancement </w:t>
      </w:r>
      <w:r w:rsidR="00B545C2">
        <w:rPr>
          <w:lang w:val="fr-FR"/>
        </w:rPr>
        <w:t xml:space="preserve">en </w:t>
      </w:r>
      <w:r w:rsidRPr="00686CD4">
        <w:rPr>
          <w:lang w:val="fr-FR"/>
        </w:rPr>
        <w:t>2009, par suite de la création d</w:t>
      </w:r>
      <w:r>
        <w:rPr>
          <w:lang w:val="fr-FR"/>
        </w:rPr>
        <w:t>u C</w:t>
      </w:r>
      <w:r w:rsidRPr="00686CD4">
        <w:rPr>
          <w:lang w:val="fr-FR"/>
        </w:rPr>
        <w:t>entre de compétences spécialisées dans leur application et leur gestion.</w:t>
      </w:r>
    </w:p>
    <w:p w:rsidR="002A7A34" w:rsidRPr="00686CD4" w:rsidRDefault="002A7A34" w:rsidP="00315004">
      <w:pPr>
        <w:pStyle w:val="SingleTxtG"/>
        <w:rPr>
          <w:lang w:val="fr-FR"/>
        </w:rPr>
      </w:pPr>
      <w:r w:rsidRPr="00686CD4">
        <w:rPr>
          <w:lang w:val="fr-FR"/>
        </w:rPr>
        <w:t>223.</w:t>
      </w:r>
      <w:r w:rsidRPr="00686CD4">
        <w:rPr>
          <w:lang w:val="fr-FR"/>
        </w:rPr>
        <w:tab/>
        <w:t>Le nombre grandissant de programmes contribue à améliorer leur application et à faire mieux prendre conscience aux personnels des prisons de la nécessité d</w:t>
      </w:r>
      <w:r>
        <w:rPr>
          <w:lang w:val="fr-FR"/>
        </w:rPr>
        <w:t>’</w:t>
      </w:r>
      <w:r w:rsidRPr="00686CD4">
        <w:rPr>
          <w:lang w:val="fr-FR"/>
        </w:rPr>
        <w:t>appliquer des traitements différenciés. Le tableau</w:t>
      </w:r>
      <w:r>
        <w:rPr>
          <w:lang w:val="fr-FR"/>
        </w:rPr>
        <w:t> </w:t>
      </w:r>
      <w:r w:rsidRPr="00686CD4">
        <w:rPr>
          <w:lang w:val="fr-FR"/>
        </w:rPr>
        <w:t>XX de l</w:t>
      </w:r>
      <w:r>
        <w:rPr>
          <w:lang w:val="fr-FR"/>
        </w:rPr>
        <w:t>’</w:t>
      </w:r>
      <w:r w:rsidRPr="00686CD4">
        <w:rPr>
          <w:lang w:val="fr-FR"/>
        </w:rPr>
        <w:t>annexe</w:t>
      </w:r>
      <w:r>
        <w:rPr>
          <w:lang w:val="fr-FR"/>
        </w:rPr>
        <w:t> </w:t>
      </w:r>
      <w:r w:rsidRPr="00686CD4">
        <w:rPr>
          <w:lang w:val="fr-FR"/>
        </w:rPr>
        <w:t>III indique l</w:t>
      </w:r>
      <w:r>
        <w:rPr>
          <w:lang w:val="fr-FR"/>
        </w:rPr>
        <w:t>’</w:t>
      </w:r>
      <w:r w:rsidRPr="00686CD4">
        <w:rPr>
          <w:lang w:val="fr-FR"/>
        </w:rPr>
        <w:t>augmentation du nombre de programmes poursuivis et du nombre de détenus qui participent.</w:t>
      </w:r>
    </w:p>
    <w:p w:rsidR="002A7A34" w:rsidRPr="00686CD4" w:rsidRDefault="002A7A34" w:rsidP="00315004">
      <w:pPr>
        <w:pStyle w:val="SingleTxtG"/>
        <w:rPr>
          <w:lang w:val="fr-FR"/>
        </w:rPr>
      </w:pPr>
      <w:r w:rsidRPr="00686CD4">
        <w:rPr>
          <w:lang w:val="fr-FR"/>
        </w:rPr>
        <w:t>224.</w:t>
      </w:r>
      <w:r w:rsidRPr="00686CD4">
        <w:rPr>
          <w:lang w:val="fr-FR"/>
        </w:rPr>
        <w:tab/>
        <w:t xml:space="preserve">Bien que ces programmes </w:t>
      </w:r>
      <w:r>
        <w:rPr>
          <w:lang w:val="fr-FR"/>
        </w:rPr>
        <w:t xml:space="preserve">aient </w:t>
      </w:r>
      <w:r w:rsidRPr="00686CD4">
        <w:rPr>
          <w:lang w:val="fr-FR"/>
        </w:rPr>
        <w:t>fait l</w:t>
      </w:r>
      <w:r>
        <w:rPr>
          <w:lang w:val="fr-FR"/>
        </w:rPr>
        <w:t>’</w:t>
      </w:r>
      <w:r w:rsidRPr="00686CD4">
        <w:rPr>
          <w:lang w:val="fr-FR"/>
        </w:rPr>
        <w:t>objet d</w:t>
      </w:r>
      <w:r>
        <w:rPr>
          <w:lang w:val="fr-FR"/>
        </w:rPr>
        <w:t>’</w:t>
      </w:r>
      <w:r w:rsidRPr="00686CD4">
        <w:rPr>
          <w:lang w:val="fr-FR"/>
        </w:rPr>
        <w:t>évaluations positives, leur viabilité dépend du nombre de défenseurs et de condamn</w:t>
      </w:r>
      <w:r>
        <w:rPr>
          <w:lang w:val="fr-FR"/>
        </w:rPr>
        <w:t>és</w:t>
      </w:r>
      <w:r w:rsidRPr="00686CD4">
        <w:rPr>
          <w:lang w:val="fr-FR"/>
        </w:rPr>
        <w:t xml:space="preserve"> qui participent à des </w:t>
      </w:r>
      <w:r>
        <w:rPr>
          <w:lang w:val="fr-FR"/>
        </w:rPr>
        <w:t xml:space="preserve">activités </w:t>
      </w:r>
      <w:r w:rsidRPr="00686CD4">
        <w:rPr>
          <w:lang w:val="fr-FR"/>
        </w:rPr>
        <w:t>de réhabilitation particuli</w:t>
      </w:r>
      <w:r>
        <w:rPr>
          <w:lang w:val="fr-FR"/>
        </w:rPr>
        <w:t>ères</w:t>
      </w:r>
      <w:r w:rsidRPr="00686CD4">
        <w:rPr>
          <w:lang w:val="fr-FR"/>
        </w:rPr>
        <w:t xml:space="preserve"> axé</w:t>
      </w:r>
      <w:r>
        <w:rPr>
          <w:lang w:val="fr-FR"/>
        </w:rPr>
        <w:t>e</w:t>
      </w:r>
      <w:r w:rsidRPr="00686CD4">
        <w:rPr>
          <w:lang w:val="fr-FR"/>
        </w:rPr>
        <w:t>s sur leurs besoins criminogènes. Il est prévu de concevoir un modèle d</w:t>
      </w:r>
      <w:r>
        <w:rPr>
          <w:lang w:val="fr-FR"/>
        </w:rPr>
        <w:t>’</w:t>
      </w:r>
      <w:r w:rsidRPr="00686CD4">
        <w:rPr>
          <w:lang w:val="fr-FR"/>
        </w:rPr>
        <w:t>intervention</w:t>
      </w:r>
      <w:r>
        <w:rPr>
          <w:lang w:val="fr-FR"/>
        </w:rPr>
        <w:t>s</w:t>
      </w:r>
      <w:r w:rsidRPr="00686CD4">
        <w:rPr>
          <w:lang w:val="fr-FR"/>
        </w:rPr>
        <w:t xml:space="preserve"> spécialisée</w:t>
      </w:r>
      <w:r>
        <w:rPr>
          <w:lang w:val="fr-FR"/>
        </w:rPr>
        <w:t>s</w:t>
      </w:r>
      <w:r w:rsidRPr="00686CD4">
        <w:rPr>
          <w:lang w:val="fr-FR"/>
        </w:rPr>
        <w:t xml:space="preserve"> </w:t>
      </w:r>
      <w:r>
        <w:rPr>
          <w:lang w:val="fr-FR"/>
        </w:rPr>
        <w:t xml:space="preserve">en créant </w:t>
      </w:r>
      <w:r w:rsidRPr="00686CD4">
        <w:rPr>
          <w:lang w:val="fr-FR"/>
        </w:rPr>
        <w:t xml:space="preserve">un réseau interne de référence pour répondre aux questions </w:t>
      </w:r>
      <w:r>
        <w:rPr>
          <w:lang w:val="fr-FR"/>
        </w:rPr>
        <w:t xml:space="preserve">et aussi de mettre </w:t>
      </w:r>
      <w:r w:rsidRPr="00686CD4">
        <w:rPr>
          <w:lang w:val="fr-FR"/>
        </w:rPr>
        <w:t>en place de</w:t>
      </w:r>
      <w:r>
        <w:rPr>
          <w:lang w:val="fr-FR"/>
        </w:rPr>
        <w:t>s</w:t>
      </w:r>
      <w:r w:rsidRPr="00686CD4">
        <w:rPr>
          <w:lang w:val="fr-FR"/>
        </w:rPr>
        <w:t xml:space="preserve"> services et </w:t>
      </w:r>
      <w:r>
        <w:rPr>
          <w:lang w:val="fr-FR"/>
        </w:rPr>
        <w:t xml:space="preserve">de réunir </w:t>
      </w:r>
      <w:r w:rsidRPr="00686CD4">
        <w:rPr>
          <w:lang w:val="fr-FR"/>
        </w:rPr>
        <w:t>de</w:t>
      </w:r>
      <w:r>
        <w:rPr>
          <w:lang w:val="fr-FR"/>
        </w:rPr>
        <w:t>s</w:t>
      </w:r>
      <w:r w:rsidRPr="00686CD4">
        <w:rPr>
          <w:lang w:val="fr-FR"/>
        </w:rPr>
        <w:t xml:space="preserve"> techniciens spécialisés dans leur application. Il est jugé essentiel de poursuivre les investissements dans la conception de méthodes novatrices de réhabilitation et de réinsertion sociale.</w:t>
      </w:r>
    </w:p>
    <w:p w:rsidR="002A7A34" w:rsidRPr="00686CD4" w:rsidRDefault="002A7A34" w:rsidP="00315004">
      <w:pPr>
        <w:pStyle w:val="H23G"/>
        <w:jc w:val="both"/>
        <w:rPr>
          <w:lang w:val="fr-FR"/>
        </w:rPr>
      </w:pPr>
      <w:r w:rsidRPr="00686CD4">
        <w:rPr>
          <w:lang w:val="fr-FR"/>
        </w:rPr>
        <w:tab/>
      </w:r>
      <w:bookmarkStart w:id="63" w:name="_Toc532494666"/>
      <w:r w:rsidRPr="00686CD4">
        <w:rPr>
          <w:lang w:val="fr-FR"/>
        </w:rPr>
        <w:tab/>
      </w:r>
      <w:r w:rsidRPr="00686CD4">
        <w:rPr>
          <w:lang w:val="fr-FR"/>
        </w:rPr>
        <w:tab/>
        <w:t>c)</w:t>
      </w:r>
      <w:r w:rsidRPr="00686CD4">
        <w:rPr>
          <w:lang w:val="fr-FR"/>
        </w:rPr>
        <w:tab/>
      </w:r>
      <w:r w:rsidRPr="00E66750">
        <w:rPr>
          <w:lang w:val="fr-FR"/>
        </w:rPr>
        <w:t>Des informations sur l</w:t>
      </w:r>
      <w:r>
        <w:rPr>
          <w:lang w:val="fr-FR"/>
        </w:rPr>
        <w:t>’</w:t>
      </w:r>
      <w:r w:rsidRPr="00E66750">
        <w:rPr>
          <w:lang w:val="fr-FR"/>
        </w:rPr>
        <w:t>évaluation des programmes en place pour prévenir les suicides et la consommation de drogues, et pour réduire les cas de violence et de mauvais traitements entre détenus dans les lieux de détention</w:t>
      </w:r>
      <w:r w:rsidRPr="00686CD4">
        <w:rPr>
          <w:lang w:val="fr-FR"/>
        </w:rPr>
        <w:t>.</w:t>
      </w:r>
      <w:bookmarkEnd w:id="63"/>
    </w:p>
    <w:p w:rsidR="002A7A34" w:rsidRPr="00686CD4" w:rsidRDefault="002A7A34" w:rsidP="00315004">
      <w:pPr>
        <w:pStyle w:val="SingleTxtG"/>
        <w:rPr>
          <w:lang w:val="fr-FR"/>
        </w:rPr>
      </w:pPr>
      <w:r w:rsidRPr="00686CD4">
        <w:rPr>
          <w:lang w:val="fr-FR"/>
        </w:rPr>
        <w:t>225.</w:t>
      </w:r>
      <w:r w:rsidRPr="00686CD4">
        <w:rPr>
          <w:lang w:val="fr-FR"/>
        </w:rPr>
        <w:tab/>
        <w:t>Voir le tableau</w:t>
      </w:r>
      <w:r w:rsidR="00495D0F">
        <w:rPr>
          <w:lang w:val="fr-FR"/>
        </w:rPr>
        <w:t xml:space="preserve"> </w:t>
      </w:r>
      <w:r w:rsidR="0048520A">
        <w:rPr>
          <w:lang w:val="fr-FR"/>
        </w:rPr>
        <w:t>X</w:t>
      </w:r>
      <w:r w:rsidRPr="00686CD4">
        <w:rPr>
          <w:lang w:val="fr-FR"/>
        </w:rPr>
        <w:t>X de l</w:t>
      </w:r>
      <w:r>
        <w:rPr>
          <w:lang w:val="fr-FR"/>
        </w:rPr>
        <w:t>’</w:t>
      </w:r>
      <w:r w:rsidRPr="00686CD4">
        <w:rPr>
          <w:lang w:val="fr-FR"/>
        </w:rPr>
        <w:t>annexe</w:t>
      </w:r>
      <w:r>
        <w:rPr>
          <w:lang w:val="fr-FR"/>
        </w:rPr>
        <w:t> </w:t>
      </w:r>
      <w:r w:rsidRPr="00686CD4">
        <w:rPr>
          <w:lang w:val="fr-FR"/>
        </w:rPr>
        <w:t xml:space="preserve">III et la réponse </w:t>
      </w:r>
      <w:r>
        <w:rPr>
          <w:lang w:val="fr-FR"/>
        </w:rPr>
        <w:t xml:space="preserve">donnée </w:t>
      </w:r>
      <w:r w:rsidRPr="00686CD4">
        <w:rPr>
          <w:lang w:val="fr-FR"/>
        </w:rPr>
        <w:t>au paragraphe</w:t>
      </w:r>
      <w:r>
        <w:rPr>
          <w:lang w:val="fr-FR"/>
        </w:rPr>
        <w:t> </w:t>
      </w:r>
      <w:r w:rsidRPr="00686CD4">
        <w:rPr>
          <w:lang w:val="fr-FR"/>
        </w:rPr>
        <w:t>14</w:t>
      </w:r>
      <w:r w:rsidR="0048520A">
        <w:rPr>
          <w:lang w:val="fr-FR"/>
        </w:rPr>
        <w:t> </w:t>
      </w:r>
      <w:r w:rsidRPr="00686CD4">
        <w:rPr>
          <w:lang w:val="fr-FR"/>
        </w:rPr>
        <w:t xml:space="preserve">b). </w:t>
      </w:r>
    </w:p>
    <w:p w:rsidR="002A7A34" w:rsidRPr="00686CD4" w:rsidRDefault="002A7A34" w:rsidP="00315004">
      <w:pPr>
        <w:pStyle w:val="SingleTxtG"/>
        <w:keepLines/>
        <w:rPr>
          <w:lang w:val="fr-FR"/>
        </w:rPr>
      </w:pPr>
      <w:r w:rsidRPr="00686CD4">
        <w:rPr>
          <w:lang w:val="fr-FR"/>
        </w:rPr>
        <w:lastRenderedPageBreak/>
        <w:t>226.</w:t>
      </w:r>
      <w:r w:rsidRPr="00686CD4">
        <w:rPr>
          <w:lang w:val="fr-FR"/>
        </w:rPr>
        <w:tab/>
        <w:t>Les programmes d</w:t>
      </w:r>
      <w:r>
        <w:rPr>
          <w:lang w:val="fr-FR"/>
        </w:rPr>
        <w:t>’</w:t>
      </w:r>
      <w:r w:rsidRPr="00686CD4">
        <w:rPr>
          <w:lang w:val="fr-FR"/>
        </w:rPr>
        <w:t xml:space="preserve">intervention visant des problèmes </w:t>
      </w:r>
      <w:r>
        <w:rPr>
          <w:lang w:val="fr-FR"/>
        </w:rPr>
        <w:t>déterminés</w:t>
      </w:r>
      <w:r w:rsidRPr="00686CD4">
        <w:rPr>
          <w:lang w:val="fr-FR"/>
        </w:rPr>
        <w:t>, notamment la prévention du suicide et de l</w:t>
      </w:r>
      <w:r>
        <w:rPr>
          <w:lang w:val="fr-FR"/>
        </w:rPr>
        <w:t>’</w:t>
      </w:r>
      <w:r w:rsidRPr="00686CD4">
        <w:rPr>
          <w:lang w:val="fr-FR"/>
        </w:rPr>
        <w:t>abus de drogues</w:t>
      </w:r>
      <w:r>
        <w:rPr>
          <w:lang w:val="fr-FR"/>
        </w:rPr>
        <w:t>,</w:t>
      </w:r>
      <w:r w:rsidRPr="00686CD4">
        <w:rPr>
          <w:lang w:val="fr-FR"/>
        </w:rPr>
        <w:t xml:space="preserve"> sont de plus en plus nombreux et compte</w:t>
      </w:r>
      <w:r>
        <w:rPr>
          <w:lang w:val="fr-FR"/>
        </w:rPr>
        <w:t>nt</w:t>
      </w:r>
      <w:r w:rsidRPr="00686CD4">
        <w:rPr>
          <w:lang w:val="fr-FR"/>
        </w:rPr>
        <w:t xml:space="preserve"> de plus en plus de participants. Depuis</w:t>
      </w:r>
      <w:r w:rsidR="0048520A">
        <w:rPr>
          <w:lang w:val="fr-FR"/>
        </w:rPr>
        <w:t xml:space="preserve"> </w:t>
      </w:r>
      <w:r w:rsidRPr="00686CD4">
        <w:rPr>
          <w:lang w:val="fr-FR"/>
        </w:rPr>
        <w:t>2009</w:t>
      </w:r>
      <w:r w:rsidR="0048520A">
        <w:rPr>
          <w:lang w:val="fr-FR"/>
        </w:rPr>
        <w:t>,</w:t>
      </w:r>
      <w:r w:rsidRPr="00686CD4">
        <w:rPr>
          <w:lang w:val="fr-FR"/>
        </w:rPr>
        <w:t xml:space="preserve"> grâce à la création du </w:t>
      </w:r>
      <w:r>
        <w:rPr>
          <w:lang w:val="fr-FR"/>
        </w:rPr>
        <w:t>C</w:t>
      </w:r>
      <w:r w:rsidRPr="00686CD4">
        <w:rPr>
          <w:lang w:val="fr-FR"/>
        </w:rPr>
        <w:t>entre de compétences spécialisées dans la gestion et l</w:t>
      </w:r>
      <w:r>
        <w:rPr>
          <w:lang w:val="fr-FR"/>
        </w:rPr>
        <w:t>’</w:t>
      </w:r>
      <w:r w:rsidRPr="00686CD4">
        <w:rPr>
          <w:lang w:val="fr-FR"/>
        </w:rPr>
        <w:t>exécution de ces programmes, les responsables des prisons ont de plus en plus conscience de l</w:t>
      </w:r>
      <w:r>
        <w:rPr>
          <w:lang w:val="fr-FR"/>
        </w:rPr>
        <w:t>’</w:t>
      </w:r>
      <w:r w:rsidRPr="00686CD4">
        <w:rPr>
          <w:lang w:val="fr-FR"/>
        </w:rPr>
        <w:t xml:space="preserve">importance </w:t>
      </w:r>
      <w:r>
        <w:rPr>
          <w:lang w:val="fr-FR"/>
        </w:rPr>
        <w:t xml:space="preserve">que revêt l’application </w:t>
      </w:r>
      <w:r w:rsidRPr="00686CD4">
        <w:rPr>
          <w:lang w:val="fr-FR"/>
        </w:rPr>
        <w:t>de traitements différenciés</w:t>
      </w:r>
      <w:r>
        <w:rPr>
          <w:lang w:val="fr-FR"/>
        </w:rPr>
        <w:t xml:space="preserve"> aux détenus</w:t>
      </w:r>
      <w:r w:rsidR="00495D0F">
        <w:rPr>
          <w:lang w:val="fr-FR"/>
        </w:rPr>
        <w:t> :</w:t>
      </w:r>
      <w:r w:rsidRPr="00686CD4">
        <w:rPr>
          <w:lang w:val="fr-FR"/>
        </w:rPr>
        <w:t xml:space="preserve"> les tableaux</w:t>
      </w:r>
      <w:r>
        <w:rPr>
          <w:lang w:val="fr-FR"/>
        </w:rPr>
        <w:t> </w:t>
      </w:r>
      <w:r w:rsidRPr="00686CD4">
        <w:rPr>
          <w:lang w:val="fr-FR"/>
        </w:rPr>
        <w:t>XIX, XX et</w:t>
      </w:r>
      <w:r>
        <w:rPr>
          <w:lang w:val="fr-FR"/>
        </w:rPr>
        <w:t> </w:t>
      </w:r>
      <w:r w:rsidRPr="00686CD4">
        <w:rPr>
          <w:lang w:val="fr-FR"/>
        </w:rPr>
        <w:t>XXI de l</w:t>
      </w:r>
      <w:r>
        <w:rPr>
          <w:lang w:val="fr-FR"/>
        </w:rPr>
        <w:t>’</w:t>
      </w:r>
      <w:r w:rsidRPr="00686CD4">
        <w:rPr>
          <w:lang w:val="fr-FR"/>
        </w:rPr>
        <w:t>annexe</w:t>
      </w:r>
      <w:r>
        <w:rPr>
          <w:lang w:val="fr-FR"/>
        </w:rPr>
        <w:t> </w:t>
      </w:r>
      <w:r w:rsidRPr="00686CD4">
        <w:rPr>
          <w:lang w:val="fr-FR"/>
        </w:rPr>
        <w:t>III décrivent cette croissance exponentielle.</w:t>
      </w:r>
    </w:p>
    <w:p w:rsidR="002A7A34" w:rsidRPr="00686CD4" w:rsidRDefault="002A7A34" w:rsidP="00866706">
      <w:pPr>
        <w:pStyle w:val="H1G"/>
        <w:rPr>
          <w:lang w:val="fr-FR"/>
        </w:rPr>
      </w:pPr>
      <w:r w:rsidRPr="00686CD4">
        <w:rPr>
          <w:lang w:val="fr-FR"/>
        </w:rPr>
        <w:tab/>
      </w:r>
      <w:r w:rsidRPr="00686CD4">
        <w:rPr>
          <w:lang w:val="fr-FR"/>
        </w:rPr>
        <w:tab/>
      </w:r>
      <w:bookmarkStart w:id="64" w:name="_Toc532494667"/>
      <w:r w:rsidRPr="00686CD4">
        <w:rPr>
          <w:lang w:val="fr-FR"/>
        </w:rPr>
        <w:t xml:space="preserve">Articles 12 </w:t>
      </w:r>
      <w:r>
        <w:rPr>
          <w:lang w:val="fr-FR"/>
        </w:rPr>
        <w:t xml:space="preserve">et </w:t>
      </w:r>
      <w:r w:rsidRPr="00686CD4">
        <w:rPr>
          <w:lang w:val="fr-FR"/>
        </w:rPr>
        <w:t>13</w:t>
      </w:r>
      <w:bookmarkEnd w:id="64"/>
      <w:r w:rsidRPr="00686CD4">
        <w:rPr>
          <w:lang w:val="fr-FR"/>
        </w:rPr>
        <w:t xml:space="preserve"> </w:t>
      </w:r>
    </w:p>
    <w:p w:rsidR="002A7A34" w:rsidRPr="00686CD4" w:rsidRDefault="002A7A34" w:rsidP="00866706">
      <w:pPr>
        <w:pStyle w:val="H23G"/>
        <w:jc w:val="both"/>
        <w:rPr>
          <w:lang w:val="fr-FR"/>
        </w:rPr>
      </w:pPr>
      <w:r>
        <w:rPr>
          <w:lang w:val="fr-FR"/>
        </w:rPr>
        <w:tab/>
      </w:r>
      <w:r w:rsidRPr="00686CD4">
        <w:rPr>
          <w:lang w:val="fr-FR"/>
        </w:rPr>
        <w:t xml:space="preserve">15. </w:t>
      </w:r>
      <w:r w:rsidRPr="00686CD4">
        <w:rPr>
          <w:lang w:val="fr-FR"/>
        </w:rPr>
        <w:tab/>
      </w:r>
      <w:r w:rsidRPr="00E66750">
        <w:rPr>
          <w:lang w:val="fr-FR"/>
        </w:rPr>
        <w:t>Compte tenu des précédentes observations finales du Comité (par.</w:t>
      </w:r>
      <w:r>
        <w:rPr>
          <w:lang w:val="fr-FR"/>
        </w:rPr>
        <w:t> </w:t>
      </w:r>
      <w:r w:rsidRPr="00E66750">
        <w:rPr>
          <w:lang w:val="fr-FR"/>
        </w:rPr>
        <w:t>9 a) et</w:t>
      </w:r>
      <w:r>
        <w:rPr>
          <w:lang w:val="fr-FR"/>
        </w:rPr>
        <w:t> </w:t>
      </w:r>
      <w:r w:rsidRPr="00E66750">
        <w:rPr>
          <w:lang w:val="fr-FR"/>
        </w:rPr>
        <w:t>c) et</w:t>
      </w:r>
      <w:r>
        <w:rPr>
          <w:lang w:val="fr-FR"/>
        </w:rPr>
        <w:t> </w:t>
      </w:r>
      <w:r w:rsidRPr="00E66750">
        <w:rPr>
          <w:lang w:val="fr-FR"/>
        </w:rPr>
        <w:t>21), fournir des statistiques annuelles, depuis</w:t>
      </w:r>
      <w:r w:rsidR="00866706">
        <w:rPr>
          <w:lang w:val="fr-FR"/>
        </w:rPr>
        <w:t xml:space="preserve"> </w:t>
      </w:r>
      <w:r w:rsidRPr="00E66750">
        <w:rPr>
          <w:lang w:val="fr-FR"/>
        </w:rPr>
        <w:t>2013, ventilées par infraction et appartenance ethnique et âge et sexe de la victime, sur</w:t>
      </w:r>
      <w:r w:rsidR="00495D0F">
        <w:rPr>
          <w:lang w:val="fr-FR"/>
        </w:rPr>
        <w:t> :</w:t>
      </w:r>
      <w:r w:rsidRPr="00686CD4">
        <w:rPr>
          <w:lang w:val="fr-FR"/>
        </w:rPr>
        <w:t xml:space="preserve"> </w:t>
      </w:r>
      <w:bookmarkStart w:id="65" w:name="_Toc532494668"/>
      <w:bookmarkEnd w:id="65"/>
    </w:p>
    <w:p w:rsidR="002A7A34" w:rsidRPr="00686CD4" w:rsidRDefault="002A7A34" w:rsidP="00866706">
      <w:pPr>
        <w:pStyle w:val="H23G"/>
        <w:jc w:val="both"/>
        <w:rPr>
          <w:lang w:val="fr-FR"/>
        </w:rPr>
      </w:pPr>
      <w:r w:rsidRPr="00686CD4">
        <w:rPr>
          <w:lang w:val="fr-FR"/>
        </w:rPr>
        <w:tab/>
      </w:r>
      <w:bookmarkStart w:id="66" w:name="_Toc532494669"/>
      <w:r w:rsidRPr="00686CD4">
        <w:rPr>
          <w:lang w:val="fr-FR"/>
        </w:rPr>
        <w:tab/>
      </w:r>
      <w:r w:rsidRPr="00686CD4">
        <w:rPr>
          <w:lang w:val="fr-FR"/>
        </w:rPr>
        <w:tab/>
        <w:t>a)</w:t>
      </w:r>
      <w:r w:rsidRPr="00686CD4">
        <w:rPr>
          <w:lang w:val="fr-FR"/>
        </w:rPr>
        <w:tab/>
      </w:r>
      <w:r>
        <w:rPr>
          <w:lang w:val="fr-FR"/>
        </w:rPr>
        <w:t>L</w:t>
      </w:r>
      <w:r w:rsidRPr="00E66750">
        <w:rPr>
          <w:lang w:val="fr-FR"/>
        </w:rPr>
        <w:t>e nombre de plaintes déposées ou de rapports de police rédigés concernant des infractions telles que la torture et les mauvais traitements, la tentative pour les commettre, la complicité ou la participation à de tels actes, le meurtre ou l</w:t>
      </w:r>
      <w:r>
        <w:rPr>
          <w:lang w:val="fr-FR"/>
        </w:rPr>
        <w:t>’</w:t>
      </w:r>
      <w:r w:rsidRPr="00E66750">
        <w:rPr>
          <w:lang w:val="fr-FR"/>
        </w:rPr>
        <w:t>usage excessif de la force, qui auraient été commises par des agents de la force publique ou avec le consentement exprès ou tacite de ces agents</w:t>
      </w:r>
      <w:r w:rsidR="00495D0F">
        <w:rPr>
          <w:lang w:val="fr-FR"/>
        </w:rPr>
        <w:t> ;</w:t>
      </w:r>
      <w:bookmarkEnd w:id="66"/>
      <w:r w:rsidRPr="00686CD4">
        <w:rPr>
          <w:lang w:val="fr-FR"/>
        </w:rPr>
        <w:t xml:space="preserve"> </w:t>
      </w:r>
    </w:p>
    <w:p w:rsidR="002A7A34" w:rsidRPr="00686CD4" w:rsidRDefault="002A7A34" w:rsidP="00866706">
      <w:pPr>
        <w:pStyle w:val="H23G"/>
        <w:jc w:val="both"/>
        <w:rPr>
          <w:lang w:val="fr-FR"/>
        </w:rPr>
      </w:pPr>
      <w:r w:rsidRPr="00686CD4">
        <w:rPr>
          <w:lang w:val="fr-FR"/>
        </w:rPr>
        <w:tab/>
      </w:r>
      <w:bookmarkStart w:id="67" w:name="_Toc532494670"/>
      <w:r w:rsidRPr="00686CD4">
        <w:rPr>
          <w:lang w:val="fr-FR"/>
        </w:rPr>
        <w:tab/>
      </w:r>
      <w:r w:rsidRPr="00686CD4">
        <w:rPr>
          <w:lang w:val="fr-FR"/>
        </w:rPr>
        <w:tab/>
        <w:t xml:space="preserve">b) </w:t>
      </w:r>
      <w:r w:rsidRPr="00686CD4">
        <w:rPr>
          <w:lang w:val="fr-FR"/>
        </w:rPr>
        <w:tab/>
      </w:r>
      <w:r>
        <w:rPr>
          <w:lang w:val="fr-FR"/>
        </w:rPr>
        <w:t>L</w:t>
      </w:r>
      <w:r w:rsidRPr="00E66750">
        <w:rPr>
          <w:lang w:val="fr-FR"/>
        </w:rPr>
        <w:t>e nombre d</w:t>
      </w:r>
      <w:r>
        <w:rPr>
          <w:lang w:val="fr-FR"/>
        </w:rPr>
        <w:t>’</w:t>
      </w:r>
      <w:r w:rsidRPr="00E66750">
        <w:rPr>
          <w:lang w:val="fr-FR"/>
        </w:rPr>
        <w:t>enquêtes ouvertes suite au dépôt de ces plaintes et les autorités qui les ont ouverte</w:t>
      </w:r>
      <w:r>
        <w:rPr>
          <w:lang w:val="fr-FR"/>
        </w:rPr>
        <w:t>s</w:t>
      </w:r>
      <w:r w:rsidR="00495D0F">
        <w:rPr>
          <w:lang w:val="fr-FR"/>
        </w:rPr>
        <w:t> ;</w:t>
      </w:r>
      <w:bookmarkEnd w:id="67"/>
    </w:p>
    <w:p w:rsidR="002A7A34" w:rsidRPr="00686CD4" w:rsidRDefault="002A7A34" w:rsidP="00866706">
      <w:pPr>
        <w:pStyle w:val="H23G"/>
        <w:jc w:val="both"/>
        <w:rPr>
          <w:lang w:val="fr-FR"/>
        </w:rPr>
      </w:pPr>
      <w:r w:rsidRPr="00686CD4">
        <w:rPr>
          <w:lang w:val="fr-FR"/>
        </w:rPr>
        <w:tab/>
      </w:r>
      <w:bookmarkStart w:id="68" w:name="_Toc532494671"/>
      <w:r w:rsidRPr="00686CD4">
        <w:rPr>
          <w:lang w:val="fr-FR"/>
        </w:rPr>
        <w:tab/>
      </w:r>
      <w:r w:rsidRPr="00686CD4">
        <w:rPr>
          <w:lang w:val="fr-FR"/>
        </w:rPr>
        <w:tab/>
        <w:t>c)</w:t>
      </w:r>
      <w:r w:rsidRPr="00686CD4">
        <w:rPr>
          <w:lang w:val="fr-FR"/>
        </w:rPr>
        <w:tab/>
      </w:r>
      <w:r>
        <w:rPr>
          <w:lang w:val="fr-FR"/>
        </w:rPr>
        <w:t>Le</w:t>
      </w:r>
      <w:r w:rsidRPr="00E66750">
        <w:rPr>
          <w:lang w:val="fr-FR"/>
        </w:rPr>
        <w:t xml:space="preserve"> nombre de ces enquêtes qui ont été classées sans suite</w:t>
      </w:r>
      <w:r w:rsidR="00495D0F">
        <w:rPr>
          <w:lang w:val="fr-FR"/>
        </w:rPr>
        <w:t> ;</w:t>
      </w:r>
      <w:bookmarkEnd w:id="68"/>
    </w:p>
    <w:p w:rsidR="002A7A34" w:rsidRPr="00686CD4" w:rsidRDefault="002A7A34" w:rsidP="00866706">
      <w:pPr>
        <w:pStyle w:val="H23G"/>
        <w:jc w:val="both"/>
        <w:rPr>
          <w:lang w:val="fr-FR"/>
        </w:rPr>
      </w:pPr>
      <w:r w:rsidRPr="00686CD4">
        <w:rPr>
          <w:lang w:val="fr-FR"/>
        </w:rPr>
        <w:tab/>
      </w:r>
      <w:bookmarkStart w:id="69" w:name="_Toc532494672"/>
      <w:r w:rsidRPr="00686CD4">
        <w:rPr>
          <w:lang w:val="fr-FR"/>
        </w:rPr>
        <w:tab/>
      </w:r>
      <w:r w:rsidRPr="00686CD4">
        <w:rPr>
          <w:lang w:val="fr-FR"/>
        </w:rPr>
        <w:tab/>
        <w:t>d)</w:t>
      </w:r>
      <w:r w:rsidRPr="00686CD4">
        <w:rPr>
          <w:lang w:val="fr-FR"/>
        </w:rPr>
        <w:tab/>
      </w:r>
      <w:r>
        <w:rPr>
          <w:lang w:val="fr-FR"/>
        </w:rPr>
        <w:t>L</w:t>
      </w:r>
      <w:r w:rsidRPr="00E66750">
        <w:rPr>
          <w:lang w:val="fr-FR"/>
        </w:rPr>
        <w:t>e nombre de ces enquêtes qui ont donné lieu à des poursuites</w:t>
      </w:r>
      <w:r w:rsidR="00495D0F">
        <w:rPr>
          <w:lang w:val="fr-FR"/>
        </w:rPr>
        <w:t> ;</w:t>
      </w:r>
      <w:bookmarkEnd w:id="69"/>
      <w:r w:rsidRPr="00686CD4">
        <w:rPr>
          <w:lang w:val="fr-FR"/>
        </w:rPr>
        <w:t xml:space="preserve"> </w:t>
      </w:r>
    </w:p>
    <w:p w:rsidR="002A7A34" w:rsidRPr="00686CD4" w:rsidRDefault="002A7A34" w:rsidP="00866706">
      <w:pPr>
        <w:pStyle w:val="H23G"/>
        <w:jc w:val="both"/>
        <w:rPr>
          <w:lang w:val="fr-FR"/>
        </w:rPr>
      </w:pPr>
      <w:r>
        <w:rPr>
          <w:lang w:val="fr-FR"/>
        </w:rPr>
        <w:tab/>
      </w:r>
      <w:r>
        <w:rPr>
          <w:lang w:val="fr-FR"/>
        </w:rPr>
        <w:tab/>
      </w:r>
      <w:r>
        <w:rPr>
          <w:lang w:val="fr-FR"/>
        </w:rPr>
        <w:tab/>
      </w:r>
      <w:r w:rsidRPr="00686CD4">
        <w:rPr>
          <w:lang w:val="fr-FR"/>
        </w:rPr>
        <w:t>e)</w:t>
      </w:r>
      <w:r w:rsidRPr="00686CD4">
        <w:rPr>
          <w:lang w:val="fr-FR"/>
        </w:rPr>
        <w:tab/>
      </w:r>
      <w:r>
        <w:rPr>
          <w:lang w:val="fr-FR"/>
        </w:rPr>
        <w:t>L</w:t>
      </w:r>
      <w:r w:rsidRPr="00E66750">
        <w:rPr>
          <w:lang w:val="fr-FR"/>
        </w:rPr>
        <w:t>e nombre de ces poursuites qui ont abouti à une condamnation</w:t>
      </w:r>
      <w:r w:rsidR="00495D0F">
        <w:rPr>
          <w:lang w:val="fr-FR"/>
        </w:rPr>
        <w:t> ;</w:t>
      </w:r>
      <w:r w:rsidRPr="00686CD4">
        <w:rPr>
          <w:lang w:val="fr-FR"/>
        </w:rPr>
        <w:t xml:space="preserve"> </w:t>
      </w:r>
      <w:bookmarkStart w:id="70" w:name="_Toc532494673"/>
      <w:bookmarkEnd w:id="70"/>
    </w:p>
    <w:p w:rsidR="002A7A34" w:rsidRPr="00686CD4" w:rsidRDefault="002A7A34" w:rsidP="00866706">
      <w:pPr>
        <w:pStyle w:val="H23G"/>
        <w:jc w:val="both"/>
        <w:rPr>
          <w:lang w:val="fr-FR"/>
        </w:rPr>
      </w:pPr>
      <w:r w:rsidRPr="00686CD4">
        <w:rPr>
          <w:lang w:val="fr-FR"/>
        </w:rPr>
        <w:tab/>
      </w:r>
      <w:bookmarkStart w:id="71" w:name="_Toc532494674"/>
      <w:r w:rsidRPr="00686CD4">
        <w:rPr>
          <w:lang w:val="fr-FR"/>
        </w:rPr>
        <w:tab/>
      </w:r>
      <w:r w:rsidRPr="00686CD4">
        <w:rPr>
          <w:lang w:val="fr-FR"/>
        </w:rPr>
        <w:tab/>
        <w:t>f)</w:t>
      </w:r>
      <w:r w:rsidRPr="00686CD4">
        <w:rPr>
          <w:lang w:val="fr-FR"/>
        </w:rPr>
        <w:tab/>
      </w:r>
      <w:r>
        <w:rPr>
          <w:lang w:val="fr-FR"/>
        </w:rPr>
        <w:t>L</w:t>
      </w:r>
      <w:r w:rsidRPr="00E66750">
        <w:rPr>
          <w:lang w:val="fr-FR"/>
        </w:rPr>
        <w:t>es sanctions pénales et disciplinaires qui ont été appliquées, en indiquant la durée des peines d</w:t>
      </w:r>
      <w:r>
        <w:rPr>
          <w:lang w:val="fr-FR"/>
        </w:rPr>
        <w:t>’</w:t>
      </w:r>
      <w:r w:rsidRPr="00E66750">
        <w:rPr>
          <w:lang w:val="fr-FR"/>
        </w:rPr>
        <w:t>emprisonnement. Préciser également pour chaque année, le nombre d</w:t>
      </w:r>
      <w:r>
        <w:rPr>
          <w:lang w:val="fr-FR"/>
        </w:rPr>
        <w:t>’</w:t>
      </w:r>
      <w:r w:rsidRPr="00E66750">
        <w:rPr>
          <w:lang w:val="fr-FR"/>
        </w:rPr>
        <w:t>enquêtes ouvertes d</w:t>
      </w:r>
      <w:r>
        <w:rPr>
          <w:lang w:val="fr-FR"/>
        </w:rPr>
        <w:t>’</w:t>
      </w:r>
      <w:r w:rsidRPr="00E66750">
        <w:rPr>
          <w:lang w:val="fr-FR"/>
        </w:rPr>
        <w:t>office sur des cas de torture et de mauvais traitements qui ont donné d</w:t>
      </w:r>
      <w:r>
        <w:rPr>
          <w:lang w:val="fr-FR"/>
        </w:rPr>
        <w:t>’</w:t>
      </w:r>
      <w:r w:rsidRPr="00E66750">
        <w:rPr>
          <w:lang w:val="fr-FR"/>
        </w:rPr>
        <w:t>office lieu à des poursuites, ainsi que le nombre de cas de torture ou de mauvais traitements signalés par des médecins après des examens cliniques de détenus et la suite donnée à leurs rapports</w:t>
      </w:r>
      <w:r w:rsidRPr="00686CD4">
        <w:rPr>
          <w:lang w:val="fr-FR"/>
        </w:rPr>
        <w:t>.</w:t>
      </w:r>
      <w:bookmarkEnd w:id="71"/>
    </w:p>
    <w:p w:rsidR="002A7A34" w:rsidRPr="00686CD4" w:rsidRDefault="002A7A34" w:rsidP="00866706">
      <w:pPr>
        <w:pStyle w:val="SingleTxtG"/>
        <w:rPr>
          <w:lang w:val="fr-FR"/>
        </w:rPr>
      </w:pPr>
      <w:r w:rsidRPr="00686CD4">
        <w:rPr>
          <w:lang w:val="fr-FR"/>
        </w:rPr>
        <w:t>227.</w:t>
      </w:r>
      <w:r w:rsidRPr="00686CD4">
        <w:rPr>
          <w:lang w:val="fr-FR"/>
        </w:rPr>
        <w:tab/>
        <w:t>Voir les informations portées dans les tableaux</w:t>
      </w:r>
      <w:r>
        <w:rPr>
          <w:lang w:val="fr-FR"/>
        </w:rPr>
        <w:t> </w:t>
      </w:r>
      <w:r w:rsidRPr="00686CD4">
        <w:rPr>
          <w:lang w:val="fr-FR"/>
        </w:rPr>
        <w:t>XVI, XVII, XVIII et</w:t>
      </w:r>
      <w:r w:rsidR="00866706">
        <w:rPr>
          <w:lang w:val="fr-FR"/>
        </w:rPr>
        <w:t xml:space="preserve"> </w:t>
      </w:r>
      <w:r w:rsidR="0048520A">
        <w:rPr>
          <w:lang w:val="fr-FR"/>
        </w:rPr>
        <w:t>X</w:t>
      </w:r>
      <w:r w:rsidRPr="00686CD4">
        <w:rPr>
          <w:lang w:val="fr-FR"/>
        </w:rPr>
        <w:t>XII de l</w:t>
      </w:r>
      <w:r>
        <w:rPr>
          <w:lang w:val="fr-FR"/>
        </w:rPr>
        <w:t>’</w:t>
      </w:r>
      <w:r w:rsidRPr="00686CD4">
        <w:rPr>
          <w:lang w:val="fr-FR"/>
        </w:rPr>
        <w:t>annexe</w:t>
      </w:r>
      <w:r>
        <w:rPr>
          <w:lang w:val="fr-FR"/>
        </w:rPr>
        <w:t> </w:t>
      </w:r>
      <w:r w:rsidRPr="00686CD4">
        <w:rPr>
          <w:lang w:val="fr-FR"/>
        </w:rPr>
        <w:t>III.</w:t>
      </w:r>
    </w:p>
    <w:p w:rsidR="002A7A34" w:rsidRPr="00686CD4" w:rsidRDefault="002A7A34" w:rsidP="00910DBF">
      <w:pPr>
        <w:pStyle w:val="H23G"/>
        <w:jc w:val="both"/>
        <w:rPr>
          <w:lang w:val="fr-FR"/>
        </w:rPr>
      </w:pPr>
      <w:r>
        <w:rPr>
          <w:lang w:val="fr-FR"/>
        </w:rPr>
        <w:tab/>
      </w:r>
      <w:r w:rsidRPr="00686CD4">
        <w:rPr>
          <w:lang w:val="fr-FR"/>
        </w:rPr>
        <w:t>16.</w:t>
      </w:r>
      <w:r w:rsidRPr="00686CD4">
        <w:rPr>
          <w:lang w:val="fr-FR"/>
        </w:rPr>
        <w:tab/>
      </w:r>
      <w:r w:rsidRPr="0049227F">
        <w:rPr>
          <w:lang w:val="fr-FR"/>
        </w:rPr>
        <w:t>Compte tenu des précédentes observations finales du Comité (par.</w:t>
      </w:r>
      <w:r>
        <w:rPr>
          <w:lang w:val="fr-FR"/>
        </w:rPr>
        <w:t> </w:t>
      </w:r>
      <w:r w:rsidRPr="0049227F">
        <w:rPr>
          <w:lang w:val="fr-FR"/>
        </w:rPr>
        <w:t>9 a), b) et c)), indiquer</w:t>
      </w:r>
      <w:r w:rsidR="00495D0F">
        <w:rPr>
          <w:lang w:val="fr-FR"/>
        </w:rPr>
        <w:t> :</w:t>
      </w:r>
      <w:r w:rsidRPr="00686CD4">
        <w:rPr>
          <w:lang w:val="fr-FR"/>
        </w:rPr>
        <w:t xml:space="preserve"> </w:t>
      </w:r>
      <w:bookmarkStart w:id="72" w:name="_Toc532494675"/>
      <w:bookmarkEnd w:id="72"/>
    </w:p>
    <w:p w:rsidR="002A7A34" w:rsidRPr="00686CD4" w:rsidRDefault="002A7A34" w:rsidP="00910DBF">
      <w:pPr>
        <w:pStyle w:val="H23G"/>
        <w:jc w:val="both"/>
        <w:rPr>
          <w:lang w:val="fr-FR"/>
        </w:rPr>
      </w:pPr>
      <w:r w:rsidRPr="00686CD4">
        <w:rPr>
          <w:lang w:val="fr-FR"/>
        </w:rPr>
        <w:tab/>
      </w:r>
      <w:bookmarkStart w:id="73" w:name="_Toc532494676"/>
      <w:r w:rsidRPr="00686CD4">
        <w:rPr>
          <w:lang w:val="fr-FR"/>
        </w:rPr>
        <w:tab/>
      </w:r>
      <w:r w:rsidRPr="00686CD4">
        <w:rPr>
          <w:lang w:val="fr-FR"/>
        </w:rPr>
        <w:tab/>
        <w:t>a)</w:t>
      </w:r>
      <w:r w:rsidRPr="00686CD4">
        <w:rPr>
          <w:lang w:val="fr-FR"/>
        </w:rPr>
        <w:tab/>
      </w:r>
      <w:r w:rsidRPr="0049227F">
        <w:rPr>
          <w:lang w:val="fr-FR"/>
        </w:rPr>
        <w:t>Comment l</w:t>
      </w:r>
      <w:r>
        <w:rPr>
          <w:lang w:val="fr-FR"/>
        </w:rPr>
        <w:t>’</w:t>
      </w:r>
      <w:r w:rsidRPr="0049227F">
        <w:rPr>
          <w:lang w:val="fr-FR"/>
        </w:rPr>
        <w:t>indépendance</w:t>
      </w:r>
      <w:r w:rsidR="00495D0F">
        <w:rPr>
          <w:lang w:val="fr-FR"/>
        </w:rPr>
        <w:t> :</w:t>
      </w:r>
      <w:r w:rsidRPr="0049227F">
        <w:rPr>
          <w:lang w:val="fr-FR"/>
        </w:rPr>
        <w:t xml:space="preserve"> i)</w:t>
      </w:r>
      <w:r>
        <w:rPr>
          <w:lang w:val="fr-FR"/>
        </w:rPr>
        <w:t> </w:t>
      </w:r>
      <w:r w:rsidRPr="0049227F">
        <w:rPr>
          <w:lang w:val="fr-FR"/>
        </w:rPr>
        <w:t>des services d</w:t>
      </w:r>
      <w:r>
        <w:rPr>
          <w:lang w:val="fr-FR"/>
        </w:rPr>
        <w:t>’</w:t>
      </w:r>
      <w:r w:rsidRPr="0049227F">
        <w:rPr>
          <w:lang w:val="fr-FR"/>
        </w:rPr>
        <w:t>enquête internes de la Garde nationale républicaine et de la Police de sécurité publique</w:t>
      </w:r>
      <w:r w:rsidR="0048520A">
        <w:rPr>
          <w:lang w:val="fr-FR"/>
        </w:rPr>
        <w:t> ;</w:t>
      </w:r>
      <w:r w:rsidRPr="0049227F">
        <w:rPr>
          <w:lang w:val="fr-FR"/>
        </w:rPr>
        <w:t xml:space="preserve"> ii)</w:t>
      </w:r>
      <w:r>
        <w:rPr>
          <w:lang w:val="fr-FR"/>
        </w:rPr>
        <w:t> </w:t>
      </w:r>
      <w:r w:rsidRPr="0049227F">
        <w:rPr>
          <w:lang w:val="fr-FR"/>
        </w:rPr>
        <w:t>de l</w:t>
      </w:r>
      <w:r>
        <w:rPr>
          <w:lang w:val="fr-FR"/>
        </w:rPr>
        <w:t>’</w:t>
      </w:r>
      <w:r w:rsidRPr="0049227F">
        <w:rPr>
          <w:lang w:val="fr-FR"/>
        </w:rPr>
        <w:t>Unité chargée de la discipline et des inspections de la police criminelle</w:t>
      </w:r>
      <w:r w:rsidR="0048520A">
        <w:rPr>
          <w:lang w:val="fr-FR"/>
        </w:rPr>
        <w:t> ;</w:t>
      </w:r>
      <w:r w:rsidRPr="0049227F">
        <w:rPr>
          <w:lang w:val="fr-FR"/>
        </w:rPr>
        <w:t xml:space="preserve"> iii)</w:t>
      </w:r>
      <w:r>
        <w:rPr>
          <w:lang w:val="fr-FR"/>
        </w:rPr>
        <w:t> </w:t>
      </w:r>
      <w:r w:rsidRPr="0049227F">
        <w:rPr>
          <w:lang w:val="fr-FR"/>
        </w:rPr>
        <w:t>de l</w:t>
      </w:r>
      <w:r>
        <w:rPr>
          <w:lang w:val="fr-FR"/>
        </w:rPr>
        <w:t>’</w:t>
      </w:r>
      <w:r w:rsidRPr="0049227F">
        <w:rPr>
          <w:lang w:val="fr-FR"/>
        </w:rPr>
        <w:t>Inspection générale de l</w:t>
      </w:r>
      <w:r>
        <w:rPr>
          <w:lang w:val="fr-FR"/>
        </w:rPr>
        <w:t>’</w:t>
      </w:r>
      <w:r w:rsidRPr="0049227F">
        <w:rPr>
          <w:lang w:val="fr-FR"/>
        </w:rPr>
        <w:t>administration interne</w:t>
      </w:r>
      <w:r w:rsidR="0048520A">
        <w:rPr>
          <w:lang w:val="fr-FR"/>
        </w:rPr>
        <w:t> ;</w:t>
      </w:r>
      <w:r w:rsidRPr="0049227F">
        <w:rPr>
          <w:lang w:val="fr-FR"/>
        </w:rPr>
        <w:t xml:space="preserve"> et iv)</w:t>
      </w:r>
      <w:r>
        <w:rPr>
          <w:lang w:val="fr-FR"/>
        </w:rPr>
        <w:t> </w:t>
      </w:r>
      <w:r w:rsidRPr="0049227F">
        <w:rPr>
          <w:lang w:val="fr-FR"/>
        </w:rPr>
        <w:t>de l</w:t>
      </w:r>
      <w:r>
        <w:rPr>
          <w:lang w:val="fr-FR"/>
        </w:rPr>
        <w:t>’</w:t>
      </w:r>
      <w:r w:rsidRPr="0049227F">
        <w:rPr>
          <w:lang w:val="fr-FR"/>
        </w:rPr>
        <w:t>Inspection générale des services judiciaires</w:t>
      </w:r>
      <w:r w:rsidR="008817F2">
        <w:rPr>
          <w:lang w:val="fr-FR"/>
        </w:rPr>
        <w:t>,</w:t>
      </w:r>
      <w:r w:rsidRPr="0049227F">
        <w:rPr>
          <w:lang w:val="fr-FR"/>
        </w:rPr>
        <w:t xml:space="preserve"> est garantie pendant les enquêtes disciplinaires de sorte qu</w:t>
      </w:r>
      <w:r>
        <w:rPr>
          <w:lang w:val="fr-FR"/>
        </w:rPr>
        <w:t>’</w:t>
      </w:r>
      <w:r w:rsidRPr="0049227F">
        <w:rPr>
          <w:lang w:val="fr-FR"/>
        </w:rPr>
        <w:t>il n</w:t>
      </w:r>
      <w:r>
        <w:rPr>
          <w:lang w:val="fr-FR"/>
        </w:rPr>
        <w:t>’</w:t>
      </w:r>
      <w:r w:rsidRPr="0049227F">
        <w:rPr>
          <w:lang w:val="fr-FR"/>
        </w:rPr>
        <w:t>existe pas de lien hiérarchique ou institutionnel entre les personnes suspectées de torture et les inspecteurs. Tous ces organes seraient-ils compétents pour intervenir lorsqu</w:t>
      </w:r>
      <w:r>
        <w:rPr>
          <w:lang w:val="fr-FR"/>
        </w:rPr>
        <w:t>’</w:t>
      </w:r>
      <w:r w:rsidRPr="0049227F">
        <w:rPr>
          <w:lang w:val="fr-FR"/>
        </w:rPr>
        <w:t>il existe des indices de torture ou de mauvais traitements de la part de policiers et, dans l</w:t>
      </w:r>
      <w:r>
        <w:rPr>
          <w:lang w:val="fr-FR"/>
        </w:rPr>
        <w:t>’</w:t>
      </w:r>
      <w:r w:rsidRPr="0049227F">
        <w:rPr>
          <w:lang w:val="fr-FR"/>
        </w:rPr>
        <w:t>affirmative, quelle est la procédure à suivre dans de telles affaires en ce qui concerne leur intervention et la participation des autorités de poursuite à l</w:t>
      </w:r>
      <w:r>
        <w:rPr>
          <w:lang w:val="fr-FR"/>
        </w:rPr>
        <w:t>’</w:t>
      </w:r>
      <w:r w:rsidRPr="0049227F">
        <w:rPr>
          <w:lang w:val="fr-FR"/>
        </w:rPr>
        <w:t>enquête</w:t>
      </w:r>
      <w:r w:rsidR="00910DBF">
        <w:rPr>
          <w:lang w:val="fr-FR"/>
        </w:rPr>
        <w:t> </w:t>
      </w:r>
      <w:r w:rsidRPr="0049227F">
        <w:rPr>
          <w:lang w:val="fr-FR"/>
        </w:rPr>
        <w:t>? Le</w:t>
      </w:r>
      <w:r w:rsidR="00910DBF">
        <w:rPr>
          <w:lang w:val="fr-FR"/>
        </w:rPr>
        <w:t> </w:t>
      </w:r>
      <w:r w:rsidRPr="0049227F">
        <w:rPr>
          <w:lang w:val="fr-FR"/>
        </w:rPr>
        <w:t>procureur est-il toujours informé de l</w:t>
      </w:r>
      <w:r>
        <w:rPr>
          <w:lang w:val="fr-FR"/>
        </w:rPr>
        <w:t>’</w:t>
      </w:r>
      <w:r w:rsidRPr="0049227F">
        <w:rPr>
          <w:lang w:val="fr-FR"/>
        </w:rPr>
        <w:t>ouverture et de la clôture des enquêtes menées par ces organes sur les affaires de mauvais traitements</w:t>
      </w:r>
      <w:r>
        <w:rPr>
          <w:lang w:val="fr-FR"/>
        </w:rPr>
        <w:t> </w:t>
      </w:r>
      <w:r w:rsidRPr="00686CD4">
        <w:rPr>
          <w:lang w:val="fr-FR"/>
        </w:rPr>
        <w:t>?</w:t>
      </w:r>
      <w:bookmarkEnd w:id="73"/>
      <w:r w:rsidRPr="00686CD4">
        <w:rPr>
          <w:lang w:val="fr-FR"/>
        </w:rPr>
        <w:t xml:space="preserve"> </w:t>
      </w:r>
    </w:p>
    <w:p w:rsidR="002A7A34" w:rsidRPr="00686CD4" w:rsidRDefault="002A7A34" w:rsidP="00910DBF">
      <w:pPr>
        <w:pStyle w:val="SingleTxtG"/>
        <w:rPr>
          <w:lang w:val="fr-FR"/>
        </w:rPr>
      </w:pPr>
      <w:r w:rsidRPr="00686CD4">
        <w:rPr>
          <w:lang w:val="fr-FR"/>
        </w:rPr>
        <w:t>228.</w:t>
      </w:r>
      <w:r w:rsidRPr="00686CD4">
        <w:rPr>
          <w:lang w:val="fr-FR"/>
        </w:rPr>
        <w:tab/>
        <w:t>Voir les paragraphes</w:t>
      </w:r>
      <w:r>
        <w:rPr>
          <w:lang w:val="fr-FR"/>
        </w:rPr>
        <w:t> </w:t>
      </w:r>
      <w:r w:rsidRPr="00686CD4">
        <w:rPr>
          <w:lang w:val="fr-FR"/>
        </w:rPr>
        <w:t>12 à</w:t>
      </w:r>
      <w:r>
        <w:rPr>
          <w:lang w:val="fr-FR"/>
        </w:rPr>
        <w:t> </w:t>
      </w:r>
      <w:r w:rsidRPr="00686CD4">
        <w:rPr>
          <w:lang w:val="fr-FR"/>
        </w:rPr>
        <w:t xml:space="preserve">16 du </w:t>
      </w:r>
      <w:r>
        <w:rPr>
          <w:lang w:val="fr-FR"/>
        </w:rPr>
        <w:t xml:space="preserve">rapport </w:t>
      </w:r>
      <w:r w:rsidRPr="00686CD4">
        <w:rPr>
          <w:lang w:val="fr-FR"/>
        </w:rPr>
        <w:t>CAT/C/PRT/CO/5-6/</w:t>
      </w:r>
      <w:r w:rsidR="008817F2">
        <w:rPr>
          <w:lang w:val="fr-FR"/>
        </w:rPr>
        <w:t>A</w:t>
      </w:r>
      <w:r w:rsidRPr="00686CD4">
        <w:rPr>
          <w:lang w:val="fr-FR"/>
        </w:rPr>
        <w:t>dd</w:t>
      </w:r>
      <w:r w:rsidR="008817F2">
        <w:rPr>
          <w:lang w:val="fr-FR"/>
        </w:rPr>
        <w:t>.</w:t>
      </w:r>
      <w:r w:rsidRPr="00686CD4">
        <w:rPr>
          <w:lang w:val="fr-FR"/>
        </w:rPr>
        <w:t>3.</w:t>
      </w:r>
    </w:p>
    <w:p w:rsidR="002A7A34" w:rsidRPr="00686CD4" w:rsidRDefault="002A7A34" w:rsidP="00910DBF">
      <w:pPr>
        <w:pStyle w:val="SingleTxtG"/>
        <w:rPr>
          <w:lang w:val="fr-FR"/>
        </w:rPr>
      </w:pPr>
      <w:r w:rsidRPr="00686CD4">
        <w:rPr>
          <w:lang w:val="fr-FR"/>
        </w:rPr>
        <w:t>229.</w:t>
      </w:r>
      <w:r w:rsidRPr="00686CD4">
        <w:rPr>
          <w:lang w:val="fr-FR"/>
        </w:rPr>
        <w:tab/>
      </w:r>
      <w:r w:rsidR="00B545C2">
        <w:rPr>
          <w:lang w:val="fr-FR"/>
        </w:rPr>
        <w:t xml:space="preserve">En </w:t>
      </w:r>
      <w:r w:rsidRPr="00686CD4">
        <w:rPr>
          <w:lang w:val="fr-FR"/>
        </w:rPr>
        <w:t>2017, l</w:t>
      </w:r>
      <w:r>
        <w:rPr>
          <w:lang w:val="fr-FR"/>
        </w:rPr>
        <w:t>’Inspection générale des services judiciaires</w:t>
      </w:r>
      <w:r w:rsidRPr="00686CD4">
        <w:rPr>
          <w:lang w:val="fr-FR"/>
        </w:rPr>
        <w:t xml:space="preserve"> a mis en place une nouvelle sous-catégorie de processus (R/DH) conçu</w:t>
      </w:r>
      <w:r>
        <w:rPr>
          <w:lang w:val="fr-FR"/>
        </w:rPr>
        <w:t>s</w:t>
      </w:r>
      <w:r w:rsidRPr="00686CD4">
        <w:rPr>
          <w:lang w:val="fr-FR"/>
        </w:rPr>
        <w:t xml:space="preserve"> exclusivement pour évaluer et traiter les plaintes </w:t>
      </w:r>
      <w:r>
        <w:rPr>
          <w:lang w:val="fr-FR"/>
        </w:rPr>
        <w:t xml:space="preserve">de </w:t>
      </w:r>
      <w:r w:rsidRPr="00686CD4">
        <w:rPr>
          <w:lang w:val="fr-FR"/>
        </w:rPr>
        <w:t xml:space="preserve">traitement cruel </w:t>
      </w:r>
      <w:r>
        <w:rPr>
          <w:lang w:val="fr-FR"/>
        </w:rPr>
        <w:t xml:space="preserve">ou </w:t>
      </w:r>
      <w:r w:rsidRPr="00686CD4">
        <w:rPr>
          <w:lang w:val="fr-FR"/>
        </w:rPr>
        <w:t xml:space="preserve">inhumain, </w:t>
      </w:r>
      <w:r>
        <w:rPr>
          <w:lang w:val="fr-FR"/>
        </w:rPr>
        <w:t xml:space="preserve">de </w:t>
      </w:r>
      <w:r w:rsidRPr="00686CD4">
        <w:rPr>
          <w:lang w:val="fr-FR"/>
        </w:rPr>
        <w:t>mauvais traitement</w:t>
      </w:r>
      <w:r>
        <w:rPr>
          <w:lang w:val="fr-FR"/>
        </w:rPr>
        <w:t xml:space="preserve"> ou de</w:t>
      </w:r>
      <w:r w:rsidRPr="00686CD4">
        <w:rPr>
          <w:lang w:val="fr-FR"/>
        </w:rPr>
        <w:t xml:space="preserve"> torture </w:t>
      </w:r>
      <w:r>
        <w:rPr>
          <w:lang w:val="fr-FR"/>
        </w:rPr>
        <w:t xml:space="preserve">émanant de </w:t>
      </w:r>
      <w:r w:rsidRPr="00686CD4">
        <w:rPr>
          <w:lang w:val="fr-FR"/>
        </w:rPr>
        <w:lastRenderedPageBreak/>
        <w:t xml:space="preserve">personnes privées de leur liberté, dans le but ultime de garantir le respect des droits de toutes </w:t>
      </w:r>
      <w:r>
        <w:rPr>
          <w:lang w:val="fr-FR"/>
        </w:rPr>
        <w:t>c</w:t>
      </w:r>
      <w:r w:rsidRPr="00686CD4">
        <w:rPr>
          <w:lang w:val="fr-FR"/>
        </w:rPr>
        <w:t>es</w:t>
      </w:r>
      <w:r>
        <w:rPr>
          <w:lang w:val="fr-FR"/>
        </w:rPr>
        <w:t xml:space="preserve"> personnes</w:t>
      </w:r>
      <w:r w:rsidRPr="00686CD4">
        <w:rPr>
          <w:lang w:val="fr-FR"/>
        </w:rPr>
        <w:t>, aussi bien dans les prisons que dans les centres éducatifs. La nouvelle procédure permet de centraliser et d</w:t>
      </w:r>
      <w:r>
        <w:rPr>
          <w:lang w:val="fr-FR"/>
        </w:rPr>
        <w:t>’</w:t>
      </w:r>
      <w:r w:rsidRPr="00686CD4">
        <w:rPr>
          <w:lang w:val="fr-FR"/>
        </w:rPr>
        <w:t>obtenir aisément des informations sur les violations des droits de l</w:t>
      </w:r>
      <w:r>
        <w:rPr>
          <w:lang w:val="fr-FR"/>
        </w:rPr>
        <w:t>’</w:t>
      </w:r>
      <w:r w:rsidRPr="00686CD4">
        <w:rPr>
          <w:lang w:val="fr-FR"/>
        </w:rPr>
        <w:t>homme et de partager ces informations avec les autres entités traitant de ces questions.</w:t>
      </w:r>
    </w:p>
    <w:p w:rsidR="002A7A34" w:rsidRPr="00686CD4" w:rsidRDefault="002A7A34" w:rsidP="00910DBF">
      <w:pPr>
        <w:pStyle w:val="SingleTxtG"/>
        <w:rPr>
          <w:lang w:val="fr-FR"/>
        </w:rPr>
      </w:pPr>
      <w:r w:rsidRPr="00686CD4">
        <w:rPr>
          <w:lang w:val="fr-FR"/>
        </w:rPr>
        <w:t>230.</w:t>
      </w:r>
      <w:r w:rsidRPr="00686CD4">
        <w:rPr>
          <w:lang w:val="fr-FR"/>
        </w:rPr>
        <w:tab/>
        <w:t>En application de l</w:t>
      </w:r>
      <w:r>
        <w:rPr>
          <w:lang w:val="fr-FR"/>
        </w:rPr>
        <w:t>’</w:t>
      </w:r>
      <w:r w:rsidRPr="00686CD4">
        <w:rPr>
          <w:lang w:val="fr-FR"/>
        </w:rPr>
        <w:t>ordonnance</w:t>
      </w:r>
      <w:r>
        <w:rPr>
          <w:lang w:val="fr-FR"/>
        </w:rPr>
        <w:t xml:space="preserve"> </w:t>
      </w:r>
      <w:r w:rsidR="00315004" w:rsidRPr="00553571">
        <w:rPr>
          <w:rFonts w:eastAsia="MS Mincho"/>
          <w:lang w:val="fr-FR"/>
        </w:rPr>
        <w:t>n</w:t>
      </w:r>
      <w:r w:rsidR="00315004" w:rsidRPr="00553571">
        <w:rPr>
          <w:rFonts w:eastAsia="MS Mincho"/>
          <w:vertAlign w:val="superscript"/>
          <w:lang w:val="fr-FR"/>
        </w:rPr>
        <w:t>o</w:t>
      </w:r>
      <w:r w:rsidR="00315004">
        <w:rPr>
          <w:lang w:val="fr-FR"/>
        </w:rPr>
        <w:t> </w:t>
      </w:r>
      <w:r w:rsidRPr="00686CD4">
        <w:rPr>
          <w:lang w:val="fr-FR"/>
        </w:rPr>
        <w:t>11838/2017 du 26</w:t>
      </w:r>
      <w:r>
        <w:rPr>
          <w:lang w:val="fr-FR"/>
        </w:rPr>
        <w:t> </w:t>
      </w:r>
      <w:r w:rsidRPr="00686CD4">
        <w:rPr>
          <w:lang w:val="fr-FR"/>
        </w:rPr>
        <w:t xml:space="preserve">septembre, </w:t>
      </w:r>
      <w:r>
        <w:rPr>
          <w:lang w:val="fr-FR"/>
        </w:rPr>
        <w:t xml:space="preserve">la </w:t>
      </w:r>
      <w:r w:rsidRPr="004074F2">
        <w:rPr>
          <w:lang w:val="fr-FR"/>
        </w:rPr>
        <w:t>Direction générale de la réinsertion et des services pénitentiaires</w:t>
      </w:r>
      <w:r w:rsidRPr="00686CD4">
        <w:rPr>
          <w:lang w:val="fr-FR"/>
        </w:rPr>
        <w:t xml:space="preserve"> transmet à </w:t>
      </w:r>
      <w:r>
        <w:rPr>
          <w:lang w:val="fr-FR"/>
        </w:rPr>
        <w:t>l’Inspection générale des services judiciaires</w:t>
      </w:r>
      <w:r w:rsidRPr="00686CD4">
        <w:rPr>
          <w:lang w:val="fr-FR"/>
        </w:rPr>
        <w:t xml:space="preserve"> une copie du dossier </w:t>
      </w:r>
      <w:r>
        <w:rPr>
          <w:lang w:val="fr-FR"/>
        </w:rPr>
        <w:t>complet d</w:t>
      </w:r>
      <w:r w:rsidRPr="00686CD4">
        <w:rPr>
          <w:lang w:val="fr-FR"/>
        </w:rPr>
        <w:t>es déclarations obligatoirement établies par les directeurs de prison lorsqu</w:t>
      </w:r>
      <w:r>
        <w:rPr>
          <w:lang w:val="fr-FR"/>
        </w:rPr>
        <w:t>’</w:t>
      </w:r>
      <w:r w:rsidRPr="00686CD4">
        <w:rPr>
          <w:lang w:val="fr-FR"/>
        </w:rPr>
        <w:t xml:space="preserve">une blessure ou une plainte pour agression impliquant des membres de la </w:t>
      </w:r>
      <w:r>
        <w:rPr>
          <w:lang w:val="fr-FR"/>
        </w:rPr>
        <w:t>P</w:t>
      </w:r>
      <w:r w:rsidRPr="00686CD4">
        <w:rPr>
          <w:lang w:val="fr-FR"/>
        </w:rPr>
        <w:t xml:space="preserve">olice de sécurité publique, de la </w:t>
      </w:r>
      <w:r>
        <w:rPr>
          <w:lang w:val="fr-FR"/>
        </w:rPr>
        <w:t>G</w:t>
      </w:r>
      <w:r w:rsidRPr="00686CD4">
        <w:rPr>
          <w:lang w:val="fr-FR"/>
        </w:rPr>
        <w:t>arde nationale républicaine</w:t>
      </w:r>
      <w:r>
        <w:rPr>
          <w:lang w:val="fr-FR"/>
        </w:rPr>
        <w:t xml:space="preserve"> ou </w:t>
      </w:r>
      <w:r w:rsidRPr="00686CD4">
        <w:rPr>
          <w:lang w:val="fr-FR"/>
        </w:rPr>
        <w:t xml:space="preserve">de la </w:t>
      </w:r>
      <w:r>
        <w:rPr>
          <w:lang w:val="fr-FR"/>
        </w:rPr>
        <w:t>P</w:t>
      </w:r>
      <w:r w:rsidRPr="00686CD4">
        <w:rPr>
          <w:lang w:val="fr-FR"/>
        </w:rPr>
        <w:t xml:space="preserve">olice judiciaire </w:t>
      </w:r>
      <w:r>
        <w:rPr>
          <w:lang w:val="fr-FR"/>
        </w:rPr>
        <w:t xml:space="preserve">est signalée </w:t>
      </w:r>
      <w:r w:rsidRPr="00686CD4">
        <w:rPr>
          <w:lang w:val="fr-FR"/>
        </w:rPr>
        <w:t xml:space="preserve">avant </w:t>
      </w:r>
      <w:r>
        <w:rPr>
          <w:lang w:val="fr-FR"/>
        </w:rPr>
        <w:t xml:space="preserve">l’entrée </w:t>
      </w:r>
      <w:r w:rsidRPr="00686CD4">
        <w:rPr>
          <w:lang w:val="fr-FR"/>
        </w:rPr>
        <w:t>dans le système carcéral.</w:t>
      </w:r>
    </w:p>
    <w:p w:rsidR="002A7A34" w:rsidRPr="00686CD4" w:rsidRDefault="002A7A34" w:rsidP="00910DBF">
      <w:pPr>
        <w:pStyle w:val="SingleTxtG"/>
        <w:rPr>
          <w:lang w:val="fr-FR"/>
        </w:rPr>
      </w:pPr>
      <w:r w:rsidRPr="00686CD4">
        <w:rPr>
          <w:lang w:val="fr-FR"/>
        </w:rPr>
        <w:t>231.</w:t>
      </w:r>
      <w:r w:rsidRPr="00686CD4">
        <w:rPr>
          <w:lang w:val="fr-FR"/>
        </w:rPr>
        <w:tab/>
        <w:t>L</w:t>
      </w:r>
      <w:r>
        <w:rPr>
          <w:lang w:val="fr-FR"/>
        </w:rPr>
        <w:t>’Inspection générale des services judiciaires</w:t>
      </w:r>
      <w:r w:rsidRPr="00686CD4">
        <w:rPr>
          <w:lang w:val="fr-FR"/>
        </w:rPr>
        <w:t xml:space="preserve"> transmet le fichier à l</w:t>
      </w:r>
      <w:r>
        <w:rPr>
          <w:lang w:val="fr-FR"/>
        </w:rPr>
        <w:t>’</w:t>
      </w:r>
      <w:r w:rsidRPr="00686CD4">
        <w:rPr>
          <w:lang w:val="fr-FR"/>
        </w:rPr>
        <w:t>entité ayant compétence en matière de discipline, c</w:t>
      </w:r>
      <w:r>
        <w:rPr>
          <w:lang w:val="fr-FR"/>
        </w:rPr>
        <w:t>’</w:t>
      </w:r>
      <w:r w:rsidRPr="00686CD4">
        <w:rPr>
          <w:lang w:val="fr-FR"/>
        </w:rPr>
        <w:t>est-à-dire à l</w:t>
      </w:r>
      <w:r>
        <w:rPr>
          <w:lang w:val="fr-FR"/>
        </w:rPr>
        <w:t>’Inspection générale de l’administration interne</w:t>
      </w:r>
      <w:r w:rsidRPr="00686CD4">
        <w:rPr>
          <w:lang w:val="fr-FR"/>
        </w:rPr>
        <w:t xml:space="preserve"> pour les membres de la </w:t>
      </w:r>
      <w:r>
        <w:rPr>
          <w:lang w:val="fr-FR"/>
        </w:rPr>
        <w:t>P</w:t>
      </w:r>
      <w:r w:rsidRPr="00686CD4">
        <w:rPr>
          <w:lang w:val="fr-FR"/>
        </w:rPr>
        <w:t xml:space="preserve">olice de sécurité publique ou de la </w:t>
      </w:r>
      <w:r>
        <w:rPr>
          <w:lang w:val="fr-FR"/>
        </w:rPr>
        <w:t>G</w:t>
      </w:r>
      <w:r w:rsidRPr="00686CD4">
        <w:rPr>
          <w:lang w:val="fr-FR"/>
        </w:rPr>
        <w:t>arde nationale républicaine, ou à la police criminelle (service des actions disciplinaires et d</w:t>
      </w:r>
      <w:r>
        <w:rPr>
          <w:lang w:val="fr-FR"/>
        </w:rPr>
        <w:t>’</w:t>
      </w:r>
      <w:r w:rsidRPr="00686CD4">
        <w:rPr>
          <w:lang w:val="fr-FR"/>
        </w:rPr>
        <w:t xml:space="preserve">inspection) pour les membres de la </w:t>
      </w:r>
      <w:r>
        <w:rPr>
          <w:lang w:val="fr-FR"/>
        </w:rPr>
        <w:t xml:space="preserve">Police </w:t>
      </w:r>
      <w:r w:rsidRPr="00686CD4">
        <w:rPr>
          <w:lang w:val="fr-FR"/>
        </w:rPr>
        <w:t xml:space="preserve">judiciaire. Lorsque les faits allégués entraînent une responsabilité pénale, en particulier en cas de torture ou </w:t>
      </w:r>
      <w:r>
        <w:rPr>
          <w:lang w:val="fr-FR"/>
        </w:rPr>
        <w:t xml:space="preserve">de </w:t>
      </w:r>
      <w:r w:rsidRPr="00686CD4">
        <w:rPr>
          <w:lang w:val="fr-FR"/>
        </w:rPr>
        <w:t xml:space="preserve">tout autre traitement cruel, dégradant </w:t>
      </w:r>
      <w:r>
        <w:rPr>
          <w:lang w:val="fr-FR"/>
        </w:rPr>
        <w:t xml:space="preserve">ou </w:t>
      </w:r>
      <w:r w:rsidRPr="00686CD4">
        <w:rPr>
          <w:lang w:val="fr-FR"/>
        </w:rPr>
        <w:t>inhumain,</w:t>
      </w:r>
      <w:r>
        <w:rPr>
          <w:lang w:val="fr-FR"/>
        </w:rPr>
        <w:t xml:space="preserve"> </w:t>
      </w:r>
      <w:r w:rsidRPr="00686CD4">
        <w:rPr>
          <w:lang w:val="fr-FR"/>
        </w:rPr>
        <w:t>l</w:t>
      </w:r>
      <w:r>
        <w:rPr>
          <w:lang w:val="fr-FR"/>
        </w:rPr>
        <w:t>’Inspection générale des services judiciaires</w:t>
      </w:r>
      <w:r w:rsidRPr="00686CD4">
        <w:rPr>
          <w:lang w:val="fr-FR"/>
        </w:rPr>
        <w:t xml:space="preserve"> communique également les faits au </w:t>
      </w:r>
      <w:r>
        <w:rPr>
          <w:lang w:val="fr-FR"/>
        </w:rPr>
        <w:t>ministère public</w:t>
      </w:r>
      <w:r w:rsidRPr="00686CD4">
        <w:rPr>
          <w:lang w:val="fr-FR"/>
        </w:rPr>
        <w:t>.</w:t>
      </w:r>
    </w:p>
    <w:p w:rsidR="002A7A34" w:rsidRPr="00686CD4" w:rsidRDefault="002A7A34" w:rsidP="00315004">
      <w:pPr>
        <w:pStyle w:val="H23G"/>
        <w:jc w:val="both"/>
        <w:rPr>
          <w:lang w:val="fr-FR"/>
        </w:rPr>
      </w:pPr>
      <w:r w:rsidRPr="00686CD4">
        <w:rPr>
          <w:lang w:val="fr-FR"/>
        </w:rPr>
        <w:tab/>
      </w:r>
      <w:bookmarkStart w:id="74" w:name="_Toc532494677"/>
      <w:r w:rsidRPr="00686CD4">
        <w:rPr>
          <w:lang w:val="fr-FR"/>
        </w:rPr>
        <w:tab/>
      </w:r>
      <w:r w:rsidRPr="00686CD4">
        <w:rPr>
          <w:lang w:val="fr-FR"/>
        </w:rPr>
        <w:tab/>
        <w:t>b)</w:t>
      </w:r>
      <w:r w:rsidRPr="00686CD4">
        <w:rPr>
          <w:lang w:val="fr-FR"/>
        </w:rPr>
        <w:tab/>
      </w:r>
      <w:r w:rsidRPr="00D4181A">
        <w:rPr>
          <w:lang w:val="fr-FR"/>
        </w:rPr>
        <w:t>Comment l</w:t>
      </w:r>
      <w:r>
        <w:rPr>
          <w:lang w:val="fr-FR"/>
        </w:rPr>
        <w:t>’</w:t>
      </w:r>
      <w:r w:rsidRPr="00D4181A">
        <w:rPr>
          <w:lang w:val="fr-FR"/>
        </w:rPr>
        <w:t>indépendance</w:t>
      </w:r>
      <w:r w:rsidR="00495D0F">
        <w:rPr>
          <w:lang w:val="fr-FR"/>
        </w:rPr>
        <w:t> :</w:t>
      </w:r>
      <w:r w:rsidRPr="00D4181A">
        <w:rPr>
          <w:lang w:val="fr-FR"/>
        </w:rPr>
        <w:t xml:space="preserve"> i)</w:t>
      </w:r>
      <w:r>
        <w:rPr>
          <w:lang w:val="fr-FR"/>
        </w:rPr>
        <w:t> </w:t>
      </w:r>
      <w:r w:rsidRPr="00D4181A">
        <w:rPr>
          <w:lang w:val="fr-FR"/>
        </w:rPr>
        <w:t>de l</w:t>
      </w:r>
      <w:r>
        <w:rPr>
          <w:lang w:val="fr-FR"/>
        </w:rPr>
        <w:t>’</w:t>
      </w:r>
      <w:r w:rsidRPr="00D4181A">
        <w:rPr>
          <w:lang w:val="fr-FR"/>
        </w:rPr>
        <w:t>Inspection générale des services judiciaires</w:t>
      </w:r>
      <w:r w:rsidR="008817F2">
        <w:rPr>
          <w:lang w:val="fr-FR"/>
        </w:rPr>
        <w:t> ;</w:t>
      </w:r>
      <w:r w:rsidRPr="00D4181A">
        <w:rPr>
          <w:lang w:val="fr-FR"/>
        </w:rPr>
        <w:t xml:space="preserve"> et ii)</w:t>
      </w:r>
      <w:r>
        <w:rPr>
          <w:lang w:val="fr-FR"/>
        </w:rPr>
        <w:t> </w:t>
      </w:r>
      <w:r w:rsidRPr="00D4181A">
        <w:rPr>
          <w:lang w:val="fr-FR"/>
        </w:rPr>
        <w:t>du Service d</w:t>
      </w:r>
      <w:r>
        <w:rPr>
          <w:lang w:val="fr-FR"/>
        </w:rPr>
        <w:t>’</w:t>
      </w:r>
      <w:r w:rsidRPr="00D4181A">
        <w:rPr>
          <w:lang w:val="fr-FR"/>
        </w:rPr>
        <w:t>audit et d</w:t>
      </w:r>
      <w:r>
        <w:rPr>
          <w:lang w:val="fr-FR"/>
        </w:rPr>
        <w:t>’</w:t>
      </w:r>
      <w:r w:rsidRPr="00D4181A">
        <w:rPr>
          <w:lang w:val="fr-FR"/>
        </w:rPr>
        <w:t>inspection est garantie pendant les enquêtes disciplinaires concernant des agents pénitentiaires de sorte qu</w:t>
      </w:r>
      <w:r>
        <w:rPr>
          <w:lang w:val="fr-FR"/>
        </w:rPr>
        <w:t>’</w:t>
      </w:r>
      <w:r w:rsidRPr="00D4181A">
        <w:rPr>
          <w:lang w:val="fr-FR"/>
        </w:rPr>
        <w:t>il n</w:t>
      </w:r>
      <w:r>
        <w:rPr>
          <w:lang w:val="fr-FR"/>
        </w:rPr>
        <w:t>’</w:t>
      </w:r>
      <w:r w:rsidRPr="00D4181A">
        <w:rPr>
          <w:lang w:val="fr-FR"/>
        </w:rPr>
        <w:t>existe pas de lien hiérarchique ou institutionnel entre les personnes suspectées et les inspecteurs. Tous</w:t>
      </w:r>
      <w:r w:rsidRPr="00686CD4">
        <w:rPr>
          <w:lang w:val="fr-FR"/>
        </w:rPr>
        <w:t xml:space="preserve"> </w:t>
      </w:r>
      <w:r w:rsidRPr="00D4181A">
        <w:rPr>
          <w:lang w:val="fr-FR"/>
        </w:rPr>
        <w:t>ces organes seraient-ils compétents pour intervenir lorsqu</w:t>
      </w:r>
      <w:r>
        <w:rPr>
          <w:lang w:val="fr-FR"/>
        </w:rPr>
        <w:t>’</w:t>
      </w:r>
      <w:r w:rsidRPr="00D4181A">
        <w:rPr>
          <w:lang w:val="fr-FR"/>
        </w:rPr>
        <w:t>il existe des indices de torture ou de mauvais traitements de la part d</w:t>
      </w:r>
      <w:r>
        <w:rPr>
          <w:lang w:val="fr-FR"/>
        </w:rPr>
        <w:t>’</w:t>
      </w:r>
      <w:r w:rsidRPr="00D4181A">
        <w:rPr>
          <w:lang w:val="fr-FR"/>
        </w:rPr>
        <w:t>agents pénitentiaires et, dans l</w:t>
      </w:r>
      <w:r>
        <w:rPr>
          <w:lang w:val="fr-FR"/>
        </w:rPr>
        <w:t>’</w:t>
      </w:r>
      <w:r w:rsidRPr="00D4181A">
        <w:rPr>
          <w:lang w:val="fr-FR"/>
        </w:rPr>
        <w:t>affirmative, quelle est la procédure à suivre dans de telles affaires en ce qui concerne leur intervention et la participation des autorités de poursuite à l</w:t>
      </w:r>
      <w:r>
        <w:rPr>
          <w:lang w:val="fr-FR"/>
        </w:rPr>
        <w:t>’</w:t>
      </w:r>
      <w:r w:rsidRPr="00D4181A">
        <w:rPr>
          <w:lang w:val="fr-FR"/>
        </w:rPr>
        <w:t>enquête</w:t>
      </w:r>
      <w:r>
        <w:rPr>
          <w:lang w:val="fr-FR"/>
        </w:rPr>
        <w:t> </w:t>
      </w:r>
      <w:r w:rsidRPr="00D4181A">
        <w:rPr>
          <w:lang w:val="fr-FR"/>
        </w:rPr>
        <w:t>? Le</w:t>
      </w:r>
      <w:r w:rsidR="00315004">
        <w:rPr>
          <w:lang w:val="fr-FR"/>
        </w:rPr>
        <w:t> </w:t>
      </w:r>
      <w:r w:rsidRPr="00D4181A">
        <w:rPr>
          <w:lang w:val="fr-FR"/>
        </w:rPr>
        <w:t>procureur est-il toujours informé de l</w:t>
      </w:r>
      <w:r>
        <w:rPr>
          <w:lang w:val="fr-FR"/>
        </w:rPr>
        <w:t>’</w:t>
      </w:r>
      <w:r w:rsidRPr="00D4181A">
        <w:rPr>
          <w:lang w:val="fr-FR"/>
        </w:rPr>
        <w:t>ouverture et de la clôture des enquêtes menées par ces organes sur les affaires de mauvais traitements</w:t>
      </w:r>
      <w:r>
        <w:rPr>
          <w:lang w:val="fr-FR"/>
        </w:rPr>
        <w:t> </w:t>
      </w:r>
      <w:r w:rsidRPr="00686CD4">
        <w:rPr>
          <w:lang w:val="fr-FR"/>
        </w:rPr>
        <w:t>?</w:t>
      </w:r>
      <w:bookmarkEnd w:id="74"/>
      <w:r w:rsidRPr="00686CD4">
        <w:rPr>
          <w:lang w:val="fr-FR"/>
        </w:rPr>
        <w:t xml:space="preserve"> </w:t>
      </w:r>
    </w:p>
    <w:p w:rsidR="002A7A34" w:rsidRPr="00686CD4" w:rsidRDefault="002A7A34" w:rsidP="00315004">
      <w:pPr>
        <w:pStyle w:val="SingleTxtG"/>
        <w:rPr>
          <w:lang w:val="fr-FR"/>
        </w:rPr>
      </w:pPr>
      <w:r w:rsidRPr="00686CD4">
        <w:rPr>
          <w:lang w:val="fr-FR"/>
        </w:rPr>
        <w:t>232.</w:t>
      </w:r>
      <w:r w:rsidRPr="00686CD4">
        <w:rPr>
          <w:lang w:val="fr-FR"/>
        </w:rPr>
        <w:tab/>
        <w:t xml:space="preserve">Voir, </w:t>
      </w:r>
      <w:r w:rsidRPr="00686CD4">
        <w:rPr>
          <w:i/>
          <w:lang w:val="fr-FR"/>
        </w:rPr>
        <w:t>mutatis mutandis</w:t>
      </w:r>
      <w:r w:rsidRPr="00686CD4">
        <w:rPr>
          <w:lang w:val="fr-FR"/>
        </w:rPr>
        <w:t>, les informations données aux paragraphes</w:t>
      </w:r>
      <w:r>
        <w:rPr>
          <w:lang w:val="fr-FR"/>
        </w:rPr>
        <w:t> </w:t>
      </w:r>
      <w:r w:rsidRPr="00686CD4">
        <w:rPr>
          <w:lang w:val="fr-FR"/>
        </w:rPr>
        <w:t>12 à</w:t>
      </w:r>
      <w:r>
        <w:rPr>
          <w:lang w:val="fr-FR"/>
        </w:rPr>
        <w:t> </w:t>
      </w:r>
      <w:r w:rsidRPr="00686CD4">
        <w:rPr>
          <w:lang w:val="fr-FR"/>
        </w:rPr>
        <w:t xml:space="preserve">16 du </w:t>
      </w:r>
      <w:r>
        <w:rPr>
          <w:lang w:val="fr-FR"/>
        </w:rPr>
        <w:t>rapport</w:t>
      </w:r>
      <w:r w:rsidRPr="00686CD4">
        <w:rPr>
          <w:lang w:val="fr-FR"/>
        </w:rPr>
        <w:t xml:space="preserve"> CAT/C/PRT/CO/5-6/</w:t>
      </w:r>
      <w:r w:rsidR="00315004">
        <w:rPr>
          <w:lang w:val="fr-FR"/>
        </w:rPr>
        <w:t>A</w:t>
      </w:r>
      <w:r w:rsidRPr="00686CD4">
        <w:rPr>
          <w:lang w:val="fr-FR"/>
        </w:rPr>
        <w:t>dd</w:t>
      </w:r>
      <w:r w:rsidR="00315004">
        <w:rPr>
          <w:lang w:val="fr-FR"/>
        </w:rPr>
        <w:t>.</w:t>
      </w:r>
      <w:r w:rsidRPr="00686CD4">
        <w:rPr>
          <w:lang w:val="fr-FR"/>
        </w:rPr>
        <w:t xml:space="preserve">3. </w:t>
      </w:r>
    </w:p>
    <w:p w:rsidR="002A7A34" w:rsidRPr="00686CD4" w:rsidRDefault="002A7A34" w:rsidP="00315004">
      <w:pPr>
        <w:pStyle w:val="SingleTxtG"/>
        <w:rPr>
          <w:lang w:val="fr-FR"/>
        </w:rPr>
      </w:pPr>
      <w:r w:rsidRPr="00686CD4">
        <w:rPr>
          <w:lang w:val="fr-FR"/>
        </w:rPr>
        <w:t>233.</w:t>
      </w:r>
      <w:r w:rsidRPr="00686CD4">
        <w:rPr>
          <w:lang w:val="fr-FR"/>
        </w:rPr>
        <w:tab/>
        <w:t xml:space="preserve">Aucune affaire </w:t>
      </w:r>
      <w:r>
        <w:rPr>
          <w:lang w:val="fr-FR"/>
        </w:rPr>
        <w:t xml:space="preserve">qui aurait pu donner </w:t>
      </w:r>
      <w:r w:rsidRPr="00686CD4">
        <w:rPr>
          <w:lang w:val="fr-FR"/>
        </w:rPr>
        <w:t>lieu à la soumission de preuves de torture ou de mauvais traitements de la part du personnel des prisons n</w:t>
      </w:r>
      <w:r>
        <w:rPr>
          <w:lang w:val="fr-FR"/>
        </w:rPr>
        <w:t>’</w:t>
      </w:r>
      <w:r w:rsidRPr="00686CD4">
        <w:rPr>
          <w:lang w:val="fr-FR"/>
        </w:rPr>
        <w:t>a été</w:t>
      </w:r>
      <w:r w:rsidR="00495D0F">
        <w:rPr>
          <w:lang w:val="fr-FR"/>
        </w:rPr>
        <w:t xml:space="preserve"> </w:t>
      </w:r>
      <w:r w:rsidRPr="00686CD4">
        <w:rPr>
          <w:lang w:val="fr-FR"/>
        </w:rPr>
        <w:t>enregistrée.</w:t>
      </w:r>
    </w:p>
    <w:p w:rsidR="002A7A34" w:rsidRPr="00686CD4" w:rsidRDefault="002A7A34" w:rsidP="000463EF">
      <w:pPr>
        <w:pStyle w:val="H23G"/>
        <w:jc w:val="both"/>
        <w:rPr>
          <w:lang w:val="fr-FR"/>
        </w:rPr>
      </w:pPr>
      <w:r w:rsidRPr="00686CD4">
        <w:rPr>
          <w:lang w:val="fr-FR"/>
        </w:rPr>
        <w:tab/>
      </w:r>
      <w:bookmarkStart w:id="75" w:name="_Toc532494678"/>
      <w:r w:rsidRPr="00686CD4">
        <w:rPr>
          <w:lang w:val="fr-FR"/>
        </w:rPr>
        <w:tab/>
      </w:r>
      <w:r w:rsidRPr="00686CD4">
        <w:rPr>
          <w:lang w:val="fr-FR"/>
        </w:rPr>
        <w:tab/>
        <w:t>c)</w:t>
      </w:r>
      <w:r w:rsidRPr="00686CD4">
        <w:rPr>
          <w:lang w:val="fr-FR"/>
        </w:rPr>
        <w:tab/>
      </w:r>
      <w:r w:rsidRPr="00D4181A">
        <w:rPr>
          <w:lang w:val="fr-FR"/>
        </w:rPr>
        <w:t>Si tous les agents dont il y a lieu de soupçonner qu</w:t>
      </w:r>
      <w:r>
        <w:rPr>
          <w:lang w:val="fr-FR"/>
        </w:rPr>
        <w:t>’</w:t>
      </w:r>
      <w:r w:rsidRPr="00D4181A">
        <w:rPr>
          <w:lang w:val="fr-FR"/>
        </w:rPr>
        <w:t>ils ont commis des actes de torture et des mauvais traitements sont systématiquement suspendus ou mutés pendant la durée de l</w:t>
      </w:r>
      <w:r>
        <w:rPr>
          <w:lang w:val="fr-FR"/>
        </w:rPr>
        <w:t>’</w:t>
      </w:r>
      <w:r w:rsidRPr="00D4181A">
        <w:rPr>
          <w:lang w:val="fr-FR"/>
        </w:rPr>
        <w:t>enquête</w:t>
      </w:r>
      <w:r w:rsidRPr="00686CD4">
        <w:rPr>
          <w:lang w:val="fr-FR"/>
        </w:rPr>
        <w:t>.</w:t>
      </w:r>
      <w:bookmarkEnd w:id="75"/>
    </w:p>
    <w:p w:rsidR="002A7A34" w:rsidRPr="00686CD4" w:rsidRDefault="002A7A34" w:rsidP="002A7A34">
      <w:pPr>
        <w:pStyle w:val="SingleTxtG"/>
        <w:rPr>
          <w:lang w:val="fr-FR"/>
        </w:rPr>
      </w:pPr>
      <w:r w:rsidRPr="00686CD4">
        <w:rPr>
          <w:lang w:val="fr-FR"/>
        </w:rPr>
        <w:t>234.</w:t>
      </w:r>
      <w:r w:rsidRPr="00686CD4">
        <w:rPr>
          <w:lang w:val="fr-FR"/>
        </w:rPr>
        <w:tab/>
        <w:t xml:space="preserve">Les membres de la </w:t>
      </w:r>
      <w:r w:rsidRPr="00D4181A">
        <w:rPr>
          <w:lang w:val="fr-FR"/>
        </w:rPr>
        <w:t xml:space="preserve">Direction générale de la réinsertion et des services pénitentiaires </w:t>
      </w:r>
      <w:r w:rsidRPr="00686CD4">
        <w:rPr>
          <w:lang w:val="fr-FR"/>
        </w:rPr>
        <w:t>qui font l</w:t>
      </w:r>
      <w:r>
        <w:rPr>
          <w:lang w:val="fr-FR"/>
        </w:rPr>
        <w:t>’</w:t>
      </w:r>
      <w:r w:rsidRPr="00686CD4">
        <w:rPr>
          <w:lang w:val="fr-FR"/>
        </w:rPr>
        <w:t>objet d</w:t>
      </w:r>
      <w:r>
        <w:rPr>
          <w:lang w:val="fr-FR"/>
        </w:rPr>
        <w:t>’</w:t>
      </w:r>
      <w:r w:rsidRPr="00686CD4">
        <w:rPr>
          <w:lang w:val="fr-FR"/>
        </w:rPr>
        <w:t xml:space="preserve">une enquête ne peuvent ni pénétrer dans les locaux, ni </w:t>
      </w:r>
      <w:r>
        <w:rPr>
          <w:lang w:val="fr-FR"/>
        </w:rPr>
        <w:t xml:space="preserve">entrer en </w:t>
      </w:r>
      <w:r w:rsidRPr="00686CD4">
        <w:rPr>
          <w:lang w:val="fr-FR"/>
        </w:rPr>
        <w:t xml:space="preserve">contact avec les personnes, ni </w:t>
      </w:r>
      <w:r>
        <w:rPr>
          <w:lang w:val="fr-FR"/>
        </w:rPr>
        <w:t xml:space="preserve">poursuivre leurs activités </w:t>
      </w:r>
      <w:r w:rsidRPr="00686CD4">
        <w:rPr>
          <w:lang w:val="fr-FR"/>
        </w:rPr>
        <w:t xml:space="preserve">dans les circonstances </w:t>
      </w:r>
      <w:r>
        <w:rPr>
          <w:lang w:val="fr-FR"/>
        </w:rPr>
        <w:t xml:space="preserve">qui sont indiqués </w:t>
      </w:r>
      <w:r w:rsidRPr="00686CD4">
        <w:rPr>
          <w:lang w:val="fr-FR"/>
        </w:rPr>
        <w:t>dans la plainte. Lorsque la victime et l</w:t>
      </w:r>
      <w:r>
        <w:rPr>
          <w:lang w:val="fr-FR"/>
        </w:rPr>
        <w:t>’</w:t>
      </w:r>
      <w:r w:rsidRPr="00686CD4">
        <w:rPr>
          <w:lang w:val="fr-FR"/>
        </w:rPr>
        <w:t>auteur d</w:t>
      </w:r>
      <w:r>
        <w:rPr>
          <w:lang w:val="fr-FR"/>
        </w:rPr>
        <w:t>e l’infraction</w:t>
      </w:r>
      <w:r w:rsidRPr="00686CD4">
        <w:rPr>
          <w:lang w:val="fr-FR"/>
        </w:rPr>
        <w:t xml:space="preserve"> sont des détenus, ces derniers sont immédiatement séparés et l</w:t>
      </w:r>
      <w:r>
        <w:rPr>
          <w:lang w:val="fr-FR"/>
        </w:rPr>
        <w:t>’</w:t>
      </w:r>
      <w:r w:rsidRPr="00686CD4">
        <w:rPr>
          <w:lang w:val="fr-FR"/>
        </w:rPr>
        <w:t>auteur d</w:t>
      </w:r>
      <w:r>
        <w:rPr>
          <w:lang w:val="fr-FR"/>
        </w:rPr>
        <w:t>e l’infraction</w:t>
      </w:r>
      <w:r w:rsidRPr="00686CD4">
        <w:rPr>
          <w:lang w:val="fr-FR"/>
        </w:rPr>
        <w:t xml:space="preserve"> est fréquemment transféré dans un autre établissement pénitentiaire.</w:t>
      </w:r>
    </w:p>
    <w:p w:rsidR="002A7A34" w:rsidRPr="00686CD4" w:rsidRDefault="002A7A34" w:rsidP="000463EF">
      <w:pPr>
        <w:pStyle w:val="H23G"/>
        <w:keepNext w:val="0"/>
        <w:rPr>
          <w:lang w:val="fr-FR"/>
        </w:rPr>
      </w:pPr>
      <w:r>
        <w:rPr>
          <w:lang w:val="fr-FR"/>
        </w:rPr>
        <w:tab/>
      </w:r>
      <w:r w:rsidRPr="00686CD4">
        <w:rPr>
          <w:lang w:val="fr-FR"/>
        </w:rPr>
        <w:t>17.</w:t>
      </w:r>
      <w:r w:rsidRPr="00686CD4">
        <w:rPr>
          <w:lang w:val="fr-FR"/>
        </w:rPr>
        <w:tab/>
      </w:r>
      <w:r w:rsidRPr="00D4181A">
        <w:rPr>
          <w:lang w:val="fr-FR"/>
        </w:rPr>
        <w:t>Compte tenu des précédentes observations finales du Comité (par.</w:t>
      </w:r>
      <w:r>
        <w:rPr>
          <w:lang w:val="fr-FR"/>
        </w:rPr>
        <w:t> </w:t>
      </w:r>
      <w:r w:rsidRPr="00D4181A">
        <w:rPr>
          <w:lang w:val="fr-FR"/>
        </w:rPr>
        <w:t>9 d) et</w:t>
      </w:r>
      <w:r>
        <w:rPr>
          <w:lang w:val="fr-FR"/>
        </w:rPr>
        <w:t> </w:t>
      </w:r>
      <w:r w:rsidRPr="00D4181A">
        <w:rPr>
          <w:lang w:val="fr-FR"/>
        </w:rPr>
        <w:t>e)), donner des informations sur les mesures prises pour que</w:t>
      </w:r>
      <w:r w:rsidR="00495D0F">
        <w:rPr>
          <w:lang w:val="fr-FR"/>
        </w:rPr>
        <w:t> :</w:t>
      </w:r>
      <w:bookmarkStart w:id="76" w:name="_Toc532494679"/>
      <w:bookmarkEnd w:id="76"/>
    </w:p>
    <w:p w:rsidR="002A7A34" w:rsidRPr="00686CD4" w:rsidRDefault="002A7A34" w:rsidP="000463EF">
      <w:pPr>
        <w:pStyle w:val="H23G"/>
        <w:jc w:val="both"/>
        <w:rPr>
          <w:lang w:val="fr-FR"/>
        </w:rPr>
      </w:pPr>
      <w:r w:rsidRPr="00686CD4">
        <w:rPr>
          <w:lang w:val="fr-FR"/>
        </w:rPr>
        <w:tab/>
      </w:r>
      <w:bookmarkStart w:id="77" w:name="_Toc532494680"/>
      <w:r w:rsidRPr="00686CD4">
        <w:rPr>
          <w:lang w:val="fr-FR"/>
        </w:rPr>
        <w:tab/>
      </w:r>
      <w:r w:rsidRPr="00686CD4">
        <w:rPr>
          <w:lang w:val="fr-FR"/>
        </w:rPr>
        <w:tab/>
        <w:t>a)</w:t>
      </w:r>
      <w:r w:rsidRPr="00686CD4">
        <w:rPr>
          <w:lang w:val="fr-FR"/>
        </w:rPr>
        <w:tab/>
      </w:r>
      <w:r w:rsidRPr="00D4181A">
        <w:rPr>
          <w:lang w:val="fr-FR"/>
        </w:rPr>
        <w:t>Le personnel médical soit en mesure d</w:t>
      </w:r>
      <w:r>
        <w:rPr>
          <w:lang w:val="fr-FR"/>
        </w:rPr>
        <w:t>’</w:t>
      </w:r>
      <w:r w:rsidRPr="00D4181A">
        <w:rPr>
          <w:lang w:val="fr-FR"/>
        </w:rPr>
        <w:t>examiner les détenus hors de l</w:t>
      </w:r>
      <w:r>
        <w:rPr>
          <w:lang w:val="fr-FR"/>
        </w:rPr>
        <w:t>’</w:t>
      </w:r>
      <w:r w:rsidRPr="00D4181A">
        <w:rPr>
          <w:lang w:val="fr-FR"/>
        </w:rPr>
        <w:t xml:space="preserve">écoute et </w:t>
      </w:r>
      <w:r w:rsidR="000463EF">
        <w:rPr>
          <w:lang w:val="fr-FR"/>
        </w:rPr>
        <w:t>−</w:t>
      </w:r>
      <w:r w:rsidRPr="00D4181A">
        <w:rPr>
          <w:lang w:val="fr-FR"/>
        </w:rPr>
        <w:t xml:space="preserve"> sauf demande expresse du médecin </w:t>
      </w:r>
      <w:r w:rsidR="000463EF">
        <w:rPr>
          <w:lang w:val="fr-FR"/>
        </w:rPr>
        <w:t>−</w:t>
      </w:r>
      <w:r w:rsidRPr="00D4181A">
        <w:rPr>
          <w:lang w:val="fr-FR"/>
        </w:rPr>
        <w:t xml:space="preserve"> de la vue des policiers ou du personnel pénitentiaire</w:t>
      </w:r>
      <w:r w:rsidR="00495D0F">
        <w:rPr>
          <w:lang w:val="fr-FR"/>
        </w:rPr>
        <w:t> ;</w:t>
      </w:r>
      <w:bookmarkEnd w:id="77"/>
    </w:p>
    <w:p w:rsidR="002A7A34" w:rsidRPr="00686CD4" w:rsidRDefault="002A7A34" w:rsidP="00D322D1">
      <w:pPr>
        <w:pStyle w:val="SingleTxtG"/>
        <w:rPr>
          <w:lang w:val="fr-FR"/>
        </w:rPr>
      </w:pPr>
      <w:r w:rsidRPr="00686CD4">
        <w:rPr>
          <w:lang w:val="fr-FR"/>
        </w:rPr>
        <w:t>235.</w:t>
      </w:r>
      <w:r w:rsidRPr="00686CD4">
        <w:rPr>
          <w:lang w:val="fr-FR"/>
        </w:rPr>
        <w:tab/>
        <w:t xml:space="preserve">Ces conditions sont remplies par la </w:t>
      </w:r>
      <w:r>
        <w:rPr>
          <w:lang w:val="fr-FR"/>
        </w:rPr>
        <w:t>G</w:t>
      </w:r>
      <w:r w:rsidRPr="00686CD4">
        <w:rPr>
          <w:lang w:val="fr-FR"/>
        </w:rPr>
        <w:t>arde nationale républicaine. Voir les réponses données au paragraphe 9.</w:t>
      </w:r>
    </w:p>
    <w:p w:rsidR="002A7A34" w:rsidRPr="00686CD4" w:rsidRDefault="002A7A34" w:rsidP="00D322D1">
      <w:pPr>
        <w:pStyle w:val="H23G"/>
        <w:spacing w:after="100"/>
        <w:jc w:val="both"/>
        <w:rPr>
          <w:lang w:val="fr-FR"/>
        </w:rPr>
      </w:pPr>
      <w:r w:rsidRPr="00686CD4">
        <w:rPr>
          <w:lang w:val="fr-FR"/>
        </w:rPr>
        <w:lastRenderedPageBreak/>
        <w:tab/>
      </w:r>
      <w:bookmarkStart w:id="78" w:name="_Toc532494681"/>
      <w:r w:rsidRPr="00686CD4">
        <w:rPr>
          <w:lang w:val="fr-FR"/>
        </w:rPr>
        <w:tab/>
      </w:r>
      <w:r w:rsidRPr="00686CD4">
        <w:rPr>
          <w:lang w:val="fr-FR"/>
        </w:rPr>
        <w:tab/>
        <w:t>b)</w:t>
      </w:r>
      <w:r w:rsidRPr="00686CD4">
        <w:rPr>
          <w:lang w:val="fr-FR"/>
        </w:rPr>
        <w:tab/>
      </w:r>
      <w:r w:rsidRPr="00D4181A">
        <w:rPr>
          <w:lang w:val="fr-FR"/>
        </w:rPr>
        <w:t>Les dossiers médicaux soient mis à la disposition du prisonnier concerné et de son avocat à leur demande</w:t>
      </w:r>
      <w:r w:rsidR="00495D0F">
        <w:rPr>
          <w:lang w:val="fr-FR"/>
        </w:rPr>
        <w:t> ;</w:t>
      </w:r>
      <w:bookmarkEnd w:id="78"/>
    </w:p>
    <w:p w:rsidR="002A7A34" w:rsidRPr="00686CD4" w:rsidRDefault="002A7A34" w:rsidP="00D322D1">
      <w:pPr>
        <w:pStyle w:val="SingleTxtG"/>
        <w:spacing w:after="100"/>
        <w:rPr>
          <w:lang w:val="fr-FR"/>
        </w:rPr>
      </w:pPr>
      <w:r w:rsidRPr="00686CD4">
        <w:rPr>
          <w:lang w:val="fr-FR"/>
        </w:rPr>
        <w:t>236.</w:t>
      </w:r>
      <w:r w:rsidRPr="00686CD4">
        <w:rPr>
          <w:lang w:val="fr-FR"/>
        </w:rPr>
        <w:tab/>
        <w:t xml:space="preserve">Cette recommandation est pleinement respectée. </w:t>
      </w:r>
    </w:p>
    <w:p w:rsidR="002A7A34" w:rsidRPr="00686CD4" w:rsidRDefault="002A7A34" w:rsidP="00D322D1">
      <w:pPr>
        <w:pStyle w:val="SingleTxtG"/>
        <w:spacing w:after="100"/>
        <w:rPr>
          <w:lang w:val="fr-FR"/>
        </w:rPr>
      </w:pPr>
      <w:r w:rsidRPr="00686CD4">
        <w:rPr>
          <w:lang w:val="fr-FR"/>
        </w:rPr>
        <w:t>237.</w:t>
      </w:r>
      <w:r w:rsidRPr="00686CD4">
        <w:rPr>
          <w:lang w:val="fr-FR"/>
        </w:rPr>
        <w:tab/>
        <w:t xml:space="preserve">Le </w:t>
      </w:r>
      <w:r>
        <w:rPr>
          <w:lang w:val="fr-FR"/>
        </w:rPr>
        <w:t>M</w:t>
      </w:r>
      <w:r w:rsidRPr="00686CD4">
        <w:rPr>
          <w:lang w:val="fr-FR"/>
        </w:rPr>
        <w:t>anuel des procédures pour la prestation des soins de santé (2009) dispose qu</w:t>
      </w:r>
      <w:r>
        <w:rPr>
          <w:lang w:val="fr-FR"/>
        </w:rPr>
        <w:t>’</w:t>
      </w:r>
      <w:r w:rsidRPr="00686CD4">
        <w:rPr>
          <w:lang w:val="fr-FR"/>
        </w:rPr>
        <w:t xml:space="preserve">il importe de collecter </w:t>
      </w:r>
      <w:r>
        <w:rPr>
          <w:lang w:val="fr-FR"/>
        </w:rPr>
        <w:t>et de traiter d</w:t>
      </w:r>
      <w:r w:rsidRPr="00686CD4">
        <w:rPr>
          <w:lang w:val="fr-FR"/>
        </w:rPr>
        <w:t xml:space="preserve">es données </w:t>
      </w:r>
      <w:r>
        <w:rPr>
          <w:lang w:val="fr-FR"/>
        </w:rPr>
        <w:t xml:space="preserve">pour les </w:t>
      </w:r>
      <w:r w:rsidRPr="00686CD4">
        <w:rPr>
          <w:lang w:val="fr-FR"/>
        </w:rPr>
        <w:t>indicateurs de santé dans les prisons (points</w:t>
      </w:r>
      <w:r>
        <w:rPr>
          <w:lang w:val="fr-FR"/>
        </w:rPr>
        <w:t> </w:t>
      </w:r>
      <w:r w:rsidRPr="00686CD4">
        <w:rPr>
          <w:lang w:val="fr-FR"/>
        </w:rPr>
        <w:t>53 et</w:t>
      </w:r>
      <w:r>
        <w:rPr>
          <w:lang w:val="fr-FR"/>
        </w:rPr>
        <w:t> </w:t>
      </w:r>
      <w:r w:rsidRPr="00686CD4">
        <w:rPr>
          <w:lang w:val="fr-FR"/>
        </w:rPr>
        <w:t>54).</w:t>
      </w:r>
    </w:p>
    <w:p w:rsidR="002A7A34" w:rsidRPr="00686CD4" w:rsidRDefault="002A7A34" w:rsidP="00D322D1">
      <w:pPr>
        <w:pStyle w:val="SingleTxtG"/>
        <w:spacing w:after="100"/>
        <w:rPr>
          <w:lang w:val="fr-FR"/>
        </w:rPr>
      </w:pPr>
      <w:r w:rsidRPr="00686CD4">
        <w:rPr>
          <w:lang w:val="fr-FR"/>
        </w:rPr>
        <w:t>238.</w:t>
      </w:r>
      <w:r w:rsidRPr="00686CD4">
        <w:rPr>
          <w:lang w:val="fr-FR"/>
        </w:rPr>
        <w:tab/>
        <w:t>Les points</w:t>
      </w:r>
      <w:r>
        <w:rPr>
          <w:lang w:val="fr-FR"/>
        </w:rPr>
        <w:t> </w:t>
      </w:r>
      <w:r w:rsidRPr="00686CD4">
        <w:rPr>
          <w:lang w:val="fr-FR"/>
        </w:rPr>
        <w:t>55, 56 et</w:t>
      </w:r>
      <w:r>
        <w:rPr>
          <w:lang w:val="fr-FR"/>
        </w:rPr>
        <w:t> </w:t>
      </w:r>
      <w:r w:rsidRPr="00686CD4">
        <w:rPr>
          <w:lang w:val="fr-FR"/>
        </w:rPr>
        <w:t xml:space="preserve">57 </w:t>
      </w:r>
      <w:r>
        <w:rPr>
          <w:lang w:val="fr-FR"/>
        </w:rPr>
        <w:t xml:space="preserve">du Manuel </w:t>
      </w:r>
      <w:r w:rsidRPr="00686CD4">
        <w:rPr>
          <w:lang w:val="fr-FR"/>
        </w:rPr>
        <w:t xml:space="preserve">définissent ce en quoi consiste un dossier </w:t>
      </w:r>
      <w:r>
        <w:rPr>
          <w:lang w:val="fr-FR"/>
        </w:rPr>
        <w:t>médical</w:t>
      </w:r>
      <w:r w:rsidRPr="00686CD4">
        <w:rPr>
          <w:lang w:val="fr-FR"/>
        </w:rPr>
        <w:t xml:space="preserve"> personnel et précise</w:t>
      </w:r>
      <w:r>
        <w:rPr>
          <w:lang w:val="fr-FR"/>
        </w:rPr>
        <w:t>nt</w:t>
      </w:r>
      <w:r w:rsidRPr="00686CD4">
        <w:rPr>
          <w:lang w:val="fr-FR"/>
        </w:rPr>
        <w:t xml:space="preserve"> que tous les contacts d</w:t>
      </w:r>
      <w:r>
        <w:rPr>
          <w:lang w:val="fr-FR"/>
        </w:rPr>
        <w:t>’</w:t>
      </w:r>
      <w:r w:rsidRPr="00686CD4">
        <w:rPr>
          <w:lang w:val="fr-FR"/>
        </w:rPr>
        <w:t>un détenu avec les services médicaux doivent être enregistrés et consigné</w:t>
      </w:r>
      <w:r>
        <w:rPr>
          <w:lang w:val="fr-FR"/>
        </w:rPr>
        <w:t>s</w:t>
      </w:r>
      <w:r w:rsidRPr="00686CD4">
        <w:rPr>
          <w:lang w:val="fr-FR"/>
        </w:rPr>
        <w:t xml:space="preserve"> dans ce dossier. Les points 62 et 63 indiquent qui a accès aux informations </w:t>
      </w:r>
      <w:r>
        <w:rPr>
          <w:lang w:val="fr-FR"/>
        </w:rPr>
        <w:t xml:space="preserve">d’ordre </w:t>
      </w:r>
      <w:r w:rsidRPr="00686CD4">
        <w:rPr>
          <w:lang w:val="fr-FR"/>
        </w:rPr>
        <w:t>médical tandis que les points</w:t>
      </w:r>
      <w:r>
        <w:rPr>
          <w:lang w:val="fr-FR"/>
        </w:rPr>
        <w:t> </w:t>
      </w:r>
      <w:r w:rsidRPr="00686CD4">
        <w:rPr>
          <w:lang w:val="fr-FR"/>
        </w:rPr>
        <w:t xml:space="preserve">168 à 171 </w:t>
      </w:r>
      <w:r>
        <w:rPr>
          <w:lang w:val="fr-FR"/>
        </w:rPr>
        <w:t xml:space="preserve">établissent </w:t>
      </w:r>
      <w:r w:rsidRPr="00686CD4">
        <w:rPr>
          <w:lang w:val="fr-FR"/>
        </w:rPr>
        <w:t xml:space="preserve">qui peut avoir accès à ces informations et de quelle manière, </w:t>
      </w:r>
      <w:r>
        <w:rPr>
          <w:lang w:val="fr-FR"/>
        </w:rPr>
        <w:t>par exemple</w:t>
      </w:r>
      <w:r w:rsidRPr="00686CD4">
        <w:rPr>
          <w:lang w:val="fr-FR"/>
        </w:rPr>
        <w:t>, ainsi que recommandé, les représentants juridiques du détenu, les tribunaux et les organisations internationales compétentes.</w:t>
      </w:r>
    </w:p>
    <w:p w:rsidR="002A7A34" w:rsidRPr="00686CD4" w:rsidRDefault="002A7A34" w:rsidP="00D322D1">
      <w:pPr>
        <w:pStyle w:val="H23G"/>
        <w:spacing w:after="100"/>
        <w:jc w:val="both"/>
        <w:rPr>
          <w:lang w:val="fr-FR"/>
        </w:rPr>
      </w:pPr>
      <w:r w:rsidRPr="00686CD4">
        <w:rPr>
          <w:lang w:val="fr-FR"/>
        </w:rPr>
        <w:tab/>
      </w:r>
      <w:bookmarkStart w:id="79" w:name="_Toc532494682"/>
      <w:r w:rsidRPr="00686CD4">
        <w:rPr>
          <w:lang w:val="fr-FR"/>
        </w:rPr>
        <w:tab/>
      </w:r>
      <w:r w:rsidRPr="00686CD4">
        <w:rPr>
          <w:lang w:val="fr-FR"/>
        </w:rPr>
        <w:tab/>
        <w:t>c)</w:t>
      </w:r>
      <w:r w:rsidRPr="00686CD4">
        <w:rPr>
          <w:lang w:val="fr-FR"/>
        </w:rPr>
        <w:tab/>
      </w:r>
      <w:r w:rsidRPr="00D4181A">
        <w:rPr>
          <w:lang w:val="fr-FR"/>
        </w:rPr>
        <w:t>Les lésions constatées par le personnel médical pendant l</w:t>
      </w:r>
      <w:r>
        <w:rPr>
          <w:lang w:val="fr-FR"/>
        </w:rPr>
        <w:t>’</w:t>
      </w:r>
      <w:r w:rsidRPr="00D4181A">
        <w:rPr>
          <w:lang w:val="fr-FR"/>
        </w:rPr>
        <w:t>examen médical des prisonniers au moment de leur admission ou par la suite soient dûment consignées, ainsi que toute information sur la concordance entre les allégations faites et les lésions observées</w:t>
      </w:r>
      <w:r w:rsidR="00495D0F">
        <w:rPr>
          <w:lang w:val="fr-FR"/>
        </w:rPr>
        <w:t> ;</w:t>
      </w:r>
      <w:bookmarkEnd w:id="79"/>
    </w:p>
    <w:p w:rsidR="002A7A34" w:rsidRPr="00686CD4" w:rsidRDefault="002A7A34" w:rsidP="00D322D1">
      <w:pPr>
        <w:pStyle w:val="SingleTxtG"/>
        <w:spacing w:after="100"/>
        <w:rPr>
          <w:lang w:val="fr-FR"/>
        </w:rPr>
      </w:pPr>
      <w:r w:rsidRPr="00686CD4">
        <w:rPr>
          <w:lang w:val="fr-FR"/>
        </w:rPr>
        <w:t>239.</w:t>
      </w:r>
      <w:r w:rsidRPr="00686CD4">
        <w:rPr>
          <w:lang w:val="fr-FR"/>
        </w:rPr>
        <w:tab/>
        <w:t>Toutes les blessures corporelles détectées lors de l</w:t>
      </w:r>
      <w:r>
        <w:rPr>
          <w:lang w:val="fr-FR"/>
        </w:rPr>
        <w:t>’</w:t>
      </w:r>
      <w:r w:rsidRPr="00686CD4">
        <w:rPr>
          <w:lang w:val="fr-FR"/>
        </w:rPr>
        <w:t>examen effectué au moment de l</w:t>
      </w:r>
      <w:r>
        <w:rPr>
          <w:lang w:val="fr-FR"/>
        </w:rPr>
        <w:t>’</w:t>
      </w:r>
      <w:r w:rsidRPr="00686CD4">
        <w:rPr>
          <w:lang w:val="fr-FR"/>
        </w:rPr>
        <w:t>admission d</w:t>
      </w:r>
      <w:r>
        <w:rPr>
          <w:lang w:val="fr-FR"/>
        </w:rPr>
        <w:t>’</w:t>
      </w:r>
      <w:r w:rsidRPr="00686CD4">
        <w:rPr>
          <w:lang w:val="fr-FR"/>
        </w:rPr>
        <w:t xml:space="preserve">un prisonnier dans un établissement pénitentiaire doivent être directement communiquées par la </w:t>
      </w:r>
      <w:r w:rsidRPr="00D4181A">
        <w:rPr>
          <w:lang w:val="fr-FR"/>
        </w:rPr>
        <w:t>Direction générale de la réinsertion et des services pénitentiaires</w:t>
      </w:r>
      <w:r w:rsidRPr="00686CD4">
        <w:rPr>
          <w:lang w:val="fr-FR"/>
        </w:rPr>
        <w:t xml:space="preserve"> à l</w:t>
      </w:r>
      <w:r>
        <w:rPr>
          <w:lang w:val="fr-FR"/>
        </w:rPr>
        <w:t>’Inspection générale de l’administration interne</w:t>
      </w:r>
      <w:r w:rsidRPr="00686CD4">
        <w:rPr>
          <w:lang w:val="fr-FR"/>
        </w:rPr>
        <w:t xml:space="preserve"> (pour les personnes détenues par la </w:t>
      </w:r>
      <w:r>
        <w:rPr>
          <w:lang w:val="fr-FR"/>
        </w:rPr>
        <w:t>P</w:t>
      </w:r>
      <w:r w:rsidRPr="00686CD4">
        <w:rPr>
          <w:lang w:val="fr-FR"/>
        </w:rPr>
        <w:t xml:space="preserve">olice de sécurité publique ou la </w:t>
      </w:r>
      <w:r>
        <w:rPr>
          <w:lang w:val="fr-FR"/>
        </w:rPr>
        <w:t>G</w:t>
      </w:r>
      <w:r w:rsidRPr="00686CD4">
        <w:rPr>
          <w:lang w:val="fr-FR"/>
        </w:rPr>
        <w:t>arde nationale républicaine) ou à l</w:t>
      </w:r>
      <w:r>
        <w:rPr>
          <w:lang w:val="fr-FR"/>
        </w:rPr>
        <w:t>’Inspection générale des services judiciaires</w:t>
      </w:r>
      <w:r w:rsidRPr="00686CD4">
        <w:rPr>
          <w:lang w:val="fr-FR"/>
        </w:rPr>
        <w:t xml:space="preserve"> (pour les personnes détenues par la </w:t>
      </w:r>
      <w:r>
        <w:rPr>
          <w:lang w:val="fr-FR"/>
        </w:rPr>
        <w:t>P</w:t>
      </w:r>
      <w:r w:rsidRPr="00686CD4">
        <w:rPr>
          <w:lang w:val="fr-FR"/>
        </w:rPr>
        <w:t>olice judiciaire) pour analyse et enquête.</w:t>
      </w:r>
    </w:p>
    <w:p w:rsidR="002A7A34" w:rsidRPr="00686CD4" w:rsidRDefault="002A7A34" w:rsidP="00D322D1">
      <w:pPr>
        <w:pStyle w:val="SingleTxtG"/>
        <w:spacing w:after="100"/>
        <w:rPr>
          <w:lang w:val="fr-FR"/>
        </w:rPr>
      </w:pPr>
      <w:r w:rsidRPr="00686CD4">
        <w:rPr>
          <w:lang w:val="fr-FR"/>
        </w:rPr>
        <w:t>240.</w:t>
      </w:r>
      <w:r w:rsidRPr="00686CD4">
        <w:rPr>
          <w:lang w:val="fr-FR"/>
        </w:rPr>
        <w:tab/>
      </w:r>
      <w:r>
        <w:rPr>
          <w:lang w:val="fr-FR"/>
        </w:rPr>
        <w:t>L</w:t>
      </w:r>
      <w:r w:rsidRPr="00686CD4">
        <w:rPr>
          <w:lang w:val="fr-FR"/>
        </w:rPr>
        <w:t xml:space="preserve">a circulaire </w:t>
      </w:r>
      <w:r w:rsidR="00D322D1" w:rsidRPr="00553571">
        <w:rPr>
          <w:rFonts w:eastAsia="MS Mincho"/>
          <w:lang w:val="fr-FR"/>
        </w:rPr>
        <w:t>n</w:t>
      </w:r>
      <w:r w:rsidR="00D322D1" w:rsidRPr="00553571">
        <w:rPr>
          <w:rFonts w:eastAsia="MS Mincho"/>
          <w:vertAlign w:val="superscript"/>
          <w:lang w:val="fr-FR"/>
        </w:rPr>
        <w:t>o</w:t>
      </w:r>
      <w:r w:rsidR="00D322D1">
        <w:rPr>
          <w:lang w:val="fr-FR"/>
        </w:rPr>
        <w:t> </w:t>
      </w:r>
      <w:r w:rsidRPr="00686CD4">
        <w:rPr>
          <w:lang w:val="fr-FR"/>
        </w:rPr>
        <w:t xml:space="preserve">4/2016/SAI </w:t>
      </w:r>
      <w:r>
        <w:rPr>
          <w:lang w:val="fr-FR"/>
        </w:rPr>
        <w:t xml:space="preserve">du </w:t>
      </w:r>
      <w:r w:rsidRPr="00686CD4">
        <w:rPr>
          <w:lang w:val="fr-FR"/>
        </w:rPr>
        <w:t>8</w:t>
      </w:r>
      <w:r>
        <w:rPr>
          <w:lang w:val="fr-FR"/>
        </w:rPr>
        <w:t> </w:t>
      </w:r>
      <w:r w:rsidRPr="00686CD4">
        <w:rPr>
          <w:lang w:val="fr-FR"/>
        </w:rPr>
        <w:t xml:space="preserve">novembre 2016, </w:t>
      </w:r>
      <w:r>
        <w:rPr>
          <w:lang w:val="fr-FR"/>
        </w:rPr>
        <w:t xml:space="preserve">qui </w:t>
      </w:r>
      <w:r w:rsidRPr="00686CD4">
        <w:rPr>
          <w:lang w:val="fr-FR"/>
        </w:rPr>
        <w:t>énonce les instructions relatives aux procédures à suivre en cas de recours à des moyens de co</w:t>
      </w:r>
      <w:r>
        <w:rPr>
          <w:lang w:val="fr-FR"/>
        </w:rPr>
        <w:t>ntrainte</w:t>
      </w:r>
      <w:r w:rsidRPr="00686CD4">
        <w:rPr>
          <w:lang w:val="fr-FR"/>
        </w:rPr>
        <w:t xml:space="preserve"> </w:t>
      </w:r>
      <w:r>
        <w:rPr>
          <w:lang w:val="fr-FR"/>
        </w:rPr>
        <w:t xml:space="preserve">a été complétée par la </w:t>
      </w:r>
      <w:r w:rsidRPr="00686CD4">
        <w:rPr>
          <w:lang w:val="fr-FR"/>
        </w:rPr>
        <w:t xml:space="preserve">circulaire </w:t>
      </w:r>
      <w:r w:rsidR="00D322D1" w:rsidRPr="00553571">
        <w:rPr>
          <w:rFonts w:eastAsia="MS Mincho"/>
          <w:lang w:val="fr-FR"/>
        </w:rPr>
        <w:t>n</w:t>
      </w:r>
      <w:r w:rsidR="00D322D1" w:rsidRPr="00553571">
        <w:rPr>
          <w:rFonts w:eastAsia="MS Mincho"/>
          <w:vertAlign w:val="superscript"/>
          <w:lang w:val="fr-FR"/>
        </w:rPr>
        <w:t>o</w:t>
      </w:r>
      <w:r w:rsidR="00D322D1">
        <w:rPr>
          <w:lang w:val="fr-FR"/>
        </w:rPr>
        <w:t> </w:t>
      </w:r>
      <w:r w:rsidRPr="00686CD4">
        <w:rPr>
          <w:lang w:val="fr-FR"/>
        </w:rPr>
        <w:t>1/2017 du 26</w:t>
      </w:r>
      <w:r>
        <w:rPr>
          <w:lang w:val="fr-FR"/>
        </w:rPr>
        <w:t> </w:t>
      </w:r>
      <w:r w:rsidRPr="00686CD4">
        <w:rPr>
          <w:lang w:val="fr-FR"/>
        </w:rPr>
        <w:t xml:space="preserve">janvier qui améliore les mécanismes </w:t>
      </w:r>
      <w:r>
        <w:rPr>
          <w:lang w:val="fr-FR"/>
        </w:rPr>
        <w:t xml:space="preserve">de </w:t>
      </w:r>
      <w:r w:rsidRPr="00686CD4">
        <w:rPr>
          <w:lang w:val="fr-FR"/>
        </w:rPr>
        <w:t>détection d</w:t>
      </w:r>
      <w:r>
        <w:rPr>
          <w:lang w:val="fr-FR"/>
        </w:rPr>
        <w:t>’</w:t>
      </w:r>
      <w:r w:rsidRPr="00686CD4">
        <w:rPr>
          <w:lang w:val="fr-FR"/>
        </w:rPr>
        <w:t>actes de torture ou de traitement</w:t>
      </w:r>
      <w:r>
        <w:rPr>
          <w:lang w:val="fr-FR"/>
        </w:rPr>
        <w:t>s</w:t>
      </w:r>
      <w:r w:rsidRPr="00686CD4">
        <w:rPr>
          <w:lang w:val="fr-FR"/>
        </w:rPr>
        <w:t xml:space="preserve"> cruel</w:t>
      </w:r>
      <w:r>
        <w:rPr>
          <w:lang w:val="fr-FR"/>
        </w:rPr>
        <w:t>s</w:t>
      </w:r>
      <w:r w:rsidRPr="00686CD4">
        <w:rPr>
          <w:lang w:val="fr-FR"/>
        </w:rPr>
        <w:t>, en particulier dans le cadre de l</w:t>
      </w:r>
      <w:r>
        <w:rPr>
          <w:lang w:val="fr-FR"/>
        </w:rPr>
        <w:t>’</w:t>
      </w:r>
      <w:r w:rsidRPr="00686CD4">
        <w:rPr>
          <w:lang w:val="fr-FR"/>
        </w:rPr>
        <w:t>examen médical obligatoire.</w:t>
      </w:r>
    </w:p>
    <w:p w:rsidR="002A7A34" w:rsidRPr="00686CD4" w:rsidRDefault="002A7A34" w:rsidP="00D322D1">
      <w:pPr>
        <w:pStyle w:val="SingleTxtG"/>
        <w:spacing w:after="100"/>
        <w:rPr>
          <w:lang w:val="fr-FR"/>
        </w:rPr>
      </w:pPr>
      <w:r w:rsidRPr="00686CD4">
        <w:rPr>
          <w:lang w:val="fr-FR"/>
        </w:rPr>
        <w:t>241.</w:t>
      </w:r>
      <w:r w:rsidRPr="00686CD4">
        <w:rPr>
          <w:lang w:val="fr-FR"/>
        </w:rPr>
        <w:tab/>
        <w:t xml:space="preserve">Les procédures du </w:t>
      </w:r>
      <w:r>
        <w:rPr>
          <w:lang w:val="fr-FR"/>
        </w:rPr>
        <w:t>S</w:t>
      </w:r>
      <w:r w:rsidRPr="00686CD4">
        <w:rPr>
          <w:lang w:val="fr-FR"/>
        </w:rPr>
        <w:t xml:space="preserve">ervice de santé national </w:t>
      </w:r>
      <w:r>
        <w:rPr>
          <w:lang w:val="fr-FR"/>
        </w:rPr>
        <w:t xml:space="preserve">indiquées </w:t>
      </w:r>
      <w:r w:rsidRPr="00686CD4">
        <w:rPr>
          <w:lang w:val="fr-FR"/>
        </w:rPr>
        <w:t xml:space="preserve">dans le </w:t>
      </w:r>
      <w:r>
        <w:rPr>
          <w:lang w:val="fr-FR"/>
        </w:rPr>
        <w:t>G</w:t>
      </w:r>
      <w:r w:rsidRPr="00686CD4">
        <w:rPr>
          <w:lang w:val="fr-FR"/>
        </w:rPr>
        <w:t>uide de référence technique sur les méthodes à suivre, les diagnostics et les interventions en cas de violence interpersonnelle sont conformes à cette recommandation.</w:t>
      </w:r>
    </w:p>
    <w:p w:rsidR="002A7A34" w:rsidRPr="00686CD4" w:rsidRDefault="002A7A34" w:rsidP="00D322D1">
      <w:pPr>
        <w:pStyle w:val="H23G"/>
        <w:spacing w:after="100"/>
        <w:jc w:val="both"/>
        <w:rPr>
          <w:lang w:val="fr-FR"/>
        </w:rPr>
      </w:pPr>
      <w:r w:rsidRPr="00686CD4">
        <w:rPr>
          <w:lang w:val="fr-FR"/>
        </w:rPr>
        <w:tab/>
      </w:r>
      <w:bookmarkStart w:id="80" w:name="_Toc532494683"/>
      <w:r w:rsidRPr="00686CD4">
        <w:rPr>
          <w:lang w:val="fr-FR"/>
        </w:rPr>
        <w:tab/>
      </w:r>
      <w:r w:rsidRPr="00686CD4">
        <w:rPr>
          <w:lang w:val="fr-FR"/>
        </w:rPr>
        <w:tab/>
        <w:t>d)</w:t>
      </w:r>
      <w:r w:rsidRPr="00686CD4">
        <w:rPr>
          <w:lang w:val="fr-FR"/>
        </w:rPr>
        <w:tab/>
      </w:r>
      <w:r w:rsidRPr="009C5B2E">
        <w:rPr>
          <w:lang w:val="fr-FR"/>
        </w:rPr>
        <w:t>Le personnel médical puisse rendre compte en toute confidentialité de signes de torture au juge de contrôle, au procureur et au service d</w:t>
      </w:r>
      <w:r>
        <w:rPr>
          <w:lang w:val="fr-FR"/>
        </w:rPr>
        <w:t>’</w:t>
      </w:r>
      <w:r w:rsidRPr="009C5B2E">
        <w:rPr>
          <w:lang w:val="fr-FR"/>
        </w:rPr>
        <w:t>inspection des prisons</w:t>
      </w:r>
      <w:r w:rsidRPr="00686CD4">
        <w:rPr>
          <w:lang w:val="fr-FR"/>
        </w:rPr>
        <w:t>.</w:t>
      </w:r>
      <w:bookmarkEnd w:id="80"/>
    </w:p>
    <w:p w:rsidR="002A7A34" w:rsidRPr="00686CD4" w:rsidRDefault="002A7A34" w:rsidP="00D322D1">
      <w:pPr>
        <w:pStyle w:val="SingleTxtG"/>
        <w:spacing w:after="100"/>
        <w:rPr>
          <w:lang w:val="fr-FR"/>
        </w:rPr>
      </w:pPr>
      <w:r w:rsidRPr="00686CD4">
        <w:rPr>
          <w:lang w:val="fr-FR"/>
        </w:rPr>
        <w:t>242.</w:t>
      </w:r>
      <w:r w:rsidRPr="00686CD4">
        <w:rPr>
          <w:lang w:val="fr-FR"/>
        </w:rPr>
        <w:tab/>
        <w:t>Voir la réponse donnée au paragraphe</w:t>
      </w:r>
      <w:r>
        <w:rPr>
          <w:lang w:val="fr-FR"/>
        </w:rPr>
        <w:t> </w:t>
      </w:r>
      <w:r w:rsidRPr="00686CD4">
        <w:rPr>
          <w:lang w:val="fr-FR"/>
        </w:rPr>
        <w:t>17</w:t>
      </w:r>
      <w:r w:rsidR="008817F2">
        <w:rPr>
          <w:lang w:val="fr-FR"/>
        </w:rPr>
        <w:t> </w:t>
      </w:r>
      <w:r w:rsidRPr="00686CD4">
        <w:rPr>
          <w:lang w:val="fr-FR"/>
        </w:rPr>
        <w:t xml:space="preserve">c). </w:t>
      </w:r>
    </w:p>
    <w:p w:rsidR="002A7A34" w:rsidRPr="00686CD4" w:rsidRDefault="002A7A34" w:rsidP="00D322D1">
      <w:pPr>
        <w:pStyle w:val="H23G"/>
        <w:spacing w:after="100"/>
        <w:jc w:val="both"/>
        <w:rPr>
          <w:lang w:val="fr-FR"/>
        </w:rPr>
      </w:pPr>
      <w:r>
        <w:rPr>
          <w:lang w:val="fr-FR"/>
        </w:rPr>
        <w:tab/>
      </w:r>
      <w:r w:rsidRPr="00686CD4">
        <w:rPr>
          <w:lang w:val="fr-FR"/>
        </w:rPr>
        <w:t>18.</w:t>
      </w:r>
      <w:r w:rsidRPr="00686CD4">
        <w:rPr>
          <w:lang w:val="fr-FR"/>
        </w:rPr>
        <w:tab/>
      </w:r>
      <w:r w:rsidRPr="009C5B2E">
        <w:rPr>
          <w:lang w:val="fr-FR"/>
        </w:rPr>
        <w:t>Compte tenu des précédentes observations finales du Comité (par.</w:t>
      </w:r>
      <w:r w:rsidR="00D322D1">
        <w:rPr>
          <w:lang w:val="fr-FR"/>
        </w:rPr>
        <w:t> </w:t>
      </w:r>
      <w:r w:rsidRPr="009C5B2E">
        <w:rPr>
          <w:lang w:val="fr-FR"/>
        </w:rPr>
        <w:t>10), donner des informations sur</w:t>
      </w:r>
      <w:r w:rsidR="00495D0F">
        <w:rPr>
          <w:lang w:val="fr-FR"/>
        </w:rPr>
        <w:t> :</w:t>
      </w:r>
      <w:bookmarkStart w:id="81" w:name="_Toc532494684"/>
      <w:bookmarkEnd w:id="81"/>
    </w:p>
    <w:p w:rsidR="002A7A34" w:rsidRPr="00686CD4" w:rsidRDefault="002A7A34" w:rsidP="00D322D1">
      <w:pPr>
        <w:pStyle w:val="H23G"/>
        <w:spacing w:after="100"/>
        <w:jc w:val="both"/>
        <w:rPr>
          <w:lang w:val="fr-FR"/>
        </w:rPr>
      </w:pPr>
      <w:r w:rsidRPr="00686CD4">
        <w:rPr>
          <w:lang w:val="fr-FR"/>
        </w:rPr>
        <w:tab/>
      </w:r>
      <w:bookmarkStart w:id="82" w:name="_Toc532494685"/>
      <w:r w:rsidRPr="00686CD4">
        <w:rPr>
          <w:lang w:val="fr-FR"/>
        </w:rPr>
        <w:tab/>
      </w:r>
      <w:r w:rsidRPr="00686CD4">
        <w:rPr>
          <w:lang w:val="fr-FR"/>
        </w:rPr>
        <w:tab/>
        <w:t>a)</w:t>
      </w:r>
      <w:r w:rsidRPr="00686CD4">
        <w:rPr>
          <w:lang w:val="fr-FR"/>
        </w:rPr>
        <w:tab/>
      </w:r>
      <w:r w:rsidRPr="009C5B2E">
        <w:rPr>
          <w:lang w:val="fr-FR"/>
        </w:rPr>
        <w:t>Les mesures prises pour mettre en place un mécanisme central et indépendant chargé de recevoir les plaintes pour torture ou mauvais traitements infligés par des fonctionnaires qui soit accessible dans tous les lieux de détention, en particulier les prisons, et pour établir un registre centralisé des plaintes regroupant les informations sur les enquêtes correspondantes, les licenciements, les procès engagés, les procédures pénales et disciplinaires imposées et les mesures de protection accordées</w:t>
      </w:r>
      <w:r w:rsidR="00495D0F">
        <w:rPr>
          <w:lang w:val="fr-FR"/>
        </w:rPr>
        <w:t> ;</w:t>
      </w:r>
      <w:bookmarkEnd w:id="82"/>
    </w:p>
    <w:p w:rsidR="002A7A34" w:rsidRPr="00686CD4" w:rsidRDefault="002A7A34" w:rsidP="00D322D1">
      <w:pPr>
        <w:pStyle w:val="SingleTxtG"/>
        <w:spacing w:after="100"/>
        <w:rPr>
          <w:lang w:val="fr-FR"/>
        </w:rPr>
      </w:pPr>
      <w:r w:rsidRPr="00686CD4">
        <w:rPr>
          <w:lang w:val="fr-FR"/>
        </w:rPr>
        <w:t>243.</w:t>
      </w:r>
      <w:r w:rsidRPr="00686CD4">
        <w:rPr>
          <w:lang w:val="fr-FR"/>
        </w:rPr>
        <w:tab/>
        <w:t xml:space="preserve">Un projet </w:t>
      </w:r>
      <w:r>
        <w:rPr>
          <w:lang w:val="fr-FR"/>
        </w:rPr>
        <w:t xml:space="preserve">concernant un </w:t>
      </w:r>
      <w:r w:rsidRPr="00686CD4">
        <w:rPr>
          <w:lang w:val="fr-FR"/>
        </w:rPr>
        <w:t xml:space="preserve">nouveau système de plainte </w:t>
      </w:r>
      <w:r>
        <w:rPr>
          <w:lang w:val="fr-FR"/>
        </w:rPr>
        <w:t xml:space="preserve">devant être utilisé dans </w:t>
      </w:r>
      <w:r w:rsidRPr="00686CD4">
        <w:rPr>
          <w:lang w:val="fr-FR"/>
        </w:rPr>
        <w:t xml:space="preserve">le système </w:t>
      </w:r>
      <w:r>
        <w:rPr>
          <w:lang w:val="fr-FR"/>
        </w:rPr>
        <w:t xml:space="preserve">carcéral </w:t>
      </w:r>
      <w:r w:rsidRPr="00686CD4">
        <w:rPr>
          <w:lang w:val="fr-FR"/>
        </w:rPr>
        <w:t xml:space="preserve">portugais a été préparé par le </w:t>
      </w:r>
      <w:r>
        <w:rPr>
          <w:lang w:val="fr-FR"/>
        </w:rPr>
        <w:t>S</w:t>
      </w:r>
      <w:r w:rsidRPr="00686CD4">
        <w:rPr>
          <w:lang w:val="fr-FR"/>
        </w:rPr>
        <w:t>ervice d</w:t>
      </w:r>
      <w:r>
        <w:rPr>
          <w:lang w:val="fr-FR"/>
        </w:rPr>
        <w:t>’</w:t>
      </w:r>
      <w:r w:rsidRPr="00686CD4">
        <w:rPr>
          <w:lang w:val="fr-FR"/>
        </w:rPr>
        <w:t>audit et d</w:t>
      </w:r>
      <w:r>
        <w:rPr>
          <w:lang w:val="fr-FR"/>
        </w:rPr>
        <w:t>’</w:t>
      </w:r>
      <w:r w:rsidRPr="00686CD4">
        <w:rPr>
          <w:lang w:val="fr-FR"/>
        </w:rPr>
        <w:t xml:space="preserve">inspection. Le nouveau </w:t>
      </w:r>
      <w:r>
        <w:rPr>
          <w:lang w:val="fr-FR"/>
        </w:rPr>
        <w:t xml:space="preserve">dispositif </w:t>
      </w:r>
      <w:r w:rsidRPr="00686CD4">
        <w:rPr>
          <w:lang w:val="fr-FR"/>
        </w:rPr>
        <w:t>permettr</w:t>
      </w:r>
      <w:r>
        <w:rPr>
          <w:lang w:val="fr-FR"/>
        </w:rPr>
        <w:t>a</w:t>
      </w:r>
      <w:r w:rsidRPr="00686CD4">
        <w:rPr>
          <w:lang w:val="fr-FR"/>
        </w:rPr>
        <w:t xml:space="preserve"> aux détenus d</w:t>
      </w:r>
      <w:r>
        <w:rPr>
          <w:lang w:val="fr-FR"/>
        </w:rPr>
        <w:t>’</w:t>
      </w:r>
      <w:r w:rsidRPr="00686CD4">
        <w:rPr>
          <w:lang w:val="fr-FR"/>
        </w:rPr>
        <w:t xml:space="preserve">obtenir des informations </w:t>
      </w:r>
      <w:r>
        <w:rPr>
          <w:lang w:val="fr-FR"/>
        </w:rPr>
        <w:t xml:space="preserve">et de soumettre des </w:t>
      </w:r>
      <w:r w:rsidRPr="00686CD4">
        <w:rPr>
          <w:lang w:val="fr-FR"/>
        </w:rPr>
        <w:t>plaintes. L</w:t>
      </w:r>
      <w:r>
        <w:rPr>
          <w:lang w:val="fr-FR"/>
        </w:rPr>
        <w:t>’</w:t>
      </w:r>
      <w:r w:rsidRPr="00686CD4">
        <w:rPr>
          <w:lang w:val="fr-FR"/>
        </w:rPr>
        <w:t>obligation d</w:t>
      </w:r>
      <w:r>
        <w:rPr>
          <w:lang w:val="fr-FR"/>
        </w:rPr>
        <w:t>’</w:t>
      </w:r>
      <w:r w:rsidRPr="00686CD4">
        <w:rPr>
          <w:lang w:val="fr-FR"/>
        </w:rPr>
        <w:t>informer les détenus par écrit de leurs droits et de leur</w:t>
      </w:r>
      <w:r>
        <w:rPr>
          <w:lang w:val="fr-FR"/>
        </w:rPr>
        <w:t>s devoirs</w:t>
      </w:r>
      <w:r w:rsidRPr="00686CD4">
        <w:rPr>
          <w:lang w:val="fr-FR"/>
        </w:rPr>
        <w:t>, y compris le droit de porter plainte</w:t>
      </w:r>
      <w:r>
        <w:rPr>
          <w:lang w:val="fr-FR"/>
        </w:rPr>
        <w:t>,</w:t>
      </w:r>
      <w:r w:rsidRPr="00686CD4">
        <w:rPr>
          <w:lang w:val="fr-FR"/>
        </w:rPr>
        <w:t xml:space="preserve"> est également garantie. Les détenus illettrés de même que les très jeunes doivent être informés oralement dans une langue qu</w:t>
      </w:r>
      <w:r>
        <w:rPr>
          <w:lang w:val="fr-FR"/>
        </w:rPr>
        <w:t>’</w:t>
      </w:r>
      <w:r w:rsidRPr="00686CD4">
        <w:rPr>
          <w:lang w:val="fr-FR"/>
        </w:rPr>
        <w:t xml:space="preserve">ils comprennent et </w:t>
      </w:r>
      <w:r>
        <w:rPr>
          <w:lang w:val="fr-FR"/>
        </w:rPr>
        <w:t xml:space="preserve">d’une manière </w:t>
      </w:r>
      <w:r w:rsidRPr="00686CD4">
        <w:rPr>
          <w:lang w:val="fr-FR"/>
        </w:rPr>
        <w:t>adaptée à leur âge.</w:t>
      </w:r>
    </w:p>
    <w:p w:rsidR="002A7A34" w:rsidRPr="00686CD4" w:rsidRDefault="002A7A34" w:rsidP="00D322D1">
      <w:pPr>
        <w:pStyle w:val="SingleTxtG"/>
        <w:rPr>
          <w:lang w:val="fr-FR"/>
        </w:rPr>
      </w:pPr>
      <w:r w:rsidRPr="00686CD4">
        <w:rPr>
          <w:lang w:val="fr-FR"/>
        </w:rPr>
        <w:lastRenderedPageBreak/>
        <w:t>244.</w:t>
      </w:r>
      <w:r w:rsidRPr="00686CD4">
        <w:rPr>
          <w:lang w:val="fr-FR"/>
        </w:rPr>
        <w:tab/>
        <w:t xml:space="preserve">Une copie de ce projet doit être transmise au </w:t>
      </w:r>
      <w:r>
        <w:rPr>
          <w:lang w:val="fr-FR"/>
        </w:rPr>
        <w:t>C</w:t>
      </w:r>
      <w:r w:rsidRPr="00686CD4">
        <w:rPr>
          <w:lang w:val="fr-FR"/>
        </w:rPr>
        <w:t xml:space="preserve">omité </w:t>
      </w:r>
      <w:r>
        <w:rPr>
          <w:lang w:val="fr-FR"/>
        </w:rPr>
        <w:t>après son approbation finale</w:t>
      </w:r>
      <w:r w:rsidRPr="00686CD4">
        <w:rPr>
          <w:lang w:val="fr-FR"/>
        </w:rPr>
        <w:t>.</w:t>
      </w:r>
    </w:p>
    <w:p w:rsidR="002A7A34" w:rsidRPr="00686CD4" w:rsidRDefault="002A7A34" w:rsidP="00D322D1">
      <w:pPr>
        <w:pStyle w:val="SingleTxtG"/>
        <w:rPr>
          <w:lang w:val="fr-FR"/>
        </w:rPr>
      </w:pPr>
      <w:r w:rsidRPr="00686CD4">
        <w:rPr>
          <w:lang w:val="fr-FR"/>
        </w:rPr>
        <w:t>245.</w:t>
      </w:r>
      <w:r w:rsidRPr="00686CD4">
        <w:rPr>
          <w:lang w:val="fr-FR"/>
        </w:rPr>
        <w:tab/>
        <w:t>Ce projet devrait contenir d</w:t>
      </w:r>
      <w:r>
        <w:rPr>
          <w:lang w:val="fr-FR"/>
        </w:rPr>
        <w:t>’</w:t>
      </w:r>
      <w:r w:rsidRPr="00686CD4">
        <w:rPr>
          <w:lang w:val="fr-FR"/>
        </w:rPr>
        <w:t>autres dispositions pertinentes concernant l</w:t>
      </w:r>
      <w:r>
        <w:rPr>
          <w:lang w:val="fr-FR"/>
        </w:rPr>
        <w:t>’</w:t>
      </w:r>
      <w:r w:rsidRPr="00686CD4">
        <w:rPr>
          <w:lang w:val="fr-FR"/>
        </w:rPr>
        <w:t>enregistrement en interne des plaintes, l</w:t>
      </w:r>
      <w:r>
        <w:rPr>
          <w:lang w:val="fr-FR"/>
        </w:rPr>
        <w:t>’</w:t>
      </w:r>
      <w:r w:rsidRPr="00686CD4">
        <w:rPr>
          <w:lang w:val="fr-FR"/>
        </w:rPr>
        <w:t xml:space="preserve">établissement des délais dans lesquels des réponses doivent </w:t>
      </w:r>
      <w:r>
        <w:rPr>
          <w:lang w:val="fr-FR"/>
        </w:rPr>
        <w:t xml:space="preserve">être </w:t>
      </w:r>
      <w:r w:rsidRPr="00686CD4">
        <w:rPr>
          <w:lang w:val="fr-FR"/>
        </w:rPr>
        <w:t>apport</w:t>
      </w:r>
      <w:r>
        <w:rPr>
          <w:lang w:val="fr-FR"/>
        </w:rPr>
        <w:t>é</w:t>
      </w:r>
      <w:r w:rsidRPr="00686CD4">
        <w:rPr>
          <w:lang w:val="fr-FR"/>
        </w:rPr>
        <w:t>e</w:t>
      </w:r>
      <w:r>
        <w:rPr>
          <w:lang w:val="fr-FR"/>
        </w:rPr>
        <w:t>s</w:t>
      </w:r>
      <w:r w:rsidRPr="00686CD4">
        <w:rPr>
          <w:lang w:val="fr-FR"/>
        </w:rPr>
        <w:t xml:space="preserve"> aux dites plaintes, la notification obligatoire des détenus de la décision prise au titre de la plainte, le traitement prioritaire des plaintes pour torture ou mauvais traitements et la protection contre toutes représailles, mesures d</w:t>
      </w:r>
      <w:r>
        <w:rPr>
          <w:lang w:val="fr-FR"/>
        </w:rPr>
        <w:t>’</w:t>
      </w:r>
      <w:r w:rsidRPr="00686CD4">
        <w:rPr>
          <w:lang w:val="fr-FR"/>
        </w:rPr>
        <w:t>intimidations et autres répercussions négatives que pourrait avoir une plainte.</w:t>
      </w:r>
    </w:p>
    <w:p w:rsidR="002A7A34" w:rsidRPr="00686CD4" w:rsidRDefault="002A7A34" w:rsidP="00D322D1">
      <w:pPr>
        <w:pStyle w:val="SingleTxtG"/>
        <w:rPr>
          <w:lang w:val="fr-FR"/>
        </w:rPr>
      </w:pPr>
      <w:r w:rsidRPr="00686CD4">
        <w:rPr>
          <w:lang w:val="fr-FR"/>
        </w:rPr>
        <w:t>246.</w:t>
      </w:r>
      <w:r w:rsidRPr="00686CD4">
        <w:rPr>
          <w:lang w:val="fr-FR"/>
        </w:rPr>
        <w:tab/>
        <w:t xml:space="preserve">Il importe de souligner que les </w:t>
      </w:r>
      <w:r>
        <w:rPr>
          <w:lang w:val="fr-FR"/>
        </w:rPr>
        <w:t xml:space="preserve">inspections effectuées par </w:t>
      </w:r>
      <w:r w:rsidRPr="00686CD4">
        <w:rPr>
          <w:lang w:val="fr-FR"/>
        </w:rPr>
        <w:t>l</w:t>
      </w:r>
      <w:r>
        <w:rPr>
          <w:lang w:val="fr-FR"/>
        </w:rPr>
        <w:t>’Inspection générale de l’administration interne</w:t>
      </w:r>
      <w:r w:rsidRPr="00686CD4">
        <w:rPr>
          <w:lang w:val="fr-FR"/>
        </w:rPr>
        <w:t xml:space="preserve"> sont régies par la décision </w:t>
      </w:r>
      <w:r w:rsidR="00D322D1" w:rsidRPr="00553571">
        <w:rPr>
          <w:rFonts w:eastAsia="MS Mincho"/>
          <w:lang w:val="fr-FR"/>
        </w:rPr>
        <w:t>n</w:t>
      </w:r>
      <w:r w:rsidR="00D322D1" w:rsidRPr="00553571">
        <w:rPr>
          <w:rFonts w:eastAsia="MS Mincho"/>
          <w:vertAlign w:val="superscript"/>
          <w:lang w:val="fr-FR"/>
        </w:rPr>
        <w:t>o</w:t>
      </w:r>
      <w:r w:rsidR="00D322D1">
        <w:rPr>
          <w:lang w:val="fr-FR"/>
        </w:rPr>
        <w:t> </w:t>
      </w:r>
      <w:r w:rsidRPr="00686CD4">
        <w:rPr>
          <w:lang w:val="fr-FR"/>
        </w:rPr>
        <w:t>10529/2013 du 29</w:t>
      </w:r>
      <w:r>
        <w:rPr>
          <w:lang w:val="fr-FR"/>
        </w:rPr>
        <w:t> </w:t>
      </w:r>
      <w:r w:rsidRPr="00686CD4">
        <w:rPr>
          <w:lang w:val="fr-FR"/>
        </w:rPr>
        <w:t xml:space="preserve">juillet </w:t>
      </w:r>
      <w:r>
        <w:rPr>
          <w:lang w:val="fr-FR"/>
        </w:rPr>
        <w:t xml:space="preserve">qui </w:t>
      </w:r>
      <w:r w:rsidRPr="00686CD4">
        <w:rPr>
          <w:lang w:val="fr-FR"/>
        </w:rPr>
        <w:t>recense les normes juridiques en vigueur concernant le</w:t>
      </w:r>
      <w:r>
        <w:rPr>
          <w:lang w:val="fr-FR"/>
        </w:rPr>
        <w:t>s modalités de</w:t>
      </w:r>
      <w:r w:rsidRPr="00686CD4">
        <w:rPr>
          <w:lang w:val="fr-FR"/>
        </w:rPr>
        <w:t xml:space="preserve"> suivi et les procédures disciplinaires qu</w:t>
      </w:r>
      <w:r>
        <w:rPr>
          <w:lang w:val="fr-FR"/>
        </w:rPr>
        <w:t>’</w:t>
      </w:r>
      <w:r w:rsidRPr="00686CD4">
        <w:rPr>
          <w:lang w:val="fr-FR"/>
        </w:rPr>
        <w:t>elle définit.</w:t>
      </w:r>
    </w:p>
    <w:p w:rsidR="002A7A34" w:rsidRPr="00686CD4" w:rsidRDefault="002A7A34" w:rsidP="00D322D1">
      <w:pPr>
        <w:pStyle w:val="SingleTxtG"/>
        <w:rPr>
          <w:rFonts w:eastAsia="Calibri"/>
          <w:lang w:val="fr-FR"/>
        </w:rPr>
      </w:pPr>
      <w:r w:rsidRPr="00686CD4">
        <w:rPr>
          <w:lang w:val="fr-FR"/>
        </w:rPr>
        <w:t>247.</w:t>
      </w:r>
      <w:r w:rsidRPr="00686CD4">
        <w:rPr>
          <w:lang w:val="fr-FR"/>
        </w:rPr>
        <w:tab/>
        <w:t>En vertu de cette décision, l</w:t>
      </w:r>
      <w:r>
        <w:rPr>
          <w:lang w:val="fr-FR"/>
        </w:rPr>
        <w:t>’Inspection générale de l’administration interne</w:t>
      </w:r>
      <w:r w:rsidRPr="00686CD4">
        <w:rPr>
          <w:lang w:val="fr-FR"/>
        </w:rPr>
        <w:t xml:space="preserve"> doit être informé</w:t>
      </w:r>
      <w:r>
        <w:rPr>
          <w:lang w:val="fr-FR"/>
        </w:rPr>
        <w:t>e</w:t>
      </w:r>
      <w:r w:rsidRPr="00686CD4">
        <w:rPr>
          <w:lang w:val="fr-FR"/>
        </w:rPr>
        <w:t xml:space="preserve"> de toutes les affaires </w:t>
      </w:r>
      <w:r>
        <w:rPr>
          <w:lang w:val="fr-FR"/>
        </w:rPr>
        <w:t xml:space="preserve">résultant d’actions portant préjudice à des actifs ou à des </w:t>
      </w:r>
      <w:r w:rsidRPr="00686CD4">
        <w:rPr>
          <w:lang w:val="fr-FR"/>
        </w:rPr>
        <w:t>personne</w:t>
      </w:r>
      <w:r>
        <w:rPr>
          <w:lang w:val="fr-FR"/>
        </w:rPr>
        <w:t>s</w:t>
      </w:r>
      <w:r w:rsidRPr="00686CD4">
        <w:rPr>
          <w:lang w:val="fr-FR"/>
        </w:rPr>
        <w:t>, c</w:t>
      </w:r>
      <w:r>
        <w:rPr>
          <w:lang w:val="fr-FR"/>
        </w:rPr>
        <w:t>’</w:t>
      </w:r>
      <w:r w:rsidRPr="00686CD4">
        <w:rPr>
          <w:lang w:val="fr-FR"/>
        </w:rPr>
        <w:t xml:space="preserve">est-à-dire </w:t>
      </w:r>
      <w:r>
        <w:rPr>
          <w:lang w:val="fr-FR"/>
        </w:rPr>
        <w:t xml:space="preserve">qui sont la cause </w:t>
      </w:r>
      <w:r w:rsidRPr="00686CD4">
        <w:rPr>
          <w:lang w:val="fr-FR"/>
        </w:rPr>
        <w:t xml:space="preserve">de décès ou de blessures corporelles graves, de graves abus de pouvoir ou de </w:t>
      </w:r>
      <w:r>
        <w:rPr>
          <w:lang w:val="fr-FR"/>
        </w:rPr>
        <w:t>d</w:t>
      </w:r>
      <w:r w:rsidRPr="00686CD4">
        <w:rPr>
          <w:lang w:val="fr-FR"/>
        </w:rPr>
        <w:t xml:space="preserve">ommages </w:t>
      </w:r>
      <w:r>
        <w:rPr>
          <w:lang w:val="fr-FR"/>
        </w:rPr>
        <w:t xml:space="preserve">à </w:t>
      </w:r>
      <w:r w:rsidRPr="00686CD4">
        <w:rPr>
          <w:lang w:val="fr-FR"/>
        </w:rPr>
        <w:t>de</w:t>
      </w:r>
      <w:r>
        <w:rPr>
          <w:lang w:val="fr-FR"/>
        </w:rPr>
        <w:t>s</w:t>
      </w:r>
      <w:r w:rsidRPr="00686CD4">
        <w:rPr>
          <w:lang w:val="fr-FR"/>
        </w:rPr>
        <w:t xml:space="preserve"> biens de grande valeur</w:t>
      </w:r>
      <w:r>
        <w:rPr>
          <w:lang w:val="fr-FR"/>
        </w:rPr>
        <w:t>,</w:t>
      </w:r>
      <w:r w:rsidRPr="00686CD4">
        <w:rPr>
          <w:lang w:val="fr-FR"/>
        </w:rPr>
        <w:t xml:space="preserve"> </w:t>
      </w:r>
      <w:r>
        <w:rPr>
          <w:lang w:val="fr-FR"/>
        </w:rPr>
        <w:t xml:space="preserve">impliquant </w:t>
      </w:r>
      <w:r w:rsidRPr="00686CD4">
        <w:rPr>
          <w:lang w:val="fr-FR"/>
        </w:rPr>
        <w:t xml:space="preserve">des membres des forces de sécurité, du </w:t>
      </w:r>
      <w:r>
        <w:rPr>
          <w:lang w:val="fr-FR"/>
        </w:rPr>
        <w:t>S</w:t>
      </w:r>
      <w:r w:rsidRPr="00686CD4">
        <w:rPr>
          <w:lang w:val="fr-FR"/>
        </w:rPr>
        <w:t>ervice de l</w:t>
      </w:r>
      <w:r>
        <w:rPr>
          <w:lang w:val="fr-FR"/>
        </w:rPr>
        <w:t>’</w:t>
      </w:r>
      <w:r w:rsidRPr="00686CD4">
        <w:rPr>
          <w:lang w:val="fr-FR"/>
        </w:rPr>
        <w:t>immigration et des frontières et d</w:t>
      </w:r>
      <w:r>
        <w:rPr>
          <w:lang w:val="fr-FR"/>
        </w:rPr>
        <w:t>’</w:t>
      </w:r>
      <w:r w:rsidRPr="00686CD4">
        <w:rPr>
          <w:lang w:val="fr-FR"/>
        </w:rPr>
        <w:t xml:space="preserve">autres services du </w:t>
      </w:r>
      <w:r>
        <w:rPr>
          <w:lang w:val="fr-FR"/>
        </w:rPr>
        <w:t>M</w:t>
      </w:r>
      <w:r w:rsidRPr="00686CD4">
        <w:rPr>
          <w:lang w:val="fr-FR"/>
        </w:rPr>
        <w:t>inistère des affaires intérieures.</w:t>
      </w:r>
    </w:p>
    <w:p w:rsidR="002A7A34" w:rsidRPr="00686CD4" w:rsidRDefault="002A7A34" w:rsidP="00D322D1">
      <w:pPr>
        <w:pStyle w:val="SingleTxtG"/>
        <w:rPr>
          <w:lang w:val="fr-FR"/>
        </w:rPr>
      </w:pPr>
      <w:r w:rsidRPr="00686CD4">
        <w:rPr>
          <w:lang w:val="fr-FR"/>
        </w:rPr>
        <w:t>248.</w:t>
      </w:r>
      <w:r w:rsidRPr="00686CD4">
        <w:rPr>
          <w:lang w:val="fr-FR"/>
        </w:rPr>
        <w:tab/>
        <w:t>En cas de décès, de blessures corporelles graves, de preuves d</w:t>
      </w:r>
      <w:r>
        <w:rPr>
          <w:lang w:val="fr-FR"/>
        </w:rPr>
        <w:t>’</w:t>
      </w:r>
      <w:r w:rsidRPr="00686CD4">
        <w:rPr>
          <w:lang w:val="fr-FR"/>
        </w:rPr>
        <w:t xml:space="preserve">abus de pouvoir graves ou de dommages </w:t>
      </w:r>
      <w:r>
        <w:rPr>
          <w:lang w:val="fr-FR"/>
        </w:rPr>
        <w:t>causés à des biens de grande valeur</w:t>
      </w:r>
      <w:r w:rsidRPr="00686CD4">
        <w:rPr>
          <w:lang w:val="fr-FR"/>
        </w:rPr>
        <w:t xml:space="preserve">, les forces de sécurité, le </w:t>
      </w:r>
      <w:r>
        <w:rPr>
          <w:lang w:val="fr-FR"/>
        </w:rPr>
        <w:t>S</w:t>
      </w:r>
      <w:r w:rsidRPr="00686CD4">
        <w:rPr>
          <w:lang w:val="fr-FR"/>
        </w:rPr>
        <w:t>ervice de l</w:t>
      </w:r>
      <w:r>
        <w:rPr>
          <w:lang w:val="fr-FR"/>
        </w:rPr>
        <w:t>’</w:t>
      </w:r>
      <w:r w:rsidRPr="00686CD4">
        <w:rPr>
          <w:lang w:val="fr-FR"/>
        </w:rPr>
        <w:t xml:space="preserve">immigration et des frontières et </w:t>
      </w:r>
      <w:r>
        <w:rPr>
          <w:lang w:val="fr-FR"/>
        </w:rPr>
        <w:t>d’</w:t>
      </w:r>
      <w:r w:rsidRPr="00686CD4">
        <w:rPr>
          <w:lang w:val="fr-FR"/>
        </w:rPr>
        <w:t xml:space="preserve">autres services du </w:t>
      </w:r>
      <w:r>
        <w:rPr>
          <w:lang w:val="fr-FR"/>
        </w:rPr>
        <w:t>M</w:t>
      </w:r>
      <w:r w:rsidRPr="00686CD4">
        <w:rPr>
          <w:lang w:val="fr-FR"/>
        </w:rPr>
        <w:t xml:space="preserve">inistère des affaires intérieures doivent immédiatement informer </w:t>
      </w:r>
      <w:r>
        <w:rPr>
          <w:lang w:val="fr-FR"/>
        </w:rPr>
        <w:t xml:space="preserve">le Ministère </w:t>
      </w:r>
      <w:r w:rsidRPr="00686CD4">
        <w:rPr>
          <w:lang w:val="fr-FR"/>
        </w:rPr>
        <w:t>et l</w:t>
      </w:r>
      <w:r>
        <w:rPr>
          <w:lang w:val="fr-FR"/>
        </w:rPr>
        <w:t>’Inspection générale de l’administration interne</w:t>
      </w:r>
      <w:r w:rsidRPr="00686CD4">
        <w:rPr>
          <w:lang w:val="fr-FR"/>
        </w:rPr>
        <w:t xml:space="preserve"> des faits par les moyens les plus rapides. Suite à cette communication, l</w:t>
      </w:r>
      <w:r>
        <w:rPr>
          <w:lang w:val="fr-FR"/>
        </w:rPr>
        <w:t>’Inspection générale de l’administration interne</w:t>
      </w:r>
      <w:r w:rsidRPr="00686CD4">
        <w:rPr>
          <w:lang w:val="fr-FR"/>
        </w:rPr>
        <w:t xml:space="preserve"> lance une enquête ou des procédures d</w:t>
      </w:r>
      <w:r>
        <w:rPr>
          <w:lang w:val="fr-FR"/>
        </w:rPr>
        <w:t>’</w:t>
      </w:r>
      <w:r w:rsidRPr="00686CD4">
        <w:rPr>
          <w:lang w:val="fr-FR"/>
        </w:rPr>
        <w:t xml:space="preserve">examen pour les affaires qui relèvent de sa compétence ou suggère au </w:t>
      </w:r>
      <w:r>
        <w:rPr>
          <w:lang w:val="fr-FR"/>
        </w:rPr>
        <w:t>M</w:t>
      </w:r>
      <w:r w:rsidRPr="00686CD4">
        <w:rPr>
          <w:lang w:val="fr-FR"/>
        </w:rPr>
        <w:t>inistère des affaires intérieures de lancer des procédures disciplinaires, selon le cas.</w:t>
      </w:r>
    </w:p>
    <w:p w:rsidR="002A7A34" w:rsidRPr="00686CD4" w:rsidRDefault="002A7A34" w:rsidP="00D322D1">
      <w:pPr>
        <w:pStyle w:val="SingleTxtG"/>
        <w:rPr>
          <w:lang w:val="fr-FR"/>
        </w:rPr>
      </w:pPr>
      <w:r w:rsidRPr="00686CD4">
        <w:rPr>
          <w:lang w:val="fr-FR"/>
        </w:rPr>
        <w:t>249.</w:t>
      </w:r>
      <w:r w:rsidRPr="00686CD4">
        <w:rPr>
          <w:lang w:val="fr-FR"/>
        </w:rPr>
        <w:tab/>
        <w:t>Les pouvoirs dont dispose l</w:t>
      </w:r>
      <w:r>
        <w:rPr>
          <w:lang w:val="fr-FR"/>
        </w:rPr>
        <w:t>’Inspection générale de l’administration interne</w:t>
      </w:r>
      <w:r w:rsidRPr="00686CD4">
        <w:rPr>
          <w:lang w:val="fr-FR"/>
        </w:rPr>
        <w:t xml:space="preserve"> lui permette</w:t>
      </w:r>
      <w:r>
        <w:rPr>
          <w:lang w:val="fr-FR"/>
        </w:rPr>
        <w:t xml:space="preserve">nt </w:t>
      </w:r>
      <w:r w:rsidRPr="00686CD4">
        <w:rPr>
          <w:lang w:val="fr-FR"/>
        </w:rPr>
        <w:t>d</w:t>
      </w:r>
      <w:r>
        <w:rPr>
          <w:lang w:val="fr-FR"/>
        </w:rPr>
        <w:t>’</w:t>
      </w:r>
      <w:r w:rsidRPr="00686CD4">
        <w:rPr>
          <w:lang w:val="fr-FR"/>
        </w:rPr>
        <w:t>agir en tant qu</w:t>
      </w:r>
      <w:r>
        <w:rPr>
          <w:lang w:val="fr-FR"/>
        </w:rPr>
        <w:t>’</w:t>
      </w:r>
      <w:r w:rsidRPr="00686CD4">
        <w:rPr>
          <w:lang w:val="fr-FR"/>
        </w:rPr>
        <w:t xml:space="preserve">organe indépendant centralisé et de recevoir </w:t>
      </w:r>
      <w:r>
        <w:rPr>
          <w:lang w:val="fr-FR"/>
        </w:rPr>
        <w:t>d</w:t>
      </w:r>
      <w:r w:rsidRPr="00686CD4">
        <w:rPr>
          <w:lang w:val="fr-FR"/>
        </w:rPr>
        <w:t xml:space="preserve">es informations </w:t>
      </w:r>
      <w:r>
        <w:rPr>
          <w:lang w:val="fr-FR"/>
        </w:rPr>
        <w:t xml:space="preserve">sur </w:t>
      </w:r>
      <w:r w:rsidRPr="00686CD4">
        <w:rPr>
          <w:lang w:val="fr-FR"/>
        </w:rPr>
        <w:t>de graves violations des droits fondamentaux des citoyens par des représentants de l</w:t>
      </w:r>
      <w:r>
        <w:rPr>
          <w:lang w:val="fr-FR"/>
        </w:rPr>
        <w:t>’</w:t>
      </w:r>
      <w:r w:rsidRPr="00686CD4">
        <w:rPr>
          <w:lang w:val="fr-FR"/>
        </w:rPr>
        <w:t xml:space="preserve">État relevant du </w:t>
      </w:r>
      <w:r>
        <w:rPr>
          <w:lang w:val="fr-FR"/>
        </w:rPr>
        <w:t>M</w:t>
      </w:r>
      <w:r w:rsidRPr="00686CD4">
        <w:rPr>
          <w:lang w:val="fr-FR"/>
        </w:rPr>
        <w:t>inistère des affaires intérieures</w:t>
      </w:r>
      <w:r>
        <w:rPr>
          <w:lang w:val="fr-FR"/>
        </w:rPr>
        <w:t>. L’Inspection générale peut donc</w:t>
      </w:r>
      <w:r w:rsidRPr="00686CD4">
        <w:rPr>
          <w:lang w:val="fr-FR"/>
        </w:rPr>
        <w:t>, à ce titre, non seulement collecter des informations</w:t>
      </w:r>
      <w:r>
        <w:rPr>
          <w:lang w:val="fr-FR"/>
        </w:rPr>
        <w:t>,</w:t>
      </w:r>
      <w:r w:rsidRPr="00686CD4">
        <w:rPr>
          <w:lang w:val="fr-FR"/>
        </w:rPr>
        <w:t xml:space="preserve"> mais aussi intervenir et jouer le rôle d</w:t>
      </w:r>
      <w:r>
        <w:rPr>
          <w:lang w:val="fr-FR"/>
        </w:rPr>
        <w:t>’</w:t>
      </w:r>
      <w:r w:rsidRPr="00686CD4">
        <w:rPr>
          <w:lang w:val="fr-FR"/>
        </w:rPr>
        <w:t>organe de surveillance de la police, notamment en prenant l</w:t>
      </w:r>
      <w:r>
        <w:rPr>
          <w:lang w:val="fr-FR"/>
        </w:rPr>
        <w:t>’</w:t>
      </w:r>
      <w:r w:rsidRPr="00686CD4">
        <w:rPr>
          <w:lang w:val="fr-FR"/>
        </w:rPr>
        <w:t>initiative d</w:t>
      </w:r>
      <w:r>
        <w:rPr>
          <w:lang w:val="fr-FR"/>
        </w:rPr>
        <w:t>’</w:t>
      </w:r>
      <w:r w:rsidRPr="00686CD4">
        <w:rPr>
          <w:lang w:val="fr-FR"/>
        </w:rPr>
        <w:t>enquêter sur les rapports de mauvais traitements de citoyens par des membres des forces et des services de sécurité.</w:t>
      </w:r>
    </w:p>
    <w:p w:rsidR="002A7A34" w:rsidRPr="00686CD4" w:rsidRDefault="002A7A34" w:rsidP="00D322D1">
      <w:pPr>
        <w:pStyle w:val="SingleTxtG"/>
        <w:rPr>
          <w:lang w:val="fr-FR"/>
        </w:rPr>
      </w:pPr>
      <w:r w:rsidRPr="00686CD4">
        <w:rPr>
          <w:lang w:val="fr-FR"/>
        </w:rPr>
        <w:t>250.</w:t>
      </w:r>
      <w:r w:rsidRPr="00686CD4">
        <w:rPr>
          <w:lang w:val="fr-FR"/>
        </w:rPr>
        <w:tab/>
        <w:t>De fait, en sa qualité d</w:t>
      </w:r>
      <w:r>
        <w:rPr>
          <w:lang w:val="fr-FR"/>
        </w:rPr>
        <w:t>’</w:t>
      </w:r>
      <w:r w:rsidRPr="00686CD4">
        <w:rPr>
          <w:lang w:val="fr-FR"/>
        </w:rPr>
        <w:t>organe d</w:t>
      </w:r>
      <w:r>
        <w:rPr>
          <w:lang w:val="fr-FR"/>
        </w:rPr>
        <w:t>’</w:t>
      </w:r>
      <w:r w:rsidRPr="00686CD4">
        <w:rPr>
          <w:lang w:val="fr-FR"/>
        </w:rPr>
        <w:t>inspection dans un domaine délicat de l</w:t>
      </w:r>
      <w:r>
        <w:rPr>
          <w:lang w:val="fr-FR"/>
        </w:rPr>
        <w:t>’</w:t>
      </w:r>
      <w:r w:rsidRPr="00686CD4">
        <w:rPr>
          <w:lang w:val="fr-FR"/>
        </w:rPr>
        <w:t xml:space="preserve">action publique, </w:t>
      </w:r>
      <w:r>
        <w:rPr>
          <w:lang w:val="fr-FR"/>
        </w:rPr>
        <w:t xml:space="preserve">qui exige </w:t>
      </w:r>
      <w:r w:rsidRPr="00686CD4">
        <w:rPr>
          <w:lang w:val="fr-FR"/>
        </w:rPr>
        <w:t>de concilier des valeurs fondamentales telles que l</w:t>
      </w:r>
      <w:r>
        <w:rPr>
          <w:lang w:val="fr-FR"/>
        </w:rPr>
        <w:t>’</w:t>
      </w:r>
      <w:r w:rsidRPr="00686CD4">
        <w:rPr>
          <w:lang w:val="fr-FR"/>
        </w:rPr>
        <w:t>autorité et la sécurité, d</w:t>
      </w:r>
      <w:r>
        <w:rPr>
          <w:lang w:val="fr-FR"/>
        </w:rPr>
        <w:t>’</w:t>
      </w:r>
      <w:r w:rsidRPr="00686CD4">
        <w:rPr>
          <w:lang w:val="fr-FR"/>
        </w:rPr>
        <w:t xml:space="preserve">une part, et les droits </w:t>
      </w:r>
      <w:r>
        <w:rPr>
          <w:lang w:val="fr-FR"/>
        </w:rPr>
        <w:t>de l’homme</w:t>
      </w:r>
      <w:r w:rsidRPr="00686CD4">
        <w:rPr>
          <w:lang w:val="fr-FR"/>
        </w:rPr>
        <w:t>, d</w:t>
      </w:r>
      <w:r>
        <w:rPr>
          <w:lang w:val="fr-FR"/>
        </w:rPr>
        <w:t>’</w:t>
      </w:r>
      <w:r w:rsidRPr="00686CD4">
        <w:rPr>
          <w:lang w:val="fr-FR"/>
        </w:rPr>
        <w:t>autre part, l</w:t>
      </w:r>
      <w:r>
        <w:rPr>
          <w:lang w:val="fr-FR"/>
        </w:rPr>
        <w:t>’Inspection générale de l’administration interne</w:t>
      </w:r>
      <w:r w:rsidRPr="00686CD4">
        <w:rPr>
          <w:lang w:val="fr-FR"/>
        </w:rPr>
        <w:t xml:space="preserve"> favorise </w:t>
      </w:r>
      <w:r>
        <w:rPr>
          <w:lang w:val="fr-FR"/>
        </w:rPr>
        <w:t xml:space="preserve">la recherche d’un </w:t>
      </w:r>
      <w:r w:rsidRPr="00686CD4">
        <w:rPr>
          <w:lang w:val="fr-FR"/>
        </w:rPr>
        <w:t xml:space="preserve">équilibre entre ces objectifs et renforce un État démocratique fondé sur la </w:t>
      </w:r>
      <w:r>
        <w:rPr>
          <w:lang w:val="fr-FR"/>
        </w:rPr>
        <w:t xml:space="preserve">primauté du </w:t>
      </w:r>
      <w:r w:rsidRPr="00686CD4">
        <w:rPr>
          <w:lang w:val="fr-FR"/>
        </w:rPr>
        <w:t>droit en agissant en tant que garant supplémentaire des droits fondamentaux de tous les citoyens (art</w:t>
      </w:r>
      <w:r w:rsidR="00D322D1">
        <w:rPr>
          <w:lang w:val="fr-FR"/>
        </w:rPr>
        <w:t>.</w:t>
      </w:r>
      <w:r>
        <w:rPr>
          <w:lang w:val="fr-FR"/>
        </w:rPr>
        <w:t> </w:t>
      </w:r>
      <w:r w:rsidRPr="00686CD4">
        <w:rPr>
          <w:lang w:val="fr-FR"/>
        </w:rPr>
        <w:t xml:space="preserve">13 du décret-loi </w:t>
      </w:r>
      <w:r w:rsidR="003B6252" w:rsidRPr="00553571">
        <w:rPr>
          <w:rFonts w:eastAsia="MS Mincho"/>
          <w:lang w:val="fr-FR"/>
        </w:rPr>
        <w:t>n</w:t>
      </w:r>
      <w:r w:rsidR="003B6252" w:rsidRPr="00553571">
        <w:rPr>
          <w:rFonts w:eastAsia="MS Mincho"/>
          <w:vertAlign w:val="superscript"/>
          <w:lang w:val="fr-FR"/>
        </w:rPr>
        <w:t>o</w:t>
      </w:r>
      <w:r w:rsidR="003B6252">
        <w:rPr>
          <w:lang w:val="fr-FR"/>
        </w:rPr>
        <w:t> </w:t>
      </w:r>
      <w:r w:rsidRPr="00686CD4">
        <w:rPr>
          <w:lang w:val="fr-FR"/>
        </w:rPr>
        <w:t>227/95 du 11</w:t>
      </w:r>
      <w:r>
        <w:rPr>
          <w:lang w:val="fr-FR"/>
        </w:rPr>
        <w:t> </w:t>
      </w:r>
      <w:r w:rsidRPr="00686CD4">
        <w:rPr>
          <w:lang w:val="fr-FR"/>
        </w:rPr>
        <w:t>septembre, en application de l</w:t>
      </w:r>
      <w:r>
        <w:rPr>
          <w:lang w:val="fr-FR"/>
        </w:rPr>
        <w:t>’</w:t>
      </w:r>
      <w:r w:rsidRPr="00686CD4">
        <w:rPr>
          <w:lang w:val="fr-FR"/>
        </w:rPr>
        <w:t>article</w:t>
      </w:r>
      <w:r>
        <w:rPr>
          <w:lang w:val="fr-FR"/>
        </w:rPr>
        <w:t> </w:t>
      </w:r>
      <w:r w:rsidRPr="00686CD4">
        <w:rPr>
          <w:lang w:val="fr-FR"/>
        </w:rPr>
        <w:t xml:space="preserve">12 du décret-loi </w:t>
      </w:r>
      <w:r w:rsidR="003B6252" w:rsidRPr="00553571">
        <w:rPr>
          <w:rFonts w:eastAsia="MS Mincho"/>
          <w:lang w:val="fr-FR"/>
        </w:rPr>
        <w:t>n</w:t>
      </w:r>
      <w:r w:rsidR="003B6252" w:rsidRPr="00553571">
        <w:rPr>
          <w:rFonts w:eastAsia="MS Mincho"/>
          <w:vertAlign w:val="superscript"/>
          <w:lang w:val="fr-FR"/>
        </w:rPr>
        <w:t>o</w:t>
      </w:r>
      <w:r w:rsidR="003B6252">
        <w:rPr>
          <w:lang w:val="fr-FR"/>
        </w:rPr>
        <w:t> </w:t>
      </w:r>
      <w:r w:rsidRPr="00686CD4">
        <w:rPr>
          <w:lang w:val="fr-FR"/>
        </w:rPr>
        <w:t>58/2012 du 14</w:t>
      </w:r>
      <w:r>
        <w:rPr>
          <w:lang w:val="fr-FR"/>
        </w:rPr>
        <w:t> </w:t>
      </w:r>
      <w:r w:rsidRPr="00686CD4">
        <w:rPr>
          <w:lang w:val="fr-FR"/>
        </w:rPr>
        <w:t xml:space="preserve">mars). </w:t>
      </w:r>
    </w:p>
    <w:p w:rsidR="002A7A34" w:rsidRPr="00686CD4" w:rsidRDefault="002A7A34" w:rsidP="003B6252">
      <w:pPr>
        <w:pStyle w:val="SingleTxtG"/>
        <w:rPr>
          <w:lang w:val="fr-FR"/>
        </w:rPr>
      </w:pPr>
      <w:r w:rsidRPr="00686CD4">
        <w:rPr>
          <w:lang w:val="fr-FR"/>
        </w:rPr>
        <w:t>251.</w:t>
      </w:r>
      <w:r w:rsidRPr="00686CD4">
        <w:rPr>
          <w:lang w:val="fr-FR"/>
        </w:rPr>
        <w:tab/>
      </w:r>
      <w:r w:rsidRPr="003B6252">
        <w:rPr>
          <w:spacing w:val="-2"/>
          <w:lang w:val="fr-FR"/>
        </w:rPr>
        <w:t>Les allégations de mauvais traitements par la Garde nationale républicaine font l’objet d’enquêtes</w:t>
      </w:r>
      <w:r w:rsidRPr="003B6252">
        <w:rPr>
          <w:rStyle w:val="Appelnotedebasdep"/>
          <w:spacing w:val="-2"/>
        </w:rPr>
        <w:footnoteReference w:id="21"/>
      </w:r>
      <w:r w:rsidRPr="003B6252">
        <w:rPr>
          <w:spacing w:val="-2"/>
          <w:lang w:val="fr-FR"/>
        </w:rPr>
        <w:t xml:space="preserve"> qui ont pour objet d’établir la véracité des faits, et sont systématiquement communiquées au ministère public si les faits allégués se produisent dans des lieux de détention</w:t>
      </w:r>
      <w:r w:rsidRPr="00686CD4">
        <w:rPr>
          <w:lang w:val="fr-FR"/>
        </w:rPr>
        <w:t>.</w:t>
      </w:r>
    </w:p>
    <w:p w:rsidR="002A7A34" w:rsidRPr="00686CD4" w:rsidRDefault="002A7A34" w:rsidP="003B6252">
      <w:pPr>
        <w:pStyle w:val="SingleTxtG"/>
        <w:rPr>
          <w:lang w:val="fr-FR"/>
        </w:rPr>
      </w:pPr>
      <w:r w:rsidRPr="00686CD4">
        <w:rPr>
          <w:lang w:val="fr-FR"/>
        </w:rPr>
        <w:t>252.</w:t>
      </w:r>
      <w:r w:rsidRPr="00686CD4">
        <w:rPr>
          <w:lang w:val="fr-FR"/>
        </w:rPr>
        <w:tab/>
        <w:t xml:space="preserve">Les </w:t>
      </w:r>
      <w:r>
        <w:rPr>
          <w:lang w:val="fr-FR"/>
        </w:rPr>
        <w:t>cas de mauvais traitement</w:t>
      </w:r>
      <w:r w:rsidR="008817F2">
        <w:rPr>
          <w:lang w:val="fr-FR"/>
        </w:rPr>
        <w:t>s</w:t>
      </w:r>
      <w:r>
        <w:rPr>
          <w:lang w:val="fr-FR"/>
        </w:rPr>
        <w:t xml:space="preserve"> qui sont signalés </w:t>
      </w:r>
      <w:r w:rsidRPr="00686CD4">
        <w:rPr>
          <w:lang w:val="fr-FR"/>
        </w:rPr>
        <w:t xml:space="preserve">entraînent généralement des poursuites pénales. Le commandement de la </w:t>
      </w:r>
      <w:r>
        <w:rPr>
          <w:lang w:val="fr-FR"/>
        </w:rPr>
        <w:t>G</w:t>
      </w:r>
      <w:r w:rsidRPr="00686CD4">
        <w:rPr>
          <w:lang w:val="fr-FR"/>
        </w:rPr>
        <w:t>arde nationale républicaine doit également informer des organes supérieurs, comme l</w:t>
      </w:r>
      <w:r>
        <w:rPr>
          <w:lang w:val="fr-FR"/>
        </w:rPr>
        <w:t>’Inspection générale de l’administration interne</w:t>
      </w:r>
      <w:r w:rsidRPr="00686CD4">
        <w:rPr>
          <w:lang w:val="fr-FR"/>
        </w:rPr>
        <w:t xml:space="preserve"> ou la </w:t>
      </w:r>
      <w:r>
        <w:rPr>
          <w:lang w:val="fr-FR"/>
        </w:rPr>
        <w:t>P</w:t>
      </w:r>
      <w:r w:rsidRPr="00686CD4">
        <w:rPr>
          <w:lang w:val="fr-FR"/>
        </w:rPr>
        <w:t>olice judiciaire militaire et s</w:t>
      </w:r>
      <w:r>
        <w:rPr>
          <w:lang w:val="fr-FR"/>
        </w:rPr>
        <w:t xml:space="preserve">e soumettre </w:t>
      </w:r>
      <w:r w:rsidRPr="00686CD4">
        <w:rPr>
          <w:lang w:val="fr-FR"/>
        </w:rPr>
        <w:t xml:space="preserve">à </w:t>
      </w:r>
      <w:r>
        <w:rPr>
          <w:lang w:val="fr-FR"/>
        </w:rPr>
        <w:t xml:space="preserve">l’examen de </w:t>
      </w:r>
      <w:r w:rsidRPr="00686CD4">
        <w:rPr>
          <w:lang w:val="fr-FR"/>
        </w:rPr>
        <w:t>son propre organe d</w:t>
      </w:r>
      <w:r>
        <w:rPr>
          <w:lang w:val="fr-FR"/>
        </w:rPr>
        <w:t>’</w:t>
      </w:r>
      <w:r w:rsidRPr="00686CD4">
        <w:rPr>
          <w:lang w:val="fr-FR"/>
        </w:rPr>
        <w:t xml:space="preserve">inspection. </w:t>
      </w:r>
    </w:p>
    <w:p w:rsidR="002A7A34" w:rsidRPr="00686CD4" w:rsidRDefault="002A7A34" w:rsidP="003B6252">
      <w:pPr>
        <w:pStyle w:val="SingleTxtG"/>
        <w:rPr>
          <w:lang w:val="fr-FR"/>
        </w:rPr>
      </w:pPr>
      <w:r w:rsidRPr="00686CD4">
        <w:rPr>
          <w:lang w:val="fr-FR"/>
        </w:rPr>
        <w:t>253.</w:t>
      </w:r>
      <w:r w:rsidRPr="00686CD4">
        <w:rPr>
          <w:lang w:val="fr-FR"/>
        </w:rPr>
        <w:tab/>
        <w:t>Les victimes présumées d</w:t>
      </w:r>
      <w:r>
        <w:rPr>
          <w:lang w:val="fr-FR"/>
        </w:rPr>
        <w:t>’</w:t>
      </w:r>
      <w:r w:rsidRPr="00686CD4">
        <w:rPr>
          <w:lang w:val="fr-FR"/>
        </w:rPr>
        <w:t xml:space="preserve">actes fautifs motivés par des considérations raciales de la part de membres de la </w:t>
      </w:r>
      <w:r w:rsidR="008817F2">
        <w:rPr>
          <w:lang w:val="fr-FR"/>
        </w:rPr>
        <w:t>P</w:t>
      </w:r>
      <w:r w:rsidRPr="00686CD4">
        <w:rPr>
          <w:lang w:val="fr-FR"/>
        </w:rPr>
        <w:t xml:space="preserve">olice ou du </w:t>
      </w:r>
      <w:r>
        <w:rPr>
          <w:lang w:val="fr-FR"/>
        </w:rPr>
        <w:t>S</w:t>
      </w:r>
      <w:r w:rsidRPr="00686CD4">
        <w:rPr>
          <w:lang w:val="fr-FR"/>
        </w:rPr>
        <w:t>ervice de l</w:t>
      </w:r>
      <w:r>
        <w:rPr>
          <w:lang w:val="fr-FR"/>
        </w:rPr>
        <w:t>’</w:t>
      </w:r>
      <w:r w:rsidRPr="00686CD4">
        <w:rPr>
          <w:lang w:val="fr-FR"/>
        </w:rPr>
        <w:t>immigration et des frontières peuvent déposer une plainte</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lastRenderedPageBreak/>
        <w:t>•</w:t>
      </w:r>
      <w:r w:rsidRPr="00686CD4">
        <w:rPr>
          <w:lang w:val="fr-FR"/>
        </w:rPr>
        <w:tab/>
      </w:r>
      <w:r>
        <w:rPr>
          <w:lang w:val="fr-FR"/>
        </w:rPr>
        <w:t>I</w:t>
      </w:r>
      <w:r w:rsidRPr="00686CD4">
        <w:rPr>
          <w:lang w:val="fr-FR"/>
        </w:rPr>
        <w:t>nscrite au registre des plaintes</w:t>
      </w:r>
      <w:r>
        <w:rPr>
          <w:lang w:val="fr-FR"/>
        </w:rPr>
        <w:t>,</w:t>
      </w:r>
      <w:r w:rsidRPr="00686CD4">
        <w:rPr>
          <w:lang w:val="fr-FR"/>
        </w:rPr>
        <w:t xml:space="preserve"> qui doit obligatoirement </w:t>
      </w:r>
      <w:r>
        <w:rPr>
          <w:lang w:val="fr-FR"/>
        </w:rPr>
        <w:t xml:space="preserve">être accessible </w:t>
      </w:r>
      <w:r w:rsidRPr="00686CD4">
        <w:rPr>
          <w:lang w:val="fr-FR"/>
        </w:rPr>
        <w:t>au centre d</w:t>
      </w:r>
      <w:r>
        <w:rPr>
          <w:lang w:val="fr-FR"/>
        </w:rPr>
        <w:t>’</w:t>
      </w:r>
      <w:r w:rsidRPr="00686CD4">
        <w:rPr>
          <w:lang w:val="fr-FR"/>
        </w:rPr>
        <w:t xml:space="preserve">accueil temporaire du </w:t>
      </w:r>
      <w:r>
        <w:rPr>
          <w:lang w:val="fr-FR"/>
        </w:rPr>
        <w:t>S</w:t>
      </w:r>
      <w:r w:rsidRPr="00686CD4">
        <w:rPr>
          <w:lang w:val="fr-FR"/>
        </w:rPr>
        <w:t>ervice de l</w:t>
      </w:r>
      <w:r>
        <w:rPr>
          <w:lang w:val="fr-FR"/>
        </w:rPr>
        <w:t>’</w:t>
      </w:r>
      <w:r w:rsidRPr="00686CD4">
        <w:rPr>
          <w:lang w:val="fr-FR"/>
        </w:rPr>
        <w:t>immigration et des frontières et en d</w:t>
      </w:r>
      <w:r>
        <w:rPr>
          <w:lang w:val="fr-FR"/>
        </w:rPr>
        <w:t>’</w:t>
      </w:r>
      <w:r w:rsidRPr="00686CD4">
        <w:rPr>
          <w:lang w:val="fr-FR"/>
        </w:rPr>
        <w:t>autres lieux où le service assure une aide aux usagers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T</w:t>
      </w:r>
      <w:r w:rsidRPr="00686CD4">
        <w:rPr>
          <w:lang w:val="fr-FR"/>
        </w:rPr>
        <w:t>ransmise par voie électronique, le plus souvent par courriel, au Médiateur portugais, à l</w:t>
      </w:r>
      <w:r>
        <w:rPr>
          <w:lang w:val="fr-FR"/>
        </w:rPr>
        <w:t>’Inspection générale de l’administration interne</w:t>
      </w:r>
      <w:r w:rsidRPr="00686CD4">
        <w:rPr>
          <w:lang w:val="fr-FR"/>
        </w:rPr>
        <w:t xml:space="preserve"> </w:t>
      </w:r>
      <w:r>
        <w:rPr>
          <w:lang w:val="fr-FR"/>
        </w:rPr>
        <w:t xml:space="preserve">ou </w:t>
      </w:r>
      <w:r w:rsidRPr="00686CD4">
        <w:rPr>
          <w:lang w:val="fr-FR"/>
        </w:rPr>
        <w:t xml:space="preserve">au département </w:t>
      </w:r>
      <w:r>
        <w:rPr>
          <w:lang w:val="fr-FR"/>
        </w:rPr>
        <w:t>de l’i</w:t>
      </w:r>
      <w:r w:rsidRPr="00686CD4">
        <w:rPr>
          <w:lang w:val="fr-FR"/>
        </w:rPr>
        <w:t xml:space="preserve">nspection du </w:t>
      </w:r>
      <w:r>
        <w:rPr>
          <w:lang w:val="fr-FR"/>
        </w:rPr>
        <w:t>S</w:t>
      </w:r>
      <w:r w:rsidRPr="00686CD4">
        <w:rPr>
          <w:lang w:val="fr-FR"/>
        </w:rPr>
        <w:t>ervice de l</w:t>
      </w:r>
      <w:r>
        <w:rPr>
          <w:lang w:val="fr-FR"/>
        </w:rPr>
        <w:t>’</w:t>
      </w:r>
      <w:r w:rsidRPr="00686CD4">
        <w:rPr>
          <w:lang w:val="fr-FR"/>
        </w:rPr>
        <w:t>immigration et des frontières</w:t>
      </w:r>
      <w:r w:rsidR="00495D0F">
        <w:rPr>
          <w:lang w:val="fr-FR"/>
        </w:rPr>
        <w:t> ;</w:t>
      </w:r>
      <w:r w:rsidRPr="00686CD4">
        <w:rPr>
          <w:lang w:val="fr-FR"/>
        </w:rPr>
        <w:t xml:space="preserve"> ou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S</w:t>
      </w:r>
      <w:r w:rsidRPr="00686CD4">
        <w:rPr>
          <w:lang w:val="fr-FR"/>
        </w:rPr>
        <w:t>oumise par l</w:t>
      </w:r>
      <w:r>
        <w:rPr>
          <w:lang w:val="fr-FR"/>
        </w:rPr>
        <w:t>’</w:t>
      </w:r>
      <w:r w:rsidRPr="00686CD4">
        <w:rPr>
          <w:lang w:val="fr-FR"/>
        </w:rPr>
        <w:t xml:space="preserve">intermédiaire du système de plainte obligatoirement </w:t>
      </w:r>
      <w:r>
        <w:rPr>
          <w:lang w:val="fr-FR"/>
        </w:rPr>
        <w:t xml:space="preserve">accessible </w:t>
      </w:r>
      <w:r w:rsidRPr="00686CD4">
        <w:rPr>
          <w:lang w:val="fr-FR"/>
        </w:rPr>
        <w:t>dans tous les établissements des forces de sécurité</w:t>
      </w:r>
      <w:r>
        <w:rPr>
          <w:lang w:val="fr-FR"/>
        </w:rPr>
        <w:t xml:space="preserve"> et </w:t>
      </w:r>
      <w:r w:rsidRPr="00686CD4">
        <w:rPr>
          <w:lang w:val="fr-FR"/>
        </w:rPr>
        <w:t>du système électronique</w:t>
      </w:r>
      <w:r>
        <w:rPr>
          <w:lang w:val="fr-FR"/>
        </w:rPr>
        <w:t xml:space="preserve"> de dépôt de plaintes</w:t>
      </w:r>
      <w:r w:rsidRPr="00686CD4">
        <w:rPr>
          <w:lang w:val="fr-FR"/>
        </w:rPr>
        <w:t>.</w:t>
      </w:r>
    </w:p>
    <w:p w:rsidR="002A7A34" w:rsidRPr="00686CD4" w:rsidRDefault="002A7A34" w:rsidP="003B6252">
      <w:pPr>
        <w:pStyle w:val="SingleTxtG"/>
        <w:rPr>
          <w:lang w:val="fr-FR"/>
        </w:rPr>
      </w:pPr>
      <w:r w:rsidRPr="00686CD4">
        <w:rPr>
          <w:lang w:val="fr-FR"/>
        </w:rPr>
        <w:t>254.</w:t>
      </w:r>
      <w:r w:rsidRPr="00686CD4">
        <w:rPr>
          <w:lang w:val="fr-FR"/>
        </w:rPr>
        <w:tab/>
        <w:t>Les plaintes sont examinées par les départements d</w:t>
      </w:r>
      <w:r>
        <w:rPr>
          <w:lang w:val="fr-FR"/>
        </w:rPr>
        <w:t>’</w:t>
      </w:r>
      <w:r w:rsidRPr="00686CD4">
        <w:rPr>
          <w:lang w:val="fr-FR"/>
        </w:rPr>
        <w:t xml:space="preserve">inspection respectifs et, si </w:t>
      </w:r>
      <w:r>
        <w:rPr>
          <w:lang w:val="fr-FR"/>
        </w:rPr>
        <w:t xml:space="preserve">cela est </w:t>
      </w:r>
      <w:r w:rsidRPr="00686CD4">
        <w:rPr>
          <w:lang w:val="fr-FR"/>
        </w:rPr>
        <w:t>justifié sur le plan juridique, par l</w:t>
      </w:r>
      <w:r>
        <w:rPr>
          <w:lang w:val="fr-FR"/>
        </w:rPr>
        <w:t>’Inspection générale de l’administration interne</w:t>
      </w:r>
      <w:r w:rsidRPr="00686CD4">
        <w:rPr>
          <w:lang w:val="fr-FR"/>
        </w:rPr>
        <w:t xml:space="preserve"> ainsi que les organes judiciaires et pénaux pertinents. Ces diverses entités sont compétentes pour imposer des sanctions </w:t>
      </w:r>
      <w:r>
        <w:rPr>
          <w:lang w:val="fr-FR"/>
        </w:rPr>
        <w:t xml:space="preserve">et pour établir </w:t>
      </w:r>
      <w:r w:rsidRPr="00686CD4">
        <w:rPr>
          <w:lang w:val="fr-FR"/>
        </w:rPr>
        <w:t>l</w:t>
      </w:r>
      <w:r>
        <w:rPr>
          <w:lang w:val="fr-FR"/>
        </w:rPr>
        <w:t>’</w:t>
      </w:r>
      <w:r w:rsidRPr="00686CD4">
        <w:rPr>
          <w:lang w:val="fr-FR"/>
        </w:rPr>
        <w:t>existence d</w:t>
      </w:r>
      <w:r>
        <w:rPr>
          <w:lang w:val="fr-FR"/>
        </w:rPr>
        <w:t>’</w:t>
      </w:r>
      <w:r w:rsidRPr="00686CD4">
        <w:rPr>
          <w:lang w:val="fr-FR"/>
        </w:rPr>
        <w:t xml:space="preserve">actes de discrimination, de violation des droits ou de violence </w:t>
      </w:r>
      <w:r>
        <w:rPr>
          <w:lang w:val="fr-FR"/>
        </w:rPr>
        <w:t xml:space="preserve">commis à l’égard de </w:t>
      </w:r>
      <w:r w:rsidRPr="00686CD4">
        <w:rPr>
          <w:lang w:val="fr-FR"/>
        </w:rPr>
        <w:t>toute personne</w:t>
      </w:r>
      <w:r>
        <w:rPr>
          <w:lang w:val="fr-FR"/>
        </w:rPr>
        <w:t>,</w:t>
      </w:r>
      <w:r w:rsidRPr="00686CD4">
        <w:rPr>
          <w:lang w:val="fr-FR"/>
        </w:rPr>
        <w:t xml:space="preserve"> quel</w:t>
      </w:r>
      <w:r>
        <w:rPr>
          <w:lang w:val="fr-FR"/>
        </w:rPr>
        <w:t xml:space="preserve">le </w:t>
      </w:r>
      <w:r w:rsidRPr="00686CD4">
        <w:rPr>
          <w:lang w:val="fr-FR"/>
        </w:rPr>
        <w:t>que soit sa nationalité, sa race, sa couleur ou son origine ethnique. Les enquêtes en matière de discrimination raciale ainsi que les sanctions applicables aux délinquants respectent le principe de la légalité.</w:t>
      </w:r>
    </w:p>
    <w:p w:rsidR="002A7A34" w:rsidRPr="00686CD4" w:rsidRDefault="002A7A34" w:rsidP="003B6252">
      <w:pPr>
        <w:pStyle w:val="SingleTxtG"/>
        <w:rPr>
          <w:lang w:val="fr-FR"/>
        </w:rPr>
      </w:pPr>
      <w:r w:rsidRPr="00686CD4">
        <w:rPr>
          <w:lang w:val="fr-FR"/>
        </w:rPr>
        <w:t>255.</w:t>
      </w:r>
      <w:r w:rsidRPr="00686CD4">
        <w:rPr>
          <w:lang w:val="fr-FR"/>
        </w:rPr>
        <w:tab/>
        <w:t xml:space="preserve">Par ailleurs, le Médiateur portugais, qui a été désigné en tant que </w:t>
      </w:r>
      <w:r>
        <w:rPr>
          <w:lang w:val="fr-FR"/>
        </w:rPr>
        <w:t>M</w:t>
      </w:r>
      <w:r w:rsidRPr="00686CD4">
        <w:rPr>
          <w:lang w:val="fr-FR"/>
        </w:rPr>
        <w:t xml:space="preserve">écanisme national de prévention conformément au Protocole facultatif se rapportant à la Convention contre la torture et </w:t>
      </w:r>
      <w:r w:rsidR="004B44AA">
        <w:rPr>
          <w:lang w:val="fr-FR"/>
        </w:rPr>
        <w:t>autres peines</w:t>
      </w:r>
      <w:r w:rsidRPr="00686CD4">
        <w:rPr>
          <w:lang w:val="fr-FR"/>
        </w:rPr>
        <w:t xml:space="preserve"> ou traitements cruels, inhumains ou dégradants</w:t>
      </w:r>
      <w:r>
        <w:rPr>
          <w:lang w:val="fr-FR"/>
        </w:rPr>
        <w:t xml:space="preserve">, contribue dans une large mesure à promouvoir et </w:t>
      </w:r>
      <w:r w:rsidRPr="00686CD4">
        <w:rPr>
          <w:lang w:val="fr-FR"/>
        </w:rPr>
        <w:t>prot</w:t>
      </w:r>
      <w:r>
        <w:rPr>
          <w:lang w:val="fr-FR"/>
        </w:rPr>
        <w:t>éger l</w:t>
      </w:r>
      <w:r w:rsidRPr="00686CD4">
        <w:rPr>
          <w:lang w:val="fr-FR"/>
        </w:rPr>
        <w:t>es personnes se trouvant dans des lieux de détention.</w:t>
      </w:r>
    </w:p>
    <w:p w:rsidR="002A7A34" w:rsidRPr="00686CD4" w:rsidRDefault="002A7A34" w:rsidP="003B6252">
      <w:pPr>
        <w:pStyle w:val="SingleTxtG"/>
        <w:rPr>
          <w:lang w:val="fr-FR"/>
        </w:rPr>
      </w:pPr>
      <w:r w:rsidRPr="00686CD4">
        <w:rPr>
          <w:lang w:val="fr-FR"/>
        </w:rPr>
        <w:t>256.</w:t>
      </w:r>
      <w:r w:rsidRPr="00686CD4">
        <w:rPr>
          <w:lang w:val="fr-FR"/>
        </w:rPr>
        <w:tab/>
        <w:t xml:space="preserve">Le Médiateur portugais poursuit depuis des années </w:t>
      </w:r>
      <w:r>
        <w:rPr>
          <w:lang w:val="fr-FR"/>
        </w:rPr>
        <w:t>d</w:t>
      </w:r>
      <w:r w:rsidRPr="00686CD4">
        <w:rPr>
          <w:lang w:val="fr-FR"/>
        </w:rPr>
        <w:t xml:space="preserve">es </w:t>
      </w:r>
      <w:r>
        <w:rPr>
          <w:lang w:val="fr-FR"/>
        </w:rPr>
        <w:t xml:space="preserve">activités régulières </w:t>
      </w:r>
      <w:r w:rsidRPr="00686CD4">
        <w:rPr>
          <w:lang w:val="fr-FR"/>
        </w:rPr>
        <w:t xml:space="preserve">dans les lieux de détention, que ce soit en traitant les plaintes présentées par les personnes se trouvant dans des lieux de détention, en procédant à des inspections et à des visites inopinées des prisons </w:t>
      </w:r>
      <w:r>
        <w:rPr>
          <w:lang w:val="fr-FR"/>
        </w:rPr>
        <w:t xml:space="preserve">ou </w:t>
      </w:r>
      <w:r w:rsidRPr="00686CD4">
        <w:rPr>
          <w:lang w:val="fr-FR"/>
        </w:rPr>
        <w:t>en effectuant des visites des prisons et d</w:t>
      </w:r>
      <w:r>
        <w:rPr>
          <w:lang w:val="fr-FR"/>
        </w:rPr>
        <w:t>’</w:t>
      </w:r>
      <w:r w:rsidRPr="00686CD4">
        <w:rPr>
          <w:lang w:val="fr-FR"/>
        </w:rPr>
        <w:t>autres lieux de détention</w:t>
      </w:r>
      <w:r>
        <w:rPr>
          <w:lang w:val="fr-FR"/>
        </w:rPr>
        <w:t xml:space="preserve"> </w:t>
      </w:r>
      <w:r w:rsidRPr="00686CD4">
        <w:rPr>
          <w:lang w:val="fr-FR"/>
        </w:rPr>
        <w:t xml:space="preserve">dans le cadre du </w:t>
      </w:r>
      <w:r>
        <w:rPr>
          <w:lang w:val="fr-FR"/>
        </w:rPr>
        <w:t>M</w:t>
      </w:r>
      <w:r w:rsidRPr="00686CD4">
        <w:rPr>
          <w:lang w:val="fr-FR"/>
        </w:rPr>
        <w:t xml:space="preserve">écanisme national de prévention. </w:t>
      </w:r>
    </w:p>
    <w:p w:rsidR="002A7A34" w:rsidRPr="00686CD4" w:rsidRDefault="002A7A34" w:rsidP="003B6252">
      <w:pPr>
        <w:pStyle w:val="SingleTxtG"/>
        <w:rPr>
          <w:lang w:val="fr-FR"/>
        </w:rPr>
      </w:pPr>
      <w:r w:rsidRPr="00686CD4">
        <w:rPr>
          <w:lang w:val="fr-FR"/>
        </w:rPr>
        <w:t>257.</w:t>
      </w:r>
      <w:r w:rsidRPr="00686CD4">
        <w:rPr>
          <w:lang w:val="fr-FR"/>
        </w:rPr>
        <w:tab/>
        <w:t xml:space="preserve">Il importe de souligner, en ce qui concerne le mécanisme de plainte existant, </w:t>
      </w:r>
      <w:r>
        <w:rPr>
          <w:lang w:val="fr-FR"/>
        </w:rPr>
        <w:t xml:space="preserve">que </w:t>
      </w:r>
      <w:r w:rsidRPr="00686CD4">
        <w:rPr>
          <w:lang w:val="fr-FR"/>
        </w:rPr>
        <w:t>le Médiateur portugais entretien</w:t>
      </w:r>
      <w:r>
        <w:rPr>
          <w:lang w:val="fr-FR"/>
        </w:rPr>
        <w:t>t</w:t>
      </w:r>
      <w:r w:rsidRPr="00686CD4">
        <w:rPr>
          <w:lang w:val="fr-FR"/>
        </w:rPr>
        <w:t xml:space="preserve"> de très étroites relations avec les ONG intervenant dans ce domaine. Bien que ce mécanisme soit accessible et que la majorité des plaintes soient directement soumises par les détenus </w:t>
      </w:r>
      <w:r>
        <w:rPr>
          <w:lang w:val="fr-FR"/>
        </w:rPr>
        <w:t xml:space="preserve">ou </w:t>
      </w:r>
      <w:r w:rsidRPr="00686CD4">
        <w:rPr>
          <w:lang w:val="fr-FR"/>
        </w:rPr>
        <w:t>par des membres de leur</w:t>
      </w:r>
      <w:r>
        <w:rPr>
          <w:lang w:val="fr-FR"/>
        </w:rPr>
        <w:t>s</w:t>
      </w:r>
      <w:r w:rsidRPr="00686CD4">
        <w:rPr>
          <w:lang w:val="fr-FR"/>
        </w:rPr>
        <w:t xml:space="preserve"> famille</w:t>
      </w:r>
      <w:r>
        <w:rPr>
          <w:lang w:val="fr-FR"/>
        </w:rPr>
        <w:t>s</w:t>
      </w:r>
      <w:r w:rsidRPr="00686CD4">
        <w:rPr>
          <w:lang w:val="fr-FR"/>
        </w:rPr>
        <w:t>, les ONG présentent fréquemment des plaintes pour le compte des détenus et fournissent au Médiateur portugais une description plus générale de la réalité dans les centres de détention. Le Médiateur portugais a reçu 195</w:t>
      </w:r>
      <w:r>
        <w:rPr>
          <w:lang w:val="fr-FR"/>
        </w:rPr>
        <w:t> </w:t>
      </w:r>
      <w:r w:rsidRPr="00686CD4">
        <w:rPr>
          <w:lang w:val="fr-FR"/>
        </w:rPr>
        <w:t xml:space="preserve">plaintes </w:t>
      </w:r>
      <w:r w:rsidR="00B545C2">
        <w:rPr>
          <w:lang w:val="fr-FR"/>
        </w:rPr>
        <w:t xml:space="preserve">en </w:t>
      </w:r>
      <w:r w:rsidRPr="00686CD4">
        <w:rPr>
          <w:lang w:val="fr-FR"/>
        </w:rPr>
        <w:t xml:space="preserve">2014, 168 </w:t>
      </w:r>
      <w:r w:rsidR="00B545C2">
        <w:rPr>
          <w:lang w:val="fr-FR"/>
        </w:rPr>
        <w:t xml:space="preserve">en </w:t>
      </w:r>
      <w:r w:rsidRPr="00686CD4">
        <w:rPr>
          <w:lang w:val="fr-FR"/>
        </w:rPr>
        <w:t>2015 et</w:t>
      </w:r>
      <w:r>
        <w:rPr>
          <w:lang w:val="fr-FR"/>
        </w:rPr>
        <w:t> </w:t>
      </w:r>
      <w:r w:rsidRPr="00686CD4">
        <w:rPr>
          <w:lang w:val="fr-FR"/>
        </w:rPr>
        <w:t xml:space="preserve">178 </w:t>
      </w:r>
      <w:r w:rsidR="00B545C2">
        <w:rPr>
          <w:lang w:val="fr-FR"/>
        </w:rPr>
        <w:t xml:space="preserve">en </w:t>
      </w:r>
      <w:r w:rsidRPr="00686CD4">
        <w:rPr>
          <w:lang w:val="fr-FR"/>
        </w:rPr>
        <w:t>2016</w:t>
      </w:r>
      <w:r>
        <w:rPr>
          <w:lang w:val="fr-FR"/>
        </w:rPr>
        <w:t xml:space="preserve">, qui concernaient </w:t>
      </w:r>
      <w:r w:rsidRPr="00686CD4">
        <w:rPr>
          <w:lang w:val="fr-FR"/>
        </w:rPr>
        <w:t>pour la plupart</w:t>
      </w:r>
      <w:r>
        <w:rPr>
          <w:lang w:val="fr-FR"/>
        </w:rPr>
        <w:t xml:space="preserve"> </w:t>
      </w:r>
      <w:r w:rsidRPr="00686CD4">
        <w:rPr>
          <w:lang w:val="fr-FR"/>
        </w:rPr>
        <w:t xml:space="preserve">des demandes de transfert, </w:t>
      </w:r>
      <w:r>
        <w:rPr>
          <w:lang w:val="fr-FR"/>
        </w:rPr>
        <w:t>l</w:t>
      </w:r>
      <w:r w:rsidRPr="00686CD4">
        <w:rPr>
          <w:lang w:val="fr-FR"/>
        </w:rPr>
        <w:t>es soins de sant</w:t>
      </w:r>
      <w:r>
        <w:rPr>
          <w:lang w:val="fr-FR"/>
        </w:rPr>
        <w:t>é</w:t>
      </w:r>
      <w:r w:rsidRPr="00686CD4">
        <w:rPr>
          <w:lang w:val="fr-FR"/>
        </w:rPr>
        <w:t xml:space="preserve">, la sécurité et la discipline. </w:t>
      </w:r>
    </w:p>
    <w:p w:rsidR="002A7A34" w:rsidRPr="00686CD4" w:rsidRDefault="002A7A34" w:rsidP="003B6252">
      <w:pPr>
        <w:pStyle w:val="SingleTxtG"/>
        <w:rPr>
          <w:lang w:val="fr-FR"/>
        </w:rPr>
      </w:pPr>
      <w:r w:rsidRPr="00686CD4">
        <w:rPr>
          <w:lang w:val="fr-FR"/>
        </w:rPr>
        <w:t>258.</w:t>
      </w:r>
      <w:r w:rsidRPr="00686CD4">
        <w:rPr>
          <w:lang w:val="fr-FR"/>
        </w:rPr>
        <w:tab/>
        <w:t xml:space="preserve">En sa qualité de </w:t>
      </w:r>
      <w:r>
        <w:rPr>
          <w:lang w:val="fr-FR"/>
        </w:rPr>
        <w:t>M</w:t>
      </w:r>
      <w:r w:rsidRPr="00686CD4">
        <w:rPr>
          <w:lang w:val="fr-FR"/>
        </w:rPr>
        <w:t xml:space="preserve">écanisme national de protection désigné conformément au Protocole facultatif se rapportant à la Convention contre la torture et </w:t>
      </w:r>
      <w:r w:rsidR="004B44AA">
        <w:rPr>
          <w:lang w:val="fr-FR"/>
        </w:rPr>
        <w:t>autres peines</w:t>
      </w:r>
      <w:r w:rsidRPr="00686CD4">
        <w:rPr>
          <w:lang w:val="fr-FR"/>
        </w:rPr>
        <w:t xml:space="preserve"> ou traitements cruels </w:t>
      </w:r>
      <w:r w:rsidR="000C27C2">
        <w:rPr>
          <w:lang w:val="fr-FR"/>
        </w:rPr>
        <w:t xml:space="preserve">ou inhumains </w:t>
      </w:r>
      <w:r w:rsidRPr="00686CD4">
        <w:rPr>
          <w:lang w:val="fr-FR"/>
        </w:rPr>
        <w:t xml:space="preserve">depuis 2013, le Médiateur </w:t>
      </w:r>
      <w:r>
        <w:rPr>
          <w:lang w:val="fr-FR"/>
        </w:rPr>
        <w:t xml:space="preserve">poursuit </w:t>
      </w:r>
      <w:r w:rsidRPr="00686CD4">
        <w:rPr>
          <w:lang w:val="fr-FR"/>
        </w:rPr>
        <w:t>d</w:t>
      </w:r>
      <w:r>
        <w:rPr>
          <w:lang w:val="fr-FR"/>
        </w:rPr>
        <w:t>’</w:t>
      </w:r>
      <w:r w:rsidRPr="00686CD4">
        <w:rPr>
          <w:lang w:val="fr-FR"/>
        </w:rPr>
        <w:t>amples travaux dans le domaine de la prévention de la torture et des mauvais traitements dans les lieux de détention. Entre</w:t>
      </w:r>
      <w:r>
        <w:rPr>
          <w:lang w:val="fr-FR"/>
        </w:rPr>
        <w:t> </w:t>
      </w:r>
      <w:r w:rsidRPr="00686CD4">
        <w:rPr>
          <w:lang w:val="fr-FR"/>
        </w:rPr>
        <w:t>2014 et</w:t>
      </w:r>
      <w:r>
        <w:rPr>
          <w:lang w:val="fr-FR"/>
        </w:rPr>
        <w:t> </w:t>
      </w:r>
      <w:r w:rsidRPr="00686CD4">
        <w:rPr>
          <w:lang w:val="fr-FR"/>
        </w:rPr>
        <w:t xml:space="preserve">2017, </w:t>
      </w:r>
      <w:r>
        <w:rPr>
          <w:lang w:val="fr-FR"/>
        </w:rPr>
        <w:t>il a</w:t>
      </w:r>
      <w:r w:rsidRPr="00686CD4">
        <w:rPr>
          <w:lang w:val="fr-FR"/>
        </w:rPr>
        <w:t xml:space="preserve"> </w:t>
      </w:r>
      <w:r>
        <w:rPr>
          <w:lang w:val="fr-FR"/>
        </w:rPr>
        <w:t>procédé à</w:t>
      </w:r>
      <w:r w:rsidRPr="00686CD4">
        <w:rPr>
          <w:lang w:val="fr-FR"/>
        </w:rPr>
        <w:t xml:space="preserve"> 144</w:t>
      </w:r>
      <w:r>
        <w:rPr>
          <w:lang w:val="fr-FR"/>
        </w:rPr>
        <w:t> </w:t>
      </w:r>
      <w:r w:rsidRPr="00686CD4">
        <w:rPr>
          <w:lang w:val="fr-FR"/>
        </w:rPr>
        <w:t xml:space="preserve">visites de prisons, de postes de police, de services psychiatriques </w:t>
      </w:r>
      <w:r w:rsidR="000C27C2">
        <w:rPr>
          <w:lang w:val="fr-FR"/>
        </w:rPr>
        <w:t xml:space="preserve">dans des </w:t>
      </w:r>
      <w:r w:rsidRPr="00686CD4">
        <w:rPr>
          <w:lang w:val="fr-FR"/>
        </w:rPr>
        <w:t>hôpitaux, de centres de détention d</w:t>
      </w:r>
      <w:r>
        <w:rPr>
          <w:lang w:val="fr-FR"/>
        </w:rPr>
        <w:t xml:space="preserve">ans les </w:t>
      </w:r>
      <w:r w:rsidRPr="00686CD4">
        <w:rPr>
          <w:lang w:val="fr-FR"/>
        </w:rPr>
        <w:t xml:space="preserve">aéroports et </w:t>
      </w:r>
      <w:r>
        <w:rPr>
          <w:lang w:val="fr-FR"/>
        </w:rPr>
        <w:t>l</w:t>
      </w:r>
      <w:r w:rsidRPr="00686CD4">
        <w:rPr>
          <w:lang w:val="fr-FR"/>
        </w:rPr>
        <w:t xml:space="preserve">es tribunaux et de centres éducatifs établis pour les jeunes en conflit avec la loi. Ces </w:t>
      </w:r>
      <w:r>
        <w:rPr>
          <w:lang w:val="fr-FR"/>
        </w:rPr>
        <w:t xml:space="preserve">visites lui </w:t>
      </w:r>
      <w:r w:rsidRPr="00686CD4">
        <w:rPr>
          <w:lang w:val="fr-FR"/>
        </w:rPr>
        <w:t>offrent la possibilité non seulement de s</w:t>
      </w:r>
      <w:r>
        <w:rPr>
          <w:lang w:val="fr-FR"/>
        </w:rPr>
        <w:t>’</w:t>
      </w:r>
      <w:r w:rsidRPr="00686CD4">
        <w:rPr>
          <w:lang w:val="fr-FR"/>
        </w:rPr>
        <w:t xml:space="preserve">assurer des conditions de vie et des traitements </w:t>
      </w:r>
      <w:r>
        <w:rPr>
          <w:lang w:val="fr-FR"/>
        </w:rPr>
        <w:t xml:space="preserve">des </w:t>
      </w:r>
      <w:r w:rsidRPr="00686CD4">
        <w:rPr>
          <w:lang w:val="fr-FR"/>
        </w:rPr>
        <w:t>détenus et d</w:t>
      </w:r>
      <w:r>
        <w:rPr>
          <w:lang w:val="fr-FR"/>
        </w:rPr>
        <w:t>’</w:t>
      </w:r>
      <w:r w:rsidRPr="00686CD4">
        <w:rPr>
          <w:lang w:val="fr-FR"/>
        </w:rPr>
        <w:t>interroger les gardes, les membres des services de police et les membres du personnel</w:t>
      </w:r>
      <w:r>
        <w:rPr>
          <w:lang w:val="fr-FR"/>
        </w:rPr>
        <w:t>,</w:t>
      </w:r>
      <w:r w:rsidRPr="00686CD4">
        <w:rPr>
          <w:lang w:val="fr-FR"/>
        </w:rPr>
        <w:t xml:space="preserve"> mais aussi de s</w:t>
      </w:r>
      <w:r>
        <w:rPr>
          <w:lang w:val="fr-FR"/>
        </w:rPr>
        <w:t>’</w:t>
      </w:r>
      <w:r w:rsidRPr="00686CD4">
        <w:rPr>
          <w:lang w:val="fr-FR"/>
        </w:rPr>
        <w:t>enquérir auprès de</w:t>
      </w:r>
      <w:r>
        <w:rPr>
          <w:lang w:val="fr-FR"/>
        </w:rPr>
        <w:t>s</w:t>
      </w:r>
      <w:r w:rsidRPr="00686CD4">
        <w:rPr>
          <w:lang w:val="fr-FR"/>
        </w:rPr>
        <w:t xml:space="preserve"> </w:t>
      </w:r>
      <w:r>
        <w:rPr>
          <w:lang w:val="fr-FR"/>
        </w:rPr>
        <w:t xml:space="preserve">prisonniers </w:t>
      </w:r>
      <w:r w:rsidRPr="00686CD4">
        <w:rPr>
          <w:lang w:val="fr-FR"/>
        </w:rPr>
        <w:t xml:space="preserve">de leur situation suivant des modalités garantissant </w:t>
      </w:r>
      <w:r>
        <w:rPr>
          <w:lang w:val="fr-FR"/>
        </w:rPr>
        <w:t xml:space="preserve">le respect de </w:t>
      </w:r>
      <w:r w:rsidRPr="00686CD4">
        <w:rPr>
          <w:lang w:val="fr-FR"/>
        </w:rPr>
        <w:t>la confidentialité.</w:t>
      </w:r>
    </w:p>
    <w:p w:rsidR="002A7A34" w:rsidRPr="00686CD4" w:rsidRDefault="002A7A34" w:rsidP="003B6252">
      <w:pPr>
        <w:pStyle w:val="SingleTxtG"/>
        <w:rPr>
          <w:lang w:val="fr-FR"/>
        </w:rPr>
      </w:pPr>
      <w:r w:rsidRPr="00686CD4">
        <w:rPr>
          <w:lang w:val="fr-FR"/>
        </w:rPr>
        <w:t>259.</w:t>
      </w:r>
      <w:r w:rsidRPr="00686CD4">
        <w:rPr>
          <w:lang w:val="fr-FR"/>
        </w:rPr>
        <w:tab/>
        <w:t xml:space="preserve">Le </w:t>
      </w:r>
      <w:r>
        <w:rPr>
          <w:lang w:val="fr-FR"/>
        </w:rPr>
        <w:t>M</w:t>
      </w:r>
      <w:r w:rsidRPr="00686CD4">
        <w:rPr>
          <w:lang w:val="fr-FR"/>
        </w:rPr>
        <w:t xml:space="preserve">écanisme national de prévention </w:t>
      </w:r>
      <w:r>
        <w:rPr>
          <w:lang w:val="fr-FR"/>
        </w:rPr>
        <w:t>a</w:t>
      </w:r>
      <w:r w:rsidRPr="00686CD4">
        <w:rPr>
          <w:lang w:val="fr-FR"/>
        </w:rPr>
        <w:t xml:space="preserve"> la possibilité, dans le cadre de ses </w:t>
      </w:r>
      <w:r>
        <w:rPr>
          <w:lang w:val="fr-FR"/>
        </w:rPr>
        <w:t xml:space="preserve">différentes </w:t>
      </w:r>
      <w:r w:rsidRPr="00686CD4">
        <w:rPr>
          <w:lang w:val="fr-FR"/>
        </w:rPr>
        <w:t>activités, de faire mieux connaître son rôle et de communiquer des informations sur sa mission et sur les différentes manières de soumettre une plainte.</w:t>
      </w:r>
    </w:p>
    <w:p w:rsidR="002A7A34" w:rsidRPr="00686CD4" w:rsidRDefault="002A7A34" w:rsidP="003B6252">
      <w:pPr>
        <w:pStyle w:val="H23G"/>
        <w:jc w:val="both"/>
        <w:rPr>
          <w:lang w:val="fr-FR"/>
        </w:rPr>
      </w:pPr>
      <w:r w:rsidRPr="00686CD4">
        <w:rPr>
          <w:lang w:val="fr-FR"/>
        </w:rPr>
        <w:tab/>
      </w:r>
      <w:bookmarkStart w:id="83" w:name="_Toc532494686"/>
      <w:r w:rsidRPr="00686CD4">
        <w:rPr>
          <w:lang w:val="fr-FR"/>
        </w:rPr>
        <w:tab/>
      </w:r>
      <w:r w:rsidRPr="00686CD4">
        <w:rPr>
          <w:lang w:val="fr-FR"/>
        </w:rPr>
        <w:tab/>
        <w:t>b)</w:t>
      </w:r>
      <w:r w:rsidRPr="00686CD4">
        <w:rPr>
          <w:lang w:val="fr-FR"/>
        </w:rPr>
        <w:tab/>
      </w:r>
      <w:r w:rsidRPr="00A72C50">
        <w:rPr>
          <w:lang w:val="fr-FR"/>
        </w:rPr>
        <w:t>Les mesures prises pour assurer la confidentialité des plaintes et la protection des plaignants et des victimes, en particulier dans les cas où les victimes sont privées de liberté</w:t>
      </w:r>
      <w:r w:rsidR="00495D0F">
        <w:rPr>
          <w:lang w:val="fr-FR"/>
        </w:rPr>
        <w:t> ;</w:t>
      </w:r>
      <w:bookmarkEnd w:id="83"/>
      <w:r w:rsidRPr="00686CD4">
        <w:rPr>
          <w:lang w:val="fr-FR"/>
        </w:rPr>
        <w:t xml:space="preserve"> </w:t>
      </w:r>
    </w:p>
    <w:p w:rsidR="002A7A34" w:rsidRPr="00686CD4" w:rsidRDefault="002A7A34" w:rsidP="002A7A34">
      <w:pPr>
        <w:pStyle w:val="SingleTxtG"/>
        <w:rPr>
          <w:lang w:val="fr-FR"/>
        </w:rPr>
      </w:pPr>
      <w:r w:rsidRPr="00686CD4">
        <w:rPr>
          <w:lang w:val="fr-FR"/>
        </w:rPr>
        <w:t>260.</w:t>
      </w:r>
      <w:r w:rsidRPr="00686CD4">
        <w:rPr>
          <w:lang w:val="fr-FR"/>
        </w:rPr>
        <w:tab/>
        <w:t xml:space="preserve">Voir la réponse donnée au paragraphe 18 a). </w:t>
      </w:r>
    </w:p>
    <w:p w:rsidR="002A7A34" w:rsidRPr="00686CD4" w:rsidRDefault="002A7A34" w:rsidP="003B6252">
      <w:pPr>
        <w:pStyle w:val="SingleTxtG"/>
        <w:rPr>
          <w:lang w:val="fr-FR"/>
        </w:rPr>
      </w:pPr>
      <w:r w:rsidRPr="00686CD4">
        <w:rPr>
          <w:lang w:val="fr-FR"/>
        </w:rPr>
        <w:lastRenderedPageBreak/>
        <w:t>261.</w:t>
      </w:r>
      <w:r w:rsidRPr="00686CD4">
        <w:rPr>
          <w:lang w:val="fr-FR"/>
        </w:rPr>
        <w:tab/>
        <w:t xml:space="preserve">La </w:t>
      </w:r>
      <w:r>
        <w:rPr>
          <w:lang w:val="fr-FR"/>
        </w:rPr>
        <w:t>G</w:t>
      </w:r>
      <w:r w:rsidRPr="00686CD4">
        <w:rPr>
          <w:lang w:val="fr-FR"/>
        </w:rPr>
        <w:t xml:space="preserve">arde nationale républicaine suit scrupuleusement les procédures énoncées </w:t>
      </w:r>
      <w:r>
        <w:rPr>
          <w:lang w:val="fr-FR"/>
        </w:rPr>
        <w:t xml:space="preserve">dans </w:t>
      </w:r>
      <w:r w:rsidRPr="00686CD4">
        <w:rPr>
          <w:lang w:val="fr-FR"/>
        </w:rPr>
        <w:t xml:space="preserve">le </w:t>
      </w:r>
      <w:r>
        <w:rPr>
          <w:lang w:val="fr-FR"/>
        </w:rPr>
        <w:t>C</w:t>
      </w:r>
      <w:r w:rsidRPr="00686CD4">
        <w:rPr>
          <w:lang w:val="fr-FR"/>
        </w:rPr>
        <w:t>ode de procédure pénale, qui ont été renforcé</w:t>
      </w:r>
      <w:r>
        <w:rPr>
          <w:lang w:val="fr-FR"/>
        </w:rPr>
        <w:t>es</w:t>
      </w:r>
      <w:r w:rsidRPr="00686CD4">
        <w:rPr>
          <w:lang w:val="fr-FR"/>
        </w:rPr>
        <w:t xml:space="preserve"> par l</w:t>
      </w:r>
      <w:r>
        <w:rPr>
          <w:lang w:val="fr-FR"/>
        </w:rPr>
        <w:t>’</w:t>
      </w:r>
      <w:r w:rsidRPr="00686CD4">
        <w:rPr>
          <w:lang w:val="fr-FR"/>
        </w:rPr>
        <w:t>approbation du règlement interne défini par la circulaire</w:t>
      </w:r>
      <w:r>
        <w:rPr>
          <w:lang w:val="fr-FR"/>
        </w:rPr>
        <w:t xml:space="preserve"> </w:t>
      </w:r>
      <w:r w:rsidR="003B6252" w:rsidRPr="00553571">
        <w:rPr>
          <w:rFonts w:eastAsia="MS Mincho"/>
          <w:lang w:val="fr-FR"/>
        </w:rPr>
        <w:t>n</w:t>
      </w:r>
      <w:r w:rsidR="003B6252" w:rsidRPr="00553571">
        <w:rPr>
          <w:rFonts w:eastAsia="MS Mincho"/>
          <w:vertAlign w:val="superscript"/>
          <w:lang w:val="fr-FR"/>
        </w:rPr>
        <w:t>o</w:t>
      </w:r>
      <w:r w:rsidR="003B6252">
        <w:rPr>
          <w:lang w:val="fr-FR"/>
        </w:rPr>
        <w:t> </w:t>
      </w:r>
      <w:r w:rsidRPr="00686CD4">
        <w:rPr>
          <w:lang w:val="fr-FR"/>
        </w:rPr>
        <w:t>8/200-C et la circulaire</w:t>
      </w:r>
      <w:r>
        <w:rPr>
          <w:lang w:val="fr-FR"/>
        </w:rPr>
        <w:t xml:space="preserve"> </w:t>
      </w:r>
      <w:r w:rsidR="003B6252" w:rsidRPr="00553571">
        <w:rPr>
          <w:rFonts w:eastAsia="MS Mincho"/>
          <w:lang w:val="fr-FR"/>
        </w:rPr>
        <w:t>n</w:t>
      </w:r>
      <w:r w:rsidR="003B6252" w:rsidRPr="00553571">
        <w:rPr>
          <w:rFonts w:eastAsia="MS Mincho"/>
          <w:vertAlign w:val="superscript"/>
          <w:lang w:val="fr-FR"/>
        </w:rPr>
        <w:t>o</w:t>
      </w:r>
      <w:r w:rsidR="003B6252">
        <w:rPr>
          <w:lang w:val="fr-FR"/>
        </w:rPr>
        <w:t> </w:t>
      </w:r>
      <w:r w:rsidRPr="00686CD4">
        <w:rPr>
          <w:lang w:val="fr-FR"/>
        </w:rPr>
        <w:t>06/200-P. Ce</w:t>
      </w:r>
      <w:r>
        <w:rPr>
          <w:lang w:val="fr-FR"/>
        </w:rPr>
        <w:t>s</w:t>
      </w:r>
      <w:r w:rsidRPr="00686CD4">
        <w:rPr>
          <w:lang w:val="fr-FR"/>
        </w:rPr>
        <w:t xml:space="preserve"> règlement</w:t>
      </w:r>
      <w:r>
        <w:rPr>
          <w:lang w:val="fr-FR"/>
        </w:rPr>
        <w:t>s</w:t>
      </w:r>
      <w:r w:rsidRPr="00686CD4">
        <w:rPr>
          <w:lang w:val="fr-FR"/>
        </w:rPr>
        <w:t xml:space="preserve"> établi</w:t>
      </w:r>
      <w:r>
        <w:rPr>
          <w:lang w:val="fr-FR"/>
        </w:rPr>
        <w:t>ssen</w:t>
      </w:r>
      <w:r w:rsidRPr="00686CD4">
        <w:rPr>
          <w:lang w:val="fr-FR"/>
        </w:rPr>
        <w:t>t les procédures de nomination d</w:t>
      </w:r>
      <w:r>
        <w:rPr>
          <w:lang w:val="fr-FR"/>
        </w:rPr>
        <w:t>’</w:t>
      </w:r>
      <w:r w:rsidRPr="00686CD4">
        <w:rPr>
          <w:lang w:val="fr-FR"/>
        </w:rPr>
        <w:t>un défenseur dans le cadre d</w:t>
      </w:r>
      <w:r>
        <w:rPr>
          <w:lang w:val="fr-FR"/>
        </w:rPr>
        <w:t>’une</w:t>
      </w:r>
      <w:r w:rsidRPr="00686CD4">
        <w:rPr>
          <w:lang w:val="fr-FR"/>
        </w:rPr>
        <w:t xml:space="preserve"> enquête criminelle ainsi que les règles régissant les contacts dans les postes territoriaux de la </w:t>
      </w:r>
      <w:r>
        <w:rPr>
          <w:lang w:val="fr-FR"/>
        </w:rPr>
        <w:t>G</w:t>
      </w:r>
      <w:r w:rsidRPr="00686CD4">
        <w:rPr>
          <w:lang w:val="fr-FR"/>
        </w:rPr>
        <w:t>arde nationale républicaine, qui garantisse</w:t>
      </w:r>
      <w:r>
        <w:rPr>
          <w:lang w:val="fr-FR"/>
        </w:rPr>
        <w:t>nt</w:t>
      </w:r>
      <w:r w:rsidRPr="00686CD4">
        <w:rPr>
          <w:lang w:val="fr-FR"/>
        </w:rPr>
        <w:t xml:space="preserve"> à toute victime le souhaitant le droit de communiquer avec un défenseur. Cette procédure est appliquée par l</w:t>
      </w:r>
      <w:r>
        <w:rPr>
          <w:lang w:val="fr-FR"/>
        </w:rPr>
        <w:t>’</w:t>
      </w:r>
      <w:r w:rsidRPr="00686CD4">
        <w:rPr>
          <w:lang w:val="fr-FR"/>
        </w:rPr>
        <w:t>intermédiaire du système d</w:t>
      </w:r>
      <w:r>
        <w:rPr>
          <w:lang w:val="fr-FR"/>
        </w:rPr>
        <w:t>’</w:t>
      </w:r>
      <w:r w:rsidRPr="00686CD4">
        <w:rPr>
          <w:lang w:val="fr-FR"/>
        </w:rPr>
        <w:t xml:space="preserve">information du </w:t>
      </w:r>
      <w:r>
        <w:rPr>
          <w:lang w:val="fr-FR"/>
        </w:rPr>
        <w:t>b</w:t>
      </w:r>
      <w:r w:rsidRPr="00686CD4">
        <w:rPr>
          <w:lang w:val="fr-FR"/>
        </w:rPr>
        <w:t>arreau.</w:t>
      </w:r>
    </w:p>
    <w:p w:rsidR="002A7A34" w:rsidRPr="00686CD4" w:rsidRDefault="002A7A34" w:rsidP="003B6252">
      <w:pPr>
        <w:pStyle w:val="SingleTxtG"/>
        <w:rPr>
          <w:lang w:val="fr-FR"/>
        </w:rPr>
      </w:pPr>
      <w:r w:rsidRPr="00686CD4">
        <w:rPr>
          <w:lang w:val="fr-FR"/>
        </w:rPr>
        <w:t>262.</w:t>
      </w:r>
      <w:r w:rsidRPr="00686CD4">
        <w:rPr>
          <w:lang w:val="fr-FR"/>
        </w:rPr>
        <w:tab/>
        <w:t>L</w:t>
      </w:r>
      <w:r>
        <w:rPr>
          <w:lang w:val="fr-FR"/>
        </w:rPr>
        <w:t>’Inspection générale de l’administration interne</w:t>
      </w:r>
      <w:r w:rsidRPr="00686CD4">
        <w:rPr>
          <w:lang w:val="fr-FR"/>
        </w:rPr>
        <w:t xml:space="preserve"> et ses cadres doivent se conformer à des règles et des obligations très strictes, notamment l</w:t>
      </w:r>
      <w:r>
        <w:rPr>
          <w:lang w:val="fr-FR"/>
        </w:rPr>
        <w:t>’</w:t>
      </w:r>
      <w:r w:rsidRPr="00686CD4">
        <w:rPr>
          <w:lang w:val="fr-FR"/>
        </w:rPr>
        <w:t>obligation de ne divulguer aucune information sur les affaires dont ils ont connaissance dans l</w:t>
      </w:r>
      <w:r>
        <w:rPr>
          <w:lang w:val="fr-FR"/>
        </w:rPr>
        <w:t>’</w:t>
      </w:r>
      <w:r w:rsidRPr="00686CD4">
        <w:rPr>
          <w:lang w:val="fr-FR"/>
        </w:rPr>
        <w:t>exercice de leurs fonctions ou par suite de ces dernières (art</w:t>
      </w:r>
      <w:r w:rsidR="0029512F">
        <w:rPr>
          <w:lang w:val="fr-FR"/>
        </w:rPr>
        <w:t>.</w:t>
      </w:r>
      <w:r w:rsidRPr="00686CD4">
        <w:rPr>
          <w:lang w:val="fr-FR"/>
        </w:rPr>
        <w:t xml:space="preserve"> 21 du décret-loi </w:t>
      </w:r>
      <w:r w:rsidR="0029512F" w:rsidRPr="00553571">
        <w:rPr>
          <w:rFonts w:eastAsia="MS Mincho"/>
          <w:lang w:val="fr-FR"/>
        </w:rPr>
        <w:t>n</w:t>
      </w:r>
      <w:r w:rsidR="0029512F" w:rsidRPr="00553571">
        <w:rPr>
          <w:rFonts w:eastAsia="MS Mincho"/>
          <w:vertAlign w:val="superscript"/>
          <w:lang w:val="fr-FR"/>
        </w:rPr>
        <w:t>o</w:t>
      </w:r>
      <w:r w:rsidR="0029512F">
        <w:rPr>
          <w:lang w:val="fr-FR"/>
        </w:rPr>
        <w:t> </w:t>
      </w:r>
      <w:r w:rsidRPr="00686CD4">
        <w:rPr>
          <w:lang w:val="fr-FR"/>
        </w:rPr>
        <w:t xml:space="preserve">276/2007 du 31 juillet). Toute violation du secret professionnel est passible de sanctions disciplinaires ainsi que, le cas échéant, </w:t>
      </w:r>
      <w:r>
        <w:rPr>
          <w:lang w:val="fr-FR"/>
        </w:rPr>
        <w:t xml:space="preserve">de </w:t>
      </w:r>
      <w:r w:rsidRPr="00686CD4">
        <w:rPr>
          <w:lang w:val="fr-FR"/>
        </w:rPr>
        <w:t>poursuite</w:t>
      </w:r>
      <w:r>
        <w:rPr>
          <w:lang w:val="fr-FR"/>
        </w:rPr>
        <w:t xml:space="preserve">s au </w:t>
      </w:r>
      <w:r w:rsidRPr="00686CD4">
        <w:rPr>
          <w:lang w:val="fr-FR"/>
        </w:rPr>
        <w:t xml:space="preserve">civil ou </w:t>
      </w:r>
      <w:r>
        <w:rPr>
          <w:lang w:val="fr-FR"/>
        </w:rPr>
        <w:t xml:space="preserve">au </w:t>
      </w:r>
      <w:r w:rsidRPr="00686CD4">
        <w:rPr>
          <w:lang w:val="fr-FR"/>
        </w:rPr>
        <w:t>pénal.</w:t>
      </w:r>
    </w:p>
    <w:p w:rsidR="002A7A34" w:rsidRPr="00686CD4" w:rsidRDefault="002A7A34" w:rsidP="0029512F">
      <w:pPr>
        <w:pStyle w:val="H23G"/>
        <w:jc w:val="both"/>
        <w:rPr>
          <w:lang w:val="fr-FR"/>
        </w:rPr>
      </w:pPr>
      <w:r w:rsidRPr="00686CD4">
        <w:rPr>
          <w:lang w:val="fr-FR"/>
        </w:rPr>
        <w:tab/>
      </w:r>
      <w:bookmarkStart w:id="84" w:name="_Toc532494687"/>
      <w:r w:rsidRPr="00686CD4">
        <w:rPr>
          <w:lang w:val="fr-FR"/>
        </w:rPr>
        <w:tab/>
      </w:r>
      <w:r w:rsidRPr="00686CD4">
        <w:rPr>
          <w:lang w:val="fr-FR"/>
        </w:rPr>
        <w:tab/>
        <w:t>c)</w:t>
      </w:r>
      <w:r w:rsidRPr="00686CD4">
        <w:rPr>
          <w:lang w:val="fr-FR"/>
        </w:rPr>
        <w:tab/>
      </w:r>
      <w:r w:rsidRPr="00A72C50">
        <w:rPr>
          <w:lang w:val="fr-FR"/>
        </w:rPr>
        <w:t>Les mesures prises pour sensibiliser les détenus et la population dans son ensemble à l</w:t>
      </w:r>
      <w:r>
        <w:rPr>
          <w:lang w:val="fr-FR"/>
        </w:rPr>
        <w:t>’</w:t>
      </w:r>
      <w:r w:rsidRPr="00A72C50">
        <w:rPr>
          <w:lang w:val="fr-FR"/>
        </w:rPr>
        <w:t>existence de mécanismes de plaintes pour signaler les actes de torture et les mauvais traitements infligés par des fonctionnaires. Indiquer également si les plaignants sont toujours informés de la suite donnée à leur plainte</w:t>
      </w:r>
      <w:r w:rsidR="00495D0F">
        <w:rPr>
          <w:lang w:val="fr-FR"/>
        </w:rPr>
        <w:t> ;</w:t>
      </w:r>
      <w:bookmarkEnd w:id="84"/>
      <w:r w:rsidRPr="00686CD4">
        <w:rPr>
          <w:lang w:val="fr-FR"/>
        </w:rPr>
        <w:t xml:space="preserve"> </w:t>
      </w:r>
    </w:p>
    <w:p w:rsidR="002A7A34" w:rsidRPr="00686CD4" w:rsidRDefault="002A7A34" w:rsidP="0029512F">
      <w:pPr>
        <w:pStyle w:val="SingleTxtG"/>
        <w:rPr>
          <w:lang w:val="fr-FR"/>
        </w:rPr>
      </w:pPr>
      <w:r w:rsidRPr="00686CD4">
        <w:rPr>
          <w:lang w:val="fr-FR"/>
        </w:rPr>
        <w:t>263.</w:t>
      </w:r>
      <w:r w:rsidRPr="00686CD4">
        <w:rPr>
          <w:lang w:val="fr-FR"/>
        </w:rPr>
        <w:tab/>
        <w:t xml:space="preserve">Voir la réponse donnée au paragraphe 18 a). </w:t>
      </w:r>
    </w:p>
    <w:p w:rsidR="002A7A34" w:rsidRPr="00686CD4" w:rsidRDefault="002A7A34" w:rsidP="0029512F">
      <w:pPr>
        <w:pStyle w:val="SingleTxtG"/>
        <w:rPr>
          <w:lang w:val="fr-FR"/>
        </w:rPr>
      </w:pPr>
      <w:r w:rsidRPr="00686CD4">
        <w:rPr>
          <w:lang w:val="fr-FR"/>
        </w:rPr>
        <w:t>264.</w:t>
      </w:r>
      <w:r w:rsidRPr="00686CD4">
        <w:rPr>
          <w:lang w:val="fr-FR"/>
        </w:rPr>
        <w:tab/>
        <w:t>Selon l</w:t>
      </w:r>
      <w:r>
        <w:rPr>
          <w:lang w:val="fr-FR"/>
        </w:rPr>
        <w:t>’Inspection générale de l’administration interne</w:t>
      </w:r>
      <w:r w:rsidRPr="00686CD4">
        <w:rPr>
          <w:lang w:val="fr-FR"/>
        </w:rPr>
        <w:t xml:space="preserve">, </w:t>
      </w:r>
      <w:r>
        <w:rPr>
          <w:lang w:val="fr-FR"/>
        </w:rPr>
        <w:t xml:space="preserve">la </w:t>
      </w:r>
      <w:r w:rsidRPr="00686CD4">
        <w:rPr>
          <w:lang w:val="fr-FR"/>
        </w:rPr>
        <w:t xml:space="preserve">population dans son ensemble est maintenant bien informée du rôle </w:t>
      </w:r>
      <w:r>
        <w:rPr>
          <w:lang w:val="fr-FR"/>
        </w:rPr>
        <w:t xml:space="preserve">joué par l’Inspection </w:t>
      </w:r>
      <w:r w:rsidRPr="00686CD4">
        <w:rPr>
          <w:lang w:val="fr-FR"/>
        </w:rPr>
        <w:t>en tant qu</w:t>
      </w:r>
      <w:r>
        <w:rPr>
          <w:lang w:val="fr-FR"/>
        </w:rPr>
        <w:t>’</w:t>
      </w:r>
      <w:r w:rsidRPr="00686CD4">
        <w:rPr>
          <w:lang w:val="fr-FR"/>
        </w:rPr>
        <w:t>organe indépendant centralisé ayant compétence pour recevoir tout type d</w:t>
      </w:r>
      <w:r>
        <w:rPr>
          <w:lang w:val="fr-FR"/>
        </w:rPr>
        <w:t>’</w:t>
      </w:r>
      <w:r w:rsidRPr="00686CD4">
        <w:rPr>
          <w:lang w:val="fr-FR"/>
        </w:rPr>
        <w:t>information, y compris les plaintes concernant de graves violations des droits fondamentaux des citoyens commis</w:t>
      </w:r>
      <w:r>
        <w:rPr>
          <w:lang w:val="fr-FR"/>
        </w:rPr>
        <w:t>es</w:t>
      </w:r>
      <w:r w:rsidRPr="00686CD4">
        <w:rPr>
          <w:lang w:val="fr-FR"/>
        </w:rPr>
        <w:t xml:space="preserve"> par des fonctionnaires relevant du Ministère des affaires intérieures</w:t>
      </w:r>
      <w:r w:rsidR="000C27C2">
        <w:rPr>
          <w:lang w:val="fr-FR"/>
        </w:rPr>
        <w:t>.</w:t>
      </w:r>
    </w:p>
    <w:p w:rsidR="002A7A34" w:rsidRPr="00686CD4" w:rsidRDefault="002A7A34" w:rsidP="0029512F">
      <w:pPr>
        <w:pStyle w:val="SingleTxtG"/>
        <w:rPr>
          <w:lang w:val="fr-FR"/>
        </w:rPr>
      </w:pPr>
      <w:r w:rsidRPr="00686CD4">
        <w:rPr>
          <w:lang w:val="fr-FR"/>
        </w:rPr>
        <w:t>265.</w:t>
      </w:r>
      <w:r w:rsidRPr="00686CD4">
        <w:rPr>
          <w:lang w:val="fr-FR"/>
        </w:rPr>
        <w:tab/>
        <w:t>De ce fait, l</w:t>
      </w:r>
      <w:r>
        <w:rPr>
          <w:lang w:val="fr-FR"/>
        </w:rPr>
        <w:t>’</w:t>
      </w:r>
      <w:r w:rsidRPr="00686CD4">
        <w:rPr>
          <w:lang w:val="fr-FR"/>
        </w:rPr>
        <w:t xml:space="preserve">Inspection générale des affaires étrangères est entrée dans une nouvelle phase de développement institutionnel </w:t>
      </w:r>
      <w:r>
        <w:rPr>
          <w:lang w:val="fr-FR"/>
        </w:rPr>
        <w:t xml:space="preserve">et </w:t>
      </w:r>
      <w:r w:rsidRPr="00686CD4">
        <w:rPr>
          <w:lang w:val="fr-FR"/>
        </w:rPr>
        <w:t>il ne lui est plus nécessaire de s</w:t>
      </w:r>
      <w:r>
        <w:rPr>
          <w:lang w:val="fr-FR"/>
        </w:rPr>
        <w:t>’</w:t>
      </w:r>
      <w:r w:rsidRPr="00686CD4">
        <w:rPr>
          <w:lang w:val="fr-FR"/>
        </w:rPr>
        <w:t xml:space="preserve">employer à publier régulièrement et diffuser des informations sur ses compétences. Elle a, en revanche, adopté une nouvelle stratégie </w:t>
      </w:r>
      <w:r>
        <w:rPr>
          <w:lang w:val="fr-FR"/>
        </w:rPr>
        <w:t xml:space="preserve">dans le cadre de laquelle elle </w:t>
      </w:r>
      <w:r w:rsidRPr="00686CD4">
        <w:rPr>
          <w:lang w:val="fr-FR"/>
        </w:rPr>
        <w:t>particip</w:t>
      </w:r>
      <w:r>
        <w:rPr>
          <w:lang w:val="fr-FR"/>
        </w:rPr>
        <w:t>e</w:t>
      </w:r>
      <w:r w:rsidRPr="00686CD4">
        <w:rPr>
          <w:lang w:val="fr-FR"/>
        </w:rPr>
        <w:t xml:space="preserve"> à des activités de formation de cadres subalternes et supérieurs des forces de sécurité ainsi qu</w:t>
      </w:r>
      <w:r>
        <w:rPr>
          <w:lang w:val="fr-FR"/>
        </w:rPr>
        <w:t>’</w:t>
      </w:r>
      <w:r w:rsidRPr="00686CD4">
        <w:rPr>
          <w:lang w:val="fr-FR"/>
        </w:rPr>
        <w:t>au programme universitaire de la maîtrise en droit de l</w:t>
      </w:r>
      <w:r>
        <w:rPr>
          <w:lang w:val="fr-FR"/>
        </w:rPr>
        <w:t>’u</w:t>
      </w:r>
      <w:r w:rsidRPr="00686CD4">
        <w:rPr>
          <w:lang w:val="fr-FR"/>
        </w:rPr>
        <w:t>niversité Nova de Lisboa. L</w:t>
      </w:r>
      <w:r>
        <w:rPr>
          <w:lang w:val="fr-FR"/>
        </w:rPr>
        <w:t>’I</w:t>
      </w:r>
      <w:r w:rsidRPr="00686CD4">
        <w:rPr>
          <w:lang w:val="fr-FR"/>
        </w:rPr>
        <w:t>nspection générale intègre, dans ses interventions, la dimension des droits de l</w:t>
      </w:r>
      <w:r>
        <w:rPr>
          <w:lang w:val="fr-FR"/>
        </w:rPr>
        <w:t>’</w:t>
      </w:r>
      <w:r w:rsidRPr="00686CD4">
        <w:rPr>
          <w:lang w:val="fr-FR"/>
        </w:rPr>
        <w:t xml:space="preserve">homme et des droits fondamentaux et </w:t>
      </w:r>
      <w:r>
        <w:rPr>
          <w:lang w:val="fr-FR"/>
        </w:rPr>
        <w:t>s’</w:t>
      </w:r>
      <w:r w:rsidRPr="00686CD4">
        <w:rPr>
          <w:lang w:val="fr-FR"/>
        </w:rPr>
        <w:t xml:space="preserve">emploie à promouvoir le débat </w:t>
      </w:r>
      <w:r>
        <w:rPr>
          <w:lang w:val="fr-FR"/>
        </w:rPr>
        <w:t xml:space="preserve">sur le </w:t>
      </w:r>
      <w:r w:rsidRPr="00686CD4">
        <w:rPr>
          <w:lang w:val="fr-FR"/>
        </w:rPr>
        <w:t>renforcement de la compatibilité entre l</w:t>
      </w:r>
      <w:r>
        <w:rPr>
          <w:lang w:val="fr-FR"/>
        </w:rPr>
        <w:t>’</w:t>
      </w:r>
      <w:r w:rsidRPr="00686CD4">
        <w:rPr>
          <w:lang w:val="fr-FR"/>
        </w:rPr>
        <w:t>action policière et la défense des droits de l</w:t>
      </w:r>
      <w:r>
        <w:rPr>
          <w:lang w:val="fr-FR"/>
        </w:rPr>
        <w:t>’</w:t>
      </w:r>
      <w:r w:rsidRPr="00686CD4">
        <w:rPr>
          <w:lang w:val="fr-FR"/>
        </w:rPr>
        <w:t>homme.</w:t>
      </w:r>
    </w:p>
    <w:p w:rsidR="002A7A34" w:rsidRPr="00686CD4" w:rsidRDefault="002A7A34" w:rsidP="0029512F">
      <w:pPr>
        <w:pStyle w:val="SingleTxtG"/>
        <w:rPr>
          <w:lang w:val="fr-FR"/>
        </w:rPr>
      </w:pPr>
      <w:r w:rsidRPr="00686CD4">
        <w:rPr>
          <w:lang w:val="fr-FR"/>
        </w:rPr>
        <w:t>266.</w:t>
      </w:r>
      <w:r w:rsidRPr="00686CD4">
        <w:rPr>
          <w:lang w:val="fr-FR"/>
        </w:rPr>
        <w:tab/>
        <w:t>L</w:t>
      </w:r>
      <w:r>
        <w:rPr>
          <w:lang w:val="fr-FR"/>
        </w:rPr>
        <w:t>’Inspection générale de l’administration interne</w:t>
      </w:r>
      <w:r w:rsidRPr="00686CD4">
        <w:rPr>
          <w:lang w:val="fr-FR"/>
        </w:rPr>
        <w:t xml:space="preserve"> </w:t>
      </w:r>
      <w:r>
        <w:rPr>
          <w:lang w:val="fr-FR"/>
        </w:rPr>
        <w:t xml:space="preserve">note </w:t>
      </w:r>
      <w:r w:rsidRPr="00686CD4">
        <w:rPr>
          <w:lang w:val="fr-FR"/>
        </w:rPr>
        <w:t>sur son site Web, entre autres informations, qu</w:t>
      </w:r>
      <w:r>
        <w:rPr>
          <w:lang w:val="fr-FR"/>
        </w:rPr>
        <w:t>’</w:t>
      </w:r>
      <w:r w:rsidRPr="00686CD4">
        <w:rPr>
          <w:lang w:val="fr-FR"/>
        </w:rPr>
        <w:t>elle a compétence pour recevoir des plaintes et que cette fonction fait partie intégrante de sa mission</w:t>
      </w:r>
      <w:r w:rsidR="00495D0F">
        <w:rPr>
          <w:lang w:val="fr-FR"/>
        </w:rPr>
        <w:t> ;</w:t>
      </w:r>
      <w:r w:rsidRPr="00686CD4">
        <w:rPr>
          <w:lang w:val="fr-FR"/>
        </w:rPr>
        <w:t xml:space="preserve"> elle </w:t>
      </w:r>
      <w:r>
        <w:rPr>
          <w:lang w:val="fr-FR"/>
        </w:rPr>
        <w:t xml:space="preserve">indique </w:t>
      </w:r>
      <w:r w:rsidRPr="00686CD4">
        <w:rPr>
          <w:lang w:val="fr-FR"/>
        </w:rPr>
        <w:t>également l</w:t>
      </w:r>
      <w:r>
        <w:rPr>
          <w:lang w:val="fr-FR"/>
        </w:rPr>
        <w:t>’</w:t>
      </w:r>
      <w:r w:rsidRPr="00686CD4">
        <w:rPr>
          <w:lang w:val="fr-FR"/>
        </w:rPr>
        <w:t>adresse de ses bureaux et leurs heures d</w:t>
      </w:r>
      <w:r>
        <w:rPr>
          <w:lang w:val="fr-FR"/>
        </w:rPr>
        <w:t>’</w:t>
      </w:r>
      <w:r w:rsidRPr="00686CD4">
        <w:rPr>
          <w:lang w:val="fr-FR"/>
        </w:rPr>
        <w:t>ouverture, ainsi que les moyens de la contacter.</w:t>
      </w:r>
    </w:p>
    <w:p w:rsidR="002A7A34" w:rsidRPr="00686CD4" w:rsidRDefault="002A7A34" w:rsidP="002A7A34">
      <w:pPr>
        <w:pStyle w:val="SingleTxtG"/>
        <w:rPr>
          <w:lang w:val="fr-FR"/>
        </w:rPr>
      </w:pPr>
      <w:r w:rsidRPr="00686CD4">
        <w:rPr>
          <w:lang w:val="fr-FR"/>
        </w:rPr>
        <w:t>267.</w:t>
      </w:r>
      <w:r w:rsidRPr="00686CD4">
        <w:rPr>
          <w:lang w:val="fr-FR"/>
        </w:rPr>
        <w:tab/>
        <w:t>Dès réception d</w:t>
      </w:r>
      <w:r>
        <w:rPr>
          <w:lang w:val="fr-FR"/>
        </w:rPr>
        <w:t>’</w:t>
      </w:r>
      <w:r w:rsidRPr="00686CD4">
        <w:rPr>
          <w:lang w:val="fr-FR"/>
        </w:rPr>
        <w:t>une plainte, et une fois les poursuites engagées, conformément aux procédures standard</w:t>
      </w:r>
      <w:r>
        <w:rPr>
          <w:lang w:val="fr-FR"/>
        </w:rPr>
        <w:t>s</w:t>
      </w:r>
      <w:r w:rsidRPr="00686CD4">
        <w:rPr>
          <w:lang w:val="fr-FR"/>
        </w:rPr>
        <w:t>, le plaignant est informé de l</w:t>
      </w:r>
      <w:r>
        <w:rPr>
          <w:lang w:val="fr-FR"/>
        </w:rPr>
        <w:t>’</w:t>
      </w:r>
      <w:r w:rsidRPr="00686CD4">
        <w:rPr>
          <w:lang w:val="fr-FR"/>
        </w:rPr>
        <w:t>ouverture de l</w:t>
      </w:r>
      <w:r>
        <w:rPr>
          <w:lang w:val="fr-FR"/>
        </w:rPr>
        <w:t>’</w:t>
      </w:r>
      <w:r w:rsidRPr="00686CD4">
        <w:rPr>
          <w:lang w:val="fr-FR"/>
        </w:rPr>
        <w:t>affaire et du lancement de l</w:t>
      </w:r>
      <w:r>
        <w:rPr>
          <w:lang w:val="fr-FR"/>
        </w:rPr>
        <w:t>’</w:t>
      </w:r>
      <w:r w:rsidRPr="00686CD4">
        <w:rPr>
          <w:lang w:val="fr-FR"/>
        </w:rPr>
        <w:t>enquête. À l</w:t>
      </w:r>
      <w:r>
        <w:rPr>
          <w:lang w:val="fr-FR"/>
        </w:rPr>
        <w:t>’</w:t>
      </w:r>
      <w:r w:rsidRPr="00686CD4">
        <w:rPr>
          <w:lang w:val="fr-FR"/>
        </w:rPr>
        <w:t>issue de l</w:t>
      </w:r>
      <w:r>
        <w:rPr>
          <w:lang w:val="fr-FR"/>
        </w:rPr>
        <w:t>’</w:t>
      </w:r>
      <w:r w:rsidRPr="00686CD4">
        <w:rPr>
          <w:lang w:val="fr-FR"/>
        </w:rPr>
        <w:t>affaire, les résultats de l</w:t>
      </w:r>
      <w:r>
        <w:rPr>
          <w:lang w:val="fr-FR"/>
        </w:rPr>
        <w:t>’</w:t>
      </w:r>
      <w:r w:rsidRPr="00686CD4">
        <w:rPr>
          <w:lang w:val="fr-FR"/>
        </w:rPr>
        <w:t xml:space="preserve">enquête et la décision prise </w:t>
      </w:r>
      <w:r>
        <w:rPr>
          <w:lang w:val="fr-FR"/>
        </w:rPr>
        <w:t xml:space="preserve">lui </w:t>
      </w:r>
      <w:r w:rsidRPr="00686CD4">
        <w:rPr>
          <w:lang w:val="fr-FR"/>
        </w:rPr>
        <w:t>sont communiqués.</w:t>
      </w:r>
    </w:p>
    <w:p w:rsidR="002A7A34" w:rsidRPr="00686CD4" w:rsidRDefault="002A7A34" w:rsidP="0029512F">
      <w:pPr>
        <w:pStyle w:val="H23G"/>
        <w:jc w:val="both"/>
        <w:rPr>
          <w:lang w:val="fr-FR"/>
        </w:rPr>
      </w:pPr>
      <w:r w:rsidRPr="00686CD4">
        <w:rPr>
          <w:lang w:val="fr-FR"/>
        </w:rPr>
        <w:tab/>
      </w:r>
      <w:bookmarkStart w:id="85" w:name="_Toc532494688"/>
      <w:r w:rsidRPr="00686CD4">
        <w:rPr>
          <w:lang w:val="fr-FR"/>
        </w:rPr>
        <w:tab/>
      </w:r>
      <w:r w:rsidRPr="00686CD4">
        <w:rPr>
          <w:lang w:val="fr-FR"/>
        </w:rPr>
        <w:tab/>
        <w:t>d)</w:t>
      </w:r>
      <w:r w:rsidRPr="00686CD4">
        <w:rPr>
          <w:lang w:val="fr-FR"/>
        </w:rPr>
        <w:tab/>
      </w:r>
      <w:r w:rsidRPr="00A72C50">
        <w:rPr>
          <w:lang w:val="fr-FR"/>
        </w:rPr>
        <w:t xml:space="preserve">Les mesures prises pour renforcer les fonctions de surveillance des organes existants, tels que le juge de contrôle et le </w:t>
      </w:r>
      <w:r w:rsidR="000C27C2">
        <w:rPr>
          <w:lang w:val="fr-FR"/>
        </w:rPr>
        <w:t>M</w:t>
      </w:r>
      <w:r w:rsidRPr="00A72C50">
        <w:rPr>
          <w:lang w:val="fr-FR"/>
        </w:rPr>
        <w:t>édiateur, notamment dans les hôpitaux psychiatriques médico-légaux</w:t>
      </w:r>
      <w:r w:rsidRPr="00686CD4">
        <w:rPr>
          <w:lang w:val="fr-FR"/>
        </w:rPr>
        <w:t>.</w:t>
      </w:r>
      <w:bookmarkEnd w:id="85"/>
      <w:r w:rsidRPr="00686CD4">
        <w:rPr>
          <w:lang w:val="fr-FR"/>
        </w:rPr>
        <w:t xml:space="preserve"> </w:t>
      </w:r>
    </w:p>
    <w:p w:rsidR="002A7A34" w:rsidRPr="00686CD4" w:rsidRDefault="002A7A34" w:rsidP="002A7A34">
      <w:pPr>
        <w:pStyle w:val="SingleTxtG"/>
        <w:rPr>
          <w:lang w:val="fr-FR"/>
        </w:rPr>
      </w:pPr>
      <w:r w:rsidRPr="00686CD4">
        <w:rPr>
          <w:lang w:val="fr-FR"/>
        </w:rPr>
        <w:t>268.</w:t>
      </w:r>
      <w:r w:rsidRPr="00686CD4">
        <w:rPr>
          <w:lang w:val="fr-FR"/>
        </w:rPr>
        <w:tab/>
        <w:t>Voir la réponse au paragraphe 18</w:t>
      </w:r>
      <w:r w:rsidR="000C27C2">
        <w:rPr>
          <w:lang w:val="fr-FR"/>
        </w:rPr>
        <w:t> </w:t>
      </w:r>
      <w:r w:rsidRPr="00686CD4">
        <w:rPr>
          <w:lang w:val="fr-FR"/>
        </w:rPr>
        <w:t xml:space="preserve">a). </w:t>
      </w:r>
    </w:p>
    <w:p w:rsidR="002A7A34" w:rsidRPr="00686CD4" w:rsidRDefault="002A7A34" w:rsidP="0029512F">
      <w:pPr>
        <w:pStyle w:val="SingleTxtG"/>
        <w:rPr>
          <w:lang w:val="fr-FR"/>
        </w:rPr>
      </w:pPr>
      <w:r w:rsidRPr="00686CD4">
        <w:rPr>
          <w:lang w:val="fr-FR"/>
        </w:rPr>
        <w:t>269.</w:t>
      </w:r>
      <w:r w:rsidRPr="00686CD4">
        <w:rPr>
          <w:lang w:val="fr-FR"/>
        </w:rPr>
        <w:tab/>
      </w:r>
      <w:r w:rsidR="00B545C2">
        <w:rPr>
          <w:lang w:val="fr-FR"/>
        </w:rPr>
        <w:t xml:space="preserve">En </w:t>
      </w:r>
      <w:r w:rsidRPr="00686CD4">
        <w:rPr>
          <w:lang w:val="fr-FR"/>
        </w:rPr>
        <w:t>2016 et</w:t>
      </w:r>
      <w:r w:rsidR="0029512F">
        <w:rPr>
          <w:lang w:val="fr-FR"/>
        </w:rPr>
        <w:t xml:space="preserve"> </w:t>
      </w:r>
      <w:r w:rsidRPr="00686CD4">
        <w:rPr>
          <w:lang w:val="fr-FR"/>
        </w:rPr>
        <w:t xml:space="preserve">2017, le Médiateur portugais a </w:t>
      </w:r>
      <w:r>
        <w:rPr>
          <w:lang w:val="fr-FR"/>
        </w:rPr>
        <w:t xml:space="preserve">mis en place </w:t>
      </w:r>
      <w:r w:rsidRPr="00686CD4">
        <w:rPr>
          <w:lang w:val="fr-FR"/>
        </w:rPr>
        <w:t xml:space="preserve">le projet </w:t>
      </w:r>
      <w:r>
        <w:rPr>
          <w:lang w:val="fr-FR"/>
        </w:rPr>
        <w:t xml:space="preserve">sur </w:t>
      </w:r>
      <w:r w:rsidRPr="00686CD4">
        <w:rPr>
          <w:lang w:val="fr-FR"/>
        </w:rPr>
        <w:t>«</w:t>
      </w:r>
      <w:r>
        <w:rPr>
          <w:lang w:val="fr-FR"/>
        </w:rPr>
        <w:t> le M</w:t>
      </w:r>
      <w:r w:rsidRPr="00686CD4">
        <w:rPr>
          <w:lang w:val="fr-FR"/>
        </w:rPr>
        <w:t>édiateur et</w:t>
      </w:r>
      <w:r>
        <w:rPr>
          <w:lang w:val="fr-FR"/>
        </w:rPr>
        <w:t xml:space="preserve"> les</w:t>
      </w:r>
      <w:r w:rsidRPr="00686CD4">
        <w:rPr>
          <w:lang w:val="fr-FR"/>
        </w:rPr>
        <w:t xml:space="preserve"> prisons au XXI</w:t>
      </w:r>
      <w:r w:rsidRPr="0029512F">
        <w:rPr>
          <w:vertAlign w:val="superscript"/>
          <w:lang w:val="fr-FR"/>
        </w:rPr>
        <w:t>e</w:t>
      </w:r>
      <w:r w:rsidRPr="00686CD4">
        <w:rPr>
          <w:lang w:val="fr-FR"/>
        </w:rPr>
        <w:t xml:space="preserve"> siècle » dans le cadre duquel il a effectué des visites inopinées dans 13</w:t>
      </w:r>
      <w:r>
        <w:rPr>
          <w:lang w:val="fr-FR"/>
        </w:rPr>
        <w:t> </w:t>
      </w:r>
      <w:r w:rsidRPr="00686CD4">
        <w:rPr>
          <w:lang w:val="fr-FR"/>
        </w:rPr>
        <w:t>établissements pénitentiaires</w:t>
      </w:r>
      <w:r>
        <w:rPr>
          <w:lang w:val="fr-FR"/>
        </w:rPr>
        <w:t xml:space="preserve">. Il a établi un rapport à l’issue de ces visites, </w:t>
      </w:r>
      <w:r w:rsidRPr="00686CD4">
        <w:rPr>
          <w:lang w:val="fr-FR"/>
        </w:rPr>
        <w:t xml:space="preserve">qui a été soumis au Ministre de la justice et communiqué au public. Deux procédures spéciales ont </w:t>
      </w:r>
      <w:r>
        <w:rPr>
          <w:lang w:val="fr-FR"/>
        </w:rPr>
        <w:t xml:space="preserve">alors </w:t>
      </w:r>
      <w:r w:rsidRPr="00686CD4">
        <w:rPr>
          <w:lang w:val="fr-FR"/>
        </w:rPr>
        <w:t>été engagées, l</w:t>
      </w:r>
      <w:r>
        <w:rPr>
          <w:lang w:val="fr-FR"/>
        </w:rPr>
        <w:t>’</w:t>
      </w:r>
      <w:r w:rsidRPr="00686CD4">
        <w:rPr>
          <w:lang w:val="fr-FR"/>
        </w:rPr>
        <w:t>une concernant la quantité et la qualité de la nourriture dans les prisons et l</w:t>
      </w:r>
      <w:r>
        <w:rPr>
          <w:lang w:val="fr-FR"/>
        </w:rPr>
        <w:t>’</w:t>
      </w:r>
      <w:r w:rsidRPr="00686CD4">
        <w:rPr>
          <w:lang w:val="fr-FR"/>
        </w:rPr>
        <w:t xml:space="preserve">autre concernant les droits de visite des détenus dans des établissements </w:t>
      </w:r>
      <w:r>
        <w:rPr>
          <w:lang w:val="fr-FR"/>
        </w:rPr>
        <w:t xml:space="preserve">pénitentiaires </w:t>
      </w:r>
      <w:r w:rsidRPr="00686CD4">
        <w:rPr>
          <w:lang w:val="fr-FR"/>
        </w:rPr>
        <w:t>ou des quartiers de prison de haute sécurité.</w:t>
      </w:r>
    </w:p>
    <w:p w:rsidR="002A7A34" w:rsidRPr="00686CD4" w:rsidRDefault="002A7A34" w:rsidP="0029512F">
      <w:pPr>
        <w:pStyle w:val="SingleTxtG"/>
        <w:rPr>
          <w:lang w:val="fr-FR"/>
        </w:rPr>
      </w:pPr>
      <w:r w:rsidRPr="00686CD4">
        <w:rPr>
          <w:lang w:val="fr-FR"/>
        </w:rPr>
        <w:lastRenderedPageBreak/>
        <w:t>270.</w:t>
      </w:r>
      <w:r w:rsidRPr="00686CD4">
        <w:rPr>
          <w:lang w:val="fr-FR"/>
        </w:rPr>
        <w:tab/>
        <w:t xml:space="preserve">Le </w:t>
      </w:r>
      <w:r>
        <w:rPr>
          <w:lang w:val="fr-FR"/>
        </w:rPr>
        <w:t>M</w:t>
      </w:r>
      <w:r w:rsidRPr="00686CD4">
        <w:rPr>
          <w:lang w:val="fr-FR"/>
        </w:rPr>
        <w:t xml:space="preserve">édiateur portugais a de surcroît préparé deux rapports spéciaux dans le cadre de ses fonctions de </w:t>
      </w:r>
      <w:r>
        <w:rPr>
          <w:lang w:val="fr-FR"/>
        </w:rPr>
        <w:t>M</w:t>
      </w:r>
      <w:r w:rsidRPr="00686CD4">
        <w:rPr>
          <w:lang w:val="fr-FR"/>
        </w:rPr>
        <w:t xml:space="preserve">écanisme national de protection. Le premier, établi en 2015 à la suite des visites effectuées dans les huit centres éducatifs destinés aux jeunes en conflit avec la loi, a donné lieu à la présentation de recommandations au </w:t>
      </w:r>
      <w:r>
        <w:rPr>
          <w:lang w:val="fr-FR"/>
        </w:rPr>
        <w:t>M</w:t>
      </w:r>
      <w:r w:rsidRPr="00686CD4">
        <w:rPr>
          <w:lang w:val="fr-FR"/>
        </w:rPr>
        <w:t xml:space="preserve">inistère de la justice, au </w:t>
      </w:r>
      <w:r>
        <w:rPr>
          <w:lang w:val="fr-FR"/>
        </w:rPr>
        <w:t>M</w:t>
      </w:r>
      <w:r w:rsidRPr="00686CD4">
        <w:rPr>
          <w:lang w:val="fr-FR"/>
        </w:rPr>
        <w:t xml:space="preserve">inistère de la santé, au </w:t>
      </w:r>
      <w:r>
        <w:rPr>
          <w:lang w:val="fr-FR"/>
        </w:rPr>
        <w:t>C</w:t>
      </w:r>
      <w:r w:rsidRPr="00686CD4">
        <w:rPr>
          <w:lang w:val="fr-FR"/>
        </w:rPr>
        <w:t xml:space="preserve">onseil supérieur de la magistrature, au </w:t>
      </w:r>
      <w:r w:rsidR="000C27C2">
        <w:rPr>
          <w:lang w:val="fr-FR"/>
        </w:rPr>
        <w:t>P</w:t>
      </w:r>
      <w:r w:rsidRPr="00686CD4">
        <w:rPr>
          <w:lang w:val="fr-FR"/>
        </w:rPr>
        <w:t xml:space="preserve">rocureur général et à la </w:t>
      </w:r>
      <w:r w:rsidRPr="003A1C43">
        <w:rPr>
          <w:lang w:val="fr-FR"/>
        </w:rPr>
        <w:t>Direction générale de la réinsertion et des services pénitentiaires</w:t>
      </w:r>
      <w:r w:rsidRPr="00686CD4">
        <w:rPr>
          <w:lang w:val="fr-FR"/>
        </w:rPr>
        <w:t xml:space="preserve">. Le deuxième, présenté </w:t>
      </w:r>
      <w:r w:rsidR="00B545C2">
        <w:rPr>
          <w:lang w:val="fr-FR"/>
        </w:rPr>
        <w:t xml:space="preserve">en </w:t>
      </w:r>
      <w:r w:rsidRPr="00686CD4">
        <w:rPr>
          <w:lang w:val="fr-FR"/>
        </w:rPr>
        <w:t>2017 à la suite de visites de centres de détention provisoire de ressortissants étrangers en situation irrégulière ou de demandeurs d</w:t>
      </w:r>
      <w:r>
        <w:rPr>
          <w:lang w:val="fr-FR"/>
        </w:rPr>
        <w:t>’</w:t>
      </w:r>
      <w:r w:rsidRPr="00686CD4">
        <w:rPr>
          <w:lang w:val="fr-FR"/>
        </w:rPr>
        <w:t xml:space="preserve">asile au Portugal, décrit les conditions de vie des personnes privées temporairement ou </w:t>
      </w:r>
      <w:r>
        <w:rPr>
          <w:lang w:val="fr-FR"/>
        </w:rPr>
        <w:t xml:space="preserve">partiellement </w:t>
      </w:r>
      <w:r w:rsidRPr="00686CD4">
        <w:rPr>
          <w:lang w:val="fr-FR"/>
        </w:rPr>
        <w:t xml:space="preserve">de leur liberté. Le Mécanisme national de protection a examiné, entre autres, le respect de la durée maximale de séjour en centre de détention provisoire et le traitement réservé aux ressortissants étrangers, notamment les soins de santé qui leur sont dispensés, la </w:t>
      </w:r>
      <w:r>
        <w:rPr>
          <w:lang w:val="fr-FR"/>
        </w:rPr>
        <w:t xml:space="preserve">quantité de nourriture qui leur était donnée et la </w:t>
      </w:r>
      <w:r w:rsidRPr="00686CD4">
        <w:rPr>
          <w:lang w:val="fr-FR"/>
        </w:rPr>
        <w:t xml:space="preserve">qualité de </w:t>
      </w:r>
      <w:r>
        <w:rPr>
          <w:lang w:val="fr-FR"/>
        </w:rPr>
        <w:t>celle-ci</w:t>
      </w:r>
      <w:r w:rsidRPr="00686CD4">
        <w:rPr>
          <w:lang w:val="fr-FR"/>
        </w:rPr>
        <w:t xml:space="preserve">, les ressources disponibles pour leurs loisirs, leurs contacts avec le monde extérieur et le respect de leurs convictions religieuses. </w:t>
      </w:r>
      <w:r>
        <w:rPr>
          <w:lang w:val="fr-FR"/>
        </w:rPr>
        <w:t xml:space="preserve">À l’issue de ces visites, il </w:t>
      </w:r>
      <w:r w:rsidR="001364D2">
        <w:rPr>
          <w:lang w:val="fr-FR"/>
        </w:rPr>
        <w:t xml:space="preserve">a </w:t>
      </w:r>
      <w:r w:rsidRPr="00686CD4">
        <w:rPr>
          <w:lang w:val="fr-FR"/>
        </w:rPr>
        <w:t xml:space="preserve">formulé des recommandations </w:t>
      </w:r>
      <w:r>
        <w:rPr>
          <w:lang w:val="fr-FR"/>
        </w:rPr>
        <w:t>à l’intention</w:t>
      </w:r>
      <w:r w:rsidR="00495D0F">
        <w:rPr>
          <w:lang w:val="fr-FR"/>
        </w:rPr>
        <w:t xml:space="preserve"> </w:t>
      </w:r>
      <w:r>
        <w:rPr>
          <w:lang w:val="fr-FR"/>
        </w:rPr>
        <w:t>d</w:t>
      </w:r>
      <w:r w:rsidRPr="00686CD4">
        <w:rPr>
          <w:lang w:val="fr-FR"/>
        </w:rPr>
        <w:t xml:space="preserve">u </w:t>
      </w:r>
      <w:r>
        <w:rPr>
          <w:lang w:val="fr-FR"/>
        </w:rPr>
        <w:t>M</w:t>
      </w:r>
      <w:r w:rsidRPr="00686CD4">
        <w:rPr>
          <w:lang w:val="fr-FR"/>
        </w:rPr>
        <w:t xml:space="preserve">inistère des affaires intérieures et </w:t>
      </w:r>
      <w:r>
        <w:rPr>
          <w:lang w:val="fr-FR"/>
        </w:rPr>
        <w:t>d</w:t>
      </w:r>
      <w:r w:rsidRPr="00686CD4">
        <w:rPr>
          <w:lang w:val="fr-FR"/>
        </w:rPr>
        <w:t>u directeur du Service de l</w:t>
      </w:r>
      <w:r>
        <w:rPr>
          <w:lang w:val="fr-FR"/>
        </w:rPr>
        <w:t>’</w:t>
      </w:r>
      <w:r w:rsidRPr="00686CD4">
        <w:rPr>
          <w:lang w:val="fr-FR"/>
        </w:rPr>
        <w:t>immigration et des frontières.</w:t>
      </w:r>
    </w:p>
    <w:p w:rsidR="002A7A34" w:rsidRPr="00686CD4" w:rsidRDefault="002A7A34" w:rsidP="0029512F">
      <w:pPr>
        <w:pStyle w:val="SingleTxtG"/>
        <w:rPr>
          <w:lang w:val="fr-FR"/>
        </w:rPr>
      </w:pPr>
      <w:r w:rsidRPr="00686CD4">
        <w:rPr>
          <w:lang w:val="fr-FR"/>
        </w:rPr>
        <w:t>271.</w:t>
      </w:r>
      <w:r w:rsidRPr="00686CD4">
        <w:rPr>
          <w:lang w:val="fr-FR"/>
        </w:rPr>
        <w:tab/>
        <w:t xml:space="preserve">Le Médiateur portugais continuera de suivre avec attention les différentes questions relatives au respect des droits fondamentaux des personnes privées totalement ou </w:t>
      </w:r>
      <w:r>
        <w:rPr>
          <w:lang w:val="fr-FR"/>
        </w:rPr>
        <w:t xml:space="preserve">partiellement </w:t>
      </w:r>
      <w:r w:rsidRPr="00686CD4">
        <w:rPr>
          <w:lang w:val="fr-FR"/>
        </w:rPr>
        <w:t>de leur liberté.</w:t>
      </w:r>
    </w:p>
    <w:p w:rsidR="002A7A34" w:rsidRPr="00686CD4" w:rsidRDefault="002A7A34" w:rsidP="0029512F">
      <w:pPr>
        <w:pStyle w:val="H1G"/>
        <w:rPr>
          <w:lang w:val="fr-FR"/>
        </w:rPr>
      </w:pPr>
      <w:r w:rsidRPr="00686CD4">
        <w:rPr>
          <w:lang w:val="fr-FR"/>
        </w:rPr>
        <w:tab/>
      </w:r>
      <w:r w:rsidRPr="00686CD4">
        <w:rPr>
          <w:lang w:val="fr-FR"/>
        </w:rPr>
        <w:tab/>
      </w:r>
      <w:bookmarkStart w:id="86" w:name="_Toc532494689"/>
      <w:r w:rsidRPr="00686CD4">
        <w:rPr>
          <w:lang w:val="fr-FR"/>
        </w:rPr>
        <w:t>Article 14</w:t>
      </w:r>
      <w:bookmarkEnd w:id="86"/>
      <w:r w:rsidRPr="00686CD4">
        <w:rPr>
          <w:lang w:val="fr-FR"/>
        </w:rPr>
        <w:t xml:space="preserve"> </w:t>
      </w:r>
    </w:p>
    <w:p w:rsidR="002A7A34" w:rsidRPr="00686CD4" w:rsidRDefault="0029512F" w:rsidP="0029512F">
      <w:pPr>
        <w:pStyle w:val="H23G"/>
        <w:jc w:val="both"/>
        <w:rPr>
          <w:lang w:val="fr-FR"/>
        </w:rPr>
      </w:pPr>
      <w:r>
        <w:rPr>
          <w:lang w:val="fr-FR"/>
        </w:rPr>
        <w:tab/>
      </w:r>
      <w:r w:rsidR="002A7A34" w:rsidRPr="00686CD4">
        <w:rPr>
          <w:lang w:val="fr-FR"/>
        </w:rPr>
        <w:t>19.</w:t>
      </w:r>
      <w:r w:rsidR="002A7A34" w:rsidRPr="00686CD4">
        <w:rPr>
          <w:lang w:val="fr-FR"/>
        </w:rPr>
        <w:tab/>
        <w:t>Compte tenu des précédentes observations finales du Comité (par.</w:t>
      </w:r>
      <w:r w:rsidR="002A7A34">
        <w:rPr>
          <w:lang w:val="fr-FR"/>
        </w:rPr>
        <w:t> </w:t>
      </w:r>
      <w:r w:rsidR="002A7A34" w:rsidRPr="00686CD4">
        <w:rPr>
          <w:lang w:val="fr-FR"/>
        </w:rPr>
        <w:t>16) et eu égard aux dispositions du paragraphe</w:t>
      </w:r>
      <w:r w:rsidR="002A7A34">
        <w:rPr>
          <w:lang w:val="fr-FR"/>
        </w:rPr>
        <w:t> </w:t>
      </w:r>
      <w:r w:rsidR="002A7A34" w:rsidRPr="00686CD4">
        <w:rPr>
          <w:lang w:val="fr-FR"/>
        </w:rPr>
        <w:t>46 de l</w:t>
      </w:r>
      <w:r w:rsidR="002A7A34">
        <w:rPr>
          <w:lang w:val="fr-FR"/>
        </w:rPr>
        <w:t>’</w:t>
      </w:r>
      <w:r w:rsidR="002A7A34" w:rsidRPr="00686CD4">
        <w:rPr>
          <w:lang w:val="fr-FR"/>
        </w:rPr>
        <w:t xml:space="preserve">observation générale </w:t>
      </w:r>
      <w:r w:rsidRPr="00553571">
        <w:rPr>
          <w:rFonts w:eastAsia="MS Mincho"/>
          <w:lang w:val="fr-FR"/>
        </w:rPr>
        <w:t>n</w:t>
      </w:r>
      <w:r w:rsidRPr="00553571">
        <w:rPr>
          <w:rFonts w:eastAsia="MS Mincho"/>
          <w:vertAlign w:val="superscript"/>
          <w:lang w:val="fr-FR"/>
        </w:rPr>
        <w:t>o</w:t>
      </w:r>
      <w:r>
        <w:rPr>
          <w:lang w:val="fr-FR"/>
        </w:rPr>
        <w:t> </w:t>
      </w:r>
      <w:r w:rsidR="002A7A34" w:rsidRPr="00686CD4">
        <w:rPr>
          <w:lang w:val="fr-FR"/>
        </w:rPr>
        <w:t>3 (2012) du Comité sur la mise en œuvre de l</w:t>
      </w:r>
      <w:r w:rsidR="002A7A34">
        <w:rPr>
          <w:lang w:val="fr-FR"/>
        </w:rPr>
        <w:t>’</w:t>
      </w:r>
      <w:r w:rsidR="002A7A34" w:rsidRPr="00686CD4">
        <w:rPr>
          <w:lang w:val="fr-FR"/>
        </w:rPr>
        <w:t>article</w:t>
      </w:r>
      <w:r w:rsidR="002A7A34">
        <w:rPr>
          <w:lang w:val="fr-FR"/>
        </w:rPr>
        <w:t> </w:t>
      </w:r>
      <w:r w:rsidR="002A7A34" w:rsidRPr="00686CD4">
        <w:rPr>
          <w:lang w:val="fr-FR"/>
        </w:rPr>
        <w:t>14 par les États parties, fournir des informations sur</w:t>
      </w:r>
      <w:r w:rsidR="00495D0F">
        <w:rPr>
          <w:lang w:val="fr-FR"/>
        </w:rPr>
        <w:t> :</w:t>
      </w:r>
      <w:r w:rsidR="002A7A34" w:rsidRPr="00686CD4">
        <w:rPr>
          <w:lang w:val="fr-FR"/>
        </w:rPr>
        <w:t xml:space="preserve"> </w:t>
      </w:r>
      <w:bookmarkStart w:id="87" w:name="_Toc532494690"/>
      <w:bookmarkEnd w:id="87"/>
    </w:p>
    <w:p w:rsidR="002A7A34" w:rsidRPr="00686CD4" w:rsidRDefault="002A7A34" w:rsidP="0029512F">
      <w:pPr>
        <w:pStyle w:val="H23G"/>
        <w:jc w:val="both"/>
        <w:rPr>
          <w:lang w:val="fr-FR"/>
        </w:rPr>
      </w:pPr>
      <w:r w:rsidRPr="00686CD4">
        <w:rPr>
          <w:lang w:val="fr-FR"/>
        </w:rPr>
        <w:tab/>
      </w:r>
      <w:bookmarkStart w:id="88" w:name="_Toc532494691"/>
      <w:r w:rsidRPr="00686CD4">
        <w:rPr>
          <w:lang w:val="fr-FR"/>
        </w:rPr>
        <w:tab/>
      </w:r>
      <w:r w:rsidRPr="00686CD4">
        <w:rPr>
          <w:lang w:val="fr-FR"/>
        </w:rPr>
        <w:tab/>
        <w:t>a)</w:t>
      </w:r>
      <w:r w:rsidRPr="00686CD4">
        <w:rPr>
          <w:lang w:val="fr-FR"/>
        </w:rPr>
        <w:tab/>
        <w:t>Les mesures de réparation (restitution, satisfaction, y compris le rétablissement de la dignité et de la réputation, et garanties de non-répétition) et d</w:t>
      </w:r>
      <w:r>
        <w:rPr>
          <w:lang w:val="fr-FR"/>
        </w:rPr>
        <w:t>’</w:t>
      </w:r>
      <w:r w:rsidRPr="00686CD4">
        <w:rPr>
          <w:lang w:val="fr-FR"/>
        </w:rPr>
        <w:t>indemnisation accordées par la Commission de protection des victimes d</w:t>
      </w:r>
      <w:r>
        <w:rPr>
          <w:lang w:val="fr-FR"/>
        </w:rPr>
        <w:t>’</w:t>
      </w:r>
      <w:r w:rsidRPr="00686CD4">
        <w:rPr>
          <w:lang w:val="fr-FR"/>
        </w:rPr>
        <w:t>actes criminels et les tribunaux aux victimes de torture et de mauvais traitements et à leur famille depuis l</w:t>
      </w:r>
      <w:r>
        <w:rPr>
          <w:lang w:val="fr-FR"/>
        </w:rPr>
        <w:t>’</w:t>
      </w:r>
      <w:r w:rsidRPr="00686CD4">
        <w:rPr>
          <w:lang w:val="fr-FR"/>
        </w:rPr>
        <w:t>examen du précédent rapport périodique. Préciser le nombre de demandes d</w:t>
      </w:r>
      <w:r>
        <w:rPr>
          <w:lang w:val="fr-FR"/>
        </w:rPr>
        <w:t>’</w:t>
      </w:r>
      <w:r w:rsidRPr="00686CD4">
        <w:rPr>
          <w:lang w:val="fr-FR"/>
        </w:rPr>
        <w:t>indemnisation présentées, le nombre d</w:t>
      </w:r>
      <w:r>
        <w:rPr>
          <w:lang w:val="fr-FR"/>
        </w:rPr>
        <w:t>’</w:t>
      </w:r>
      <w:r w:rsidRPr="00686CD4">
        <w:rPr>
          <w:lang w:val="fr-FR"/>
        </w:rPr>
        <w:t>entre elles auxquelles il a été fait droit, les montants accordés et les sommes effectivement versées dans chaque cas</w:t>
      </w:r>
      <w:bookmarkEnd w:id="88"/>
      <w:r w:rsidR="001364D2">
        <w:rPr>
          <w:lang w:val="fr-FR"/>
        </w:rPr>
        <w:t> ;</w:t>
      </w:r>
    </w:p>
    <w:p w:rsidR="002A7A34" w:rsidRPr="00686CD4" w:rsidRDefault="002A7A34" w:rsidP="0029512F">
      <w:pPr>
        <w:pStyle w:val="SingleTxtG"/>
        <w:rPr>
          <w:lang w:val="fr-FR"/>
        </w:rPr>
      </w:pPr>
      <w:r w:rsidRPr="00686CD4">
        <w:rPr>
          <w:lang w:val="fr-FR"/>
        </w:rPr>
        <w:t>272.</w:t>
      </w:r>
      <w:r w:rsidRPr="00686CD4">
        <w:rPr>
          <w:lang w:val="fr-FR"/>
        </w:rPr>
        <w:tab/>
        <w:t>Voir la réponse donnée au paragraphe 4</w:t>
      </w:r>
      <w:r w:rsidR="001364D2">
        <w:rPr>
          <w:lang w:val="fr-FR"/>
        </w:rPr>
        <w:t> </w:t>
      </w:r>
      <w:r w:rsidRPr="00686CD4">
        <w:rPr>
          <w:lang w:val="fr-FR"/>
        </w:rPr>
        <w:t>b)</w:t>
      </w:r>
      <w:r w:rsidR="001364D2">
        <w:rPr>
          <w:lang w:val="fr-FR"/>
        </w:rPr>
        <w:t>.</w:t>
      </w:r>
      <w:r w:rsidRPr="00686CD4">
        <w:rPr>
          <w:lang w:val="fr-FR"/>
        </w:rPr>
        <w:t xml:space="preserve"> </w:t>
      </w:r>
    </w:p>
    <w:p w:rsidR="002A7A34" w:rsidRPr="00686CD4" w:rsidRDefault="002A7A34" w:rsidP="0029512F">
      <w:pPr>
        <w:pStyle w:val="SingleTxtG"/>
        <w:rPr>
          <w:lang w:val="fr-FR"/>
        </w:rPr>
      </w:pPr>
      <w:r w:rsidRPr="00686CD4">
        <w:rPr>
          <w:lang w:val="fr-FR"/>
        </w:rPr>
        <w:t>273.</w:t>
      </w:r>
      <w:r w:rsidRPr="00686CD4">
        <w:rPr>
          <w:lang w:val="fr-FR"/>
        </w:rPr>
        <w:tab/>
        <w:t>Il est difficile de fournir des garanties de non</w:t>
      </w:r>
      <w:r w:rsidR="001364D2">
        <w:rPr>
          <w:lang w:val="fr-FR"/>
        </w:rPr>
        <w:t>-</w:t>
      </w:r>
      <w:r w:rsidRPr="00686CD4">
        <w:rPr>
          <w:lang w:val="fr-FR"/>
        </w:rPr>
        <w:t>répétition à l</w:t>
      </w:r>
      <w:r>
        <w:rPr>
          <w:lang w:val="fr-FR"/>
        </w:rPr>
        <w:t>’</w:t>
      </w:r>
      <w:r w:rsidRPr="00686CD4">
        <w:rPr>
          <w:lang w:val="fr-FR"/>
        </w:rPr>
        <w:t>avenir. Toutes les victimes étaient des étrangers venus d</w:t>
      </w:r>
      <w:r>
        <w:rPr>
          <w:lang w:val="fr-FR"/>
        </w:rPr>
        <w:t>’</w:t>
      </w:r>
      <w:r w:rsidRPr="00686CD4">
        <w:rPr>
          <w:lang w:val="fr-FR"/>
        </w:rPr>
        <w:t>Europe de l</w:t>
      </w:r>
      <w:r>
        <w:rPr>
          <w:lang w:val="fr-FR"/>
        </w:rPr>
        <w:t>’</w:t>
      </w:r>
      <w:r w:rsidRPr="00686CD4">
        <w:rPr>
          <w:lang w:val="fr-FR"/>
        </w:rPr>
        <w:t>Est ou d</w:t>
      </w:r>
      <w:r>
        <w:rPr>
          <w:lang w:val="fr-FR"/>
        </w:rPr>
        <w:t>’</w:t>
      </w:r>
      <w:r w:rsidRPr="00686CD4">
        <w:rPr>
          <w:lang w:val="fr-FR"/>
        </w:rPr>
        <w:t>Amérique du Sud</w:t>
      </w:r>
      <w:r>
        <w:rPr>
          <w:lang w:val="fr-FR"/>
        </w:rPr>
        <w:t xml:space="preserve">, qui ont </w:t>
      </w:r>
      <w:r w:rsidRPr="00686CD4">
        <w:rPr>
          <w:lang w:val="fr-FR"/>
        </w:rPr>
        <w:t xml:space="preserve">toutes </w:t>
      </w:r>
      <w:r>
        <w:rPr>
          <w:lang w:val="fr-FR"/>
        </w:rPr>
        <w:t xml:space="preserve">souhaité </w:t>
      </w:r>
      <w:r w:rsidRPr="00686CD4">
        <w:rPr>
          <w:lang w:val="fr-FR"/>
        </w:rPr>
        <w:t>rentrer dans leur pays pour retrouver leurs racines et leur famille</w:t>
      </w:r>
      <w:r w:rsidR="00495D0F">
        <w:rPr>
          <w:lang w:val="fr-FR"/>
        </w:rPr>
        <w:t> ;</w:t>
      </w:r>
      <w:r>
        <w:rPr>
          <w:lang w:val="fr-FR"/>
        </w:rPr>
        <w:t xml:space="preserve"> il est de ce fait</w:t>
      </w:r>
      <w:r w:rsidR="00495D0F">
        <w:rPr>
          <w:lang w:val="fr-FR"/>
        </w:rPr>
        <w:t xml:space="preserve"> </w:t>
      </w:r>
      <w:r w:rsidRPr="00686CD4">
        <w:rPr>
          <w:lang w:val="fr-FR"/>
        </w:rPr>
        <w:t>impossible de procéder à un suivi.</w:t>
      </w:r>
    </w:p>
    <w:p w:rsidR="002A7A34" w:rsidRPr="00686CD4" w:rsidRDefault="002A7A34" w:rsidP="0029512F">
      <w:pPr>
        <w:pStyle w:val="H23G"/>
        <w:jc w:val="both"/>
        <w:rPr>
          <w:lang w:val="fr-FR"/>
        </w:rPr>
      </w:pPr>
      <w:r w:rsidRPr="00686CD4">
        <w:rPr>
          <w:lang w:val="fr-FR"/>
        </w:rPr>
        <w:tab/>
      </w:r>
      <w:bookmarkStart w:id="89" w:name="_Toc532494692"/>
      <w:r w:rsidRPr="00686CD4">
        <w:rPr>
          <w:lang w:val="fr-FR"/>
        </w:rPr>
        <w:tab/>
      </w:r>
      <w:r w:rsidRPr="00686CD4">
        <w:rPr>
          <w:lang w:val="fr-FR"/>
        </w:rPr>
        <w:tab/>
        <w:t>b)</w:t>
      </w:r>
      <w:r w:rsidRPr="00686CD4">
        <w:rPr>
          <w:lang w:val="fr-FR"/>
        </w:rPr>
        <w:tab/>
        <w:t>Tout programme de réadaptation pour les victimes de torture et de mauvais traitements, en précisant s</w:t>
      </w:r>
      <w:r>
        <w:rPr>
          <w:lang w:val="fr-FR"/>
        </w:rPr>
        <w:t>’</w:t>
      </w:r>
      <w:r w:rsidRPr="00686CD4">
        <w:rPr>
          <w:lang w:val="fr-FR"/>
        </w:rPr>
        <w:t>ils comprennent une assistance médicale et psychologique</w:t>
      </w:r>
      <w:r w:rsidR="00495D0F">
        <w:rPr>
          <w:lang w:val="fr-FR"/>
        </w:rPr>
        <w:t> ;</w:t>
      </w:r>
      <w:bookmarkEnd w:id="89"/>
    </w:p>
    <w:p w:rsidR="002A7A34" w:rsidRPr="00686CD4" w:rsidRDefault="002A7A34" w:rsidP="0029512F">
      <w:pPr>
        <w:pStyle w:val="SingleTxtG"/>
        <w:rPr>
          <w:lang w:val="fr-FR"/>
        </w:rPr>
      </w:pPr>
      <w:r w:rsidRPr="00686CD4">
        <w:rPr>
          <w:lang w:val="fr-FR"/>
        </w:rPr>
        <w:t>274.</w:t>
      </w:r>
      <w:r w:rsidRPr="00686CD4">
        <w:rPr>
          <w:lang w:val="fr-FR"/>
        </w:rPr>
        <w:tab/>
        <w:t>Aucun programme particulier n</w:t>
      </w:r>
      <w:r>
        <w:rPr>
          <w:lang w:val="fr-FR"/>
        </w:rPr>
        <w:t>’</w:t>
      </w:r>
      <w:r w:rsidRPr="00686CD4">
        <w:rPr>
          <w:lang w:val="fr-FR"/>
        </w:rPr>
        <w:t>a été mis en place parce qu</w:t>
      </w:r>
      <w:r>
        <w:rPr>
          <w:lang w:val="fr-FR"/>
        </w:rPr>
        <w:t>’</w:t>
      </w:r>
      <w:r w:rsidRPr="00686CD4">
        <w:rPr>
          <w:lang w:val="fr-FR"/>
        </w:rPr>
        <w:t xml:space="preserve">aucune plainte </w:t>
      </w:r>
      <w:r>
        <w:rPr>
          <w:lang w:val="fr-FR"/>
        </w:rPr>
        <w:t xml:space="preserve">n’a été enregistrée au titre </w:t>
      </w:r>
      <w:r w:rsidRPr="00686CD4">
        <w:rPr>
          <w:lang w:val="fr-FR"/>
        </w:rPr>
        <w:t>d</w:t>
      </w:r>
      <w:r>
        <w:rPr>
          <w:lang w:val="fr-FR"/>
        </w:rPr>
        <w:t>’actes d</w:t>
      </w:r>
      <w:r w:rsidRPr="00686CD4">
        <w:rPr>
          <w:lang w:val="fr-FR"/>
        </w:rPr>
        <w:t xml:space="preserve">e torture </w:t>
      </w:r>
      <w:r>
        <w:rPr>
          <w:lang w:val="fr-FR"/>
        </w:rPr>
        <w:t xml:space="preserve">allégués </w:t>
      </w:r>
      <w:r w:rsidRPr="00686CD4">
        <w:rPr>
          <w:lang w:val="fr-FR"/>
        </w:rPr>
        <w:t xml:space="preserve">par un prisonnier </w:t>
      </w:r>
      <w:r>
        <w:rPr>
          <w:lang w:val="fr-FR"/>
        </w:rPr>
        <w:t xml:space="preserve">ou </w:t>
      </w:r>
      <w:r w:rsidRPr="00686CD4">
        <w:rPr>
          <w:lang w:val="fr-FR"/>
        </w:rPr>
        <w:t>par de tierces parties.</w:t>
      </w:r>
    </w:p>
    <w:p w:rsidR="002A7A34" w:rsidRPr="00686CD4" w:rsidRDefault="002A7A34" w:rsidP="0029512F">
      <w:pPr>
        <w:pStyle w:val="H23G"/>
        <w:jc w:val="both"/>
        <w:rPr>
          <w:lang w:val="fr-FR"/>
        </w:rPr>
      </w:pPr>
      <w:r w:rsidRPr="00686CD4">
        <w:rPr>
          <w:lang w:val="fr-FR"/>
        </w:rPr>
        <w:tab/>
      </w:r>
      <w:bookmarkStart w:id="90" w:name="_Toc532494693"/>
      <w:r w:rsidRPr="00686CD4">
        <w:rPr>
          <w:lang w:val="fr-FR"/>
        </w:rPr>
        <w:tab/>
      </w:r>
      <w:r w:rsidRPr="00686CD4">
        <w:rPr>
          <w:lang w:val="fr-FR"/>
        </w:rPr>
        <w:tab/>
        <w:t>c)</w:t>
      </w:r>
      <w:r w:rsidRPr="00686CD4">
        <w:rPr>
          <w:lang w:val="fr-FR"/>
        </w:rPr>
        <w:tab/>
        <w:t>Les mesures de protection dont bénéficient les victimes de torture ou de mauvais traitements et les membres de leur famille, en précisant le nombre de ces mesures qui ont été prises en faveur des victimes de torture par rapport au nombre de demandes formulées. Indiquer également si les victimes de torture peuvent bénéficier de l</w:t>
      </w:r>
      <w:r>
        <w:rPr>
          <w:lang w:val="fr-FR"/>
        </w:rPr>
        <w:t>’</w:t>
      </w:r>
      <w:r w:rsidRPr="00686CD4">
        <w:rPr>
          <w:lang w:val="fr-FR"/>
        </w:rPr>
        <w:t>aide juridictionnelle gratuite.</w:t>
      </w:r>
      <w:bookmarkEnd w:id="90"/>
    </w:p>
    <w:p w:rsidR="002A7A34" w:rsidRPr="00686CD4" w:rsidRDefault="002A7A34" w:rsidP="0029512F">
      <w:pPr>
        <w:pStyle w:val="SingleTxtG"/>
        <w:rPr>
          <w:lang w:val="fr-FR"/>
        </w:rPr>
      </w:pPr>
      <w:r w:rsidRPr="00686CD4">
        <w:rPr>
          <w:lang w:val="fr-FR"/>
        </w:rPr>
        <w:t>275.</w:t>
      </w:r>
      <w:r w:rsidRPr="00686CD4">
        <w:rPr>
          <w:lang w:val="fr-FR"/>
        </w:rPr>
        <w:tab/>
        <w:t>Aucune plainte ou accusation concernant la pratique de la torture dans les services pénitentiaires n</w:t>
      </w:r>
      <w:r>
        <w:rPr>
          <w:lang w:val="fr-FR"/>
        </w:rPr>
        <w:t>’</w:t>
      </w:r>
      <w:r w:rsidRPr="00686CD4">
        <w:rPr>
          <w:lang w:val="fr-FR"/>
        </w:rPr>
        <w:t>a été enregistré</w:t>
      </w:r>
      <w:r>
        <w:rPr>
          <w:lang w:val="fr-FR"/>
        </w:rPr>
        <w:t>e</w:t>
      </w:r>
      <w:r w:rsidRPr="00686CD4">
        <w:rPr>
          <w:lang w:val="fr-FR"/>
        </w:rPr>
        <w:t>. Voir également les informations fournies aux paragraphes 13</w:t>
      </w:r>
      <w:r w:rsidR="001364D2">
        <w:rPr>
          <w:lang w:val="fr-FR"/>
        </w:rPr>
        <w:t> </w:t>
      </w:r>
      <w:r w:rsidRPr="00686CD4">
        <w:rPr>
          <w:lang w:val="fr-FR"/>
        </w:rPr>
        <w:t>b) et 13</w:t>
      </w:r>
      <w:r w:rsidR="001364D2">
        <w:rPr>
          <w:lang w:val="fr-FR"/>
        </w:rPr>
        <w:t> </w:t>
      </w:r>
      <w:r w:rsidRPr="00686CD4">
        <w:rPr>
          <w:lang w:val="fr-FR"/>
        </w:rPr>
        <w:t>d).</w:t>
      </w:r>
    </w:p>
    <w:p w:rsidR="002A7A34" w:rsidRPr="00686CD4" w:rsidRDefault="002A7A34" w:rsidP="001364D2">
      <w:pPr>
        <w:pStyle w:val="SingleTxtG"/>
        <w:keepLines/>
        <w:rPr>
          <w:lang w:val="fr-FR"/>
        </w:rPr>
      </w:pPr>
      <w:r w:rsidRPr="00686CD4">
        <w:rPr>
          <w:lang w:val="fr-FR"/>
        </w:rPr>
        <w:lastRenderedPageBreak/>
        <w:t>276.</w:t>
      </w:r>
      <w:r w:rsidRPr="00686CD4">
        <w:rPr>
          <w:lang w:val="fr-FR"/>
        </w:rPr>
        <w:tab/>
        <w:t>Dans le cadre des mesures visant à assurer la sécurité de la victime, le juge d</w:t>
      </w:r>
      <w:r>
        <w:rPr>
          <w:lang w:val="fr-FR"/>
        </w:rPr>
        <w:t>’</w:t>
      </w:r>
      <w:r w:rsidRPr="00686CD4">
        <w:rPr>
          <w:lang w:val="fr-FR"/>
        </w:rPr>
        <w:t xml:space="preserve">enquête peut interdire </w:t>
      </w:r>
      <w:r>
        <w:rPr>
          <w:lang w:val="fr-FR"/>
        </w:rPr>
        <w:t xml:space="preserve">à un </w:t>
      </w:r>
      <w:r w:rsidRPr="00686CD4">
        <w:rPr>
          <w:lang w:val="fr-FR"/>
        </w:rPr>
        <w:t>défenseur de contacter de manière que ce soit une personne particulière, ou de se rendre en certains lieux ou dans certains environnements. Cette mesure permet d</w:t>
      </w:r>
      <w:r>
        <w:rPr>
          <w:lang w:val="fr-FR"/>
        </w:rPr>
        <w:t>’</w:t>
      </w:r>
      <w:r w:rsidRPr="00686CD4">
        <w:rPr>
          <w:lang w:val="fr-FR"/>
        </w:rPr>
        <w:t>éviter que le défenseur puisse pénétrer dans la résidence de la victime</w:t>
      </w:r>
      <w:r w:rsidR="001364D2">
        <w:rPr>
          <w:lang w:val="fr-FR"/>
        </w:rPr>
        <w:t>,</w:t>
      </w:r>
      <w:r w:rsidRPr="00686CD4">
        <w:rPr>
          <w:lang w:val="fr-FR"/>
        </w:rPr>
        <w:t xml:space="preserve"> même si cette </w:t>
      </w:r>
      <w:r w:rsidR="001364D2">
        <w:rPr>
          <w:lang w:val="fr-FR"/>
        </w:rPr>
        <w:t>résidence</w:t>
      </w:r>
      <w:r w:rsidRPr="00686CD4">
        <w:rPr>
          <w:lang w:val="fr-FR"/>
        </w:rPr>
        <w:t xml:space="preserve"> est également la sienne.</w:t>
      </w:r>
    </w:p>
    <w:p w:rsidR="002A7A34" w:rsidRPr="00686CD4" w:rsidRDefault="002A7A34" w:rsidP="0029512F">
      <w:pPr>
        <w:pStyle w:val="SingleTxtG"/>
        <w:rPr>
          <w:lang w:val="fr-FR"/>
        </w:rPr>
      </w:pPr>
      <w:r w:rsidRPr="00686CD4">
        <w:rPr>
          <w:lang w:val="fr-FR"/>
        </w:rPr>
        <w:t>277.</w:t>
      </w:r>
      <w:r w:rsidRPr="00686CD4">
        <w:rPr>
          <w:lang w:val="fr-FR"/>
        </w:rPr>
        <w:tab/>
        <w:t>L</w:t>
      </w:r>
      <w:r>
        <w:rPr>
          <w:lang w:val="fr-FR"/>
        </w:rPr>
        <w:t>’</w:t>
      </w:r>
      <w:r w:rsidRPr="00686CD4">
        <w:rPr>
          <w:lang w:val="fr-FR"/>
        </w:rPr>
        <w:t>interdiction de contact peut être conjuguée à l</w:t>
      </w:r>
      <w:r>
        <w:rPr>
          <w:lang w:val="fr-FR"/>
        </w:rPr>
        <w:t>’</w:t>
      </w:r>
      <w:r w:rsidRPr="00686CD4">
        <w:rPr>
          <w:lang w:val="fr-FR"/>
        </w:rPr>
        <w:t>assignation permanente à résidence (art</w:t>
      </w:r>
      <w:r w:rsidR="00103DCB">
        <w:rPr>
          <w:lang w:val="fr-FR"/>
        </w:rPr>
        <w:t>.</w:t>
      </w:r>
      <w:r>
        <w:rPr>
          <w:lang w:val="fr-FR"/>
        </w:rPr>
        <w:t> </w:t>
      </w:r>
      <w:r w:rsidRPr="00686CD4">
        <w:rPr>
          <w:lang w:val="fr-FR"/>
        </w:rPr>
        <w:t>201</w:t>
      </w:r>
      <w:r w:rsidR="00103DCB">
        <w:rPr>
          <w:lang w:val="fr-FR"/>
        </w:rPr>
        <w:t> </w:t>
      </w:r>
      <w:r w:rsidRPr="00686CD4">
        <w:rPr>
          <w:lang w:val="fr-FR"/>
        </w:rPr>
        <w:t xml:space="preserve">2) du Code de procédure pénale). </w:t>
      </w:r>
    </w:p>
    <w:p w:rsidR="002A7A34" w:rsidRPr="00686CD4" w:rsidRDefault="002A7A34" w:rsidP="0029512F">
      <w:pPr>
        <w:pStyle w:val="SingleTxtG"/>
        <w:rPr>
          <w:lang w:val="fr-FR"/>
        </w:rPr>
      </w:pPr>
      <w:r w:rsidRPr="00686CD4">
        <w:rPr>
          <w:lang w:val="fr-FR"/>
        </w:rPr>
        <w:t>278.</w:t>
      </w:r>
      <w:r w:rsidRPr="00686CD4">
        <w:rPr>
          <w:lang w:val="fr-FR"/>
        </w:rPr>
        <w:tab/>
        <w:t xml:space="preserve">Le respect de ces mesures est assuré par des moyens de surveillance électronique opérant par géolocalisation. </w:t>
      </w:r>
    </w:p>
    <w:p w:rsidR="002A7A34" w:rsidRPr="00686CD4" w:rsidRDefault="002A7A34" w:rsidP="0029512F">
      <w:pPr>
        <w:pStyle w:val="SingleTxtG"/>
        <w:rPr>
          <w:lang w:val="fr-FR"/>
        </w:rPr>
      </w:pPr>
      <w:r w:rsidRPr="00686CD4">
        <w:rPr>
          <w:lang w:val="fr-FR"/>
        </w:rPr>
        <w:t>279.</w:t>
      </w:r>
      <w:r w:rsidRPr="00686CD4">
        <w:rPr>
          <w:lang w:val="fr-FR"/>
        </w:rPr>
        <w:tab/>
        <w:t>Tout non-respect des mesures de co</w:t>
      </w:r>
      <w:r>
        <w:rPr>
          <w:lang w:val="fr-FR"/>
        </w:rPr>
        <w:t>ercition</w:t>
      </w:r>
      <w:r w:rsidRPr="00686CD4">
        <w:rPr>
          <w:lang w:val="fr-FR"/>
        </w:rPr>
        <w:t xml:space="preserve"> imposée</w:t>
      </w:r>
      <w:r>
        <w:rPr>
          <w:lang w:val="fr-FR"/>
        </w:rPr>
        <w:t>s</w:t>
      </w:r>
      <w:r w:rsidRPr="00686CD4">
        <w:rPr>
          <w:lang w:val="fr-FR"/>
        </w:rPr>
        <w:t xml:space="preserve"> au délinquant peut entraîner l</w:t>
      </w:r>
      <w:r>
        <w:rPr>
          <w:lang w:val="fr-FR"/>
        </w:rPr>
        <w:t>’</w:t>
      </w:r>
      <w:r w:rsidRPr="00686CD4">
        <w:rPr>
          <w:lang w:val="fr-FR"/>
        </w:rPr>
        <w:t>application de mesures plus graves (art</w:t>
      </w:r>
      <w:r w:rsidR="0029512F">
        <w:rPr>
          <w:lang w:val="fr-FR"/>
        </w:rPr>
        <w:t>.</w:t>
      </w:r>
      <w:r w:rsidRPr="00686CD4">
        <w:rPr>
          <w:lang w:val="fr-FR"/>
        </w:rPr>
        <w:t xml:space="preserve"> 203 du </w:t>
      </w:r>
      <w:r>
        <w:rPr>
          <w:lang w:val="fr-FR"/>
        </w:rPr>
        <w:t>C</w:t>
      </w:r>
      <w:r w:rsidRPr="00686CD4">
        <w:rPr>
          <w:lang w:val="fr-FR"/>
        </w:rPr>
        <w:t xml:space="preserve">ode de procédure pénale), et le délinquant peut également être accusé de </w:t>
      </w:r>
      <w:r>
        <w:rPr>
          <w:lang w:val="fr-FR"/>
        </w:rPr>
        <w:t>l’infraction</w:t>
      </w:r>
      <w:r w:rsidRPr="00686CD4">
        <w:rPr>
          <w:lang w:val="fr-FR"/>
        </w:rPr>
        <w:t xml:space="preserve"> de désobéissance en vertu de l</w:t>
      </w:r>
      <w:r>
        <w:rPr>
          <w:lang w:val="fr-FR"/>
        </w:rPr>
        <w:t>’</w:t>
      </w:r>
      <w:r w:rsidRPr="00686CD4">
        <w:rPr>
          <w:lang w:val="fr-FR"/>
        </w:rPr>
        <w:t xml:space="preserve">article 348 du </w:t>
      </w:r>
      <w:r>
        <w:rPr>
          <w:lang w:val="fr-FR"/>
        </w:rPr>
        <w:t>C</w:t>
      </w:r>
      <w:r w:rsidRPr="00686CD4">
        <w:rPr>
          <w:lang w:val="fr-FR"/>
        </w:rPr>
        <w:t>ode pénal.</w:t>
      </w:r>
    </w:p>
    <w:p w:rsidR="002A7A34" w:rsidRPr="00686CD4" w:rsidRDefault="002A7A34" w:rsidP="00103DCB">
      <w:pPr>
        <w:pStyle w:val="SingleTxtG"/>
        <w:rPr>
          <w:lang w:val="fr-FR"/>
        </w:rPr>
      </w:pPr>
      <w:r w:rsidRPr="00686CD4">
        <w:rPr>
          <w:lang w:val="fr-FR"/>
        </w:rPr>
        <w:t>280.</w:t>
      </w:r>
      <w:r w:rsidRPr="00686CD4">
        <w:rPr>
          <w:lang w:val="fr-FR"/>
        </w:rPr>
        <w:tab/>
        <w:t>Les victimes bénéficient de droits procédur</w:t>
      </w:r>
      <w:r>
        <w:rPr>
          <w:lang w:val="fr-FR"/>
        </w:rPr>
        <w:t>aux</w:t>
      </w:r>
      <w:r w:rsidRPr="00686CD4">
        <w:rPr>
          <w:lang w:val="fr-FR"/>
        </w:rPr>
        <w:t xml:space="preserve"> conformément au </w:t>
      </w:r>
      <w:r>
        <w:rPr>
          <w:lang w:val="fr-FR"/>
        </w:rPr>
        <w:t>C</w:t>
      </w:r>
      <w:r w:rsidRPr="00686CD4">
        <w:rPr>
          <w:lang w:val="fr-FR"/>
        </w:rPr>
        <w:t>ode de procédure pénale, et peuvent participer à l</w:t>
      </w:r>
      <w:r>
        <w:rPr>
          <w:lang w:val="fr-FR"/>
        </w:rPr>
        <w:t>’</w:t>
      </w:r>
      <w:r w:rsidRPr="00686CD4">
        <w:rPr>
          <w:lang w:val="fr-FR"/>
        </w:rPr>
        <w:t>audience en tant que victime et aussi de témoin, faire part de leur opinion, de leurs besoins et de leur</w:t>
      </w:r>
      <w:r>
        <w:rPr>
          <w:lang w:val="fr-FR"/>
        </w:rPr>
        <w:t>s</w:t>
      </w:r>
      <w:r w:rsidRPr="00686CD4">
        <w:rPr>
          <w:lang w:val="fr-FR"/>
        </w:rPr>
        <w:t xml:space="preserve"> préoccupation</w:t>
      </w:r>
      <w:r>
        <w:rPr>
          <w:lang w:val="fr-FR"/>
        </w:rPr>
        <w:t>s</w:t>
      </w:r>
      <w:r w:rsidRPr="00686CD4">
        <w:rPr>
          <w:lang w:val="fr-FR"/>
        </w:rPr>
        <w:t xml:space="preserve"> et présenter des preuves d</w:t>
      </w:r>
      <w:r>
        <w:rPr>
          <w:lang w:val="fr-FR"/>
        </w:rPr>
        <w:t xml:space="preserve">urant le </w:t>
      </w:r>
      <w:r w:rsidRPr="00686CD4">
        <w:rPr>
          <w:lang w:val="fr-FR"/>
        </w:rPr>
        <w:t>procès pénal. La loi</w:t>
      </w:r>
      <w:r>
        <w:rPr>
          <w:lang w:val="fr-FR"/>
        </w:rPr>
        <w:t xml:space="preserve"> </w:t>
      </w:r>
      <w:r w:rsidR="00103DCB" w:rsidRPr="00553571">
        <w:rPr>
          <w:rFonts w:eastAsia="MS Mincho"/>
          <w:lang w:val="fr-FR"/>
        </w:rPr>
        <w:t>n</w:t>
      </w:r>
      <w:r w:rsidR="00103DCB" w:rsidRPr="00553571">
        <w:rPr>
          <w:rFonts w:eastAsia="MS Mincho"/>
          <w:vertAlign w:val="superscript"/>
          <w:lang w:val="fr-FR"/>
        </w:rPr>
        <w:t>o</w:t>
      </w:r>
      <w:r w:rsidR="00103DCB">
        <w:rPr>
          <w:lang w:val="fr-FR"/>
        </w:rPr>
        <w:t> </w:t>
      </w:r>
      <w:r w:rsidRPr="00686CD4">
        <w:rPr>
          <w:lang w:val="fr-FR"/>
        </w:rPr>
        <w:t>90/1999 du 14</w:t>
      </w:r>
      <w:r>
        <w:rPr>
          <w:lang w:val="fr-FR"/>
        </w:rPr>
        <w:t> </w:t>
      </w:r>
      <w:r w:rsidRPr="00686CD4">
        <w:rPr>
          <w:lang w:val="fr-FR"/>
        </w:rPr>
        <w:t>juillet relative à la protection des témoins s</w:t>
      </w:r>
      <w:r>
        <w:rPr>
          <w:lang w:val="fr-FR"/>
        </w:rPr>
        <w:t>’</w:t>
      </w:r>
      <w:r w:rsidRPr="00686CD4">
        <w:rPr>
          <w:lang w:val="fr-FR"/>
        </w:rPr>
        <w:t xml:space="preserve">applique en ce cas. </w:t>
      </w:r>
    </w:p>
    <w:p w:rsidR="002A7A34" w:rsidRPr="00686CD4" w:rsidRDefault="002A7A34" w:rsidP="00103DCB">
      <w:pPr>
        <w:pStyle w:val="SingleTxtG"/>
        <w:rPr>
          <w:lang w:val="fr-FR"/>
        </w:rPr>
      </w:pPr>
      <w:r w:rsidRPr="00686CD4">
        <w:rPr>
          <w:lang w:val="fr-FR"/>
        </w:rPr>
        <w:t>281.</w:t>
      </w:r>
      <w:r w:rsidRPr="00686CD4">
        <w:rPr>
          <w:lang w:val="fr-FR"/>
        </w:rPr>
        <w:tab/>
        <w:t>Il importe d</w:t>
      </w:r>
      <w:r>
        <w:rPr>
          <w:lang w:val="fr-FR"/>
        </w:rPr>
        <w:t>’</w:t>
      </w:r>
      <w:r w:rsidRPr="00686CD4">
        <w:rPr>
          <w:lang w:val="fr-FR"/>
        </w:rPr>
        <w:t>éviter tout contact entre les victimes et les membres de leur famille</w:t>
      </w:r>
      <w:r w:rsidR="004F7530">
        <w:rPr>
          <w:lang w:val="fr-FR"/>
        </w:rPr>
        <w:t xml:space="preserve"> </w:t>
      </w:r>
      <w:r w:rsidRPr="00686CD4">
        <w:rPr>
          <w:lang w:val="fr-FR"/>
        </w:rPr>
        <w:t>et les personnes soupçonnées ou accusées dans tous les lieux où doivent se présenter ces personnes dans le cadre des procédures pénales, en particulier les tribunaux, sans préjudice des dispositions établies dans le Code de procédure pénale (art</w:t>
      </w:r>
      <w:r w:rsidR="00103DCB">
        <w:rPr>
          <w:lang w:val="fr-FR"/>
        </w:rPr>
        <w:t>.</w:t>
      </w:r>
      <w:r w:rsidRPr="00686CD4">
        <w:rPr>
          <w:lang w:val="fr-FR"/>
        </w:rPr>
        <w:t> 15</w:t>
      </w:r>
      <w:r w:rsidR="00103DCB">
        <w:rPr>
          <w:lang w:val="fr-FR"/>
        </w:rPr>
        <w:t> </w:t>
      </w:r>
      <w:r w:rsidRPr="00686CD4">
        <w:rPr>
          <w:lang w:val="fr-FR"/>
        </w:rPr>
        <w:t>2) du Statut de la victime).</w:t>
      </w:r>
    </w:p>
    <w:p w:rsidR="002A7A34" w:rsidRPr="00686CD4" w:rsidRDefault="002A7A34" w:rsidP="00103DCB">
      <w:pPr>
        <w:pStyle w:val="SingleTxtG"/>
        <w:rPr>
          <w:lang w:val="fr-FR"/>
        </w:rPr>
      </w:pPr>
      <w:r w:rsidRPr="00686CD4">
        <w:rPr>
          <w:lang w:val="fr-FR"/>
        </w:rPr>
        <w:t>282.</w:t>
      </w:r>
      <w:r w:rsidRPr="00686CD4">
        <w:rPr>
          <w:lang w:val="fr-FR"/>
        </w:rPr>
        <w:tab/>
        <w:t>Les articles 13 et</w:t>
      </w:r>
      <w:r>
        <w:rPr>
          <w:lang w:val="fr-FR"/>
        </w:rPr>
        <w:t> </w:t>
      </w:r>
      <w:r w:rsidRPr="00686CD4">
        <w:rPr>
          <w:lang w:val="fr-FR"/>
        </w:rPr>
        <w:t xml:space="preserve">14 du </w:t>
      </w:r>
      <w:r>
        <w:rPr>
          <w:lang w:val="fr-FR"/>
        </w:rPr>
        <w:t>S</w:t>
      </w:r>
      <w:r w:rsidRPr="00686CD4">
        <w:rPr>
          <w:lang w:val="fr-FR"/>
        </w:rPr>
        <w:t>tatut de la victime prévoient l</w:t>
      </w:r>
      <w:r>
        <w:rPr>
          <w:lang w:val="fr-FR"/>
        </w:rPr>
        <w:t>’</w:t>
      </w:r>
      <w:r w:rsidRPr="00686CD4">
        <w:rPr>
          <w:lang w:val="fr-FR"/>
        </w:rPr>
        <w:t>octroi d</w:t>
      </w:r>
      <w:r>
        <w:rPr>
          <w:lang w:val="fr-FR"/>
        </w:rPr>
        <w:t>’</w:t>
      </w:r>
      <w:r w:rsidRPr="00686CD4">
        <w:rPr>
          <w:lang w:val="fr-FR"/>
        </w:rPr>
        <w:t>une aide juridictionnelle gratuite. L</w:t>
      </w:r>
      <w:r>
        <w:rPr>
          <w:lang w:val="fr-FR"/>
        </w:rPr>
        <w:t>’</w:t>
      </w:r>
      <w:r w:rsidRPr="00686CD4">
        <w:rPr>
          <w:lang w:val="fr-FR"/>
        </w:rPr>
        <w:t xml:space="preserve">État assure, gratuitement, en vertu de la loi </w:t>
      </w:r>
      <w:r w:rsidR="00103DCB" w:rsidRPr="00553571">
        <w:rPr>
          <w:rFonts w:eastAsia="MS Mincho"/>
          <w:lang w:val="fr-FR"/>
        </w:rPr>
        <w:t>n</w:t>
      </w:r>
      <w:r w:rsidR="00103DCB" w:rsidRPr="00553571">
        <w:rPr>
          <w:rFonts w:eastAsia="MS Mincho"/>
          <w:vertAlign w:val="superscript"/>
          <w:lang w:val="fr-FR"/>
        </w:rPr>
        <w:t>o</w:t>
      </w:r>
      <w:r w:rsidR="00103DCB">
        <w:rPr>
          <w:lang w:val="fr-FR"/>
        </w:rPr>
        <w:t> </w:t>
      </w:r>
      <w:r w:rsidRPr="00686CD4">
        <w:rPr>
          <w:lang w:val="fr-FR"/>
        </w:rPr>
        <w:t>34/2004 du 29</w:t>
      </w:r>
      <w:r>
        <w:rPr>
          <w:lang w:val="fr-FR"/>
        </w:rPr>
        <w:t> </w:t>
      </w:r>
      <w:r w:rsidRPr="00686CD4">
        <w:rPr>
          <w:lang w:val="fr-FR"/>
        </w:rPr>
        <w:t>juillet, l</w:t>
      </w:r>
      <w:r>
        <w:rPr>
          <w:lang w:val="fr-FR"/>
        </w:rPr>
        <w:t>’</w:t>
      </w:r>
      <w:r w:rsidRPr="00686CD4">
        <w:rPr>
          <w:lang w:val="fr-FR"/>
        </w:rPr>
        <w:t xml:space="preserve">accès de la victime à des consultations juridiques puis, si nécessaire, à un appui judiciaire. Les frais résultant de la participation de la victime </w:t>
      </w:r>
      <w:r>
        <w:rPr>
          <w:lang w:val="fr-FR"/>
        </w:rPr>
        <w:t xml:space="preserve">à la </w:t>
      </w:r>
      <w:r w:rsidRPr="00686CD4">
        <w:rPr>
          <w:lang w:val="fr-FR"/>
        </w:rPr>
        <w:t>procédure pénale peuvent également être remboursé</w:t>
      </w:r>
      <w:r>
        <w:rPr>
          <w:lang w:val="fr-FR"/>
        </w:rPr>
        <w:t>s</w:t>
      </w:r>
      <w:r w:rsidRPr="00686CD4">
        <w:rPr>
          <w:lang w:val="fr-FR"/>
        </w:rPr>
        <w:t xml:space="preserve"> dans certaines conditions.</w:t>
      </w:r>
    </w:p>
    <w:p w:rsidR="002A7A34" w:rsidRPr="00686CD4" w:rsidRDefault="002A7A34" w:rsidP="00103DCB">
      <w:pPr>
        <w:pStyle w:val="H1G"/>
        <w:rPr>
          <w:lang w:val="fr-FR"/>
        </w:rPr>
      </w:pPr>
      <w:r w:rsidRPr="00686CD4">
        <w:rPr>
          <w:lang w:val="fr-FR"/>
        </w:rPr>
        <w:tab/>
      </w:r>
      <w:r w:rsidRPr="00686CD4">
        <w:rPr>
          <w:lang w:val="fr-FR"/>
        </w:rPr>
        <w:tab/>
      </w:r>
      <w:bookmarkStart w:id="91" w:name="_Toc532494694"/>
      <w:r w:rsidRPr="00686CD4">
        <w:rPr>
          <w:lang w:val="fr-FR"/>
        </w:rPr>
        <w:t>Article 16</w:t>
      </w:r>
      <w:bookmarkEnd w:id="91"/>
    </w:p>
    <w:p w:rsidR="002A7A34" w:rsidRPr="00686CD4" w:rsidRDefault="002A7A34" w:rsidP="00103DCB">
      <w:pPr>
        <w:pStyle w:val="H23G"/>
        <w:jc w:val="both"/>
        <w:rPr>
          <w:lang w:val="fr-FR"/>
        </w:rPr>
      </w:pPr>
      <w:r w:rsidRPr="00686CD4">
        <w:rPr>
          <w:lang w:val="fr-FR"/>
        </w:rPr>
        <w:tab/>
        <w:t>20.</w:t>
      </w:r>
      <w:r w:rsidRPr="00686CD4">
        <w:rPr>
          <w:lang w:val="fr-FR"/>
        </w:rPr>
        <w:tab/>
      </w:r>
      <w:r w:rsidRPr="00103DCB">
        <w:rPr>
          <w:spacing w:val="-2"/>
          <w:lang w:val="fr-FR"/>
        </w:rPr>
        <w:t>Compte tenu des précédentes observations finales du Comité (par.</w:t>
      </w:r>
      <w:r w:rsidR="00103DCB" w:rsidRPr="00103DCB">
        <w:rPr>
          <w:spacing w:val="-2"/>
          <w:lang w:val="fr-FR"/>
        </w:rPr>
        <w:t> </w:t>
      </w:r>
      <w:r w:rsidRPr="00103DCB">
        <w:rPr>
          <w:spacing w:val="-2"/>
          <w:lang w:val="fr-FR"/>
        </w:rPr>
        <w:t>18) et des informations communiquées par l’État partie au titre du suivi des observations finales</w:t>
      </w:r>
      <w:r w:rsidR="00495D0F" w:rsidRPr="00103DCB">
        <w:rPr>
          <w:spacing w:val="-2"/>
          <w:lang w:val="fr-FR"/>
        </w:rPr>
        <w:t> :</w:t>
      </w:r>
      <w:r w:rsidRPr="00686CD4">
        <w:rPr>
          <w:lang w:val="fr-FR"/>
        </w:rPr>
        <w:t xml:space="preserve"> </w:t>
      </w:r>
      <w:bookmarkStart w:id="92" w:name="_Toc532494695"/>
      <w:bookmarkEnd w:id="92"/>
    </w:p>
    <w:p w:rsidR="002A7A34" w:rsidRPr="00686CD4" w:rsidRDefault="002A7A34" w:rsidP="00103DCB">
      <w:pPr>
        <w:pStyle w:val="H23G"/>
        <w:jc w:val="both"/>
        <w:rPr>
          <w:lang w:val="fr-FR"/>
        </w:rPr>
      </w:pPr>
      <w:r w:rsidRPr="00686CD4">
        <w:rPr>
          <w:lang w:val="fr-FR"/>
        </w:rPr>
        <w:tab/>
      </w:r>
      <w:bookmarkStart w:id="93" w:name="_Toc532494696"/>
      <w:r w:rsidRPr="00686CD4">
        <w:rPr>
          <w:lang w:val="fr-FR"/>
        </w:rPr>
        <w:tab/>
      </w:r>
      <w:r w:rsidRPr="00686CD4">
        <w:rPr>
          <w:lang w:val="fr-FR"/>
        </w:rPr>
        <w:tab/>
        <w:t>a)</w:t>
      </w:r>
      <w:r w:rsidRPr="00686CD4">
        <w:rPr>
          <w:lang w:val="fr-FR"/>
        </w:rPr>
        <w:tab/>
        <w:t>Fournir des données statistiques annuelles depuis 2013, ventilées par infraction et appartenance ethnique, âge et sexe de la victime, sur</w:t>
      </w:r>
      <w:r w:rsidR="00495D0F">
        <w:rPr>
          <w:lang w:val="fr-FR"/>
        </w:rPr>
        <w:t> :</w:t>
      </w:r>
      <w:r w:rsidRPr="00686CD4">
        <w:rPr>
          <w:lang w:val="fr-FR"/>
        </w:rPr>
        <w:t xml:space="preserve"> i)</w:t>
      </w:r>
      <w:r w:rsidR="00103DCB">
        <w:rPr>
          <w:lang w:val="fr-FR"/>
        </w:rPr>
        <w:t> </w:t>
      </w:r>
      <w:r w:rsidRPr="00686CD4">
        <w:rPr>
          <w:lang w:val="fr-FR"/>
        </w:rPr>
        <w:t>le nombre de plaintes déposées contre des policiers pour des actes racistes ou des actes de discrimination raciale</w:t>
      </w:r>
      <w:r w:rsidR="00495D0F">
        <w:rPr>
          <w:lang w:val="fr-FR"/>
        </w:rPr>
        <w:t> ;</w:t>
      </w:r>
      <w:r w:rsidRPr="00686CD4">
        <w:rPr>
          <w:lang w:val="fr-FR"/>
        </w:rPr>
        <w:t xml:space="preserve"> ii)</w:t>
      </w:r>
      <w:r w:rsidR="00103DCB">
        <w:rPr>
          <w:lang w:val="fr-FR"/>
        </w:rPr>
        <w:t> </w:t>
      </w:r>
      <w:r w:rsidRPr="00686CD4">
        <w:rPr>
          <w:lang w:val="fr-FR"/>
        </w:rPr>
        <w:t>le nombre d</w:t>
      </w:r>
      <w:r>
        <w:rPr>
          <w:lang w:val="fr-FR"/>
        </w:rPr>
        <w:t>’</w:t>
      </w:r>
      <w:r w:rsidRPr="00686CD4">
        <w:rPr>
          <w:lang w:val="fr-FR"/>
        </w:rPr>
        <w:t>enquêtes ouvertes suite au dépôt de ces plaintes et les autorités qui en ont la charge</w:t>
      </w:r>
      <w:r w:rsidR="00495D0F">
        <w:rPr>
          <w:lang w:val="fr-FR"/>
        </w:rPr>
        <w:t> ;</w:t>
      </w:r>
      <w:r w:rsidRPr="00686CD4">
        <w:rPr>
          <w:lang w:val="fr-FR"/>
        </w:rPr>
        <w:t xml:space="preserve"> iii)</w:t>
      </w:r>
      <w:r w:rsidR="00103DCB">
        <w:rPr>
          <w:lang w:val="fr-FR"/>
        </w:rPr>
        <w:t> </w:t>
      </w:r>
      <w:r w:rsidRPr="00686CD4">
        <w:rPr>
          <w:lang w:val="fr-FR"/>
        </w:rPr>
        <w:t>le nombre de ces enquêtes qui ont été classées sans suite</w:t>
      </w:r>
      <w:r w:rsidR="00495D0F">
        <w:rPr>
          <w:lang w:val="fr-FR"/>
        </w:rPr>
        <w:t> ;</w:t>
      </w:r>
      <w:r w:rsidRPr="00686CD4">
        <w:rPr>
          <w:lang w:val="fr-FR"/>
        </w:rPr>
        <w:t xml:space="preserve"> iv)</w:t>
      </w:r>
      <w:r w:rsidR="00103DCB">
        <w:rPr>
          <w:lang w:val="fr-FR"/>
        </w:rPr>
        <w:t> </w:t>
      </w:r>
      <w:r w:rsidRPr="00686CD4">
        <w:rPr>
          <w:lang w:val="fr-FR"/>
        </w:rPr>
        <w:t>le nombre de ces enquêtes qui ont donné lieu à des poursuites ou des mesures disciplinaires</w:t>
      </w:r>
      <w:r w:rsidR="00495D0F">
        <w:rPr>
          <w:lang w:val="fr-FR"/>
        </w:rPr>
        <w:t> ;</w:t>
      </w:r>
      <w:r w:rsidRPr="00686CD4">
        <w:rPr>
          <w:lang w:val="fr-FR"/>
        </w:rPr>
        <w:t xml:space="preserve"> v)</w:t>
      </w:r>
      <w:r w:rsidR="000132BB">
        <w:rPr>
          <w:lang w:val="fr-FR"/>
        </w:rPr>
        <w:t> </w:t>
      </w:r>
      <w:r w:rsidRPr="00686CD4">
        <w:rPr>
          <w:lang w:val="fr-FR"/>
        </w:rPr>
        <w:t>le nombre de ces procédures qui ont abouti à une condamnation</w:t>
      </w:r>
      <w:r w:rsidR="00495D0F">
        <w:rPr>
          <w:lang w:val="fr-FR"/>
        </w:rPr>
        <w:t> ;</w:t>
      </w:r>
      <w:r w:rsidRPr="00686CD4">
        <w:rPr>
          <w:lang w:val="fr-FR"/>
        </w:rPr>
        <w:t xml:space="preserve"> et vi)</w:t>
      </w:r>
      <w:r w:rsidR="000132BB">
        <w:rPr>
          <w:lang w:val="fr-FR"/>
        </w:rPr>
        <w:t> </w:t>
      </w:r>
      <w:r w:rsidRPr="00686CD4">
        <w:rPr>
          <w:lang w:val="fr-FR"/>
        </w:rPr>
        <w:t>les sanctions pénales et disciplinaires qui ont été appliquées</w:t>
      </w:r>
      <w:r w:rsidR="00495D0F">
        <w:rPr>
          <w:lang w:val="fr-FR"/>
        </w:rPr>
        <w:t> ;</w:t>
      </w:r>
      <w:bookmarkEnd w:id="93"/>
    </w:p>
    <w:p w:rsidR="002A7A34" w:rsidRPr="00686CD4" w:rsidRDefault="002A7A34" w:rsidP="000132BB">
      <w:pPr>
        <w:pStyle w:val="SingleTxtG"/>
        <w:rPr>
          <w:lang w:val="fr-FR"/>
        </w:rPr>
      </w:pPr>
      <w:r w:rsidRPr="00686CD4">
        <w:rPr>
          <w:lang w:val="fr-FR"/>
        </w:rPr>
        <w:t>283.</w:t>
      </w:r>
      <w:r w:rsidRPr="00686CD4">
        <w:rPr>
          <w:lang w:val="fr-FR"/>
        </w:rPr>
        <w:tab/>
        <w:t>Voir les tableaux XXII et XXIII de l</w:t>
      </w:r>
      <w:r>
        <w:rPr>
          <w:lang w:val="fr-FR"/>
        </w:rPr>
        <w:t>’</w:t>
      </w:r>
      <w:r w:rsidRPr="00686CD4">
        <w:rPr>
          <w:lang w:val="fr-FR"/>
        </w:rPr>
        <w:t>annexe III concernant les affaires ayant fait l</w:t>
      </w:r>
      <w:r>
        <w:rPr>
          <w:lang w:val="fr-FR"/>
        </w:rPr>
        <w:t>’</w:t>
      </w:r>
      <w:r w:rsidRPr="00686CD4">
        <w:rPr>
          <w:lang w:val="fr-FR"/>
        </w:rPr>
        <w:t>objet d</w:t>
      </w:r>
      <w:r>
        <w:rPr>
          <w:lang w:val="fr-FR"/>
        </w:rPr>
        <w:t>’</w:t>
      </w:r>
      <w:r w:rsidRPr="00686CD4">
        <w:rPr>
          <w:lang w:val="fr-FR"/>
        </w:rPr>
        <w:t>enquêtes de l</w:t>
      </w:r>
      <w:r>
        <w:rPr>
          <w:lang w:val="fr-FR"/>
        </w:rPr>
        <w:t>’Inspection générale de l’administration interne</w:t>
      </w:r>
      <w:r w:rsidRPr="00686CD4">
        <w:rPr>
          <w:lang w:val="fr-FR"/>
        </w:rPr>
        <w:t>.</w:t>
      </w:r>
    </w:p>
    <w:p w:rsidR="002A7A34" w:rsidRPr="00686CD4" w:rsidRDefault="002A7A34" w:rsidP="00A05311">
      <w:pPr>
        <w:pStyle w:val="H23G"/>
        <w:spacing w:after="100" w:line="236" w:lineRule="atLeast"/>
        <w:jc w:val="both"/>
        <w:rPr>
          <w:lang w:val="fr-FR"/>
        </w:rPr>
      </w:pPr>
      <w:r w:rsidRPr="00686CD4">
        <w:rPr>
          <w:lang w:val="fr-FR"/>
        </w:rPr>
        <w:lastRenderedPageBreak/>
        <w:tab/>
      </w:r>
      <w:bookmarkStart w:id="94" w:name="_Toc532494697"/>
      <w:r w:rsidRPr="00686CD4">
        <w:rPr>
          <w:lang w:val="fr-FR"/>
        </w:rPr>
        <w:tab/>
      </w:r>
      <w:r w:rsidRPr="00686CD4">
        <w:rPr>
          <w:lang w:val="fr-FR"/>
        </w:rPr>
        <w:tab/>
        <w:t>b)</w:t>
      </w:r>
      <w:r w:rsidRPr="00686CD4">
        <w:rPr>
          <w:lang w:val="fr-FR"/>
        </w:rPr>
        <w:tab/>
        <w:t>Indiquer les mesures prises pour surveiller les attaques et les violences contre la communauté rom, y compris les commentaires et les contenus racistes diffusés sur Internet, et l</w:t>
      </w:r>
      <w:r>
        <w:rPr>
          <w:lang w:val="fr-FR"/>
        </w:rPr>
        <w:t>’</w:t>
      </w:r>
      <w:r w:rsidRPr="00686CD4">
        <w:rPr>
          <w:lang w:val="fr-FR"/>
        </w:rPr>
        <w:t>usage excessif de la force par la police vis-à-vis des membres de la communauté rom, et pour garantir que ces attaques fassent effectivement l</w:t>
      </w:r>
      <w:r>
        <w:rPr>
          <w:lang w:val="fr-FR"/>
        </w:rPr>
        <w:t>’</w:t>
      </w:r>
      <w:r w:rsidRPr="00686CD4">
        <w:rPr>
          <w:lang w:val="fr-FR"/>
        </w:rPr>
        <w:t>objet d</w:t>
      </w:r>
      <w:r>
        <w:rPr>
          <w:lang w:val="fr-FR"/>
        </w:rPr>
        <w:t>’</w:t>
      </w:r>
      <w:r w:rsidRPr="00686CD4">
        <w:rPr>
          <w:lang w:val="fr-FR"/>
        </w:rPr>
        <w:t>enquêtes et que les auteurs soient poursuivis, y compris lorsqu</w:t>
      </w:r>
      <w:r>
        <w:rPr>
          <w:lang w:val="fr-FR"/>
        </w:rPr>
        <w:t>’</w:t>
      </w:r>
      <w:r w:rsidRPr="00686CD4">
        <w:rPr>
          <w:lang w:val="fr-FR"/>
        </w:rPr>
        <w:t>il est allégué qu</w:t>
      </w:r>
      <w:r>
        <w:rPr>
          <w:lang w:val="fr-FR"/>
        </w:rPr>
        <w:t>’</w:t>
      </w:r>
      <w:r w:rsidRPr="00686CD4">
        <w:rPr>
          <w:lang w:val="fr-FR"/>
        </w:rPr>
        <w:t>elles ont pu être provoquées par des motifs discriminatoires</w:t>
      </w:r>
      <w:r w:rsidR="00495D0F">
        <w:rPr>
          <w:lang w:val="fr-FR"/>
        </w:rPr>
        <w:t> ;</w:t>
      </w:r>
      <w:bookmarkEnd w:id="94"/>
    </w:p>
    <w:p w:rsidR="002A7A34" w:rsidRPr="00686CD4" w:rsidRDefault="002A7A34" w:rsidP="00A05311">
      <w:pPr>
        <w:pStyle w:val="SingleTxtG"/>
        <w:keepNext/>
        <w:spacing w:after="100" w:line="236" w:lineRule="atLeast"/>
        <w:rPr>
          <w:lang w:val="fr-FR"/>
        </w:rPr>
      </w:pPr>
      <w:r w:rsidRPr="00686CD4">
        <w:rPr>
          <w:lang w:val="fr-FR"/>
        </w:rPr>
        <w:t>284.</w:t>
      </w:r>
      <w:r w:rsidRPr="00686CD4">
        <w:rPr>
          <w:lang w:val="fr-FR"/>
        </w:rPr>
        <w:tab/>
        <w:t>Plusieurs mesures importantes ont été prises à cet égard</w:t>
      </w:r>
      <w:r w:rsidR="00495D0F">
        <w:rPr>
          <w:lang w:val="fr-FR"/>
        </w:rPr>
        <w:t> :</w:t>
      </w:r>
    </w:p>
    <w:p w:rsidR="002A7A34" w:rsidRPr="00686CD4" w:rsidRDefault="002A7A34" w:rsidP="00A05311">
      <w:pPr>
        <w:pStyle w:val="Bullet1G"/>
        <w:keepLines/>
        <w:numPr>
          <w:ilvl w:val="0"/>
          <w:numId w:val="0"/>
        </w:numPr>
        <w:tabs>
          <w:tab w:val="left" w:pos="1701"/>
        </w:tabs>
        <w:spacing w:after="80" w:line="236" w:lineRule="atLeast"/>
        <w:ind w:left="1701" w:hanging="170"/>
        <w:rPr>
          <w:lang w:val="fr-FR"/>
        </w:rPr>
      </w:pPr>
      <w:r w:rsidRPr="00686CD4">
        <w:rPr>
          <w:lang w:val="fr-FR"/>
        </w:rPr>
        <w:t>•</w:t>
      </w:r>
      <w:r w:rsidRPr="00686CD4">
        <w:rPr>
          <w:lang w:val="fr-FR"/>
        </w:rPr>
        <w:tab/>
        <w:t>L</w:t>
      </w:r>
      <w:r>
        <w:rPr>
          <w:lang w:val="fr-FR"/>
        </w:rPr>
        <w:t>’</w:t>
      </w:r>
      <w:r w:rsidRPr="00686CD4">
        <w:rPr>
          <w:lang w:val="fr-FR"/>
        </w:rPr>
        <w:t>article</w:t>
      </w:r>
      <w:r>
        <w:rPr>
          <w:lang w:val="fr-FR"/>
        </w:rPr>
        <w:t> </w:t>
      </w:r>
      <w:r w:rsidRPr="00686CD4">
        <w:rPr>
          <w:lang w:val="fr-FR"/>
        </w:rPr>
        <w:t>240 du Code pénal concernant la discrimination pour des motifs raciaux ou religieux a été modifié par la loi</w:t>
      </w:r>
      <w:r>
        <w:rPr>
          <w:lang w:val="fr-FR"/>
        </w:rPr>
        <w:t xml:space="preserve"> </w:t>
      </w:r>
      <w:r w:rsidR="000132BB" w:rsidRPr="00553571">
        <w:rPr>
          <w:rFonts w:eastAsia="MS Mincho"/>
          <w:lang w:val="fr-FR"/>
        </w:rPr>
        <w:t>n</w:t>
      </w:r>
      <w:r w:rsidR="000132BB" w:rsidRPr="00553571">
        <w:rPr>
          <w:rFonts w:eastAsia="MS Mincho"/>
          <w:vertAlign w:val="superscript"/>
          <w:lang w:val="fr-FR"/>
        </w:rPr>
        <w:t>o</w:t>
      </w:r>
      <w:r w:rsidR="000132BB">
        <w:rPr>
          <w:lang w:val="fr-FR"/>
        </w:rPr>
        <w:t> </w:t>
      </w:r>
      <w:r w:rsidRPr="00686CD4">
        <w:rPr>
          <w:lang w:val="fr-FR"/>
        </w:rPr>
        <w:t>94/2017 du</w:t>
      </w:r>
      <w:r>
        <w:rPr>
          <w:lang w:val="fr-FR"/>
        </w:rPr>
        <w:t> </w:t>
      </w:r>
      <w:r w:rsidRPr="00686CD4">
        <w:rPr>
          <w:lang w:val="fr-FR"/>
        </w:rPr>
        <w:t>23 août de manière à être pleinement conforme à la décision-cadre</w:t>
      </w:r>
      <w:r>
        <w:rPr>
          <w:lang w:val="fr-FR"/>
        </w:rPr>
        <w:t xml:space="preserve"> </w:t>
      </w:r>
      <w:r w:rsidR="000132BB" w:rsidRPr="00553571">
        <w:rPr>
          <w:rFonts w:eastAsia="MS Mincho"/>
          <w:lang w:val="fr-FR"/>
        </w:rPr>
        <w:t>n</w:t>
      </w:r>
      <w:r w:rsidR="000132BB" w:rsidRPr="00553571">
        <w:rPr>
          <w:rFonts w:eastAsia="MS Mincho"/>
          <w:vertAlign w:val="superscript"/>
          <w:lang w:val="fr-FR"/>
        </w:rPr>
        <w:t>o</w:t>
      </w:r>
      <w:r w:rsidR="000132BB">
        <w:rPr>
          <w:lang w:val="fr-FR"/>
        </w:rPr>
        <w:t> </w:t>
      </w:r>
      <w:r w:rsidRPr="00686CD4">
        <w:rPr>
          <w:lang w:val="fr-FR"/>
        </w:rPr>
        <w:t xml:space="preserve">2009/913/JHA sur la lutte contre certaines formes et manifestations de racisme et de xénophobie </w:t>
      </w:r>
      <w:r>
        <w:rPr>
          <w:lang w:val="fr-FR"/>
        </w:rPr>
        <w:t xml:space="preserve">au </w:t>
      </w:r>
      <w:r w:rsidRPr="00686CD4">
        <w:rPr>
          <w:lang w:val="fr-FR"/>
        </w:rPr>
        <w:t>moyen du droit pénal</w:t>
      </w:r>
      <w:r w:rsidR="00495D0F">
        <w:rPr>
          <w:lang w:val="fr-FR"/>
        </w:rPr>
        <w:t> ;</w:t>
      </w:r>
    </w:p>
    <w:p w:rsidR="002A7A34" w:rsidRPr="00686CD4" w:rsidRDefault="002A7A34" w:rsidP="00A05311">
      <w:pPr>
        <w:pStyle w:val="Bullet1G"/>
        <w:numPr>
          <w:ilvl w:val="0"/>
          <w:numId w:val="0"/>
        </w:numPr>
        <w:tabs>
          <w:tab w:val="left" w:pos="1701"/>
        </w:tabs>
        <w:spacing w:after="80" w:line="236" w:lineRule="atLeast"/>
        <w:ind w:left="1701" w:hanging="170"/>
        <w:rPr>
          <w:lang w:val="fr-FR"/>
        </w:rPr>
      </w:pPr>
      <w:r w:rsidRPr="00686CD4">
        <w:rPr>
          <w:lang w:val="fr-FR"/>
        </w:rPr>
        <w:t>•</w:t>
      </w:r>
      <w:r w:rsidRPr="00686CD4">
        <w:rPr>
          <w:lang w:val="fr-FR"/>
        </w:rPr>
        <w:tab/>
        <w:t>Le décret-loi</w:t>
      </w:r>
      <w:r>
        <w:rPr>
          <w:lang w:val="fr-FR"/>
        </w:rPr>
        <w:t xml:space="preserve"> </w:t>
      </w:r>
      <w:r w:rsidR="000132BB" w:rsidRPr="00553571">
        <w:rPr>
          <w:rFonts w:eastAsia="MS Mincho"/>
          <w:lang w:val="fr-FR"/>
        </w:rPr>
        <w:t>n</w:t>
      </w:r>
      <w:r w:rsidR="000132BB" w:rsidRPr="00553571">
        <w:rPr>
          <w:rFonts w:eastAsia="MS Mincho"/>
          <w:vertAlign w:val="superscript"/>
          <w:lang w:val="fr-FR"/>
        </w:rPr>
        <w:t>o</w:t>
      </w:r>
      <w:r w:rsidR="000132BB">
        <w:rPr>
          <w:lang w:val="fr-FR"/>
        </w:rPr>
        <w:t> </w:t>
      </w:r>
      <w:r w:rsidRPr="00686CD4">
        <w:rPr>
          <w:lang w:val="fr-FR"/>
        </w:rPr>
        <w:t>81/2016 du 28</w:t>
      </w:r>
      <w:r>
        <w:rPr>
          <w:lang w:val="fr-FR"/>
        </w:rPr>
        <w:t> </w:t>
      </w:r>
      <w:r w:rsidRPr="00686CD4">
        <w:rPr>
          <w:lang w:val="fr-FR"/>
        </w:rPr>
        <w:t>novembre a porté création de l</w:t>
      </w:r>
      <w:r>
        <w:rPr>
          <w:lang w:val="fr-FR"/>
        </w:rPr>
        <w:t>’</w:t>
      </w:r>
      <w:r w:rsidRPr="00686CD4">
        <w:rPr>
          <w:lang w:val="fr-FR"/>
        </w:rPr>
        <w:t xml:space="preserve">Unité nationale de lutte contre la cybercriminalité et la criminalité technologique (UNC3T) au sein de la structure fonctionnelle et hiérarchique de la police criminelle. Cette unité est chargée de mener une action de prévention et de détection, de </w:t>
      </w:r>
      <w:r>
        <w:rPr>
          <w:lang w:val="fr-FR"/>
        </w:rPr>
        <w:t xml:space="preserve">procéder à </w:t>
      </w:r>
      <w:r w:rsidRPr="00686CD4">
        <w:rPr>
          <w:lang w:val="fr-FR"/>
        </w:rPr>
        <w:t xml:space="preserve">des enquêtes criminelles et de prêter assistance aux autorités judiciaires </w:t>
      </w:r>
      <w:r>
        <w:rPr>
          <w:lang w:val="fr-FR"/>
        </w:rPr>
        <w:t>pour les infractions</w:t>
      </w:r>
      <w:r w:rsidRPr="00686CD4">
        <w:rPr>
          <w:lang w:val="fr-FR"/>
        </w:rPr>
        <w:t xml:space="preserve"> visé</w:t>
      </w:r>
      <w:r>
        <w:rPr>
          <w:lang w:val="fr-FR"/>
        </w:rPr>
        <w:t>e</w:t>
      </w:r>
      <w:r w:rsidRPr="00686CD4">
        <w:rPr>
          <w:lang w:val="fr-FR"/>
        </w:rPr>
        <w:t>s par la loi</w:t>
      </w:r>
      <w:r>
        <w:rPr>
          <w:lang w:val="fr-FR"/>
        </w:rPr>
        <w:t xml:space="preserve"> </w:t>
      </w:r>
      <w:r w:rsidR="000132BB" w:rsidRPr="00553571">
        <w:rPr>
          <w:rFonts w:eastAsia="MS Mincho"/>
          <w:lang w:val="fr-FR"/>
        </w:rPr>
        <w:t>n</w:t>
      </w:r>
      <w:r w:rsidR="000132BB" w:rsidRPr="00553571">
        <w:rPr>
          <w:rFonts w:eastAsia="MS Mincho"/>
          <w:vertAlign w:val="superscript"/>
          <w:lang w:val="fr-FR"/>
        </w:rPr>
        <w:t>o</w:t>
      </w:r>
      <w:r w:rsidR="000132BB">
        <w:rPr>
          <w:lang w:val="fr-FR"/>
        </w:rPr>
        <w:t> </w:t>
      </w:r>
      <w:r w:rsidRPr="00686CD4">
        <w:rPr>
          <w:lang w:val="fr-FR"/>
        </w:rPr>
        <w:t>109/2009 du 15</w:t>
      </w:r>
      <w:r>
        <w:rPr>
          <w:lang w:val="fr-FR"/>
        </w:rPr>
        <w:t> </w:t>
      </w:r>
      <w:r w:rsidRPr="00686CD4">
        <w:rPr>
          <w:lang w:val="fr-FR"/>
        </w:rPr>
        <w:t xml:space="preserve">septembre (sur la cybercriminalité) et les </w:t>
      </w:r>
      <w:r>
        <w:rPr>
          <w:lang w:val="fr-FR"/>
        </w:rPr>
        <w:t>infractions</w:t>
      </w:r>
      <w:r w:rsidRPr="00686CD4">
        <w:rPr>
          <w:lang w:val="fr-FR"/>
        </w:rPr>
        <w:t xml:space="preserve"> commis</w:t>
      </w:r>
      <w:r>
        <w:rPr>
          <w:lang w:val="fr-FR"/>
        </w:rPr>
        <w:t>e</w:t>
      </w:r>
      <w:r w:rsidRPr="00686CD4">
        <w:rPr>
          <w:lang w:val="fr-FR"/>
        </w:rPr>
        <w:t xml:space="preserve"> par des moyens technologiques ou informatiques</w:t>
      </w:r>
      <w:r w:rsidR="00495D0F">
        <w:rPr>
          <w:lang w:val="fr-FR"/>
        </w:rPr>
        <w:t> ;</w:t>
      </w:r>
    </w:p>
    <w:p w:rsidR="002A7A34" w:rsidRPr="00686CD4" w:rsidRDefault="002A7A34" w:rsidP="00A05311">
      <w:pPr>
        <w:pStyle w:val="Bullet1G"/>
        <w:numPr>
          <w:ilvl w:val="0"/>
          <w:numId w:val="0"/>
        </w:numPr>
        <w:tabs>
          <w:tab w:val="left" w:pos="1701"/>
        </w:tabs>
        <w:spacing w:after="100" w:line="236" w:lineRule="atLeast"/>
        <w:ind w:left="1701" w:hanging="170"/>
        <w:rPr>
          <w:lang w:val="fr-FR"/>
        </w:rPr>
      </w:pPr>
      <w:r w:rsidRPr="00686CD4">
        <w:rPr>
          <w:lang w:val="fr-FR"/>
        </w:rPr>
        <w:t>•</w:t>
      </w:r>
      <w:r w:rsidRPr="00686CD4">
        <w:rPr>
          <w:lang w:val="fr-FR"/>
        </w:rPr>
        <w:tab/>
        <w:t>Conformément au code de conduite approuvé en juin</w:t>
      </w:r>
      <w:r>
        <w:rPr>
          <w:lang w:val="fr-FR"/>
        </w:rPr>
        <w:t> </w:t>
      </w:r>
      <w:r w:rsidRPr="00686CD4">
        <w:rPr>
          <w:lang w:val="fr-FR"/>
        </w:rPr>
        <w:t xml:space="preserve">2016 par la </w:t>
      </w:r>
      <w:r>
        <w:rPr>
          <w:lang w:val="fr-FR"/>
        </w:rPr>
        <w:t>C</w:t>
      </w:r>
      <w:r w:rsidRPr="00686CD4">
        <w:rPr>
          <w:lang w:val="fr-FR"/>
        </w:rPr>
        <w:t>ommission de l</w:t>
      </w:r>
      <w:r>
        <w:rPr>
          <w:lang w:val="fr-FR"/>
        </w:rPr>
        <w:t>’U</w:t>
      </w:r>
      <w:r w:rsidRPr="00686CD4">
        <w:rPr>
          <w:lang w:val="fr-FR"/>
        </w:rPr>
        <w:t xml:space="preserve">nion européenne et </w:t>
      </w:r>
      <w:r>
        <w:rPr>
          <w:lang w:val="fr-FR"/>
        </w:rPr>
        <w:t xml:space="preserve">certains </w:t>
      </w:r>
      <w:r w:rsidRPr="00686CD4">
        <w:rPr>
          <w:lang w:val="fr-FR"/>
        </w:rPr>
        <w:t>prestataires de services (Facebook, Twitter, Google et Microsoft), la Police criminelle a désigné un point de contact unique pour assurer la suppression des contenus contenant des propos haineux ou bloquer l</w:t>
      </w:r>
      <w:r>
        <w:rPr>
          <w:lang w:val="fr-FR"/>
        </w:rPr>
        <w:t>’</w:t>
      </w:r>
      <w:r w:rsidRPr="00686CD4">
        <w:rPr>
          <w:lang w:val="fr-FR"/>
        </w:rPr>
        <w:t>accès à ces derniers et pour forger des relations de confiance avec les prestataires de services.</w:t>
      </w:r>
    </w:p>
    <w:p w:rsidR="002A7A34" w:rsidRPr="00686CD4" w:rsidRDefault="002A7A34" w:rsidP="00A05311">
      <w:pPr>
        <w:pStyle w:val="SingleTxtG"/>
        <w:spacing w:after="100" w:line="236" w:lineRule="atLeast"/>
        <w:rPr>
          <w:lang w:val="fr-FR"/>
        </w:rPr>
      </w:pPr>
      <w:r w:rsidRPr="00686CD4">
        <w:rPr>
          <w:lang w:val="fr-FR"/>
        </w:rPr>
        <w:t>285.</w:t>
      </w:r>
      <w:r w:rsidRPr="00686CD4">
        <w:rPr>
          <w:lang w:val="fr-FR"/>
        </w:rPr>
        <w:tab/>
        <w:t>Voir également la réponse donnée au paragraphe 18</w:t>
      </w:r>
      <w:r w:rsidR="004F7530">
        <w:rPr>
          <w:lang w:val="fr-FR"/>
        </w:rPr>
        <w:t> </w:t>
      </w:r>
      <w:r w:rsidRPr="00686CD4">
        <w:rPr>
          <w:lang w:val="fr-FR"/>
        </w:rPr>
        <w:t>a) sur la formation assurée à l</w:t>
      </w:r>
      <w:r>
        <w:rPr>
          <w:lang w:val="fr-FR"/>
        </w:rPr>
        <w:t>’</w:t>
      </w:r>
      <w:r w:rsidRPr="00686CD4">
        <w:rPr>
          <w:lang w:val="fr-FR"/>
        </w:rPr>
        <w:t xml:space="preserve">École de police criminelle. </w:t>
      </w:r>
    </w:p>
    <w:p w:rsidR="002A7A34" w:rsidRPr="00686CD4" w:rsidRDefault="002A7A34" w:rsidP="00A05311">
      <w:pPr>
        <w:pStyle w:val="SingleTxtG"/>
        <w:spacing w:after="100" w:line="236" w:lineRule="atLeast"/>
        <w:rPr>
          <w:lang w:val="fr-FR"/>
        </w:rPr>
      </w:pPr>
      <w:r w:rsidRPr="00686CD4">
        <w:rPr>
          <w:lang w:val="fr-FR"/>
        </w:rPr>
        <w:t>286.</w:t>
      </w:r>
      <w:r w:rsidRPr="00686CD4">
        <w:rPr>
          <w:lang w:val="fr-FR"/>
        </w:rPr>
        <w:tab/>
        <w:t>Peu de situations de discrimination raciale entre les employés et les détenus des services pénitentiaires ont été signalé</w:t>
      </w:r>
      <w:r>
        <w:rPr>
          <w:lang w:val="fr-FR"/>
        </w:rPr>
        <w:t>e</w:t>
      </w:r>
      <w:r w:rsidRPr="00686CD4">
        <w:rPr>
          <w:lang w:val="fr-FR"/>
        </w:rPr>
        <w:t>s depuis</w:t>
      </w:r>
      <w:r w:rsidR="0066310D">
        <w:rPr>
          <w:lang w:val="fr-FR"/>
        </w:rPr>
        <w:t xml:space="preserve"> </w:t>
      </w:r>
      <w:r w:rsidRPr="00686CD4">
        <w:rPr>
          <w:lang w:val="fr-FR"/>
        </w:rPr>
        <w:t>2016. Cela pourrait tenir au fait que ces situations se produisent dans le contexte d</w:t>
      </w:r>
      <w:r>
        <w:rPr>
          <w:lang w:val="fr-FR"/>
        </w:rPr>
        <w:t>’</w:t>
      </w:r>
      <w:r w:rsidRPr="00686CD4">
        <w:rPr>
          <w:lang w:val="fr-FR"/>
        </w:rPr>
        <w:t xml:space="preserve">autres </w:t>
      </w:r>
      <w:r>
        <w:rPr>
          <w:lang w:val="fr-FR"/>
        </w:rPr>
        <w:t xml:space="preserve">actes </w:t>
      </w:r>
      <w:r w:rsidRPr="00686CD4">
        <w:rPr>
          <w:lang w:val="fr-FR"/>
        </w:rPr>
        <w:t xml:space="preserve">débouchant sur </w:t>
      </w:r>
      <w:r>
        <w:rPr>
          <w:lang w:val="fr-FR"/>
        </w:rPr>
        <w:t>d</w:t>
      </w:r>
      <w:r w:rsidRPr="00686CD4">
        <w:rPr>
          <w:lang w:val="fr-FR"/>
        </w:rPr>
        <w:t>es mesures disciplinaires</w:t>
      </w:r>
      <w:r>
        <w:rPr>
          <w:lang w:val="fr-FR"/>
        </w:rPr>
        <w:t xml:space="preserve"> plus sévères, qui sont</w:t>
      </w:r>
      <w:r w:rsidRPr="00686CD4">
        <w:rPr>
          <w:lang w:val="fr-FR"/>
        </w:rPr>
        <w:t xml:space="preserve"> consigné</w:t>
      </w:r>
      <w:r>
        <w:rPr>
          <w:lang w:val="fr-FR"/>
        </w:rPr>
        <w:t>e</w:t>
      </w:r>
      <w:r w:rsidRPr="00686CD4">
        <w:rPr>
          <w:lang w:val="fr-FR"/>
        </w:rPr>
        <w:t xml:space="preserve">s dans </w:t>
      </w:r>
      <w:r>
        <w:rPr>
          <w:lang w:val="fr-FR"/>
        </w:rPr>
        <w:t xml:space="preserve">un </w:t>
      </w:r>
      <w:r w:rsidRPr="00686CD4">
        <w:rPr>
          <w:lang w:val="fr-FR"/>
        </w:rPr>
        <w:t>dossier. Bien que le nombre d</w:t>
      </w:r>
      <w:r>
        <w:rPr>
          <w:lang w:val="fr-FR"/>
        </w:rPr>
        <w:t>’</w:t>
      </w:r>
      <w:r w:rsidRPr="00686CD4">
        <w:rPr>
          <w:lang w:val="fr-FR"/>
        </w:rPr>
        <w:t xml:space="preserve">affaires </w:t>
      </w:r>
      <w:r>
        <w:rPr>
          <w:lang w:val="fr-FR"/>
        </w:rPr>
        <w:t>de ce type</w:t>
      </w:r>
      <w:r w:rsidRPr="00686CD4">
        <w:rPr>
          <w:lang w:val="fr-FR"/>
        </w:rPr>
        <w:t xml:space="preserve"> ne soit pas significatif sur le plan statistique, un registre sera tenu à l</w:t>
      </w:r>
      <w:r>
        <w:rPr>
          <w:lang w:val="fr-FR"/>
        </w:rPr>
        <w:t>’</w:t>
      </w:r>
      <w:r w:rsidRPr="00686CD4">
        <w:rPr>
          <w:lang w:val="fr-FR"/>
        </w:rPr>
        <w:t>avenir dans le but d</w:t>
      </w:r>
      <w:r>
        <w:rPr>
          <w:lang w:val="fr-FR"/>
        </w:rPr>
        <w:t>e les recenser</w:t>
      </w:r>
      <w:r w:rsidRPr="00686CD4">
        <w:rPr>
          <w:lang w:val="fr-FR"/>
        </w:rPr>
        <w:t xml:space="preserve"> dans le contexte de procédures </w:t>
      </w:r>
      <w:r>
        <w:rPr>
          <w:lang w:val="fr-FR"/>
        </w:rPr>
        <w:t>de plus vaste portée</w:t>
      </w:r>
      <w:r w:rsidRPr="00686CD4">
        <w:rPr>
          <w:lang w:val="fr-FR"/>
        </w:rPr>
        <w:t>.</w:t>
      </w:r>
    </w:p>
    <w:p w:rsidR="002A7A34" w:rsidRPr="00686CD4" w:rsidRDefault="002A7A34" w:rsidP="00A05311">
      <w:pPr>
        <w:pStyle w:val="SingleTxtG"/>
        <w:spacing w:after="100" w:line="236" w:lineRule="atLeast"/>
        <w:rPr>
          <w:lang w:val="fr-FR"/>
        </w:rPr>
      </w:pPr>
      <w:r w:rsidRPr="00686CD4">
        <w:rPr>
          <w:lang w:val="fr-FR"/>
        </w:rPr>
        <w:t>287.</w:t>
      </w:r>
      <w:r w:rsidRPr="00686CD4">
        <w:rPr>
          <w:lang w:val="fr-FR"/>
        </w:rPr>
        <w:tab/>
        <w:t>Les cours dispensés aux gardiens de prison dans le cadre de leur formation initiale comprennent des séminaires sur les normes et les principes internationaux des droits de l</w:t>
      </w:r>
      <w:r>
        <w:rPr>
          <w:lang w:val="fr-FR"/>
        </w:rPr>
        <w:t>’</w:t>
      </w:r>
      <w:r w:rsidRPr="00686CD4">
        <w:rPr>
          <w:lang w:val="fr-FR"/>
        </w:rPr>
        <w:t>homme (3 heures) et le multiculturalisme (4 heures). Les questions relatives aux droits de l</w:t>
      </w:r>
      <w:r>
        <w:rPr>
          <w:lang w:val="fr-FR"/>
        </w:rPr>
        <w:t>’</w:t>
      </w:r>
      <w:r w:rsidRPr="00686CD4">
        <w:rPr>
          <w:lang w:val="fr-FR"/>
        </w:rPr>
        <w:t>homme sont également traitées tout au long de</w:t>
      </w:r>
      <w:r>
        <w:rPr>
          <w:lang w:val="fr-FR"/>
        </w:rPr>
        <w:t>s</w:t>
      </w:r>
      <w:r w:rsidRPr="00686CD4">
        <w:rPr>
          <w:lang w:val="fr-FR"/>
        </w:rPr>
        <w:t xml:space="preserve"> formation</w:t>
      </w:r>
      <w:r>
        <w:rPr>
          <w:lang w:val="fr-FR"/>
        </w:rPr>
        <w:t>s</w:t>
      </w:r>
      <w:r w:rsidRPr="00686CD4">
        <w:rPr>
          <w:lang w:val="fr-FR"/>
        </w:rPr>
        <w:t xml:space="preserve"> </w:t>
      </w:r>
      <w:r>
        <w:rPr>
          <w:lang w:val="fr-FR"/>
        </w:rPr>
        <w:t xml:space="preserve">dispensées </w:t>
      </w:r>
      <w:r w:rsidRPr="00686CD4">
        <w:rPr>
          <w:lang w:val="fr-FR"/>
        </w:rPr>
        <w:t>dans différents domaines, une attention particulière est emportée au principe de non-discrimination.</w:t>
      </w:r>
    </w:p>
    <w:p w:rsidR="002A7A34" w:rsidRPr="00686CD4" w:rsidRDefault="002A7A34" w:rsidP="00A05311">
      <w:pPr>
        <w:pStyle w:val="SingleTxtG"/>
        <w:spacing w:after="100" w:line="236" w:lineRule="atLeast"/>
        <w:rPr>
          <w:lang w:val="fr-FR"/>
        </w:rPr>
      </w:pPr>
      <w:r w:rsidRPr="00686CD4">
        <w:rPr>
          <w:lang w:val="fr-FR"/>
        </w:rPr>
        <w:t>288.</w:t>
      </w:r>
      <w:r w:rsidRPr="00686CD4">
        <w:rPr>
          <w:lang w:val="fr-FR"/>
        </w:rPr>
        <w:tab/>
        <w:t>Un module de formation sur « Les droits de l</w:t>
      </w:r>
      <w:r>
        <w:rPr>
          <w:lang w:val="fr-FR"/>
        </w:rPr>
        <w:t>’</w:t>
      </w:r>
      <w:r w:rsidRPr="00686CD4">
        <w:rPr>
          <w:lang w:val="fr-FR"/>
        </w:rPr>
        <w:t>homme et les principes internationaux régissant l</w:t>
      </w:r>
      <w:r>
        <w:rPr>
          <w:lang w:val="fr-FR"/>
        </w:rPr>
        <w:t>’</w:t>
      </w:r>
      <w:r w:rsidRPr="00686CD4">
        <w:rPr>
          <w:lang w:val="fr-FR"/>
        </w:rPr>
        <w:t>application des peines et des mesures privatives de liberté » (10 heures) et un séminaire portant sur les personnes privées de liberté et les défenseurs des droits de l</w:t>
      </w:r>
      <w:r>
        <w:rPr>
          <w:lang w:val="fr-FR"/>
        </w:rPr>
        <w:t>’</w:t>
      </w:r>
      <w:r w:rsidRPr="00686CD4">
        <w:rPr>
          <w:lang w:val="fr-FR"/>
        </w:rPr>
        <w:t xml:space="preserve">homme (4 heures) </w:t>
      </w:r>
      <w:r>
        <w:rPr>
          <w:lang w:val="fr-FR"/>
        </w:rPr>
        <w:t xml:space="preserve">ont </w:t>
      </w:r>
      <w:r w:rsidRPr="00686CD4">
        <w:rPr>
          <w:lang w:val="fr-FR"/>
        </w:rPr>
        <w:t>été organisé</w:t>
      </w:r>
      <w:r>
        <w:rPr>
          <w:lang w:val="fr-FR"/>
        </w:rPr>
        <w:t>s</w:t>
      </w:r>
      <w:r w:rsidR="00495D0F">
        <w:rPr>
          <w:lang w:val="fr-FR"/>
        </w:rPr>
        <w:t> ;</w:t>
      </w:r>
      <w:r>
        <w:rPr>
          <w:lang w:val="fr-FR"/>
        </w:rPr>
        <w:t xml:space="preserve"> ils ont donné lieu à la présentation d’</w:t>
      </w:r>
      <w:r w:rsidRPr="00686CD4">
        <w:rPr>
          <w:lang w:val="fr-FR"/>
        </w:rPr>
        <w:t>exposés par le membre portugais du Comité européen pour la prévention de la torture et des peines ou traitements inhumains ou dégradants, Amnesty International, la Commission du barreau pour les droits de l</w:t>
      </w:r>
      <w:r>
        <w:rPr>
          <w:lang w:val="fr-FR"/>
        </w:rPr>
        <w:t>’</w:t>
      </w:r>
      <w:r w:rsidRPr="00686CD4">
        <w:rPr>
          <w:lang w:val="fr-FR"/>
        </w:rPr>
        <w:t xml:space="preserve">homme et le </w:t>
      </w:r>
      <w:r>
        <w:rPr>
          <w:lang w:val="fr-FR"/>
        </w:rPr>
        <w:t>M</w:t>
      </w:r>
      <w:r w:rsidRPr="00686CD4">
        <w:rPr>
          <w:lang w:val="fr-FR"/>
        </w:rPr>
        <w:t>écanisme national de prévention (Médiateur).</w:t>
      </w:r>
    </w:p>
    <w:p w:rsidR="002A7A34" w:rsidRPr="00686CD4" w:rsidRDefault="002A7A34" w:rsidP="00A05311">
      <w:pPr>
        <w:pStyle w:val="SingleTxtG"/>
        <w:spacing w:after="100" w:line="236" w:lineRule="atLeast"/>
        <w:rPr>
          <w:lang w:val="fr-FR"/>
        </w:rPr>
      </w:pPr>
      <w:r w:rsidRPr="00686CD4">
        <w:rPr>
          <w:lang w:val="fr-FR"/>
        </w:rPr>
        <w:t>289.</w:t>
      </w:r>
      <w:r w:rsidRPr="00686CD4">
        <w:rPr>
          <w:lang w:val="fr-FR"/>
        </w:rPr>
        <w:tab/>
        <w:t>Voir également les informations données au paragraphe 20</w:t>
      </w:r>
      <w:r w:rsidR="00A05311">
        <w:rPr>
          <w:lang w:val="fr-FR"/>
        </w:rPr>
        <w:t> </w:t>
      </w:r>
      <w:r w:rsidRPr="00686CD4">
        <w:rPr>
          <w:lang w:val="fr-FR"/>
        </w:rPr>
        <w:t>c).</w:t>
      </w:r>
    </w:p>
    <w:p w:rsidR="002A7A34" w:rsidRPr="00686CD4" w:rsidRDefault="002A7A34" w:rsidP="00A05311">
      <w:pPr>
        <w:pStyle w:val="H23G"/>
        <w:spacing w:before="200" w:after="100" w:line="236" w:lineRule="atLeast"/>
        <w:jc w:val="both"/>
        <w:rPr>
          <w:lang w:val="fr-FR"/>
        </w:rPr>
      </w:pPr>
      <w:r w:rsidRPr="00686CD4">
        <w:rPr>
          <w:lang w:val="fr-FR"/>
        </w:rPr>
        <w:tab/>
      </w:r>
      <w:bookmarkStart w:id="95" w:name="_Toc532494698"/>
      <w:r w:rsidRPr="00686CD4">
        <w:rPr>
          <w:lang w:val="fr-FR"/>
        </w:rPr>
        <w:tab/>
      </w:r>
      <w:r w:rsidRPr="00686CD4">
        <w:rPr>
          <w:lang w:val="fr-FR"/>
        </w:rPr>
        <w:tab/>
        <w:t>c)</w:t>
      </w:r>
      <w:r w:rsidRPr="00686CD4">
        <w:rPr>
          <w:lang w:val="fr-FR"/>
        </w:rPr>
        <w:tab/>
        <w:t>Indiquer les mesures prises pour protéger efficacement les membres de la communauté rom contre les menaces et les attaques auxquelles ils pourraient être exposés en raison de leur origine ethnique, et pour encourager le signalement des mauvais traitements infligés par la police, notamment par des campagnes d</w:t>
      </w:r>
      <w:r>
        <w:rPr>
          <w:lang w:val="fr-FR"/>
        </w:rPr>
        <w:t>’</w:t>
      </w:r>
      <w:r w:rsidRPr="00686CD4">
        <w:rPr>
          <w:lang w:val="fr-FR"/>
        </w:rPr>
        <w:t>information sur les mécanismes de plaintes existants</w:t>
      </w:r>
      <w:r w:rsidR="00495D0F">
        <w:rPr>
          <w:lang w:val="fr-FR"/>
        </w:rPr>
        <w:t> ;</w:t>
      </w:r>
      <w:bookmarkEnd w:id="95"/>
    </w:p>
    <w:p w:rsidR="002A7A34" w:rsidRPr="00686CD4" w:rsidRDefault="002A7A34" w:rsidP="00A05311">
      <w:pPr>
        <w:pStyle w:val="SingleTxtG"/>
        <w:spacing w:after="100" w:line="236" w:lineRule="atLeast"/>
        <w:rPr>
          <w:lang w:val="fr-FR"/>
        </w:rPr>
      </w:pPr>
      <w:r w:rsidRPr="00686CD4">
        <w:rPr>
          <w:lang w:val="fr-FR"/>
        </w:rPr>
        <w:t>290.</w:t>
      </w:r>
      <w:r w:rsidRPr="00686CD4">
        <w:rPr>
          <w:lang w:val="fr-FR"/>
        </w:rPr>
        <w:tab/>
        <w:t xml:space="preserve">Le Portugal a adopté une nouvelle loi contre la discrimination (loi </w:t>
      </w:r>
      <w:r w:rsidR="0066310D" w:rsidRPr="00553571">
        <w:rPr>
          <w:rFonts w:eastAsia="MS Mincho"/>
          <w:lang w:val="fr-FR"/>
        </w:rPr>
        <w:t>n</w:t>
      </w:r>
      <w:r w:rsidR="0066310D" w:rsidRPr="00553571">
        <w:rPr>
          <w:rFonts w:eastAsia="MS Mincho"/>
          <w:vertAlign w:val="superscript"/>
          <w:lang w:val="fr-FR"/>
        </w:rPr>
        <w:t>o</w:t>
      </w:r>
      <w:r w:rsidR="0066310D">
        <w:rPr>
          <w:lang w:val="fr-FR"/>
        </w:rPr>
        <w:t> </w:t>
      </w:r>
      <w:r w:rsidRPr="00686CD4">
        <w:rPr>
          <w:lang w:val="fr-FR"/>
        </w:rPr>
        <w:t>93/2017 du 23 août</w:t>
      </w:r>
      <w:r w:rsidRPr="00F16A9E">
        <w:rPr>
          <w:rStyle w:val="Appelnotedebasdep"/>
        </w:rPr>
        <w:footnoteReference w:id="22"/>
      </w:r>
      <w:r w:rsidRPr="00686CD4">
        <w:rPr>
          <w:lang w:val="fr-FR"/>
        </w:rPr>
        <w:t>) qui est entré</w:t>
      </w:r>
      <w:r>
        <w:rPr>
          <w:lang w:val="fr-FR"/>
        </w:rPr>
        <w:t>e</w:t>
      </w:r>
      <w:r w:rsidRPr="00686CD4">
        <w:rPr>
          <w:lang w:val="fr-FR"/>
        </w:rPr>
        <w:t xml:space="preserve"> en vigueur le 1</w:t>
      </w:r>
      <w:r w:rsidRPr="00686CD4">
        <w:rPr>
          <w:vertAlign w:val="superscript"/>
          <w:lang w:val="fr-FR"/>
        </w:rPr>
        <w:t>er</w:t>
      </w:r>
      <w:r>
        <w:rPr>
          <w:vertAlign w:val="superscript"/>
          <w:lang w:val="fr-FR"/>
        </w:rPr>
        <w:t> </w:t>
      </w:r>
      <w:r w:rsidRPr="00686CD4">
        <w:rPr>
          <w:lang w:val="fr-FR"/>
        </w:rPr>
        <w:t>septembre</w:t>
      </w:r>
      <w:r>
        <w:rPr>
          <w:lang w:val="fr-FR"/>
        </w:rPr>
        <w:t> </w:t>
      </w:r>
      <w:r w:rsidRPr="00686CD4">
        <w:rPr>
          <w:lang w:val="fr-FR"/>
        </w:rPr>
        <w:t>2017. Cette loi définit le cadre juridique de la prévention, de l</w:t>
      </w:r>
      <w:r>
        <w:rPr>
          <w:lang w:val="fr-FR"/>
        </w:rPr>
        <w:t>’</w:t>
      </w:r>
      <w:r w:rsidRPr="00686CD4">
        <w:rPr>
          <w:lang w:val="fr-FR"/>
        </w:rPr>
        <w:t>interdiction et de la répression de la discrimination fondée sur la race et l</w:t>
      </w:r>
      <w:r>
        <w:rPr>
          <w:lang w:val="fr-FR"/>
        </w:rPr>
        <w:t>’</w:t>
      </w:r>
      <w:r w:rsidRPr="00686CD4">
        <w:rPr>
          <w:lang w:val="fr-FR"/>
        </w:rPr>
        <w:t>origine ethnique, la couleur, la nationalité, l</w:t>
      </w:r>
      <w:r>
        <w:rPr>
          <w:lang w:val="fr-FR"/>
        </w:rPr>
        <w:t>’</w:t>
      </w:r>
      <w:r w:rsidRPr="00686CD4">
        <w:rPr>
          <w:lang w:val="fr-FR"/>
        </w:rPr>
        <w:t>ascendance ou le lieu d</w:t>
      </w:r>
      <w:r>
        <w:rPr>
          <w:lang w:val="fr-FR"/>
        </w:rPr>
        <w:t>’</w:t>
      </w:r>
      <w:r w:rsidRPr="00686CD4">
        <w:rPr>
          <w:lang w:val="fr-FR"/>
        </w:rPr>
        <w:t xml:space="preserve">origine. </w:t>
      </w:r>
    </w:p>
    <w:p w:rsidR="002A7A34" w:rsidRPr="00686CD4" w:rsidRDefault="002A7A34" w:rsidP="0066310D">
      <w:pPr>
        <w:pStyle w:val="SingleTxtG"/>
        <w:rPr>
          <w:lang w:val="fr-FR"/>
        </w:rPr>
      </w:pPr>
      <w:r w:rsidRPr="00686CD4">
        <w:rPr>
          <w:lang w:val="fr-FR"/>
        </w:rPr>
        <w:lastRenderedPageBreak/>
        <w:t>291.</w:t>
      </w:r>
      <w:r w:rsidRPr="00686CD4">
        <w:rPr>
          <w:lang w:val="fr-FR"/>
        </w:rPr>
        <w:tab/>
        <w:t xml:space="preserve">La loi modifie le cadre juridique de la lutte et de la prévention de la discrimination raciale, et centralise, dans la pratique, les différentes phases des processus relatifs aux </w:t>
      </w:r>
      <w:r>
        <w:rPr>
          <w:lang w:val="fr-FR"/>
        </w:rPr>
        <w:t>infraction</w:t>
      </w:r>
      <w:r w:rsidRPr="00686CD4">
        <w:rPr>
          <w:lang w:val="fr-FR"/>
        </w:rPr>
        <w:t>s administrati</w:t>
      </w:r>
      <w:r>
        <w:rPr>
          <w:lang w:val="fr-FR"/>
        </w:rPr>
        <w:t>ves</w:t>
      </w:r>
      <w:r w:rsidRPr="00686CD4">
        <w:rPr>
          <w:lang w:val="fr-FR"/>
        </w:rPr>
        <w:t xml:space="preserve"> au sein de la Commission pour l</w:t>
      </w:r>
      <w:r>
        <w:rPr>
          <w:lang w:val="fr-FR"/>
        </w:rPr>
        <w:t>’</w:t>
      </w:r>
      <w:r w:rsidRPr="00686CD4">
        <w:rPr>
          <w:lang w:val="fr-FR"/>
        </w:rPr>
        <w:t>égalité et contre la discrimination raciale (CICDR), en vue d</w:t>
      </w:r>
      <w:r>
        <w:rPr>
          <w:lang w:val="fr-FR"/>
        </w:rPr>
        <w:t>’</w:t>
      </w:r>
      <w:r w:rsidRPr="00686CD4">
        <w:rPr>
          <w:lang w:val="fr-FR"/>
        </w:rPr>
        <w:t>améliorer la déclaration des actions discriminatoires et de fournir une réponse de manière plus rapide et efficace aux plaintes qui ont été reçues.</w:t>
      </w:r>
    </w:p>
    <w:p w:rsidR="002A7A34" w:rsidRPr="00686CD4" w:rsidRDefault="002A7A34" w:rsidP="0066310D">
      <w:pPr>
        <w:pStyle w:val="SingleTxtG"/>
        <w:rPr>
          <w:lang w:val="fr-FR"/>
        </w:rPr>
      </w:pPr>
      <w:r w:rsidRPr="00686CD4">
        <w:rPr>
          <w:lang w:val="fr-FR"/>
        </w:rPr>
        <w:t>292.</w:t>
      </w:r>
      <w:r w:rsidRPr="00686CD4">
        <w:rPr>
          <w:lang w:val="fr-FR"/>
        </w:rPr>
        <w:tab/>
        <w:t>La nouvelle législation renforce la notion de pratique discriminatoire</w:t>
      </w:r>
      <w:r w:rsidR="00495D0F">
        <w:rPr>
          <w:lang w:val="fr-FR"/>
        </w:rPr>
        <w:t> :</w:t>
      </w:r>
      <w:r w:rsidRPr="00686CD4">
        <w:rPr>
          <w:lang w:val="fr-FR"/>
        </w:rPr>
        <w:t xml:space="preserve"> de nouvelles formes de discrimination sont ajoutées, pour la première fois, à la discrimination fondée sur la race, la couleur, la nationalité et l</w:t>
      </w:r>
      <w:r>
        <w:rPr>
          <w:lang w:val="fr-FR"/>
        </w:rPr>
        <w:t>’</w:t>
      </w:r>
      <w:r w:rsidRPr="00686CD4">
        <w:rPr>
          <w:lang w:val="fr-FR"/>
        </w:rPr>
        <w:t>origine ethnique, notamment la discrimination fondée sur l</w:t>
      </w:r>
      <w:r>
        <w:rPr>
          <w:lang w:val="fr-FR"/>
        </w:rPr>
        <w:t>’</w:t>
      </w:r>
      <w:r w:rsidRPr="00686CD4">
        <w:rPr>
          <w:lang w:val="fr-FR"/>
        </w:rPr>
        <w:t>ascendance et le lieu d</w:t>
      </w:r>
      <w:r>
        <w:rPr>
          <w:lang w:val="fr-FR"/>
        </w:rPr>
        <w:t>’</w:t>
      </w:r>
      <w:r w:rsidRPr="00686CD4">
        <w:rPr>
          <w:lang w:val="fr-FR"/>
        </w:rPr>
        <w:t>origine, la discrimination plurielle (c</w:t>
      </w:r>
      <w:r>
        <w:rPr>
          <w:lang w:val="fr-FR"/>
        </w:rPr>
        <w:t>’</w:t>
      </w:r>
      <w:r w:rsidRPr="00686CD4">
        <w:rPr>
          <w:lang w:val="fr-FR"/>
        </w:rPr>
        <w:t xml:space="preserve">est-à-dire les </w:t>
      </w:r>
      <w:r>
        <w:rPr>
          <w:lang w:val="fr-FR"/>
        </w:rPr>
        <w:t>infraction</w:t>
      </w:r>
      <w:r w:rsidRPr="00686CD4">
        <w:rPr>
          <w:lang w:val="fr-FR"/>
        </w:rPr>
        <w:t>s motivés par plus d</w:t>
      </w:r>
      <w:r>
        <w:rPr>
          <w:lang w:val="fr-FR"/>
        </w:rPr>
        <w:t>’</w:t>
      </w:r>
      <w:r w:rsidRPr="00686CD4">
        <w:rPr>
          <w:lang w:val="fr-FR"/>
        </w:rPr>
        <w:t>une des caractéristiques donnant lieu à une protection) et la discrimination par association (basée sur les liens ou l</w:t>
      </w:r>
      <w:r>
        <w:rPr>
          <w:lang w:val="fr-FR"/>
        </w:rPr>
        <w:t>’</w:t>
      </w:r>
      <w:r w:rsidRPr="00686CD4">
        <w:rPr>
          <w:lang w:val="fr-FR"/>
        </w:rPr>
        <w:t xml:space="preserve">association avec une personne ou un groupe de personnes présentant les critères </w:t>
      </w:r>
      <w:r>
        <w:rPr>
          <w:lang w:val="fr-FR"/>
        </w:rPr>
        <w:t xml:space="preserve">motivant </w:t>
      </w:r>
      <w:r w:rsidRPr="00686CD4">
        <w:rPr>
          <w:lang w:val="fr-FR"/>
        </w:rPr>
        <w:t>une protection).</w:t>
      </w:r>
    </w:p>
    <w:p w:rsidR="002A7A34" w:rsidRPr="00686CD4" w:rsidRDefault="002A7A34" w:rsidP="0066310D">
      <w:pPr>
        <w:pStyle w:val="SingleTxtG"/>
        <w:rPr>
          <w:lang w:val="fr-FR"/>
        </w:rPr>
      </w:pPr>
      <w:r w:rsidRPr="00686CD4">
        <w:rPr>
          <w:lang w:val="fr-FR"/>
        </w:rPr>
        <w:t>293.</w:t>
      </w:r>
      <w:r w:rsidRPr="00686CD4">
        <w:rPr>
          <w:lang w:val="fr-FR"/>
        </w:rPr>
        <w:tab/>
        <w:t>La Commission pour l</w:t>
      </w:r>
      <w:r>
        <w:rPr>
          <w:lang w:val="fr-FR"/>
        </w:rPr>
        <w:t>’</w:t>
      </w:r>
      <w:r w:rsidRPr="00686CD4">
        <w:rPr>
          <w:lang w:val="fr-FR"/>
        </w:rPr>
        <w:t xml:space="preserve">égalité et contre la discrimination raciale peut aussi désormais recueillir des preuves dans les affaires de discrimination raciale et gérer de bout en bout la procédure, et donc gagner en efficacité. Le plafond des amendes a de surcroît été relevé. La révision de la loi contre la discrimination vise à améliorer la déclaration des faits discriminatoires et à </w:t>
      </w:r>
      <w:r>
        <w:rPr>
          <w:lang w:val="fr-FR"/>
        </w:rPr>
        <w:t xml:space="preserve">accroître la rapidité et l’efficacité avec lesquelles une </w:t>
      </w:r>
      <w:r w:rsidRPr="00686CD4">
        <w:rPr>
          <w:lang w:val="fr-FR"/>
        </w:rPr>
        <w:t xml:space="preserve">réponse </w:t>
      </w:r>
      <w:r>
        <w:rPr>
          <w:lang w:val="fr-FR"/>
        </w:rPr>
        <w:t xml:space="preserve">est apportée </w:t>
      </w:r>
      <w:r w:rsidRPr="00686CD4">
        <w:rPr>
          <w:lang w:val="fr-FR"/>
        </w:rPr>
        <w:t xml:space="preserve">aux plaintes reçues. </w:t>
      </w:r>
    </w:p>
    <w:p w:rsidR="002A7A34" w:rsidRPr="00686CD4" w:rsidRDefault="002A7A34" w:rsidP="0066310D">
      <w:pPr>
        <w:pStyle w:val="SingleTxtG"/>
        <w:rPr>
          <w:lang w:val="fr-FR"/>
        </w:rPr>
      </w:pPr>
      <w:r w:rsidRPr="00686CD4">
        <w:rPr>
          <w:lang w:val="fr-FR"/>
        </w:rPr>
        <w:t>294.</w:t>
      </w:r>
      <w:r w:rsidRPr="00686CD4">
        <w:rPr>
          <w:lang w:val="fr-FR"/>
        </w:rPr>
        <w:tab/>
        <w:t>Voir également la réponse donnée au paragraphe 18 a).</w:t>
      </w:r>
    </w:p>
    <w:p w:rsidR="002A7A34" w:rsidRPr="00686CD4" w:rsidRDefault="002A7A34" w:rsidP="0066310D">
      <w:pPr>
        <w:pStyle w:val="H23G"/>
        <w:jc w:val="both"/>
        <w:rPr>
          <w:lang w:val="fr-FR"/>
        </w:rPr>
      </w:pPr>
      <w:r w:rsidRPr="00686CD4">
        <w:rPr>
          <w:lang w:val="fr-FR"/>
        </w:rPr>
        <w:tab/>
      </w:r>
      <w:bookmarkStart w:id="96" w:name="_Toc532494699"/>
      <w:r w:rsidRPr="00686CD4">
        <w:rPr>
          <w:lang w:val="fr-FR"/>
        </w:rPr>
        <w:tab/>
      </w:r>
      <w:r w:rsidRPr="00686CD4">
        <w:rPr>
          <w:lang w:val="fr-FR"/>
        </w:rPr>
        <w:tab/>
        <w:t>d)</w:t>
      </w:r>
      <w:r w:rsidRPr="00686CD4">
        <w:rPr>
          <w:lang w:val="fr-FR"/>
        </w:rPr>
        <w:tab/>
        <w:t>Indiquer les mesures prises pour condamner publiquement les attaques ciblant les Roms et d</w:t>
      </w:r>
      <w:r>
        <w:rPr>
          <w:lang w:val="fr-FR"/>
        </w:rPr>
        <w:t>’</w:t>
      </w:r>
      <w:r w:rsidRPr="00686CD4">
        <w:rPr>
          <w:lang w:val="fr-FR"/>
        </w:rPr>
        <w:t>autres minorités et pour renforcer les mesures de sensibilisation, y compris au sein de la police, en vue de promouvoir la tolérance et le respect de la diversité</w:t>
      </w:r>
      <w:r w:rsidR="00495D0F">
        <w:rPr>
          <w:lang w:val="fr-FR"/>
        </w:rPr>
        <w:t> ;</w:t>
      </w:r>
      <w:bookmarkEnd w:id="96"/>
    </w:p>
    <w:p w:rsidR="002A7A34" w:rsidRPr="00686CD4" w:rsidRDefault="002A7A34" w:rsidP="0066310D">
      <w:pPr>
        <w:pStyle w:val="SingleTxtG"/>
        <w:rPr>
          <w:lang w:val="fr-FR"/>
        </w:rPr>
      </w:pPr>
      <w:r w:rsidRPr="00686CD4">
        <w:rPr>
          <w:lang w:val="fr-FR"/>
        </w:rPr>
        <w:t>295.</w:t>
      </w:r>
      <w:r w:rsidRPr="00686CD4">
        <w:rPr>
          <w:lang w:val="fr-FR"/>
        </w:rPr>
        <w:tab/>
        <w:t xml:space="preserve">Le Haut-Commissariat pour les migrations (ACM) a </w:t>
      </w:r>
      <w:r>
        <w:rPr>
          <w:lang w:val="fr-FR"/>
        </w:rPr>
        <w:t xml:space="preserve">encouragé </w:t>
      </w:r>
      <w:r w:rsidRPr="00686CD4">
        <w:rPr>
          <w:lang w:val="fr-FR"/>
        </w:rPr>
        <w:t>la poursuite de différentes activités organisées à l</w:t>
      </w:r>
      <w:r>
        <w:rPr>
          <w:lang w:val="fr-FR"/>
        </w:rPr>
        <w:t>’</w:t>
      </w:r>
      <w:r w:rsidRPr="00686CD4">
        <w:rPr>
          <w:lang w:val="fr-FR"/>
        </w:rPr>
        <w:t xml:space="preserve">intention de différents groupes cibles, notamment la police, au cours des dernières années dans le but de lutter contre la discrimination et de promouvoir le dialogue interculturel. </w:t>
      </w:r>
    </w:p>
    <w:p w:rsidR="002A7A34" w:rsidRPr="00686CD4" w:rsidRDefault="002A7A34" w:rsidP="0066310D">
      <w:pPr>
        <w:pStyle w:val="SingleTxtG"/>
        <w:rPr>
          <w:lang w:val="fr-FR"/>
        </w:rPr>
      </w:pPr>
      <w:r w:rsidRPr="00686CD4">
        <w:rPr>
          <w:lang w:val="fr-FR"/>
        </w:rPr>
        <w:t>296.</w:t>
      </w:r>
      <w:r w:rsidRPr="00686CD4">
        <w:rPr>
          <w:lang w:val="fr-FR"/>
        </w:rPr>
        <w:tab/>
        <w:t>En juillet</w:t>
      </w:r>
      <w:r>
        <w:rPr>
          <w:lang w:val="fr-FR"/>
        </w:rPr>
        <w:t> </w:t>
      </w:r>
      <w:r w:rsidRPr="00686CD4">
        <w:rPr>
          <w:lang w:val="fr-FR"/>
        </w:rPr>
        <w:t xml:space="preserve">2016, le Haut-Commissariat pour les migrations </w:t>
      </w:r>
      <w:r>
        <w:rPr>
          <w:lang w:val="fr-FR"/>
        </w:rPr>
        <w:t xml:space="preserve">et </w:t>
      </w:r>
      <w:r w:rsidRPr="00686CD4">
        <w:rPr>
          <w:lang w:val="fr-FR"/>
        </w:rPr>
        <w:t xml:space="preserve">la Police de sécurité publique </w:t>
      </w:r>
      <w:r>
        <w:rPr>
          <w:lang w:val="fr-FR"/>
        </w:rPr>
        <w:t>ont conclu</w:t>
      </w:r>
      <w:r w:rsidRPr="00686CD4">
        <w:rPr>
          <w:lang w:val="fr-FR"/>
        </w:rPr>
        <w:t xml:space="preserve"> un protocole </w:t>
      </w:r>
      <w:r>
        <w:rPr>
          <w:lang w:val="fr-FR"/>
        </w:rPr>
        <w:t xml:space="preserve">de </w:t>
      </w:r>
      <w:r w:rsidRPr="00686CD4">
        <w:rPr>
          <w:lang w:val="fr-FR"/>
        </w:rPr>
        <w:t>m</w:t>
      </w:r>
      <w:r>
        <w:rPr>
          <w:lang w:val="fr-FR"/>
        </w:rPr>
        <w:t>ise</w:t>
      </w:r>
      <w:r w:rsidRPr="00686CD4">
        <w:rPr>
          <w:lang w:val="fr-FR"/>
        </w:rPr>
        <w:t xml:space="preserve"> en œuvre </w:t>
      </w:r>
      <w:r>
        <w:rPr>
          <w:lang w:val="fr-FR"/>
        </w:rPr>
        <w:t>du</w:t>
      </w:r>
      <w:r w:rsidRPr="00686CD4">
        <w:rPr>
          <w:lang w:val="fr-FR"/>
        </w:rPr>
        <w:t xml:space="preserve"> programme « JUNTOS POR TODOS » (Ensemble pour tous). Ce programme a pour objet de « contribuer à prévenir les conflits au sein des communautés multiculturelles qui peuvent présenter certaines vulnérabilités, et à assurer la sécurité de toutes les personnes, indépendamment de leur nationalité ou de leur appartenance culturelle ». Conformément </w:t>
      </w:r>
      <w:r>
        <w:rPr>
          <w:lang w:val="fr-FR"/>
        </w:rPr>
        <w:t xml:space="preserve">au </w:t>
      </w:r>
      <w:r w:rsidRPr="00686CD4">
        <w:rPr>
          <w:lang w:val="fr-FR"/>
        </w:rPr>
        <w:t>protocole, la Police de sécurité publique assure aux professionnels du Haut-Commissariat pour les migrations une formation portant sur le cadre juridique régissant l</w:t>
      </w:r>
      <w:r>
        <w:rPr>
          <w:lang w:val="fr-FR"/>
        </w:rPr>
        <w:t>’</w:t>
      </w:r>
      <w:r w:rsidRPr="00686CD4">
        <w:rPr>
          <w:lang w:val="fr-FR"/>
        </w:rPr>
        <w:t>action de la police et sur la conception de stratégies de communication avec la Police</w:t>
      </w:r>
      <w:r w:rsidR="00495D0F">
        <w:rPr>
          <w:lang w:val="fr-FR"/>
        </w:rPr>
        <w:t> ;</w:t>
      </w:r>
      <w:r w:rsidRPr="00686CD4">
        <w:rPr>
          <w:lang w:val="fr-FR"/>
        </w:rPr>
        <w:t xml:space="preserve"> le Haut-Commissari</w:t>
      </w:r>
      <w:r>
        <w:rPr>
          <w:lang w:val="fr-FR"/>
        </w:rPr>
        <w:t xml:space="preserve">at pour les migrations dispense, quant à lui, </w:t>
      </w:r>
      <w:r w:rsidRPr="00686CD4">
        <w:rPr>
          <w:lang w:val="fr-FR"/>
        </w:rPr>
        <w:t>aux membres de la Police de sécurité publique</w:t>
      </w:r>
      <w:r>
        <w:rPr>
          <w:lang w:val="fr-FR"/>
        </w:rPr>
        <w:t xml:space="preserve"> </w:t>
      </w:r>
      <w:r w:rsidRPr="00686CD4">
        <w:rPr>
          <w:lang w:val="fr-FR"/>
        </w:rPr>
        <w:t>une formation portant sur le phénomène de l</w:t>
      </w:r>
      <w:r>
        <w:rPr>
          <w:lang w:val="fr-FR"/>
        </w:rPr>
        <w:t>’</w:t>
      </w:r>
      <w:r w:rsidRPr="00686CD4">
        <w:rPr>
          <w:lang w:val="fr-FR"/>
        </w:rPr>
        <w:t xml:space="preserve">immigration au Portugal, les groupes nationaux et culturels vivant dans le pays, la diversité et le dialogue interculturel (stéréotypes, discrimination et moyens de prendre en compte les différences). </w:t>
      </w:r>
    </w:p>
    <w:p w:rsidR="002A7A34" w:rsidRPr="00686CD4" w:rsidRDefault="002A7A34" w:rsidP="0066310D">
      <w:pPr>
        <w:pStyle w:val="SingleTxtG"/>
        <w:rPr>
          <w:lang w:val="fr-FR"/>
        </w:rPr>
      </w:pPr>
      <w:r w:rsidRPr="00686CD4">
        <w:rPr>
          <w:lang w:val="fr-FR"/>
        </w:rPr>
        <w:t>297.</w:t>
      </w:r>
      <w:r w:rsidRPr="00686CD4">
        <w:rPr>
          <w:lang w:val="fr-FR"/>
        </w:rPr>
        <w:tab/>
      </w:r>
      <w:r>
        <w:rPr>
          <w:lang w:val="fr-FR"/>
        </w:rPr>
        <w:t>Un millier d’</w:t>
      </w:r>
      <w:r w:rsidRPr="00686CD4">
        <w:rPr>
          <w:lang w:val="fr-FR"/>
        </w:rPr>
        <w:t xml:space="preserve">agents </w:t>
      </w:r>
      <w:r>
        <w:rPr>
          <w:lang w:val="fr-FR"/>
        </w:rPr>
        <w:t xml:space="preserve">devraient </w:t>
      </w:r>
      <w:r w:rsidRPr="00686CD4">
        <w:rPr>
          <w:lang w:val="fr-FR"/>
        </w:rPr>
        <w:t>participe</w:t>
      </w:r>
      <w:r>
        <w:rPr>
          <w:lang w:val="fr-FR"/>
        </w:rPr>
        <w:t>r</w:t>
      </w:r>
      <w:r w:rsidRPr="00686CD4">
        <w:rPr>
          <w:lang w:val="fr-FR"/>
        </w:rPr>
        <w:t xml:space="preserve"> à ces activités de formation. Plus de 500 d</w:t>
      </w:r>
      <w:r>
        <w:rPr>
          <w:lang w:val="fr-FR"/>
        </w:rPr>
        <w:t>’</w:t>
      </w:r>
      <w:r w:rsidRPr="00686CD4">
        <w:rPr>
          <w:lang w:val="fr-FR"/>
        </w:rPr>
        <w:t>entre eux ont déjà été formés</w:t>
      </w:r>
      <w:r>
        <w:rPr>
          <w:lang w:val="fr-FR"/>
        </w:rPr>
        <w:t>, et</w:t>
      </w:r>
      <w:r w:rsidRPr="00686CD4">
        <w:rPr>
          <w:lang w:val="fr-FR"/>
        </w:rPr>
        <w:t xml:space="preserve"> 29 sessions portant sur l</w:t>
      </w:r>
      <w:r>
        <w:rPr>
          <w:lang w:val="fr-FR"/>
        </w:rPr>
        <w:t>’</w:t>
      </w:r>
      <w:r w:rsidRPr="00686CD4">
        <w:rPr>
          <w:lang w:val="fr-FR"/>
        </w:rPr>
        <w:t>intégration et la diversité culturelle, auxquelles ont participé 571</w:t>
      </w:r>
      <w:r>
        <w:rPr>
          <w:lang w:val="fr-FR"/>
        </w:rPr>
        <w:t> </w:t>
      </w:r>
      <w:r w:rsidRPr="00686CD4">
        <w:rPr>
          <w:lang w:val="fr-FR"/>
        </w:rPr>
        <w:t xml:space="preserve">officiers et agents de police de la région de Lisbonne, ont déjà eu lieu. </w:t>
      </w:r>
    </w:p>
    <w:p w:rsidR="002A7A34" w:rsidRPr="00686CD4" w:rsidRDefault="002A7A34" w:rsidP="00DA133D">
      <w:pPr>
        <w:pStyle w:val="SingleTxtG"/>
        <w:keepNext/>
        <w:rPr>
          <w:lang w:val="fr-FR"/>
        </w:rPr>
      </w:pPr>
      <w:r w:rsidRPr="00686CD4">
        <w:rPr>
          <w:lang w:val="fr-FR"/>
        </w:rPr>
        <w:t>298.</w:t>
      </w:r>
      <w:r w:rsidRPr="00686CD4">
        <w:rPr>
          <w:lang w:val="fr-FR"/>
        </w:rPr>
        <w:tab/>
        <w:t>Le Haut-Commissariat pour les migrations a également conçu différentes activités pour lutter contre le racisme et la discrimination, notamment dans le cadre des campagnes suivantes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L</w:t>
      </w:r>
      <w:r w:rsidRPr="00686CD4">
        <w:rPr>
          <w:lang w:val="fr-FR"/>
        </w:rPr>
        <w:t>a campagne sur Internet «</w:t>
      </w:r>
      <w:r>
        <w:rPr>
          <w:lang w:val="fr-FR"/>
        </w:rPr>
        <w:t> </w:t>
      </w:r>
      <w:r w:rsidRPr="00686CD4">
        <w:rPr>
          <w:lang w:val="fr-FR"/>
        </w:rPr>
        <w:t xml:space="preserve">Découvrez votre couleur » qui a été lancée </w:t>
      </w:r>
      <w:r w:rsidR="00B545C2">
        <w:rPr>
          <w:lang w:val="fr-FR"/>
        </w:rPr>
        <w:t xml:space="preserve">en </w:t>
      </w:r>
      <w:r w:rsidRPr="00686CD4">
        <w:rPr>
          <w:lang w:val="fr-FR"/>
        </w:rPr>
        <w:t>2015</w:t>
      </w:r>
      <w:r w:rsidR="00D8277B">
        <w:rPr>
          <w:lang w:val="fr-FR"/>
        </w:rPr>
        <w:t xml:space="preserve"> </w:t>
      </w:r>
      <w:r w:rsidRPr="00686CD4">
        <w:rPr>
          <w:lang w:val="fr-FR"/>
        </w:rPr>
        <w:t xml:space="preserve">sur un site </w:t>
      </w:r>
      <w:r w:rsidR="0066310D">
        <w:rPr>
          <w:lang w:val="fr-FR"/>
        </w:rPr>
        <w:t>W</w:t>
      </w:r>
      <w:r w:rsidRPr="00686CD4">
        <w:rPr>
          <w:lang w:val="fr-FR"/>
        </w:rPr>
        <w:t xml:space="preserve">eb </w:t>
      </w:r>
      <w:r>
        <w:rPr>
          <w:lang w:val="fr-FR"/>
        </w:rPr>
        <w:t>conçu à cet effet</w:t>
      </w:r>
      <w:r w:rsidRPr="00F16A9E">
        <w:rPr>
          <w:rStyle w:val="Appelnotedebasdep"/>
        </w:rPr>
        <w:footnoteReference w:id="23"/>
      </w:r>
      <w:r w:rsidRPr="00686CD4">
        <w:rPr>
          <w:lang w:val="fr-FR"/>
        </w:rPr>
        <w:t xml:space="preserve"> et sur Facebook. Cette campagne a connu un grand succès, le site ayant </w:t>
      </w:r>
      <w:r>
        <w:rPr>
          <w:lang w:val="fr-FR"/>
        </w:rPr>
        <w:t xml:space="preserve">reçu </w:t>
      </w:r>
      <w:r w:rsidRPr="00686CD4">
        <w:rPr>
          <w:lang w:val="fr-FR"/>
        </w:rPr>
        <w:t>45 000 visiteurs le premier jour</w:t>
      </w:r>
      <w:r w:rsidR="00495D0F">
        <w:rPr>
          <w:lang w:val="fr-FR"/>
        </w:rPr>
        <w:t> ;</w:t>
      </w:r>
    </w:p>
    <w:p w:rsidR="002A7A34" w:rsidRPr="00686CD4" w:rsidRDefault="002A7A34" w:rsidP="00B76C89">
      <w:pPr>
        <w:pStyle w:val="Bullet1G"/>
        <w:numPr>
          <w:ilvl w:val="0"/>
          <w:numId w:val="0"/>
        </w:numPr>
        <w:tabs>
          <w:tab w:val="left" w:pos="1701"/>
        </w:tabs>
        <w:spacing w:after="100"/>
        <w:ind w:left="1701" w:hanging="170"/>
        <w:rPr>
          <w:lang w:val="fr-FR"/>
        </w:rPr>
      </w:pPr>
      <w:r w:rsidRPr="00686CD4">
        <w:rPr>
          <w:lang w:val="fr-FR"/>
        </w:rPr>
        <w:lastRenderedPageBreak/>
        <w:t>•</w:t>
      </w:r>
      <w:r w:rsidRPr="00686CD4">
        <w:rPr>
          <w:lang w:val="fr-FR"/>
        </w:rPr>
        <w:tab/>
      </w:r>
      <w:r>
        <w:rPr>
          <w:lang w:val="fr-FR"/>
        </w:rPr>
        <w:t>U</w:t>
      </w:r>
      <w:r w:rsidRPr="00686CD4">
        <w:rPr>
          <w:lang w:val="fr-FR"/>
        </w:rPr>
        <w:t xml:space="preserve">ne campagne nationale lancée </w:t>
      </w:r>
      <w:r w:rsidR="00B545C2">
        <w:rPr>
          <w:lang w:val="fr-FR"/>
        </w:rPr>
        <w:t xml:space="preserve">en </w:t>
      </w:r>
      <w:r w:rsidRPr="00686CD4">
        <w:rPr>
          <w:lang w:val="fr-FR"/>
        </w:rPr>
        <w:t>2016 à l</w:t>
      </w:r>
      <w:r>
        <w:rPr>
          <w:lang w:val="fr-FR"/>
        </w:rPr>
        <w:t>’</w:t>
      </w:r>
      <w:r w:rsidRPr="00686CD4">
        <w:rPr>
          <w:lang w:val="fr-FR"/>
        </w:rPr>
        <w:t>intention des enfants âgés de 3 à 5</w:t>
      </w:r>
      <w:r w:rsidR="00F91C59">
        <w:rPr>
          <w:lang w:val="fr-FR"/>
        </w:rPr>
        <w:t> </w:t>
      </w:r>
      <w:r w:rsidRPr="00686CD4">
        <w:rPr>
          <w:lang w:val="fr-FR"/>
        </w:rPr>
        <w:t>ans fréquentant le système préscolaire. Cette campagne donne lieu à la présentation d</w:t>
      </w:r>
      <w:r>
        <w:rPr>
          <w:lang w:val="fr-FR"/>
        </w:rPr>
        <w:t>’</w:t>
      </w:r>
      <w:r w:rsidRPr="00686CD4">
        <w:rPr>
          <w:lang w:val="fr-FR"/>
        </w:rPr>
        <w:t>une bo</w:t>
      </w:r>
      <w:r w:rsidR="00F91C59">
        <w:rPr>
          <w:lang w:val="fr-FR"/>
        </w:rPr>
        <w:t>î</w:t>
      </w:r>
      <w:r w:rsidRPr="00686CD4">
        <w:rPr>
          <w:lang w:val="fr-FR"/>
        </w:rPr>
        <w:t>te à outils contenant six crayons de couleur permettant de colorier des couleurs de peau différentes ainsi qu</w:t>
      </w:r>
      <w:r>
        <w:rPr>
          <w:lang w:val="fr-FR"/>
        </w:rPr>
        <w:t>’</w:t>
      </w:r>
      <w:r w:rsidRPr="00686CD4">
        <w:rPr>
          <w:lang w:val="fr-FR"/>
        </w:rPr>
        <w:t>un livre intitulé « Les couleurs de la ville grise » (</w:t>
      </w:r>
      <w:r w:rsidRPr="00686CD4">
        <w:rPr>
          <w:i/>
          <w:lang w:val="fr-FR"/>
        </w:rPr>
        <w:t xml:space="preserve">As </w:t>
      </w:r>
      <w:proofErr w:type="spellStart"/>
      <w:r w:rsidRPr="00686CD4">
        <w:rPr>
          <w:i/>
          <w:lang w:val="fr-FR"/>
        </w:rPr>
        <w:t>cores</w:t>
      </w:r>
      <w:proofErr w:type="spellEnd"/>
      <w:r w:rsidRPr="00686CD4">
        <w:rPr>
          <w:i/>
          <w:lang w:val="fr-FR"/>
        </w:rPr>
        <w:t xml:space="preserve"> da </w:t>
      </w:r>
      <w:proofErr w:type="spellStart"/>
      <w:r w:rsidRPr="00686CD4">
        <w:rPr>
          <w:i/>
          <w:lang w:val="fr-FR"/>
        </w:rPr>
        <w:t>cidade</w:t>
      </w:r>
      <w:proofErr w:type="spellEnd"/>
      <w:r w:rsidRPr="00686CD4">
        <w:rPr>
          <w:i/>
          <w:lang w:val="fr-FR"/>
        </w:rPr>
        <w:t xml:space="preserve"> </w:t>
      </w:r>
      <w:proofErr w:type="spellStart"/>
      <w:r w:rsidRPr="00686CD4">
        <w:rPr>
          <w:i/>
          <w:lang w:val="fr-FR"/>
        </w:rPr>
        <w:t>cinzenta</w:t>
      </w:r>
      <w:proofErr w:type="spellEnd"/>
      <w:r w:rsidRPr="00686CD4">
        <w:rPr>
          <w:lang w:val="fr-FR"/>
        </w:rPr>
        <w:t>). Les enfants sont invités à colorier le livre ainsi qu</w:t>
      </w:r>
      <w:r>
        <w:rPr>
          <w:lang w:val="fr-FR"/>
        </w:rPr>
        <w:t>’</w:t>
      </w:r>
      <w:r w:rsidRPr="00686CD4">
        <w:rPr>
          <w:lang w:val="fr-FR"/>
        </w:rPr>
        <w:t>à écouter l</w:t>
      </w:r>
      <w:r>
        <w:rPr>
          <w:lang w:val="fr-FR"/>
        </w:rPr>
        <w:t>’</w:t>
      </w:r>
      <w:r w:rsidRPr="00686CD4">
        <w:rPr>
          <w:lang w:val="fr-FR"/>
        </w:rPr>
        <w:t xml:space="preserve">histoire </w:t>
      </w:r>
      <w:r>
        <w:rPr>
          <w:lang w:val="fr-FR"/>
        </w:rPr>
        <w:t xml:space="preserve">qu’il raconte </w:t>
      </w:r>
      <w:r w:rsidRPr="00686CD4">
        <w:rPr>
          <w:lang w:val="fr-FR"/>
        </w:rPr>
        <w:t>et à réfléchir à ses principaux messages</w:t>
      </w:r>
      <w:r w:rsidR="00495D0F">
        <w:rPr>
          <w:lang w:val="fr-FR"/>
        </w:rPr>
        <w:t> :</w:t>
      </w:r>
      <w:r w:rsidRPr="00686CD4">
        <w:rPr>
          <w:lang w:val="fr-FR"/>
        </w:rPr>
        <w:t xml:space="preserve"> la vi</w:t>
      </w:r>
      <w:r>
        <w:rPr>
          <w:lang w:val="fr-FR"/>
        </w:rPr>
        <w:t>ll</w:t>
      </w:r>
      <w:r w:rsidRPr="00686CD4">
        <w:rPr>
          <w:lang w:val="fr-FR"/>
        </w:rPr>
        <w:t>e accueil</w:t>
      </w:r>
      <w:r>
        <w:rPr>
          <w:lang w:val="fr-FR"/>
        </w:rPr>
        <w:t>le</w:t>
      </w:r>
      <w:r w:rsidRPr="00686CD4">
        <w:rPr>
          <w:lang w:val="fr-FR"/>
        </w:rPr>
        <w:t xml:space="preserve"> de nouveaux citoyens qui apportent avec eux de nouvelles couleurs, de nouvelles idées et de nouvelles perspectives</w:t>
      </w:r>
      <w:r w:rsidRPr="00F16A9E">
        <w:rPr>
          <w:rStyle w:val="Appelnotedebasdep"/>
        </w:rPr>
        <w:footnoteReference w:id="24"/>
      </w:r>
      <w:r w:rsidR="00495D0F">
        <w:rPr>
          <w:lang w:val="fr-FR"/>
        </w:rPr>
        <w:t> ;</w:t>
      </w:r>
      <w:r w:rsidRPr="00686CD4">
        <w:rPr>
          <w:lang w:val="fr-FR"/>
        </w:rPr>
        <w:t xml:space="preserve"> </w:t>
      </w:r>
    </w:p>
    <w:p w:rsidR="002A7A34" w:rsidRPr="00686CD4" w:rsidRDefault="002A7A34" w:rsidP="00B76C89">
      <w:pPr>
        <w:pStyle w:val="Bullet1G"/>
        <w:numPr>
          <w:ilvl w:val="0"/>
          <w:numId w:val="0"/>
        </w:numPr>
        <w:tabs>
          <w:tab w:val="left" w:pos="1701"/>
        </w:tabs>
        <w:spacing w:after="100"/>
        <w:ind w:left="1701" w:hanging="170"/>
        <w:rPr>
          <w:lang w:val="fr-FR"/>
        </w:rPr>
      </w:pPr>
      <w:r w:rsidRPr="00686CD4">
        <w:rPr>
          <w:lang w:val="fr-FR"/>
        </w:rPr>
        <w:t>•</w:t>
      </w:r>
      <w:r w:rsidRPr="00686CD4">
        <w:rPr>
          <w:lang w:val="fr-FR"/>
        </w:rPr>
        <w:tab/>
      </w:r>
      <w:r w:rsidR="00B545C2">
        <w:rPr>
          <w:lang w:val="fr-FR"/>
        </w:rPr>
        <w:t xml:space="preserve">En </w:t>
      </w:r>
      <w:r w:rsidRPr="00686CD4">
        <w:rPr>
          <w:lang w:val="fr-FR"/>
        </w:rPr>
        <w:t>2017, des activités ont été menées dans les écoles publiques de quatre villes du pays</w:t>
      </w:r>
      <w:r w:rsidR="00495D0F">
        <w:rPr>
          <w:lang w:val="fr-FR"/>
        </w:rPr>
        <w:t> ;</w:t>
      </w:r>
      <w:r w:rsidRPr="00686CD4">
        <w:rPr>
          <w:lang w:val="fr-FR"/>
        </w:rPr>
        <w:t xml:space="preserve"> elles ont donné lieu à la présentation d</w:t>
      </w:r>
      <w:r>
        <w:rPr>
          <w:lang w:val="fr-FR"/>
        </w:rPr>
        <w:t>’</w:t>
      </w:r>
      <w:r w:rsidRPr="00686CD4">
        <w:rPr>
          <w:lang w:val="fr-FR"/>
        </w:rPr>
        <w:t>une pièce de théâtre, à de</w:t>
      </w:r>
      <w:r>
        <w:rPr>
          <w:lang w:val="fr-FR"/>
        </w:rPr>
        <w:t>s</w:t>
      </w:r>
      <w:r w:rsidRPr="00686CD4">
        <w:rPr>
          <w:lang w:val="fr-FR"/>
        </w:rPr>
        <w:t xml:space="preserve"> discussions entre les élèves et à une réflexion sur la lutte contre la discrimination, ainsi qu</w:t>
      </w:r>
      <w:r>
        <w:rPr>
          <w:lang w:val="fr-FR"/>
        </w:rPr>
        <w:t>’</w:t>
      </w:r>
      <w:r w:rsidRPr="00686CD4">
        <w:rPr>
          <w:lang w:val="fr-FR"/>
        </w:rPr>
        <w:t xml:space="preserve">à la réalisation de peintures murales par les enfants en collaboration avec </w:t>
      </w:r>
      <w:r>
        <w:rPr>
          <w:lang w:val="fr-FR"/>
        </w:rPr>
        <w:t xml:space="preserve">des </w:t>
      </w:r>
      <w:r w:rsidRPr="00686CD4">
        <w:rPr>
          <w:lang w:val="fr-FR"/>
        </w:rPr>
        <w:t>artistes</w:t>
      </w:r>
      <w:r w:rsidRPr="00F16A9E">
        <w:rPr>
          <w:rStyle w:val="Appelnotedebasdep"/>
        </w:rPr>
        <w:footnoteReference w:id="25"/>
      </w:r>
      <w:r w:rsidRPr="00686CD4">
        <w:rPr>
          <w:lang w:val="fr-FR"/>
        </w:rPr>
        <w:t xml:space="preserve">. </w:t>
      </w:r>
    </w:p>
    <w:p w:rsidR="002A7A34" w:rsidRPr="00686CD4" w:rsidRDefault="002A7A34" w:rsidP="00B76C89">
      <w:pPr>
        <w:pStyle w:val="SingleTxtG"/>
        <w:spacing w:after="100"/>
        <w:rPr>
          <w:lang w:val="fr-FR"/>
        </w:rPr>
      </w:pPr>
      <w:r w:rsidRPr="00686CD4">
        <w:rPr>
          <w:lang w:val="fr-FR"/>
        </w:rPr>
        <w:t>299.</w:t>
      </w:r>
      <w:r w:rsidRPr="00686CD4">
        <w:rPr>
          <w:lang w:val="fr-FR"/>
        </w:rPr>
        <w:tab/>
      </w:r>
      <w:r w:rsidR="00B545C2">
        <w:rPr>
          <w:lang w:val="fr-FR"/>
        </w:rPr>
        <w:t xml:space="preserve">En </w:t>
      </w:r>
      <w:r w:rsidRPr="00686CD4">
        <w:rPr>
          <w:lang w:val="fr-FR"/>
        </w:rPr>
        <w:t>2017, le Haut-Commissariat pour les migrations a organisé, par l</w:t>
      </w:r>
      <w:r>
        <w:rPr>
          <w:lang w:val="fr-FR"/>
        </w:rPr>
        <w:t>’</w:t>
      </w:r>
      <w:r w:rsidRPr="00686CD4">
        <w:rPr>
          <w:lang w:val="fr-FR"/>
        </w:rPr>
        <w:t>intermédiaire des écoles, des municipalités, du système de sécurité sociale et des associations d</w:t>
      </w:r>
      <w:r>
        <w:rPr>
          <w:lang w:val="fr-FR"/>
        </w:rPr>
        <w:t>’</w:t>
      </w:r>
      <w:r w:rsidRPr="00686CD4">
        <w:rPr>
          <w:lang w:val="fr-FR"/>
        </w:rPr>
        <w:t>immigrants, 101 sessions de sensibilisation portant sur l</w:t>
      </w:r>
      <w:r>
        <w:rPr>
          <w:lang w:val="fr-FR"/>
        </w:rPr>
        <w:t>’</w:t>
      </w:r>
      <w:r w:rsidRPr="00686CD4">
        <w:rPr>
          <w:lang w:val="fr-FR"/>
        </w:rPr>
        <w:t>interculturalité et la migration, auxquelles ont participé environ 2 000</w:t>
      </w:r>
      <w:r>
        <w:rPr>
          <w:lang w:val="fr-FR"/>
        </w:rPr>
        <w:t> </w:t>
      </w:r>
      <w:r w:rsidRPr="00686CD4">
        <w:rPr>
          <w:lang w:val="fr-FR"/>
        </w:rPr>
        <w:t xml:space="preserve">personnes. </w:t>
      </w:r>
    </w:p>
    <w:p w:rsidR="002A7A34" w:rsidRPr="00686CD4" w:rsidRDefault="002A7A34" w:rsidP="00B76C89">
      <w:pPr>
        <w:pStyle w:val="SingleTxtG"/>
        <w:spacing w:after="100"/>
        <w:rPr>
          <w:lang w:val="fr-FR"/>
        </w:rPr>
      </w:pPr>
      <w:r w:rsidRPr="00686CD4">
        <w:rPr>
          <w:lang w:val="fr-FR"/>
        </w:rPr>
        <w:t>300.</w:t>
      </w:r>
      <w:r w:rsidRPr="00686CD4">
        <w:rPr>
          <w:lang w:val="fr-FR"/>
        </w:rPr>
        <w:tab/>
        <w:t>Voir également la réponse donnée au paragraphe 18</w:t>
      </w:r>
      <w:r w:rsidR="00D8277B">
        <w:rPr>
          <w:lang w:val="fr-FR"/>
        </w:rPr>
        <w:t> </w:t>
      </w:r>
      <w:r w:rsidRPr="00686CD4">
        <w:rPr>
          <w:lang w:val="fr-FR"/>
        </w:rPr>
        <w:t xml:space="preserve">a). </w:t>
      </w:r>
    </w:p>
    <w:p w:rsidR="002A7A34" w:rsidRPr="00686CD4" w:rsidRDefault="002A7A34" w:rsidP="00B76C89">
      <w:pPr>
        <w:pStyle w:val="H23G"/>
        <w:spacing w:after="100"/>
        <w:jc w:val="both"/>
        <w:rPr>
          <w:lang w:val="fr-FR"/>
        </w:rPr>
      </w:pPr>
      <w:r w:rsidRPr="00686CD4">
        <w:rPr>
          <w:lang w:val="fr-FR"/>
        </w:rPr>
        <w:tab/>
      </w:r>
      <w:bookmarkStart w:id="97" w:name="_Toc532494700"/>
      <w:r w:rsidRPr="00686CD4">
        <w:rPr>
          <w:lang w:val="fr-FR"/>
        </w:rPr>
        <w:tab/>
      </w:r>
      <w:r w:rsidRPr="00686CD4">
        <w:rPr>
          <w:lang w:val="fr-FR"/>
        </w:rPr>
        <w:tab/>
        <w:t>e)</w:t>
      </w:r>
      <w:r w:rsidRPr="00686CD4">
        <w:rPr>
          <w:lang w:val="fr-FR"/>
        </w:rPr>
        <w:tab/>
        <w:t>Indiquer les mesures prises pour améliorer la formation des membres des forces de l</w:t>
      </w:r>
      <w:r>
        <w:rPr>
          <w:lang w:val="fr-FR"/>
        </w:rPr>
        <w:t>’</w:t>
      </w:r>
      <w:r w:rsidRPr="00686CD4">
        <w:rPr>
          <w:lang w:val="fr-FR"/>
        </w:rPr>
        <w:t>ordre, des juges et des procureurs à la lutte contre les infractions visant des minorités et pour que l</w:t>
      </w:r>
      <w:r>
        <w:rPr>
          <w:lang w:val="fr-FR"/>
        </w:rPr>
        <w:t>’</w:t>
      </w:r>
      <w:r w:rsidRPr="00686CD4">
        <w:rPr>
          <w:lang w:val="fr-FR"/>
        </w:rPr>
        <w:t>aspect raciste d</w:t>
      </w:r>
      <w:r>
        <w:rPr>
          <w:lang w:val="fr-FR"/>
        </w:rPr>
        <w:t>’</w:t>
      </w:r>
      <w:r w:rsidRPr="00686CD4">
        <w:rPr>
          <w:lang w:val="fr-FR"/>
        </w:rPr>
        <w:t>une infraction soit pris en compte</w:t>
      </w:r>
      <w:r w:rsidR="00495D0F">
        <w:rPr>
          <w:lang w:val="fr-FR"/>
        </w:rPr>
        <w:t> ;</w:t>
      </w:r>
      <w:bookmarkEnd w:id="97"/>
    </w:p>
    <w:p w:rsidR="002A7A34" w:rsidRPr="00686CD4" w:rsidRDefault="002A7A34" w:rsidP="00B76C89">
      <w:pPr>
        <w:pStyle w:val="SingleTxtG"/>
        <w:spacing w:after="100"/>
        <w:rPr>
          <w:lang w:val="fr-FR"/>
        </w:rPr>
      </w:pPr>
      <w:r w:rsidRPr="00686CD4">
        <w:rPr>
          <w:lang w:val="fr-FR"/>
        </w:rPr>
        <w:t>301.</w:t>
      </w:r>
      <w:r w:rsidRPr="00686CD4">
        <w:rPr>
          <w:lang w:val="fr-FR"/>
        </w:rPr>
        <w:tab/>
        <w:t>Voir aussi la réponse donnée au paragraphe 18</w:t>
      </w:r>
      <w:r w:rsidR="00402E17">
        <w:rPr>
          <w:lang w:val="fr-FR"/>
        </w:rPr>
        <w:t> </w:t>
      </w:r>
      <w:r w:rsidRPr="00686CD4">
        <w:rPr>
          <w:lang w:val="fr-FR"/>
        </w:rPr>
        <w:t xml:space="preserve">a). </w:t>
      </w:r>
    </w:p>
    <w:p w:rsidR="002A7A34" w:rsidRPr="00686CD4" w:rsidRDefault="002A7A34" w:rsidP="00B76C89">
      <w:pPr>
        <w:pStyle w:val="SingleTxtG"/>
        <w:spacing w:after="100"/>
        <w:rPr>
          <w:lang w:val="fr-FR"/>
        </w:rPr>
      </w:pPr>
      <w:r w:rsidRPr="00686CD4">
        <w:rPr>
          <w:lang w:val="fr-FR"/>
        </w:rPr>
        <w:t>302.</w:t>
      </w:r>
      <w:r w:rsidRPr="00686CD4">
        <w:rPr>
          <w:lang w:val="fr-FR"/>
        </w:rPr>
        <w:tab/>
        <w:t xml:space="preserve">Le Centre des études judiciaires propose </w:t>
      </w:r>
      <w:r>
        <w:rPr>
          <w:lang w:val="fr-FR"/>
        </w:rPr>
        <w:t>un c</w:t>
      </w:r>
      <w:r w:rsidRPr="00686CD4">
        <w:rPr>
          <w:lang w:val="fr-FR"/>
        </w:rPr>
        <w:t xml:space="preserve">ours </w:t>
      </w:r>
      <w:r>
        <w:rPr>
          <w:lang w:val="fr-FR"/>
        </w:rPr>
        <w:t xml:space="preserve">sur les </w:t>
      </w:r>
      <w:r w:rsidRPr="00686CD4">
        <w:rPr>
          <w:lang w:val="fr-FR"/>
        </w:rPr>
        <w:t>droits fondamentaux, qui présente</w:t>
      </w:r>
      <w:r>
        <w:rPr>
          <w:lang w:val="fr-FR"/>
        </w:rPr>
        <w:t>,</w:t>
      </w:r>
      <w:r w:rsidRPr="00686CD4">
        <w:rPr>
          <w:lang w:val="fr-FR"/>
        </w:rPr>
        <w:t xml:space="preserve"> notamment</w:t>
      </w:r>
      <w:r>
        <w:rPr>
          <w:lang w:val="fr-FR"/>
        </w:rPr>
        <w:t>,</w:t>
      </w:r>
      <w:r w:rsidRPr="00686CD4">
        <w:rPr>
          <w:lang w:val="fr-FR"/>
        </w:rPr>
        <w:t xml:space="preserve"> la jurisprudence pertinente de la Cour européenne des droits de l</w:t>
      </w:r>
      <w:r>
        <w:rPr>
          <w:lang w:val="fr-FR"/>
        </w:rPr>
        <w:t>’</w:t>
      </w:r>
      <w:r w:rsidRPr="00686CD4">
        <w:rPr>
          <w:lang w:val="fr-FR"/>
        </w:rPr>
        <w:t>homme et de la Cour de justice de l</w:t>
      </w:r>
      <w:r>
        <w:rPr>
          <w:lang w:val="fr-FR"/>
        </w:rPr>
        <w:t>’</w:t>
      </w:r>
      <w:r w:rsidRPr="00686CD4">
        <w:rPr>
          <w:lang w:val="fr-FR"/>
        </w:rPr>
        <w:t>Union européenne.</w:t>
      </w:r>
    </w:p>
    <w:p w:rsidR="002A7A34" w:rsidRPr="00686CD4" w:rsidRDefault="002A7A34" w:rsidP="00B76C89">
      <w:pPr>
        <w:pStyle w:val="SingleTxtG"/>
        <w:spacing w:after="100"/>
        <w:rPr>
          <w:lang w:val="fr-FR"/>
        </w:rPr>
      </w:pPr>
      <w:r w:rsidRPr="00686CD4">
        <w:rPr>
          <w:lang w:val="fr-FR"/>
        </w:rPr>
        <w:t>303.</w:t>
      </w:r>
      <w:r w:rsidRPr="00686CD4">
        <w:rPr>
          <w:lang w:val="fr-FR"/>
        </w:rPr>
        <w:tab/>
        <w:t>Outre l</w:t>
      </w:r>
      <w:r>
        <w:rPr>
          <w:lang w:val="fr-FR"/>
        </w:rPr>
        <w:t>es</w:t>
      </w:r>
      <w:r w:rsidRPr="00686CD4">
        <w:rPr>
          <w:lang w:val="fr-FR"/>
        </w:rPr>
        <w:t xml:space="preserve"> formation</w:t>
      </w:r>
      <w:r>
        <w:rPr>
          <w:lang w:val="fr-FR"/>
        </w:rPr>
        <w:t>s</w:t>
      </w:r>
      <w:r w:rsidRPr="00686CD4">
        <w:rPr>
          <w:lang w:val="fr-FR"/>
        </w:rPr>
        <w:t xml:space="preserve"> qu</w:t>
      </w:r>
      <w:r>
        <w:rPr>
          <w:lang w:val="fr-FR"/>
        </w:rPr>
        <w:t>’</w:t>
      </w:r>
      <w:r w:rsidRPr="00686CD4">
        <w:rPr>
          <w:lang w:val="fr-FR"/>
        </w:rPr>
        <w:t>il assure (voir la réponse donnée au paragraphe 4</w:t>
      </w:r>
      <w:r w:rsidR="00402E17">
        <w:rPr>
          <w:lang w:val="fr-FR"/>
        </w:rPr>
        <w:t> </w:t>
      </w:r>
      <w:r w:rsidRPr="00686CD4">
        <w:rPr>
          <w:lang w:val="fr-FR"/>
        </w:rPr>
        <w:t>d)), le Service de l</w:t>
      </w:r>
      <w:r>
        <w:rPr>
          <w:lang w:val="fr-FR"/>
        </w:rPr>
        <w:t>’</w:t>
      </w:r>
      <w:r w:rsidRPr="00686CD4">
        <w:rPr>
          <w:lang w:val="fr-FR"/>
        </w:rPr>
        <w:t>immigration et des frontières met l</w:t>
      </w:r>
      <w:r>
        <w:rPr>
          <w:lang w:val="fr-FR"/>
        </w:rPr>
        <w:t>’</w:t>
      </w:r>
      <w:r w:rsidRPr="00686CD4">
        <w:rPr>
          <w:lang w:val="fr-FR"/>
        </w:rPr>
        <w:t>accent sur les principes d</w:t>
      </w:r>
      <w:r>
        <w:rPr>
          <w:lang w:val="fr-FR"/>
        </w:rPr>
        <w:t>’</w:t>
      </w:r>
      <w:r w:rsidRPr="00686CD4">
        <w:rPr>
          <w:lang w:val="fr-FR"/>
        </w:rPr>
        <w:t>impartialité et de non-discrimination consacrés par son Code de déontologie, et fait mieux prendre conscience de ces derniers.</w:t>
      </w:r>
      <w:r w:rsidR="00495D0F">
        <w:rPr>
          <w:lang w:val="fr-FR"/>
        </w:rPr>
        <w:t xml:space="preserve"> </w:t>
      </w:r>
      <w:r w:rsidRPr="00686CD4">
        <w:rPr>
          <w:lang w:val="fr-FR"/>
        </w:rPr>
        <w:t>Il a aussi élaboré un plan de prévention des risques qui fait l</w:t>
      </w:r>
      <w:r>
        <w:rPr>
          <w:lang w:val="fr-FR"/>
        </w:rPr>
        <w:t>’</w:t>
      </w:r>
      <w:r w:rsidRPr="00686CD4">
        <w:rPr>
          <w:lang w:val="fr-FR"/>
        </w:rPr>
        <w:t>objet d</w:t>
      </w:r>
      <w:r>
        <w:rPr>
          <w:lang w:val="fr-FR"/>
        </w:rPr>
        <w:t>’</w:t>
      </w:r>
      <w:r w:rsidRPr="00686CD4">
        <w:rPr>
          <w:lang w:val="fr-FR"/>
        </w:rPr>
        <w:t>un suivi attentif, notamment en ce qui concerne la violation des obligations éthiques et fonctionnelle</w:t>
      </w:r>
      <w:r>
        <w:rPr>
          <w:lang w:val="fr-FR"/>
        </w:rPr>
        <w:t>s</w:t>
      </w:r>
      <w:r w:rsidRPr="00686CD4">
        <w:rPr>
          <w:lang w:val="fr-FR"/>
        </w:rPr>
        <w:t xml:space="preserve"> des procédures du Service. Le Plan de lutte contre la corruption et les infractions connexes, qui a un caractère horizontal, est également pertinent à cet égard.</w:t>
      </w:r>
    </w:p>
    <w:p w:rsidR="002A7A34" w:rsidRPr="00686CD4" w:rsidRDefault="002A7A34" w:rsidP="00B76C89">
      <w:pPr>
        <w:pStyle w:val="H23G"/>
        <w:spacing w:after="100"/>
        <w:jc w:val="both"/>
        <w:rPr>
          <w:lang w:val="fr-FR"/>
        </w:rPr>
      </w:pPr>
      <w:r w:rsidRPr="00686CD4">
        <w:rPr>
          <w:lang w:val="fr-FR"/>
        </w:rPr>
        <w:tab/>
      </w:r>
      <w:bookmarkStart w:id="98" w:name="_Toc532494701"/>
      <w:r w:rsidRPr="00686CD4">
        <w:rPr>
          <w:lang w:val="fr-FR"/>
        </w:rPr>
        <w:tab/>
      </w:r>
      <w:r w:rsidRPr="00686CD4">
        <w:rPr>
          <w:lang w:val="fr-FR"/>
        </w:rPr>
        <w:tab/>
        <w:t>f)</w:t>
      </w:r>
      <w:r w:rsidRPr="00686CD4">
        <w:rPr>
          <w:lang w:val="fr-FR"/>
        </w:rPr>
        <w:tab/>
        <w:t>Indiquer si la mise en œuvre de la Stratégie nationale d</w:t>
      </w:r>
      <w:r>
        <w:rPr>
          <w:lang w:val="fr-FR"/>
        </w:rPr>
        <w:t>’</w:t>
      </w:r>
      <w:r w:rsidRPr="00686CD4">
        <w:rPr>
          <w:lang w:val="fr-FR"/>
        </w:rPr>
        <w:t>intégration de la communauté rom pour la période</w:t>
      </w:r>
      <w:r w:rsidR="00A91924">
        <w:rPr>
          <w:lang w:val="fr-FR"/>
        </w:rPr>
        <w:t xml:space="preserve"> </w:t>
      </w:r>
      <w:r w:rsidRPr="00686CD4">
        <w:rPr>
          <w:lang w:val="fr-FR"/>
        </w:rPr>
        <w:t>2013-2020 a entraîné une amélioration des relations entre les membres des forces de l</w:t>
      </w:r>
      <w:r>
        <w:rPr>
          <w:lang w:val="fr-FR"/>
        </w:rPr>
        <w:t>’</w:t>
      </w:r>
      <w:r w:rsidRPr="00686CD4">
        <w:rPr>
          <w:lang w:val="fr-FR"/>
        </w:rPr>
        <w:t>ordre et la communauté rom.</w:t>
      </w:r>
      <w:bookmarkEnd w:id="98"/>
    </w:p>
    <w:p w:rsidR="002A7A34" w:rsidRPr="00686CD4" w:rsidRDefault="00A91924" w:rsidP="00B76C89">
      <w:pPr>
        <w:pStyle w:val="SingleTxtG"/>
        <w:spacing w:after="100"/>
        <w:rPr>
          <w:lang w:val="fr-FR"/>
        </w:rPr>
      </w:pPr>
      <w:r>
        <w:rPr>
          <w:lang w:val="fr-FR"/>
        </w:rPr>
        <w:t>304.</w:t>
      </w:r>
      <w:r w:rsidR="002A7A34" w:rsidRPr="00686CD4">
        <w:rPr>
          <w:lang w:val="fr-FR"/>
        </w:rPr>
        <w:tab/>
        <w:t>Au Portugal, la communauté rom est portugaise depuis cinq siècles et bénéficie, sans discrimination, de toutes les mesures mises en place pour la population, y compris dans le domaine de la protection sociale.</w:t>
      </w:r>
    </w:p>
    <w:p w:rsidR="002A7A34" w:rsidRPr="00686CD4" w:rsidRDefault="002A7A34" w:rsidP="00B76C89">
      <w:pPr>
        <w:pStyle w:val="SingleTxtG"/>
        <w:spacing w:after="100"/>
        <w:rPr>
          <w:lang w:val="fr-FR"/>
        </w:rPr>
      </w:pPr>
      <w:r w:rsidRPr="00686CD4">
        <w:rPr>
          <w:lang w:val="fr-FR"/>
        </w:rPr>
        <w:t>305.</w:t>
      </w:r>
      <w:r w:rsidRPr="00686CD4">
        <w:rPr>
          <w:lang w:val="fr-FR"/>
        </w:rPr>
        <w:tab/>
        <w:t>La Stratégie nationale d</w:t>
      </w:r>
      <w:r>
        <w:rPr>
          <w:lang w:val="fr-FR"/>
        </w:rPr>
        <w:t>’</w:t>
      </w:r>
      <w:r w:rsidRPr="00686CD4">
        <w:rPr>
          <w:lang w:val="fr-FR"/>
        </w:rPr>
        <w:t>intégration de la communauté rom (ENICC)</w:t>
      </w:r>
      <w:r w:rsidRPr="00F16A9E">
        <w:rPr>
          <w:rStyle w:val="Appelnotedebasdep"/>
        </w:rPr>
        <w:footnoteReference w:id="26"/>
      </w:r>
      <w:r w:rsidRPr="00686CD4">
        <w:rPr>
          <w:lang w:val="fr-FR"/>
        </w:rPr>
        <w:t xml:space="preserve"> a été approuvée le 27 mars</w:t>
      </w:r>
      <w:r w:rsidR="00A91924">
        <w:rPr>
          <w:lang w:val="fr-FR"/>
        </w:rPr>
        <w:t xml:space="preserve"> </w:t>
      </w:r>
      <w:r w:rsidRPr="00686CD4">
        <w:rPr>
          <w:lang w:val="fr-FR"/>
        </w:rPr>
        <w:t xml:space="preserve">2013 par la résolution </w:t>
      </w:r>
      <w:r w:rsidR="00A91924" w:rsidRPr="00553571">
        <w:rPr>
          <w:rFonts w:eastAsia="MS Mincho"/>
          <w:lang w:val="fr-FR"/>
        </w:rPr>
        <w:t>n</w:t>
      </w:r>
      <w:r w:rsidR="00A91924" w:rsidRPr="00553571">
        <w:rPr>
          <w:rFonts w:eastAsia="MS Mincho"/>
          <w:vertAlign w:val="superscript"/>
          <w:lang w:val="fr-FR"/>
        </w:rPr>
        <w:t>o</w:t>
      </w:r>
      <w:r w:rsidR="00A91924">
        <w:rPr>
          <w:lang w:val="fr-FR"/>
        </w:rPr>
        <w:t> </w:t>
      </w:r>
      <w:r w:rsidRPr="00686CD4">
        <w:rPr>
          <w:lang w:val="fr-FR"/>
        </w:rPr>
        <w:t>25/2013 du Conseil des ministres. Cette stratégie s</w:t>
      </w:r>
      <w:r>
        <w:rPr>
          <w:lang w:val="fr-FR"/>
        </w:rPr>
        <w:t>’</w:t>
      </w:r>
      <w:r w:rsidRPr="00686CD4">
        <w:rPr>
          <w:lang w:val="fr-FR"/>
        </w:rPr>
        <w:t>articule autour des quatre axes définis dans la « Communication sur le cadre de l</w:t>
      </w:r>
      <w:r>
        <w:rPr>
          <w:lang w:val="fr-FR"/>
        </w:rPr>
        <w:t>’</w:t>
      </w:r>
      <w:r w:rsidRPr="00686CD4">
        <w:rPr>
          <w:lang w:val="fr-FR"/>
        </w:rPr>
        <w:t>Union européenne pour les stratégies nationales d</w:t>
      </w:r>
      <w:r>
        <w:rPr>
          <w:lang w:val="fr-FR"/>
        </w:rPr>
        <w:t>’</w:t>
      </w:r>
      <w:r w:rsidRPr="00686CD4">
        <w:rPr>
          <w:lang w:val="fr-FR"/>
        </w:rPr>
        <w:t>intégration des Roms pour la période allant jusqu</w:t>
      </w:r>
      <w:r>
        <w:rPr>
          <w:lang w:val="fr-FR"/>
        </w:rPr>
        <w:t>’</w:t>
      </w:r>
      <w:r w:rsidRPr="00686CD4">
        <w:rPr>
          <w:lang w:val="fr-FR"/>
        </w:rPr>
        <w:t xml:space="preserve">à 2020 » </w:t>
      </w:r>
      <w:r w:rsidR="00A410F8">
        <w:rPr>
          <w:lang w:val="fr-FR"/>
        </w:rPr>
        <w:t>−</w:t>
      </w:r>
      <w:r w:rsidRPr="00686CD4">
        <w:rPr>
          <w:lang w:val="fr-FR"/>
        </w:rPr>
        <w:t xml:space="preserve"> COM (2011) 173</w:t>
      </w:r>
      <w:r w:rsidR="00402E17">
        <w:rPr>
          <w:lang w:val="fr-FR"/>
        </w:rPr>
        <w:t xml:space="preserve"> −</w:t>
      </w:r>
      <w:r w:rsidRPr="00686CD4">
        <w:rPr>
          <w:lang w:val="fr-FR"/>
        </w:rPr>
        <w:t xml:space="preserve"> à savoir le logement, les soins de santé, l</w:t>
      </w:r>
      <w:r>
        <w:rPr>
          <w:lang w:val="fr-FR"/>
        </w:rPr>
        <w:t>’’</w:t>
      </w:r>
      <w:r w:rsidRPr="00686CD4">
        <w:rPr>
          <w:lang w:val="fr-FR"/>
        </w:rPr>
        <w:t>éducation et l</w:t>
      </w:r>
      <w:r>
        <w:rPr>
          <w:lang w:val="fr-FR"/>
        </w:rPr>
        <w:t>’</w:t>
      </w:r>
      <w:r w:rsidRPr="00686CD4">
        <w:rPr>
          <w:lang w:val="fr-FR"/>
        </w:rPr>
        <w:t>emploi, ainsi que d</w:t>
      </w:r>
      <w:r>
        <w:rPr>
          <w:lang w:val="fr-FR"/>
        </w:rPr>
        <w:t>’</w:t>
      </w:r>
      <w:r w:rsidRPr="00686CD4">
        <w:rPr>
          <w:lang w:val="fr-FR"/>
        </w:rPr>
        <w:t>un cinquième axe transversal, associé à des services de médiation, pour mettre en valeur l</w:t>
      </w:r>
      <w:r>
        <w:rPr>
          <w:lang w:val="fr-FR"/>
        </w:rPr>
        <w:t>’</w:t>
      </w:r>
      <w:r w:rsidRPr="00686CD4">
        <w:rPr>
          <w:lang w:val="fr-FR"/>
        </w:rPr>
        <w:t>histoire et la culture roms, lutter contre la discrimination et œuvrer pour l</w:t>
      </w:r>
      <w:r>
        <w:rPr>
          <w:lang w:val="fr-FR"/>
        </w:rPr>
        <w:t>’</w:t>
      </w:r>
      <w:r w:rsidRPr="00686CD4">
        <w:rPr>
          <w:lang w:val="fr-FR"/>
        </w:rPr>
        <w:t>égalité des sexes, entre autres</w:t>
      </w:r>
      <w:r>
        <w:rPr>
          <w:lang w:val="fr-FR"/>
        </w:rPr>
        <w:t xml:space="preserve"> priorités</w:t>
      </w:r>
      <w:r w:rsidRPr="00686CD4">
        <w:rPr>
          <w:lang w:val="fr-FR"/>
        </w:rPr>
        <w:t>. La stratégie a bénéficié de nombreux apports émanant, entre autres, de ministères, de municipalités, d</w:t>
      </w:r>
      <w:r>
        <w:rPr>
          <w:lang w:val="fr-FR"/>
        </w:rPr>
        <w:t>’</w:t>
      </w:r>
      <w:r w:rsidRPr="00686CD4">
        <w:rPr>
          <w:lang w:val="fr-FR"/>
        </w:rPr>
        <w:t>organisations de la société civile, d</w:t>
      </w:r>
      <w:r>
        <w:rPr>
          <w:lang w:val="fr-FR"/>
        </w:rPr>
        <w:t>’</w:t>
      </w:r>
      <w:r w:rsidRPr="00686CD4">
        <w:rPr>
          <w:lang w:val="fr-FR"/>
        </w:rPr>
        <w:t>associations et de représentants de la communauté rom, de centres de recherche et d</w:t>
      </w:r>
      <w:r>
        <w:rPr>
          <w:lang w:val="fr-FR"/>
        </w:rPr>
        <w:t>’</w:t>
      </w:r>
      <w:r w:rsidRPr="00686CD4">
        <w:rPr>
          <w:lang w:val="fr-FR"/>
        </w:rPr>
        <w:t xml:space="preserve">experts. Elle présente 40 priorités et 148 objectifs. </w:t>
      </w:r>
    </w:p>
    <w:p w:rsidR="002A7A34" w:rsidRPr="00686CD4" w:rsidRDefault="002A7A34" w:rsidP="00A410F8">
      <w:pPr>
        <w:pStyle w:val="SingleTxtG"/>
        <w:rPr>
          <w:lang w:val="fr-FR"/>
        </w:rPr>
      </w:pPr>
      <w:r w:rsidRPr="00686CD4">
        <w:rPr>
          <w:lang w:val="fr-FR"/>
        </w:rPr>
        <w:lastRenderedPageBreak/>
        <w:t>306.</w:t>
      </w:r>
      <w:r w:rsidRPr="00686CD4">
        <w:rPr>
          <w:lang w:val="fr-FR"/>
        </w:rPr>
        <w:tab/>
        <w:t xml:space="preserve">Selon les informations recueillies par les chargés de liaison de la stratégie </w:t>
      </w:r>
      <w:r w:rsidR="00B545C2">
        <w:rPr>
          <w:lang w:val="fr-FR"/>
        </w:rPr>
        <w:t xml:space="preserve">en </w:t>
      </w:r>
      <w:r w:rsidRPr="00686CD4">
        <w:rPr>
          <w:lang w:val="fr-FR"/>
        </w:rPr>
        <w:t>2016, la poursuite des interventions prioritaires et la mise en œuvre des mesures ont donné lieu à 605</w:t>
      </w:r>
      <w:r>
        <w:rPr>
          <w:lang w:val="fr-FR"/>
        </w:rPr>
        <w:t> </w:t>
      </w:r>
      <w:r w:rsidRPr="00686CD4">
        <w:rPr>
          <w:lang w:val="fr-FR"/>
        </w:rPr>
        <w:t>actions, soit un nombre supérieur à celui de l</w:t>
      </w:r>
      <w:r>
        <w:rPr>
          <w:lang w:val="fr-FR"/>
        </w:rPr>
        <w:t>’</w:t>
      </w:r>
      <w:r w:rsidRPr="00686CD4">
        <w:rPr>
          <w:lang w:val="fr-FR"/>
        </w:rPr>
        <w:t xml:space="preserve">année précédente. </w:t>
      </w:r>
    </w:p>
    <w:p w:rsidR="002A7A34" w:rsidRPr="00686CD4" w:rsidRDefault="002A7A34" w:rsidP="00A410F8">
      <w:pPr>
        <w:pStyle w:val="SingleTxtG"/>
        <w:rPr>
          <w:lang w:val="fr-FR"/>
        </w:rPr>
      </w:pPr>
      <w:r w:rsidRPr="00686CD4">
        <w:rPr>
          <w:lang w:val="fr-FR"/>
        </w:rPr>
        <w:t>307.</w:t>
      </w:r>
      <w:r w:rsidRPr="00686CD4">
        <w:rPr>
          <w:lang w:val="fr-FR"/>
        </w:rPr>
        <w:tab/>
      </w:r>
      <w:r>
        <w:rPr>
          <w:lang w:val="fr-FR"/>
        </w:rPr>
        <w:t xml:space="preserve">D’après </w:t>
      </w:r>
      <w:r w:rsidRPr="00686CD4">
        <w:rPr>
          <w:lang w:val="fr-FR"/>
        </w:rPr>
        <w:t>les données globales sur l</w:t>
      </w:r>
      <w:r>
        <w:rPr>
          <w:lang w:val="fr-FR"/>
        </w:rPr>
        <w:t>’</w:t>
      </w:r>
      <w:r w:rsidRPr="00686CD4">
        <w:rPr>
          <w:lang w:val="fr-FR"/>
        </w:rPr>
        <w:t>exécution de la Stratégie nationale d</w:t>
      </w:r>
      <w:r>
        <w:rPr>
          <w:lang w:val="fr-FR"/>
        </w:rPr>
        <w:t>’</w:t>
      </w:r>
      <w:r w:rsidRPr="00686CD4">
        <w:rPr>
          <w:lang w:val="fr-FR"/>
        </w:rPr>
        <w:t>intégration de la communauté rom, le taux de réalisation des objectifs est de 94,1 %.</w:t>
      </w:r>
    </w:p>
    <w:p w:rsidR="002A7A34" w:rsidRPr="00686CD4" w:rsidRDefault="002A7A34" w:rsidP="00A410F8">
      <w:pPr>
        <w:pStyle w:val="SingleTxtG"/>
        <w:rPr>
          <w:lang w:val="fr-FR"/>
        </w:rPr>
      </w:pPr>
      <w:r w:rsidRPr="00686CD4">
        <w:rPr>
          <w:lang w:val="fr-FR"/>
        </w:rPr>
        <w:t>308.</w:t>
      </w:r>
      <w:r w:rsidRPr="00686CD4">
        <w:rPr>
          <w:lang w:val="fr-FR"/>
        </w:rPr>
        <w:tab/>
        <w:t>La constitution, en 2015, du Fonds d</w:t>
      </w:r>
      <w:r>
        <w:rPr>
          <w:lang w:val="fr-FR"/>
        </w:rPr>
        <w:t>’</w:t>
      </w:r>
      <w:r w:rsidRPr="00686CD4">
        <w:rPr>
          <w:lang w:val="fr-FR"/>
        </w:rPr>
        <w:t>appui à la stratégie nationale (FAPE)</w:t>
      </w:r>
      <w:r w:rsidRPr="00F16A9E">
        <w:rPr>
          <w:rStyle w:val="Appelnotedebasdep"/>
        </w:rPr>
        <w:footnoteReference w:id="27"/>
      </w:r>
      <w:r w:rsidRPr="00686CD4">
        <w:rPr>
          <w:lang w:val="fr-FR"/>
        </w:rPr>
        <w:t>-a contribué de manière décisive à l</w:t>
      </w:r>
      <w:r>
        <w:rPr>
          <w:lang w:val="fr-FR"/>
        </w:rPr>
        <w:t>’</w:t>
      </w:r>
      <w:r w:rsidRPr="00686CD4">
        <w:rPr>
          <w:lang w:val="fr-FR"/>
        </w:rPr>
        <w:t>obtention de ce</w:t>
      </w:r>
      <w:r>
        <w:rPr>
          <w:lang w:val="fr-FR"/>
        </w:rPr>
        <w:t>s</w:t>
      </w:r>
      <w:r w:rsidRPr="00686CD4">
        <w:rPr>
          <w:lang w:val="fr-FR"/>
        </w:rPr>
        <w:t xml:space="preserve"> résultat</w:t>
      </w:r>
      <w:r>
        <w:rPr>
          <w:lang w:val="fr-FR"/>
        </w:rPr>
        <w:t>s</w:t>
      </w:r>
      <w:r w:rsidRPr="00686CD4">
        <w:rPr>
          <w:lang w:val="fr-FR"/>
        </w:rPr>
        <w:t>. Le Fonds donne accès à un soutien financier pour promouvoir la communauté rom et lutter contre la discrimination à son égard. Il a financé 11</w:t>
      </w:r>
      <w:r>
        <w:rPr>
          <w:lang w:val="fr-FR"/>
        </w:rPr>
        <w:t> </w:t>
      </w:r>
      <w:r w:rsidRPr="00686CD4">
        <w:rPr>
          <w:lang w:val="fr-FR"/>
        </w:rPr>
        <w:t xml:space="preserve">projets </w:t>
      </w:r>
      <w:r w:rsidR="00B545C2">
        <w:rPr>
          <w:lang w:val="fr-FR"/>
        </w:rPr>
        <w:t xml:space="preserve">en </w:t>
      </w:r>
      <w:r w:rsidRPr="00686CD4">
        <w:rPr>
          <w:lang w:val="fr-FR"/>
        </w:rPr>
        <w:t>2015 et 2</w:t>
      </w:r>
      <w:r>
        <w:rPr>
          <w:lang w:val="fr-FR"/>
        </w:rPr>
        <w:t>1</w:t>
      </w:r>
      <w:r w:rsidR="00495D0F">
        <w:rPr>
          <w:lang w:val="fr-FR"/>
        </w:rPr>
        <w:t xml:space="preserve"> </w:t>
      </w:r>
      <w:r w:rsidRPr="00686CD4">
        <w:rPr>
          <w:lang w:val="fr-FR"/>
        </w:rPr>
        <w:t xml:space="preserve">projets </w:t>
      </w:r>
      <w:r w:rsidR="00B545C2">
        <w:rPr>
          <w:lang w:val="fr-FR"/>
        </w:rPr>
        <w:t xml:space="preserve">en </w:t>
      </w:r>
      <w:r w:rsidRPr="00686CD4">
        <w:rPr>
          <w:lang w:val="fr-FR"/>
        </w:rPr>
        <w:t>2016, répartis sur l</w:t>
      </w:r>
      <w:r>
        <w:rPr>
          <w:lang w:val="fr-FR"/>
        </w:rPr>
        <w:t>’</w:t>
      </w:r>
      <w:r w:rsidRPr="00686CD4">
        <w:rPr>
          <w:lang w:val="fr-FR"/>
        </w:rPr>
        <w:t>ensemble du territoire.</w:t>
      </w:r>
    </w:p>
    <w:p w:rsidR="002A7A34" w:rsidRPr="00686CD4" w:rsidRDefault="002A7A34" w:rsidP="00A410F8">
      <w:pPr>
        <w:pStyle w:val="SingleTxtG"/>
        <w:rPr>
          <w:lang w:val="fr-FR"/>
        </w:rPr>
      </w:pPr>
      <w:r w:rsidRPr="00686CD4">
        <w:rPr>
          <w:lang w:val="fr-FR"/>
        </w:rPr>
        <w:t>309.</w:t>
      </w:r>
      <w:r w:rsidRPr="00686CD4">
        <w:rPr>
          <w:lang w:val="fr-FR"/>
        </w:rPr>
        <w:tab/>
        <w:t>Un groupe consultatif pour l</w:t>
      </w:r>
      <w:r>
        <w:rPr>
          <w:lang w:val="fr-FR"/>
        </w:rPr>
        <w:t>’</w:t>
      </w:r>
      <w:r w:rsidRPr="00686CD4">
        <w:rPr>
          <w:lang w:val="fr-FR"/>
        </w:rPr>
        <w:t xml:space="preserve">intégration de la communauté rom (CONCIG) a été créé </w:t>
      </w:r>
      <w:r w:rsidR="00B545C2">
        <w:rPr>
          <w:lang w:val="fr-FR"/>
        </w:rPr>
        <w:t xml:space="preserve">en </w:t>
      </w:r>
      <w:r w:rsidRPr="00686CD4">
        <w:rPr>
          <w:lang w:val="fr-FR"/>
        </w:rPr>
        <w:t>2013 dans le cadre de la Stratégie nationale d</w:t>
      </w:r>
      <w:r>
        <w:rPr>
          <w:lang w:val="fr-FR"/>
        </w:rPr>
        <w:t>’</w:t>
      </w:r>
      <w:r w:rsidRPr="00686CD4">
        <w:rPr>
          <w:lang w:val="fr-FR"/>
        </w:rPr>
        <w:t>intégration de la communauté rom. Il</w:t>
      </w:r>
      <w:r w:rsidR="001B0631">
        <w:rPr>
          <w:lang w:val="fr-FR"/>
        </w:rPr>
        <w:t> </w:t>
      </w:r>
      <w:r w:rsidRPr="00686CD4">
        <w:rPr>
          <w:lang w:val="fr-FR"/>
        </w:rPr>
        <w:t xml:space="preserve"> contribue largement à améliorer la qualité du processus de suivi et d</w:t>
      </w:r>
      <w:r>
        <w:rPr>
          <w:lang w:val="fr-FR"/>
        </w:rPr>
        <w:t>’</w:t>
      </w:r>
      <w:r w:rsidRPr="00686CD4">
        <w:rPr>
          <w:lang w:val="fr-FR"/>
        </w:rPr>
        <w:t xml:space="preserve">évaluation de la stratégie, </w:t>
      </w:r>
      <w:r>
        <w:rPr>
          <w:lang w:val="fr-FR"/>
        </w:rPr>
        <w:t xml:space="preserve">et aussi à </w:t>
      </w:r>
      <w:r w:rsidRPr="00686CD4">
        <w:rPr>
          <w:lang w:val="fr-FR"/>
        </w:rPr>
        <w:t>surveill</w:t>
      </w:r>
      <w:r>
        <w:rPr>
          <w:lang w:val="fr-FR"/>
        </w:rPr>
        <w:t xml:space="preserve">er </w:t>
      </w:r>
      <w:r w:rsidRPr="00686CD4">
        <w:rPr>
          <w:lang w:val="fr-FR"/>
        </w:rPr>
        <w:t>la situation de la communauté rom. Le groupe consultatif comprend 22 représentants d</w:t>
      </w:r>
      <w:r>
        <w:rPr>
          <w:lang w:val="fr-FR"/>
        </w:rPr>
        <w:t>’</w:t>
      </w:r>
      <w:r w:rsidRPr="00686CD4">
        <w:rPr>
          <w:lang w:val="fr-FR"/>
        </w:rPr>
        <w:t>administrations publiques (Ministère des affaires intérieures, Ministère de l</w:t>
      </w:r>
      <w:r>
        <w:rPr>
          <w:lang w:val="fr-FR"/>
        </w:rPr>
        <w:t>’</w:t>
      </w:r>
      <w:r w:rsidRPr="00686CD4">
        <w:rPr>
          <w:lang w:val="fr-FR"/>
        </w:rPr>
        <w:t>environnement, Ministère de l</w:t>
      </w:r>
      <w:r>
        <w:rPr>
          <w:lang w:val="fr-FR"/>
        </w:rPr>
        <w:t>’</w:t>
      </w:r>
      <w:r w:rsidRPr="00686CD4">
        <w:rPr>
          <w:lang w:val="fr-FR"/>
        </w:rPr>
        <w:t>éducation, Ministère de la justice, Ministère de la santé, Ministère du travail, de la solidarité et de la sécurité sociale, et administrations régionales de Madère et des Açores) et d</w:t>
      </w:r>
      <w:r>
        <w:rPr>
          <w:lang w:val="fr-FR"/>
        </w:rPr>
        <w:t>’</w:t>
      </w:r>
      <w:r w:rsidRPr="00686CD4">
        <w:rPr>
          <w:lang w:val="fr-FR"/>
        </w:rPr>
        <w:t>autres entités publiques et privées (notamment des universités et des instituts de recherche) ainsi que des représentants de la communauté rom. Il est important de noter que des membres des forces de sécurité (Police de sécurité publique et Garde nationale républicaine) participe</w:t>
      </w:r>
      <w:r>
        <w:rPr>
          <w:lang w:val="fr-FR"/>
        </w:rPr>
        <w:t>nt</w:t>
      </w:r>
      <w:r w:rsidRPr="00686CD4">
        <w:rPr>
          <w:lang w:val="fr-FR"/>
        </w:rPr>
        <w:t xml:space="preserve"> à ce groupe consultatif.</w:t>
      </w:r>
    </w:p>
    <w:p w:rsidR="002A7A34" w:rsidRPr="00686CD4" w:rsidRDefault="002A7A34" w:rsidP="00A410F8">
      <w:pPr>
        <w:pStyle w:val="SingleTxtG"/>
        <w:rPr>
          <w:lang w:val="fr-FR"/>
        </w:rPr>
      </w:pPr>
      <w:r w:rsidRPr="00686CD4">
        <w:rPr>
          <w:lang w:val="fr-FR"/>
        </w:rPr>
        <w:t>310.</w:t>
      </w:r>
      <w:r w:rsidRPr="00686CD4">
        <w:rPr>
          <w:lang w:val="fr-FR"/>
        </w:rPr>
        <w:tab/>
        <w:t xml:space="preserve">Il est actuellement procédé à </w:t>
      </w:r>
      <w:r>
        <w:rPr>
          <w:lang w:val="fr-FR"/>
        </w:rPr>
        <w:t>l</w:t>
      </w:r>
      <w:r w:rsidRPr="00686CD4">
        <w:rPr>
          <w:lang w:val="fr-FR"/>
        </w:rPr>
        <w:t>a révision de la Stratégie nationale d</w:t>
      </w:r>
      <w:r>
        <w:rPr>
          <w:lang w:val="fr-FR"/>
        </w:rPr>
        <w:t>’</w:t>
      </w:r>
      <w:r w:rsidRPr="00686CD4">
        <w:rPr>
          <w:lang w:val="fr-FR"/>
        </w:rPr>
        <w:t xml:space="preserve">intégration de la communauté rom dans le but de présenter des mesures et des indicateurs plus clairs et plus efficaces. Cette révision a donné lieu à des consultations avec des associations </w:t>
      </w:r>
      <w:r w:rsidR="00B545C2">
        <w:rPr>
          <w:lang w:val="fr-FR"/>
        </w:rPr>
        <w:t xml:space="preserve">en </w:t>
      </w:r>
      <w:r>
        <w:rPr>
          <w:lang w:val="fr-FR"/>
        </w:rPr>
        <w:t>2</w:t>
      </w:r>
      <w:r w:rsidRPr="00686CD4">
        <w:rPr>
          <w:lang w:val="fr-FR"/>
        </w:rPr>
        <w:t>017. Le</w:t>
      </w:r>
      <w:r w:rsidR="00A410F8">
        <w:rPr>
          <w:lang w:val="fr-FR"/>
        </w:rPr>
        <w:t> </w:t>
      </w:r>
      <w:r w:rsidRPr="00686CD4">
        <w:rPr>
          <w:lang w:val="fr-FR"/>
        </w:rPr>
        <w:t>Haut-Commissariat pour les migrations accorde une importance considérable à la participation de la communauté rom à l</w:t>
      </w:r>
      <w:r>
        <w:rPr>
          <w:lang w:val="fr-FR"/>
        </w:rPr>
        <w:t>’</w:t>
      </w:r>
      <w:r w:rsidRPr="00686CD4">
        <w:rPr>
          <w:lang w:val="fr-FR"/>
        </w:rPr>
        <w:t>ensemble du processus et</w:t>
      </w:r>
      <w:r>
        <w:rPr>
          <w:lang w:val="fr-FR"/>
        </w:rPr>
        <w:t xml:space="preserve"> a</w:t>
      </w:r>
      <w:r w:rsidRPr="00686CD4">
        <w:rPr>
          <w:lang w:val="fr-FR"/>
        </w:rPr>
        <w:t xml:space="preserve">, </w:t>
      </w:r>
      <w:r>
        <w:rPr>
          <w:lang w:val="fr-FR"/>
        </w:rPr>
        <w:t>jusqu’à présent,</w:t>
      </w:r>
      <w:r w:rsidRPr="00686CD4">
        <w:rPr>
          <w:lang w:val="fr-FR"/>
        </w:rPr>
        <w:t xml:space="preserve"> favorisé l</w:t>
      </w:r>
      <w:r>
        <w:rPr>
          <w:lang w:val="fr-FR"/>
        </w:rPr>
        <w:t>’</w:t>
      </w:r>
      <w:r w:rsidRPr="00686CD4">
        <w:rPr>
          <w:lang w:val="fr-FR"/>
        </w:rPr>
        <w:t xml:space="preserve">organisation de deux ateliers de consultation à Lisbonne. Le Gouvernement portugais est déterminé à poursuivre la révision de la stratégie nationale qui devrait être achevée </w:t>
      </w:r>
      <w:r w:rsidR="00B545C2">
        <w:rPr>
          <w:lang w:val="fr-FR"/>
        </w:rPr>
        <w:t xml:space="preserve">en </w:t>
      </w:r>
      <w:r w:rsidRPr="00686CD4">
        <w:rPr>
          <w:lang w:val="fr-FR"/>
        </w:rPr>
        <w:t>2018.</w:t>
      </w:r>
    </w:p>
    <w:p w:rsidR="002A7A34" w:rsidRPr="00686CD4" w:rsidRDefault="002A7A34" w:rsidP="00A410F8">
      <w:pPr>
        <w:pStyle w:val="H23G"/>
        <w:jc w:val="both"/>
        <w:rPr>
          <w:lang w:val="fr-FR"/>
        </w:rPr>
      </w:pPr>
      <w:r w:rsidRPr="00686CD4">
        <w:rPr>
          <w:lang w:val="fr-FR"/>
        </w:rPr>
        <w:tab/>
        <w:t>21.</w:t>
      </w:r>
      <w:r w:rsidRPr="00686CD4">
        <w:rPr>
          <w:lang w:val="fr-FR"/>
        </w:rPr>
        <w:tab/>
        <w:t>Compte tenu des précédentes observations finales du Comité (par. 16), donner des informations sur les mesures prises pour que les armes à impulsion électrique (</w:t>
      </w:r>
      <w:proofErr w:type="spellStart"/>
      <w:r w:rsidRPr="00686CD4">
        <w:rPr>
          <w:lang w:val="fr-FR"/>
        </w:rPr>
        <w:t>Taser</w:t>
      </w:r>
      <w:proofErr w:type="spellEnd"/>
      <w:r w:rsidRPr="00686CD4">
        <w:rPr>
          <w:lang w:val="fr-FR"/>
        </w:rPr>
        <w:t>) ne fassent pas partie de l</w:t>
      </w:r>
      <w:r>
        <w:rPr>
          <w:lang w:val="fr-FR"/>
        </w:rPr>
        <w:t>’</w:t>
      </w:r>
      <w:r w:rsidRPr="00686CD4">
        <w:rPr>
          <w:lang w:val="fr-FR"/>
        </w:rPr>
        <w:t>équipement du personnel de surveillance dans les prisons ou dans tout autre lieu de privation de liberté. Indiquer également si des mesures ont été prises pour surveiller l</w:t>
      </w:r>
      <w:r>
        <w:rPr>
          <w:lang w:val="fr-FR"/>
        </w:rPr>
        <w:t>’</w:t>
      </w:r>
      <w:r w:rsidRPr="00686CD4">
        <w:rPr>
          <w:lang w:val="fr-FR"/>
        </w:rPr>
        <w:t>utilisation de ces armes en instaurant un système de signalement et de contrôles obligatoires, et pour limiter leur utilisation aux situations extrêmes dans lesquelles il existe un danger réel et immédiat de mort ou de blessure grave</w:t>
      </w:r>
      <w:r w:rsidR="00A410F8">
        <w:rPr>
          <w:lang w:val="fr-FR"/>
        </w:rPr>
        <w:t>.</w:t>
      </w:r>
    </w:p>
    <w:p w:rsidR="002A7A34" w:rsidRPr="00686CD4" w:rsidRDefault="002A7A34" w:rsidP="00A410F8">
      <w:pPr>
        <w:pStyle w:val="SingleTxtG"/>
        <w:rPr>
          <w:lang w:val="fr-FR"/>
        </w:rPr>
      </w:pPr>
      <w:bookmarkStart w:id="99" w:name="_Toc532494702"/>
      <w:bookmarkEnd w:id="99"/>
      <w:r w:rsidRPr="00686CD4">
        <w:rPr>
          <w:lang w:val="fr-FR"/>
        </w:rPr>
        <w:t>311.</w:t>
      </w:r>
      <w:r w:rsidRPr="00686CD4">
        <w:rPr>
          <w:lang w:val="fr-FR"/>
        </w:rPr>
        <w:tab/>
        <w:t>Voir la réponse donnée au paragraphe 18</w:t>
      </w:r>
      <w:r w:rsidR="001B0631">
        <w:rPr>
          <w:lang w:val="fr-FR"/>
        </w:rPr>
        <w:t> </w:t>
      </w:r>
      <w:r w:rsidRPr="00686CD4">
        <w:rPr>
          <w:lang w:val="fr-FR"/>
        </w:rPr>
        <w:t xml:space="preserve">a). </w:t>
      </w:r>
    </w:p>
    <w:p w:rsidR="002A7A34" w:rsidRPr="00686CD4" w:rsidRDefault="002A7A34" w:rsidP="00A410F8">
      <w:pPr>
        <w:pStyle w:val="SingleTxtG"/>
        <w:rPr>
          <w:lang w:val="fr-FR"/>
        </w:rPr>
      </w:pPr>
      <w:r w:rsidRPr="00686CD4">
        <w:rPr>
          <w:lang w:val="fr-FR"/>
        </w:rPr>
        <w:t>312.</w:t>
      </w:r>
      <w:r w:rsidRPr="00686CD4">
        <w:rPr>
          <w:lang w:val="fr-FR"/>
        </w:rPr>
        <w:tab/>
        <w:t>Depuis</w:t>
      </w:r>
      <w:r>
        <w:rPr>
          <w:lang w:val="fr-FR"/>
        </w:rPr>
        <w:t> </w:t>
      </w:r>
      <w:r w:rsidRPr="00686CD4">
        <w:rPr>
          <w:lang w:val="fr-FR"/>
        </w:rPr>
        <w:t>2010, aucune arme à impulsion électrique (</w:t>
      </w:r>
      <w:proofErr w:type="spellStart"/>
      <w:r w:rsidRPr="00686CD4">
        <w:rPr>
          <w:lang w:val="fr-FR"/>
        </w:rPr>
        <w:t>Taser</w:t>
      </w:r>
      <w:proofErr w:type="spellEnd"/>
      <w:r w:rsidRPr="00686CD4">
        <w:rPr>
          <w:lang w:val="fr-FR"/>
        </w:rPr>
        <w:t>) n</w:t>
      </w:r>
      <w:r>
        <w:rPr>
          <w:lang w:val="fr-FR"/>
        </w:rPr>
        <w:t>’</w:t>
      </w:r>
      <w:r w:rsidRPr="00686CD4">
        <w:rPr>
          <w:lang w:val="fr-FR"/>
        </w:rPr>
        <w:t>est utilisée dans les prisons.</w:t>
      </w:r>
    </w:p>
    <w:p w:rsidR="002A7A34" w:rsidRPr="00686CD4" w:rsidRDefault="002A7A34" w:rsidP="00A410F8">
      <w:pPr>
        <w:pStyle w:val="SingleTxtG"/>
        <w:rPr>
          <w:lang w:val="fr-FR"/>
        </w:rPr>
      </w:pPr>
      <w:r w:rsidRPr="00686CD4">
        <w:rPr>
          <w:lang w:val="fr-FR"/>
        </w:rPr>
        <w:t>313.</w:t>
      </w:r>
      <w:r w:rsidRPr="00686CD4">
        <w:rPr>
          <w:lang w:val="fr-FR"/>
        </w:rPr>
        <w:tab/>
        <w:t>L</w:t>
      </w:r>
      <w:r>
        <w:rPr>
          <w:lang w:val="fr-FR"/>
        </w:rPr>
        <w:t>’</w:t>
      </w:r>
      <w:r w:rsidRPr="00686CD4">
        <w:rPr>
          <w:lang w:val="fr-FR"/>
        </w:rPr>
        <w:t>emploi d</w:t>
      </w:r>
      <w:r>
        <w:rPr>
          <w:lang w:val="fr-FR"/>
        </w:rPr>
        <w:t>’</w:t>
      </w:r>
      <w:r w:rsidRPr="00686CD4">
        <w:rPr>
          <w:lang w:val="fr-FR"/>
        </w:rPr>
        <w:t>armes à impulsion électrique est régi par l</w:t>
      </w:r>
      <w:r>
        <w:rPr>
          <w:lang w:val="fr-FR"/>
        </w:rPr>
        <w:t>’</w:t>
      </w:r>
      <w:r w:rsidRPr="00686CD4">
        <w:rPr>
          <w:lang w:val="fr-FR"/>
        </w:rPr>
        <w:t xml:space="preserve">article 11 </w:t>
      </w:r>
      <w:r>
        <w:rPr>
          <w:lang w:val="fr-FR"/>
        </w:rPr>
        <w:t xml:space="preserve">du </w:t>
      </w:r>
      <w:r w:rsidRPr="00686CD4">
        <w:rPr>
          <w:lang w:val="fr-FR"/>
        </w:rPr>
        <w:t>RUMPEC. L</w:t>
      </w:r>
      <w:r>
        <w:rPr>
          <w:lang w:val="fr-FR"/>
        </w:rPr>
        <w:t>’</w:t>
      </w:r>
      <w:r w:rsidRPr="00686CD4">
        <w:rPr>
          <w:lang w:val="fr-FR"/>
        </w:rPr>
        <w:t xml:space="preserve">ordonnance </w:t>
      </w:r>
      <w:r w:rsidR="00A410F8" w:rsidRPr="00553571">
        <w:rPr>
          <w:rFonts w:eastAsia="MS Mincho"/>
          <w:lang w:val="fr-FR"/>
        </w:rPr>
        <w:t>n</w:t>
      </w:r>
      <w:r w:rsidR="00A410F8" w:rsidRPr="00553571">
        <w:rPr>
          <w:rFonts w:eastAsia="MS Mincho"/>
          <w:vertAlign w:val="superscript"/>
          <w:lang w:val="fr-FR"/>
        </w:rPr>
        <w:t>o</w:t>
      </w:r>
      <w:r w:rsidR="00A410F8">
        <w:rPr>
          <w:lang w:val="fr-FR"/>
        </w:rPr>
        <w:t> </w:t>
      </w:r>
      <w:r w:rsidRPr="00686CD4">
        <w:rPr>
          <w:lang w:val="fr-FR"/>
        </w:rPr>
        <w:t>5801/2011 en date du 28 mars du Ministère de la justice restreint encore plus l</w:t>
      </w:r>
      <w:r>
        <w:rPr>
          <w:lang w:val="fr-FR"/>
        </w:rPr>
        <w:t>’</w:t>
      </w:r>
      <w:r w:rsidRPr="00686CD4">
        <w:rPr>
          <w:lang w:val="fr-FR"/>
        </w:rPr>
        <w:t>utilisation de ces armes.</w:t>
      </w:r>
    </w:p>
    <w:p w:rsidR="002A7A34" w:rsidRPr="00686CD4" w:rsidRDefault="002A7A34" w:rsidP="00A410F8">
      <w:pPr>
        <w:pStyle w:val="SingleTxtG"/>
        <w:rPr>
          <w:lang w:val="fr-FR"/>
        </w:rPr>
      </w:pPr>
      <w:r w:rsidRPr="00686CD4">
        <w:rPr>
          <w:lang w:val="fr-FR"/>
        </w:rPr>
        <w:t>314.</w:t>
      </w:r>
      <w:r w:rsidRPr="00686CD4">
        <w:rPr>
          <w:lang w:val="fr-FR"/>
        </w:rPr>
        <w:tab/>
        <w:t xml:space="preserve">La circulaire </w:t>
      </w:r>
      <w:r w:rsidR="00A410F8" w:rsidRPr="00553571">
        <w:rPr>
          <w:rFonts w:eastAsia="MS Mincho"/>
          <w:lang w:val="fr-FR"/>
        </w:rPr>
        <w:t>n</w:t>
      </w:r>
      <w:r w:rsidR="00A410F8" w:rsidRPr="00553571">
        <w:rPr>
          <w:rFonts w:eastAsia="MS Mincho"/>
          <w:vertAlign w:val="superscript"/>
          <w:lang w:val="fr-FR"/>
        </w:rPr>
        <w:t>o</w:t>
      </w:r>
      <w:r w:rsidR="00A410F8">
        <w:rPr>
          <w:lang w:val="fr-FR"/>
        </w:rPr>
        <w:t> </w:t>
      </w:r>
      <w:r w:rsidRPr="00686CD4">
        <w:rPr>
          <w:lang w:val="fr-FR"/>
        </w:rPr>
        <w:t>15/2014-P relative au recours à la force dans le cadre d</w:t>
      </w:r>
      <w:r>
        <w:rPr>
          <w:lang w:val="fr-FR"/>
        </w:rPr>
        <w:t>’</w:t>
      </w:r>
      <w:r w:rsidRPr="00686CD4">
        <w:rPr>
          <w:lang w:val="fr-FR"/>
        </w:rPr>
        <w:t>interventions de police, le Manuel des opérations et le Manuel des programmes opérationnels régissent</w:t>
      </w:r>
      <w:r>
        <w:rPr>
          <w:lang w:val="fr-FR"/>
        </w:rPr>
        <w:t xml:space="preserve"> les </w:t>
      </w:r>
      <w:r w:rsidRPr="00686CD4">
        <w:rPr>
          <w:lang w:val="fr-FR"/>
        </w:rPr>
        <w:t>opérations des forces de police.</w:t>
      </w:r>
    </w:p>
    <w:p w:rsidR="002A7A34" w:rsidRPr="00686CD4" w:rsidRDefault="002A7A34" w:rsidP="00A410F8">
      <w:pPr>
        <w:pStyle w:val="H23G"/>
        <w:jc w:val="both"/>
        <w:rPr>
          <w:lang w:val="fr-FR"/>
        </w:rPr>
      </w:pPr>
      <w:r w:rsidRPr="00686CD4">
        <w:rPr>
          <w:lang w:val="fr-FR"/>
        </w:rPr>
        <w:lastRenderedPageBreak/>
        <w:tab/>
        <w:t>22.</w:t>
      </w:r>
      <w:r w:rsidRPr="00686CD4">
        <w:rPr>
          <w:lang w:val="fr-FR"/>
        </w:rPr>
        <w:tab/>
        <w:t>Donner des informations sur les mesures prises depuis le dernier examen périodique en vue de mettre fin à la pratique des châtiments corporels dans tous les lieux, y</w:t>
      </w:r>
      <w:r w:rsidR="00A410F8">
        <w:rPr>
          <w:lang w:val="fr-FR"/>
        </w:rPr>
        <w:t> </w:t>
      </w:r>
      <w:r w:rsidRPr="00686CD4">
        <w:rPr>
          <w:lang w:val="fr-FR"/>
        </w:rPr>
        <w:t>compris à la maison, notamment sur les campagnes de sensibilisation qui ont été menées et sur les programmes d</w:t>
      </w:r>
      <w:r>
        <w:rPr>
          <w:lang w:val="fr-FR"/>
        </w:rPr>
        <w:t>’</w:t>
      </w:r>
      <w:r w:rsidRPr="00686CD4">
        <w:rPr>
          <w:lang w:val="fr-FR"/>
        </w:rPr>
        <w:t>éducation des parents qui ont été mis en place.</w:t>
      </w:r>
      <w:bookmarkStart w:id="100" w:name="_Toc532494703"/>
      <w:bookmarkEnd w:id="100"/>
    </w:p>
    <w:p w:rsidR="002A7A34" w:rsidRPr="00686CD4" w:rsidRDefault="002A7A34" w:rsidP="00A410F8">
      <w:pPr>
        <w:pStyle w:val="SingleTxtG"/>
        <w:rPr>
          <w:lang w:val="fr-FR"/>
        </w:rPr>
      </w:pPr>
      <w:r w:rsidRPr="00686CD4">
        <w:rPr>
          <w:lang w:val="fr-FR"/>
        </w:rPr>
        <w:t>315.</w:t>
      </w:r>
      <w:r w:rsidRPr="00686CD4">
        <w:rPr>
          <w:lang w:val="fr-FR"/>
        </w:rPr>
        <w:tab/>
        <w:t>La criminalisation des châtiments corporels en vertu de l</w:t>
      </w:r>
      <w:r>
        <w:rPr>
          <w:lang w:val="fr-FR"/>
        </w:rPr>
        <w:t>’</w:t>
      </w:r>
      <w:r w:rsidRPr="00686CD4">
        <w:rPr>
          <w:lang w:val="fr-FR"/>
        </w:rPr>
        <w:t>article 152-A du Code pénal donne lieu à un rejet progressif des mesures disciplinaires violentes. La jurisprudence récente établit clairement que les parents et les éducateurs ne sont pas autorisés à recourir à des châtiments corporels à des fins d</w:t>
      </w:r>
      <w:r>
        <w:rPr>
          <w:lang w:val="fr-FR"/>
        </w:rPr>
        <w:t>’</w:t>
      </w:r>
      <w:r w:rsidRPr="00686CD4">
        <w:rPr>
          <w:lang w:val="fr-FR"/>
        </w:rPr>
        <w:t>éducation (</w:t>
      </w:r>
      <w:proofErr w:type="spellStart"/>
      <w:r w:rsidRPr="00686CD4">
        <w:rPr>
          <w:i/>
          <w:lang w:val="fr-FR"/>
        </w:rPr>
        <w:t>Acórdão</w:t>
      </w:r>
      <w:proofErr w:type="spellEnd"/>
      <w:r w:rsidRPr="00686CD4">
        <w:rPr>
          <w:i/>
          <w:lang w:val="fr-FR"/>
        </w:rPr>
        <w:t xml:space="preserve"> do Tribunal da </w:t>
      </w:r>
      <w:proofErr w:type="spellStart"/>
      <w:r w:rsidRPr="00686CD4">
        <w:rPr>
          <w:i/>
          <w:lang w:val="fr-FR"/>
        </w:rPr>
        <w:t>Relação</w:t>
      </w:r>
      <w:proofErr w:type="spellEnd"/>
      <w:r w:rsidRPr="00686CD4">
        <w:rPr>
          <w:i/>
          <w:lang w:val="fr-FR"/>
        </w:rPr>
        <w:t xml:space="preserve"> de Lisboa</w:t>
      </w:r>
      <w:r w:rsidRPr="00686CD4">
        <w:rPr>
          <w:lang w:val="fr-FR"/>
        </w:rPr>
        <w:t xml:space="preserve"> 413/15.3PFAMD.L1-3). </w:t>
      </w:r>
    </w:p>
    <w:p w:rsidR="002A7A34" w:rsidRPr="00686CD4" w:rsidRDefault="002A7A34" w:rsidP="00A410F8">
      <w:pPr>
        <w:pStyle w:val="SingleTxtG"/>
        <w:rPr>
          <w:lang w:val="fr-FR"/>
        </w:rPr>
      </w:pPr>
      <w:r w:rsidRPr="00686CD4">
        <w:rPr>
          <w:lang w:val="fr-FR"/>
        </w:rPr>
        <w:t>316.</w:t>
      </w:r>
      <w:r w:rsidRPr="00686CD4">
        <w:rPr>
          <w:lang w:val="fr-FR"/>
        </w:rPr>
        <w:tab/>
        <w:t xml:space="preserve">Pour mieux faire prendre conscience de la violence contre les enfants, </w:t>
      </w:r>
      <w:r>
        <w:rPr>
          <w:lang w:val="fr-FR"/>
        </w:rPr>
        <w:t>le M</w:t>
      </w:r>
      <w:r w:rsidRPr="00686CD4">
        <w:rPr>
          <w:lang w:val="fr-FR"/>
        </w:rPr>
        <w:t>inistère de la justice, en collaboration avec la Commission nationale pour la promotion des droits et la protection de l</w:t>
      </w:r>
      <w:r>
        <w:rPr>
          <w:lang w:val="fr-FR"/>
        </w:rPr>
        <w:t>’</w:t>
      </w:r>
      <w:r w:rsidRPr="00686CD4">
        <w:rPr>
          <w:lang w:val="fr-FR"/>
        </w:rPr>
        <w:t>enfance et de la jeunesse, a entrepris un examen juridique de la traduction en portugais de l</w:t>
      </w:r>
      <w:r>
        <w:rPr>
          <w:lang w:val="fr-FR"/>
        </w:rPr>
        <w:t>’</w:t>
      </w:r>
      <w:r w:rsidR="00A410F8">
        <w:rPr>
          <w:lang w:val="fr-FR"/>
        </w:rPr>
        <w:t>o</w:t>
      </w:r>
      <w:r w:rsidRPr="00686CD4">
        <w:rPr>
          <w:lang w:val="fr-FR"/>
        </w:rPr>
        <w:t xml:space="preserve">bservation générale </w:t>
      </w:r>
      <w:r w:rsidR="00A410F8" w:rsidRPr="00553571">
        <w:rPr>
          <w:rFonts w:eastAsia="MS Mincho"/>
          <w:lang w:val="fr-FR"/>
        </w:rPr>
        <w:t>n</w:t>
      </w:r>
      <w:r w:rsidR="00A410F8" w:rsidRPr="00553571">
        <w:rPr>
          <w:rFonts w:eastAsia="MS Mincho"/>
          <w:vertAlign w:val="superscript"/>
          <w:lang w:val="fr-FR"/>
        </w:rPr>
        <w:t>o</w:t>
      </w:r>
      <w:r w:rsidR="00A410F8">
        <w:rPr>
          <w:lang w:val="fr-FR"/>
        </w:rPr>
        <w:t> </w:t>
      </w:r>
      <w:r w:rsidRPr="00686CD4">
        <w:rPr>
          <w:lang w:val="fr-FR"/>
        </w:rPr>
        <w:t>13 du Comité des droits de l</w:t>
      </w:r>
      <w:r>
        <w:rPr>
          <w:lang w:val="fr-FR"/>
        </w:rPr>
        <w:t>’</w:t>
      </w:r>
      <w:r w:rsidRPr="00686CD4">
        <w:rPr>
          <w:lang w:val="fr-FR"/>
        </w:rPr>
        <w:t>enfant</w:t>
      </w:r>
      <w:r w:rsidR="00495D0F">
        <w:rPr>
          <w:lang w:val="fr-FR"/>
        </w:rPr>
        <w:t> ;</w:t>
      </w:r>
      <w:r>
        <w:rPr>
          <w:lang w:val="fr-FR"/>
        </w:rPr>
        <w:t xml:space="preserve"> c’est-à-dire</w:t>
      </w:r>
      <w:r w:rsidRPr="00686CD4">
        <w:rPr>
          <w:lang w:val="fr-FR"/>
        </w:rPr>
        <w:t xml:space="preserve"> « Le droit de l</w:t>
      </w:r>
      <w:r>
        <w:rPr>
          <w:lang w:val="fr-FR"/>
        </w:rPr>
        <w:t>’</w:t>
      </w:r>
      <w:r w:rsidRPr="00686CD4">
        <w:rPr>
          <w:lang w:val="fr-FR"/>
        </w:rPr>
        <w:t>enfant d</w:t>
      </w:r>
      <w:r>
        <w:rPr>
          <w:lang w:val="fr-FR"/>
        </w:rPr>
        <w:t>’</w:t>
      </w:r>
      <w:r w:rsidRPr="00686CD4">
        <w:rPr>
          <w:lang w:val="fr-FR"/>
        </w:rPr>
        <w:t xml:space="preserve">être protégé contre toutes les formes de violence ». </w:t>
      </w:r>
    </w:p>
    <w:p w:rsidR="002A7A34" w:rsidRPr="00686CD4" w:rsidRDefault="002A7A34" w:rsidP="00A410F8">
      <w:pPr>
        <w:pStyle w:val="SingleTxtG"/>
        <w:rPr>
          <w:lang w:val="fr-FR"/>
        </w:rPr>
      </w:pPr>
      <w:r w:rsidRPr="00686CD4">
        <w:rPr>
          <w:lang w:val="fr-FR"/>
        </w:rPr>
        <w:t>317.</w:t>
      </w:r>
      <w:r w:rsidRPr="00686CD4">
        <w:rPr>
          <w:lang w:val="fr-FR"/>
        </w:rPr>
        <w:tab/>
        <w:t>Le développement de la responsabilité parentale est l</w:t>
      </w:r>
      <w:r>
        <w:rPr>
          <w:lang w:val="fr-FR"/>
        </w:rPr>
        <w:t>’</w:t>
      </w:r>
      <w:r w:rsidRPr="00686CD4">
        <w:rPr>
          <w:lang w:val="fr-FR"/>
        </w:rPr>
        <w:t>un des objectifs du Programme national de santé des enfants et des jeunes, et les services de santé primaires organisent des séances en groupe pour préparer les parents à élever leurs enfants en favorisant l</w:t>
      </w:r>
      <w:r>
        <w:rPr>
          <w:lang w:val="fr-FR"/>
        </w:rPr>
        <w:t>’</w:t>
      </w:r>
      <w:r w:rsidRPr="00686CD4">
        <w:rPr>
          <w:lang w:val="fr-FR"/>
        </w:rPr>
        <w:t>acquisition de compétences positives en matière d</w:t>
      </w:r>
      <w:r>
        <w:rPr>
          <w:lang w:val="fr-FR"/>
        </w:rPr>
        <w:t>’</w:t>
      </w:r>
      <w:r w:rsidRPr="00686CD4">
        <w:rPr>
          <w:lang w:val="fr-FR"/>
        </w:rPr>
        <w:t>éducation des enfants.</w:t>
      </w:r>
    </w:p>
    <w:p w:rsidR="002A7A34" w:rsidRPr="00686CD4" w:rsidRDefault="002A7A34" w:rsidP="002A7A34">
      <w:pPr>
        <w:pStyle w:val="SingleTxtG"/>
        <w:rPr>
          <w:lang w:val="fr-FR"/>
        </w:rPr>
      </w:pPr>
      <w:r w:rsidRPr="00686CD4">
        <w:rPr>
          <w:lang w:val="fr-FR"/>
        </w:rPr>
        <w:t>318.</w:t>
      </w:r>
      <w:r w:rsidRPr="00686CD4">
        <w:rPr>
          <w:lang w:val="fr-FR"/>
        </w:rPr>
        <w:tab/>
        <w:t xml:space="preserve">Le </w:t>
      </w:r>
      <w:r>
        <w:rPr>
          <w:lang w:val="fr-FR"/>
        </w:rPr>
        <w:t>M</w:t>
      </w:r>
      <w:r w:rsidRPr="00686CD4">
        <w:rPr>
          <w:lang w:val="fr-FR"/>
        </w:rPr>
        <w:t>inistère de la santé collabore également avec d</w:t>
      </w:r>
      <w:r>
        <w:rPr>
          <w:lang w:val="fr-FR"/>
        </w:rPr>
        <w:t>’</w:t>
      </w:r>
      <w:r w:rsidRPr="00686CD4">
        <w:rPr>
          <w:lang w:val="fr-FR"/>
        </w:rPr>
        <w:t>autres ministères et institutions à l</w:t>
      </w:r>
      <w:r>
        <w:rPr>
          <w:lang w:val="fr-FR"/>
        </w:rPr>
        <w:t>’</w:t>
      </w:r>
      <w:r w:rsidRPr="00686CD4">
        <w:rPr>
          <w:lang w:val="fr-FR"/>
        </w:rPr>
        <w:t>organisation de campagnes pour promouvoir les droits de l</w:t>
      </w:r>
      <w:r>
        <w:rPr>
          <w:lang w:val="fr-FR"/>
        </w:rPr>
        <w:t>’</w:t>
      </w:r>
      <w:r w:rsidRPr="00686CD4">
        <w:rPr>
          <w:lang w:val="fr-FR"/>
        </w:rPr>
        <w:t>enfant (notamment avec la Commission nationale pour la promotion des droits et la protection de l</w:t>
      </w:r>
      <w:r>
        <w:rPr>
          <w:lang w:val="fr-FR"/>
        </w:rPr>
        <w:t>’</w:t>
      </w:r>
      <w:r w:rsidRPr="00686CD4">
        <w:rPr>
          <w:lang w:val="fr-FR"/>
        </w:rPr>
        <w:t>enfance et de la jeunesse en ce qui concerne les châtiments corporels).</w:t>
      </w:r>
    </w:p>
    <w:p w:rsidR="002A7A34" w:rsidRPr="00686CD4" w:rsidRDefault="002A7A34" w:rsidP="00C50F09">
      <w:pPr>
        <w:pStyle w:val="H1G"/>
        <w:spacing w:before="200" w:after="100"/>
        <w:rPr>
          <w:lang w:val="fr-FR"/>
        </w:rPr>
      </w:pPr>
      <w:r w:rsidRPr="00686CD4">
        <w:rPr>
          <w:lang w:val="fr-FR"/>
        </w:rPr>
        <w:tab/>
      </w:r>
      <w:r w:rsidRPr="00686CD4">
        <w:rPr>
          <w:lang w:val="fr-FR"/>
        </w:rPr>
        <w:tab/>
        <w:t>Autres questions</w:t>
      </w:r>
      <w:bookmarkStart w:id="101" w:name="_Toc532494704"/>
      <w:bookmarkEnd w:id="101"/>
    </w:p>
    <w:p w:rsidR="002A7A34" w:rsidRPr="00686CD4" w:rsidRDefault="002A7A34" w:rsidP="00C50F09">
      <w:pPr>
        <w:pStyle w:val="H23G"/>
        <w:spacing w:before="200" w:after="100"/>
        <w:jc w:val="both"/>
        <w:rPr>
          <w:lang w:val="fr-FR"/>
        </w:rPr>
      </w:pPr>
      <w:r w:rsidRPr="00686CD4">
        <w:rPr>
          <w:lang w:val="fr-FR"/>
        </w:rPr>
        <w:tab/>
        <w:t>23.</w:t>
      </w:r>
      <w:r w:rsidRPr="00686CD4">
        <w:rPr>
          <w:lang w:val="fr-FR"/>
        </w:rPr>
        <w:tab/>
      </w:r>
      <w:bookmarkStart w:id="102" w:name="_Toc532494706"/>
      <w:r w:rsidRPr="00686CD4">
        <w:rPr>
          <w:lang w:val="fr-FR"/>
        </w:rPr>
        <w:t>Donner des renseignements à jour sur les mesures que l</w:t>
      </w:r>
      <w:r>
        <w:rPr>
          <w:lang w:val="fr-FR"/>
        </w:rPr>
        <w:t>’</w:t>
      </w:r>
      <w:r w:rsidRPr="00686CD4">
        <w:rPr>
          <w:lang w:val="fr-FR"/>
        </w:rPr>
        <w:t>État partie a prises pour répondre à la menace d</w:t>
      </w:r>
      <w:r>
        <w:rPr>
          <w:lang w:val="fr-FR"/>
        </w:rPr>
        <w:t>’</w:t>
      </w:r>
      <w:r w:rsidRPr="00686CD4">
        <w:rPr>
          <w:lang w:val="fr-FR"/>
        </w:rPr>
        <w:t>actes terroristes et indiquer si elles ont porté atteinte aux garanties concernant les droits de l</w:t>
      </w:r>
      <w:r>
        <w:rPr>
          <w:lang w:val="fr-FR"/>
        </w:rPr>
        <w:t>’</w:t>
      </w:r>
      <w:r w:rsidRPr="00686CD4">
        <w:rPr>
          <w:lang w:val="fr-FR"/>
        </w:rPr>
        <w:t>homme en droit et en pratique, et de quelle manière. Indiquer comment l</w:t>
      </w:r>
      <w:r>
        <w:rPr>
          <w:lang w:val="fr-FR"/>
        </w:rPr>
        <w:t>’</w:t>
      </w:r>
      <w:r w:rsidRPr="00686CD4">
        <w:rPr>
          <w:lang w:val="fr-FR"/>
        </w:rPr>
        <w:t xml:space="preserve">État partie assure la compatibilité de ces mesures avec toutes ses obligations en droit international, en particulier en vertu de la Convention, conformément aux résolutions du Conseil de sécurité applicables, notamment la résolution 1624 (2005). </w:t>
      </w:r>
    </w:p>
    <w:p w:rsidR="002A7A34" w:rsidRPr="00686CD4" w:rsidRDefault="002A7A34" w:rsidP="00C50F09">
      <w:pPr>
        <w:pStyle w:val="H23G"/>
        <w:spacing w:before="200" w:after="100"/>
        <w:jc w:val="both"/>
        <w:rPr>
          <w:lang w:val="fr-FR"/>
        </w:rPr>
      </w:pPr>
      <w:r w:rsidRPr="00686CD4">
        <w:rPr>
          <w:lang w:val="fr-FR"/>
        </w:rPr>
        <w:tab/>
      </w:r>
      <w:r w:rsidRPr="00686CD4">
        <w:rPr>
          <w:lang w:val="fr-FR"/>
        </w:rPr>
        <w:tab/>
        <w:t>Donner des renseignements sur la formation dispensée aux agents de la force publique dans ce domaine et indiquer le nombre de condamnations prononcées en application de la législation antiterroriste, les garanties juridiques assurées et les voies de recours ouvertes aux personnes visées par des mesures antiterroristes en droit et en pratique</w:t>
      </w:r>
      <w:r w:rsidR="00495D0F">
        <w:rPr>
          <w:lang w:val="fr-FR"/>
        </w:rPr>
        <w:t> ;</w:t>
      </w:r>
      <w:r w:rsidRPr="00686CD4">
        <w:rPr>
          <w:lang w:val="fr-FR"/>
        </w:rPr>
        <w:t xml:space="preserve"> préciser si des plaintes pour non-respect des règles internationales ont été déposées et quelle en a été l</w:t>
      </w:r>
      <w:r>
        <w:rPr>
          <w:lang w:val="fr-FR"/>
        </w:rPr>
        <w:t>’</w:t>
      </w:r>
      <w:r w:rsidRPr="00686CD4">
        <w:rPr>
          <w:lang w:val="fr-FR"/>
        </w:rPr>
        <w:t>issue.</w:t>
      </w:r>
      <w:bookmarkEnd w:id="102"/>
    </w:p>
    <w:p w:rsidR="002A7A34" w:rsidRPr="00686CD4" w:rsidRDefault="002A7A34" w:rsidP="00C50F09">
      <w:pPr>
        <w:pStyle w:val="SingleTxtG"/>
        <w:rPr>
          <w:lang w:val="fr-FR"/>
        </w:rPr>
      </w:pPr>
      <w:r w:rsidRPr="00686CD4">
        <w:rPr>
          <w:lang w:val="fr-FR"/>
        </w:rPr>
        <w:t>319.</w:t>
      </w:r>
      <w:r w:rsidRPr="00686CD4">
        <w:rPr>
          <w:lang w:val="fr-FR"/>
        </w:rPr>
        <w:tab/>
        <w:t xml:space="preserve">Les réponses fournies dans les cinquième et sixième rapports au sujet des « garanties fondamentales » demeurent valides. </w:t>
      </w:r>
    </w:p>
    <w:p w:rsidR="002A7A34" w:rsidRPr="00C50F09" w:rsidRDefault="002A7A34" w:rsidP="00C50F09">
      <w:pPr>
        <w:pStyle w:val="H1G"/>
        <w:spacing w:before="200" w:after="100"/>
        <w:jc w:val="both"/>
        <w:rPr>
          <w:spacing w:val="-2"/>
          <w:lang w:val="fr-FR"/>
        </w:rPr>
      </w:pPr>
      <w:r w:rsidRPr="00686CD4">
        <w:rPr>
          <w:lang w:val="fr-FR"/>
        </w:rPr>
        <w:tab/>
      </w:r>
      <w:r w:rsidRPr="00686CD4">
        <w:rPr>
          <w:lang w:val="fr-FR"/>
        </w:rPr>
        <w:tab/>
      </w:r>
      <w:r w:rsidRPr="00C50F09">
        <w:rPr>
          <w:spacing w:val="-2"/>
          <w:lang w:val="fr-FR"/>
        </w:rPr>
        <w:t>Renseignements d’ordre général sur les autres mesures et faits nouveaux concernant la mise en œuvre de la Convention dans l’État partie</w:t>
      </w:r>
      <w:bookmarkStart w:id="103" w:name="_Toc532494707"/>
      <w:bookmarkEnd w:id="103"/>
    </w:p>
    <w:p w:rsidR="002A7A34" w:rsidRPr="00686CD4" w:rsidRDefault="002A7A34" w:rsidP="00C50F09">
      <w:pPr>
        <w:pStyle w:val="H23G"/>
        <w:spacing w:before="200" w:after="100"/>
        <w:jc w:val="both"/>
        <w:rPr>
          <w:lang w:val="fr-FR"/>
        </w:rPr>
      </w:pPr>
      <w:r w:rsidRPr="00686CD4">
        <w:rPr>
          <w:lang w:val="fr-FR"/>
        </w:rPr>
        <w:tab/>
        <w:t>24.</w:t>
      </w:r>
      <w:r w:rsidRPr="00686CD4">
        <w:rPr>
          <w:lang w:val="fr-FR"/>
        </w:rPr>
        <w:tab/>
        <w:t>Donner des informations détaillées sur toute mesure pertinente d</w:t>
      </w:r>
      <w:r>
        <w:rPr>
          <w:lang w:val="fr-FR"/>
        </w:rPr>
        <w:t>’</w:t>
      </w:r>
      <w:r w:rsidRPr="00686CD4">
        <w:rPr>
          <w:lang w:val="fr-FR"/>
        </w:rPr>
        <w:t>ordre législatif, administratif, judiciaire ou autre qui a été prise depuis l</w:t>
      </w:r>
      <w:r>
        <w:rPr>
          <w:lang w:val="fr-FR"/>
        </w:rPr>
        <w:t>’</w:t>
      </w:r>
      <w:r w:rsidRPr="00686CD4">
        <w:rPr>
          <w:lang w:val="fr-FR"/>
        </w:rPr>
        <w:t>examen du précédent rapport périodique pour mettre en œuvre les dispositions de la Convention ou pour donner suite aux recommandations du Comité. Il peut s</w:t>
      </w:r>
      <w:r>
        <w:rPr>
          <w:lang w:val="fr-FR"/>
        </w:rPr>
        <w:t>’</w:t>
      </w:r>
      <w:r w:rsidRPr="00686CD4">
        <w:rPr>
          <w:lang w:val="fr-FR"/>
        </w:rPr>
        <w:t>agir aussi de changements institutionnels et de plans ou programmes. Préciser les ressources allouées et fournir des données statistiques ou tout autre renseignement que l</w:t>
      </w:r>
      <w:r>
        <w:rPr>
          <w:lang w:val="fr-FR"/>
        </w:rPr>
        <w:t>’</w:t>
      </w:r>
      <w:r w:rsidRPr="00686CD4">
        <w:rPr>
          <w:lang w:val="fr-FR"/>
        </w:rPr>
        <w:t>État partie estime utile.</w:t>
      </w:r>
      <w:bookmarkStart w:id="104" w:name="_Toc532494708"/>
      <w:bookmarkEnd w:id="104"/>
    </w:p>
    <w:p w:rsidR="002A7A34" w:rsidRPr="00686CD4" w:rsidRDefault="002A7A34" w:rsidP="002A7A34">
      <w:pPr>
        <w:pStyle w:val="SingleTxtG"/>
        <w:rPr>
          <w:lang w:val="fr-FR"/>
        </w:rPr>
      </w:pPr>
      <w:r w:rsidRPr="00686CD4">
        <w:rPr>
          <w:lang w:val="fr-FR"/>
        </w:rPr>
        <w:t>320.</w:t>
      </w:r>
      <w:r w:rsidRPr="00686CD4">
        <w:rPr>
          <w:lang w:val="fr-FR"/>
        </w:rPr>
        <w:tab/>
        <w:t xml:space="preserve">Les révisions pertinentes apportées à la législation et aux politiques publiques depuis </w:t>
      </w:r>
      <w:r w:rsidR="001B0631">
        <w:rPr>
          <w:lang w:val="fr-FR"/>
        </w:rPr>
        <w:t xml:space="preserve">2013 </w:t>
      </w:r>
      <w:r>
        <w:rPr>
          <w:lang w:val="fr-FR"/>
        </w:rPr>
        <w:t>sont les suivantes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t xml:space="preserve">La loi </w:t>
      </w:r>
      <w:r w:rsidR="00217D8F" w:rsidRPr="00553571">
        <w:rPr>
          <w:rFonts w:eastAsia="MS Mincho"/>
          <w:lang w:val="fr-FR"/>
        </w:rPr>
        <w:t>n</w:t>
      </w:r>
      <w:r w:rsidR="00217D8F" w:rsidRPr="00553571">
        <w:rPr>
          <w:rFonts w:eastAsia="MS Mincho"/>
          <w:vertAlign w:val="superscript"/>
          <w:lang w:val="fr-FR"/>
        </w:rPr>
        <w:t>o</w:t>
      </w:r>
      <w:r w:rsidR="00217D8F">
        <w:rPr>
          <w:lang w:val="fr-FR"/>
        </w:rPr>
        <w:t> </w:t>
      </w:r>
      <w:r w:rsidRPr="00686CD4">
        <w:rPr>
          <w:lang w:val="fr-FR"/>
        </w:rPr>
        <w:t>26/2014</w:t>
      </w:r>
      <w:r>
        <w:rPr>
          <w:lang w:val="fr-FR"/>
        </w:rPr>
        <w:t xml:space="preserve"> du 5 mai, portant modification de la loi </w:t>
      </w:r>
      <w:r w:rsidR="00217D8F" w:rsidRPr="00553571">
        <w:rPr>
          <w:rFonts w:eastAsia="MS Mincho"/>
          <w:lang w:val="fr-FR"/>
        </w:rPr>
        <w:t>n</w:t>
      </w:r>
      <w:r w:rsidR="00217D8F" w:rsidRPr="00553571">
        <w:rPr>
          <w:rFonts w:eastAsia="MS Mincho"/>
          <w:vertAlign w:val="superscript"/>
          <w:lang w:val="fr-FR"/>
        </w:rPr>
        <w:t>o</w:t>
      </w:r>
      <w:r w:rsidR="00217D8F">
        <w:rPr>
          <w:lang w:val="fr-FR"/>
        </w:rPr>
        <w:t> </w:t>
      </w:r>
      <w:r w:rsidRPr="00686CD4">
        <w:rPr>
          <w:lang w:val="fr-FR"/>
        </w:rPr>
        <w:t xml:space="preserve">27/2008 </w:t>
      </w:r>
      <w:r>
        <w:rPr>
          <w:lang w:val="fr-FR"/>
        </w:rPr>
        <w:t xml:space="preserve">du 30 juin établit les conditions et les procédures d’octroi de l’asile, du statut de réfugiés et d’une protection subsidiaire. Ce nouvel instrument assure une meilleure protection </w:t>
      </w:r>
      <w:r>
        <w:rPr>
          <w:lang w:val="fr-FR"/>
        </w:rPr>
        <w:lastRenderedPageBreak/>
        <w:t>des droits de l’homme en garantissant les droits particuliers de personnes particulièrement vulnérables, comme les personnes handicapées, en ce qui concerne l’aide médicale, la fourniture de médicaments, les soins de santé et l’aide sociale</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 xml:space="preserve">L’arrêté ministériel </w:t>
      </w:r>
      <w:r w:rsidR="00217D8F" w:rsidRPr="00553571">
        <w:rPr>
          <w:rFonts w:eastAsia="MS Mincho"/>
          <w:lang w:val="fr-FR"/>
        </w:rPr>
        <w:t>n</w:t>
      </w:r>
      <w:r w:rsidR="00217D8F" w:rsidRPr="00553571">
        <w:rPr>
          <w:rFonts w:eastAsia="MS Mincho"/>
          <w:vertAlign w:val="superscript"/>
          <w:lang w:val="fr-FR"/>
        </w:rPr>
        <w:t>o</w:t>
      </w:r>
      <w:r w:rsidR="00217D8F">
        <w:rPr>
          <w:lang w:val="fr-FR"/>
        </w:rPr>
        <w:t> </w:t>
      </w:r>
      <w:r w:rsidRPr="00686CD4">
        <w:rPr>
          <w:lang w:val="fr-FR"/>
        </w:rPr>
        <w:t xml:space="preserve">11838/2016 </w:t>
      </w:r>
      <w:r>
        <w:rPr>
          <w:lang w:val="fr-FR"/>
        </w:rPr>
        <w:t>du 4 octobre, publié conjointement par le Ministère des affaires intérieures et le Ministère de la justice, approuve un mécanisme de communication obligatoire de renseignements et de partage d’informations concernant les plaintes déposées à leur arrivée en prison par les détenus, les prisonniers ou les personnes internées, qui peuvent avoir été blessés ou qui prétendent avoir fait l’objet de violences physiques pendant leur garde à vue. Ce</w:t>
      </w:r>
      <w:r w:rsidR="001B0631">
        <w:rPr>
          <w:lang w:val="fr-FR"/>
        </w:rPr>
        <w:t> </w:t>
      </w:r>
      <w:r>
        <w:rPr>
          <w:lang w:val="fr-FR"/>
        </w:rPr>
        <w:t xml:space="preserve">mécanisme garantit que les deux </w:t>
      </w:r>
      <w:r w:rsidR="001B0631">
        <w:rPr>
          <w:lang w:val="fr-FR"/>
        </w:rPr>
        <w:t>M</w:t>
      </w:r>
      <w:r>
        <w:rPr>
          <w:lang w:val="fr-FR"/>
        </w:rPr>
        <w:t>inistères disposent à tout moment de toutes les informations nécessaires pour protéger les droits fondamentaux des détenus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 xml:space="preserve">L’arrêté ministériel </w:t>
      </w:r>
      <w:r w:rsidR="00217D8F" w:rsidRPr="00553571">
        <w:rPr>
          <w:rFonts w:eastAsia="MS Mincho"/>
          <w:lang w:val="fr-FR"/>
        </w:rPr>
        <w:t>n</w:t>
      </w:r>
      <w:r w:rsidR="00217D8F" w:rsidRPr="00553571">
        <w:rPr>
          <w:rFonts w:eastAsia="MS Mincho"/>
          <w:vertAlign w:val="superscript"/>
          <w:lang w:val="fr-FR"/>
        </w:rPr>
        <w:t>o</w:t>
      </w:r>
      <w:r w:rsidR="00217D8F">
        <w:rPr>
          <w:lang w:val="fr-FR"/>
        </w:rPr>
        <w:t> </w:t>
      </w:r>
      <w:r w:rsidRPr="00686CD4">
        <w:rPr>
          <w:lang w:val="fr-FR"/>
        </w:rPr>
        <w:t>5863/2015</w:t>
      </w:r>
      <w:r>
        <w:rPr>
          <w:lang w:val="fr-FR"/>
        </w:rPr>
        <w:t xml:space="preserve"> du 2 juin approuve la nouvelle réglementation des conditions matérielles de détention dans les prisons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 xml:space="preserve">L’arrêté ministériel </w:t>
      </w:r>
      <w:r w:rsidR="00217D8F" w:rsidRPr="00553571">
        <w:rPr>
          <w:rFonts w:eastAsia="MS Mincho"/>
          <w:lang w:val="fr-FR"/>
        </w:rPr>
        <w:t>n</w:t>
      </w:r>
      <w:r w:rsidR="00217D8F" w:rsidRPr="00553571">
        <w:rPr>
          <w:rFonts w:eastAsia="MS Mincho"/>
          <w:vertAlign w:val="superscript"/>
          <w:lang w:val="fr-FR"/>
        </w:rPr>
        <w:t>o</w:t>
      </w:r>
      <w:r w:rsidR="00217D8F">
        <w:rPr>
          <w:lang w:val="fr-FR"/>
        </w:rPr>
        <w:t> </w:t>
      </w:r>
      <w:r w:rsidRPr="00686CD4">
        <w:rPr>
          <w:lang w:val="fr-FR"/>
        </w:rPr>
        <w:t xml:space="preserve">10728/2015 </w:t>
      </w:r>
      <w:r>
        <w:rPr>
          <w:lang w:val="fr-FR"/>
        </w:rPr>
        <w:t>approuve une nouvelle réglementation des procédures d’inspection des centres de détention temporaire dans les aéroports portugais</w:t>
      </w:r>
      <w:r w:rsidR="00495D0F">
        <w:rPr>
          <w:lang w:val="fr-FR"/>
        </w:rPr>
        <w:t> ;</w:t>
      </w:r>
    </w:p>
    <w:p w:rsidR="002A7A34" w:rsidRPr="00686CD4" w:rsidRDefault="002A7A34" w:rsidP="002A7A34">
      <w:pPr>
        <w:pStyle w:val="Bullet1G"/>
        <w:numPr>
          <w:ilvl w:val="0"/>
          <w:numId w:val="0"/>
        </w:numPr>
        <w:tabs>
          <w:tab w:val="left" w:pos="1701"/>
        </w:tabs>
        <w:ind w:left="1701" w:hanging="170"/>
        <w:rPr>
          <w:lang w:val="fr-FR"/>
        </w:rPr>
      </w:pPr>
      <w:r w:rsidRPr="00686CD4">
        <w:rPr>
          <w:lang w:val="fr-FR"/>
        </w:rPr>
        <w:t>•</w:t>
      </w:r>
      <w:r w:rsidRPr="00686CD4">
        <w:rPr>
          <w:lang w:val="fr-FR"/>
        </w:rPr>
        <w:tab/>
      </w:r>
      <w:r>
        <w:rPr>
          <w:lang w:val="fr-FR"/>
        </w:rPr>
        <w:t xml:space="preserve">La loi </w:t>
      </w:r>
      <w:r w:rsidR="00217D8F" w:rsidRPr="00553571">
        <w:rPr>
          <w:rFonts w:eastAsia="MS Mincho"/>
          <w:lang w:val="fr-FR"/>
        </w:rPr>
        <w:t>n</w:t>
      </w:r>
      <w:r w:rsidR="00217D8F" w:rsidRPr="00553571">
        <w:rPr>
          <w:rFonts w:eastAsia="MS Mincho"/>
          <w:vertAlign w:val="superscript"/>
          <w:lang w:val="fr-FR"/>
        </w:rPr>
        <w:t>o</w:t>
      </w:r>
      <w:r w:rsidR="00217D8F">
        <w:rPr>
          <w:lang w:val="fr-FR"/>
        </w:rPr>
        <w:t> </w:t>
      </w:r>
      <w:r w:rsidRPr="00686CD4">
        <w:rPr>
          <w:lang w:val="fr-FR"/>
        </w:rPr>
        <w:t>93/2017</w:t>
      </w:r>
      <w:r>
        <w:rPr>
          <w:lang w:val="fr-FR"/>
        </w:rPr>
        <w:t xml:space="preserve"> sur la non-discrimination qui vient d’être publiée</w:t>
      </w:r>
      <w:r w:rsidRPr="00686CD4">
        <w:rPr>
          <w:lang w:val="fr-FR"/>
        </w:rPr>
        <w:t xml:space="preserve">. </w:t>
      </w:r>
      <w:r>
        <w:rPr>
          <w:lang w:val="fr-FR"/>
        </w:rPr>
        <w:t>Voir la réponse donnée au paragraphe </w:t>
      </w:r>
      <w:r w:rsidRPr="00686CD4">
        <w:rPr>
          <w:lang w:val="fr-FR"/>
        </w:rPr>
        <w:t>20</w:t>
      </w:r>
      <w:r w:rsidR="001B0631">
        <w:rPr>
          <w:lang w:val="fr-FR"/>
        </w:rPr>
        <w:t> </w:t>
      </w:r>
      <w:bookmarkStart w:id="105" w:name="_GoBack"/>
      <w:bookmarkEnd w:id="105"/>
      <w:r w:rsidRPr="00686CD4">
        <w:rPr>
          <w:lang w:val="fr-FR"/>
        </w:rPr>
        <w:t>c)</w:t>
      </w:r>
      <w:r w:rsidR="00495D0F">
        <w:rPr>
          <w:lang w:val="fr-FR"/>
        </w:rPr>
        <w:t> ;</w:t>
      </w:r>
    </w:p>
    <w:p w:rsidR="00BA41F4" w:rsidRPr="002A7A34" w:rsidRDefault="002A7A34" w:rsidP="002A7A34">
      <w:pPr>
        <w:pStyle w:val="Bullet1G"/>
      </w:pPr>
      <w:r>
        <w:rPr>
          <w:lang w:val="fr-FR"/>
        </w:rPr>
        <w:t xml:space="preserve">La mise en œuvre du </w:t>
      </w:r>
      <w:r w:rsidRPr="00B049FE">
        <w:rPr>
          <w:i/>
          <w:lang w:val="fr-FR"/>
        </w:rPr>
        <w:t>Programme de l</w:t>
      </w:r>
      <w:r>
        <w:rPr>
          <w:i/>
          <w:lang w:val="fr-FR"/>
        </w:rPr>
        <w:t>’</w:t>
      </w:r>
      <w:r w:rsidRPr="00B049FE">
        <w:rPr>
          <w:i/>
          <w:lang w:val="fr-FR"/>
        </w:rPr>
        <w:t>OMS pour l</w:t>
      </w:r>
      <w:r>
        <w:rPr>
          <w:i/>
          <w:lang w:val="fr-FR"/>
        </w:rPr>
        <w:t>’</w:t>
      </w:r>
      <w:r w:rsidRPr="00B049FE">
        <w:rPr>
          <w:i/>
          <w:lang w:val="fr-FR"/>
        </w:rPr>
        <w:t xml:space="preserve">évaluation de la qualité du respect des droits </w:t>
      </w:r>
      <w:r>
        <w:rPr>
          <w:lang w:val="fr-FR"/>
        </w:rPr>
        <w:t>au Portugal, lancé en octobre</w:t>
      </w:r>
      <w:r w:rsidR="00217D8F">
        <w:rPr>
          <w:lang w:val="fr-FR"/>
        </w:rPr>
        <w:t xml:space="preserve"> </w:t>
      </w:r>
      <w:r>
        <w:rPr>
          <w:lang w:val="fr-FR"/>
        </w:rPr>
        <w:t>2017 par le Programme national pour la santé mentale en partenariat avec l’Institut de Lisbonne pour la santé mentale. Ce projet a pour objet d’évaluer la qualité des soins et le respect des droits de l’homme dans les institutions assurant des soins de longue durée à des adultes présentant des handicaps psychosociaux</w:t>
      </w:r>
      <w:r w:rsidRPr="00686CD4">
        <w:rPr>
          <w:lang w:val="fr-FR"/>
        </w:rPr>
        <w:t xml:space="preserve">. </w:t>
      </w:r>
      <w:r>
        <w:rPr>
          <w:lang w:val="fr-FR"/>
        </w:rPr>
        <w:t>Il évalue, entre autres, la prévalence de la maltraitance et de la violence à l’égard des personnes dépendantes (c’est-à-dire les personnes placées en institution pour maladie mentale), y compris les méthodes de détection, de signalement et de protection et le mode de règlement des affaires</w:t>
      </w:r>
      <w:r w:rsidRPr="00686CD4">
        <w:rPr>
          <w:lang w:val="fr-FR"/>
        </w:rPr>
        <w:t>.</w:t>
      </w:r>
    </w:p>
    <w:p w:rsidR="002A7A34" w:rsidRPr="002A7A34" w:rsidRDefault="002A7A34" w:rsidP="002A7A34">
      <w:pPr>
        <w:pStyle w:val="SingleTxtG"/>
        <w:spacing w:before="240" w:after="0"/>
        <w:jc w:val="center"/>
        <w:rPr>
          <w:u w:val="single"/>
        </w:rPr>
      </w:pPr>
      <w:r>
        <w:rPr>
          <w:u w:val="single"/>
        </w:rPr>
        <w:tab/>
      </w:r>
      <w:r>
        <w:rPr>
          <w:u w:val="single"/>
        </w:rPr>
        <w:tab/>
      </w:r>
      <w:r>
        <w:rPr>
          <w:u w:val="single"/>
        </w:rPr>
        <w:tab/>
      </w:r>
    </w:p>
    <w:sectPr w:rsidR="002A7A34" w:rsidRPr="002A7A34" w:rsidSect="002A7A3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65F" w:rsidRPr="009C4D45" w:rsidRDefault="00B3465F" w:rsidP="009C4D45">
      <w:pPr>
        <w:pStyle w:val="Pieddepage"/>
      </w:pPr>
    </w:p>
  </w:endnote>
  <w:endnote w:type="continuationSeparator" w:id="0">
    <w:p w:rsidR="00B3465F" w:rsidRPr="009C4D45" w:rsidRDefault="00B3465F" w:rsidP="009C4D45">
      <w:pPr>
        <w:pStyle w:val="Pieddepage"/>
      </w:pPr>
    </w:p>
  </w:endnote>
  <w:endnote w:type="continuationNotice" w:id="1">
    <w:p w:rsidR="00B3465F" w:rsidRDefault="00B346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5F" w:rsidRPr="002A7A34" w:rsidRDefault="00B3465F" w:rsidP="002A7A34">
    <w:pPr>
      <w:pStyle w:val="Pieddepage"/>
      <w:tabs>
        <w:tab w:val="right" w:pos="9638"/>
      </w:tabs>
    </w:pPr>
    <w:r w:rsidRPr="002A7A34">
      <w:rPr>
        <w:b/>
        <w:sz w:val="18"/>
      </w:rPr>
      <w:fldChar w:fldCharType="begin"/>
    </w:r>
    <w:r w:rsidRPr="002A7A34">
      <w:rPr>
        <w:b/>
        <w:sz w:val="18"/>
      </w:rPr>
      <w:instrText xml:space="preserve"> PAGE  \* MERGEFORMAT </w:instrText>
    </w:r>
    <w:r w:rsidRPr="002A7A34">
      <w:rPr>
        <w:b/>
        <w:sz w:val="18"/>
      </w:rPr>
      <w:fldChar w:fldCharType="separate"/>
    </w:r>
    <w:r w:rsidRPr="002A7A34">
      <w:rPr>
        <w:b/>
        <w:noProof/>
        <w:sz w:val="18"/>
      </w:rPr>
      <w:t>2</w:t>
    </w:r>
    <w:r w:rsidRPr="002A7A34">
      <w:rPr>
        <w:b/>
        <w:sz w:val="18"/>
      </w:rPr>
      <w:fldChar w:fldCharType="end"/>
    </w:r>
    <w:r>
      <w:rPr>
        <w:b/>
        <w:sz w:val="18"/>
      </w:rPr>
      <w:tab/>
    </w:r>
    <w:r>
      <w:t>GE.18-22164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5F" w:rsidRPr="002A7A34" w:rsidRDefault="00B3465F" w:rsidP="002A7A34">
    <w:pPr>
      <w:pStyle w:val="Pieddepage"/>
      <w:tabs>
        <w:tab w:val="right" w:pos="9638"/>
      </w:tabs>
      <w:rPr>
        <w:b/>
        <w:sz w:val="18"/>
      </w:rPr>
    </w:pPr>
    <w:r>
      <w:t>GE.18-22164</w:t>
    </w:r>
    <w:r>
      <w:tab/>
    </w:r>
    <w:r w:rsidRPr="002A7A34">
      <w:rPr>
        <w:b/>
        <w:sz w:val="18"/>
      </w:rPr>
      <w:fldChar w:fldCharType="begin"/>
    </w:r>
    <w:r w:rsidRPr="002A7A34">
      <w:rPr>
        <w:b/>
        <w:sz w:val="18"/>
      </w:rPr>
      <w:instrText xml:space="preserve"> PAGE  \* MERGEFORMAT </w:instrText>
    </w:r>
    <w:r w:rsidRPr="002A7A34">
      <w:rPr>
        <w:b/>
        <w:sz w:val="18"/>
      </w:rPr>
      <w:fldChar w:fldCharType="separate"/>
    </w:r>
    <w:r w:rsidRPr="002A7A34">
      <w:rPr>
        <w:b/>
        <w:noProof/>
        <w:sz w:val="18"/>
      </w:rPr>
      <w:t>3</w:t>
    </w:r>
    <w:r w:rsidRPr="002A7A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5F" w:rsidRPr="002A7A34" w:rsidRDefault="00B3465F" w:rsidP="002A7A34">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18-22164  (F)    220519    </w:t>
    </w:r>
    <w:r w:rsidR="00CF41C5">
      <w:rPr>
        <w:sz w:val="20"/>
      </w:rPr>
      <w:t>240519</w:t>
    </w:r>
    <w:r>
      <w:rPr>
        <w:sz w:val="20"/>
      </w:rPr>
      <w:br/>
    </w:r>
    <w:r w:rsidRPr="002A7A34">
      <w:rPr>
        <w:rFonts w:ascii="C39T30Lfz" w:hAnsi="C39T30Lfz"/>
        <w:sz w:val="56"/>
      </w:rPr>
      <w:t></w:t>
    </w:r>
    <w:r w:rsidRPr="002A7A34">
      <w:rPr>
        <w:rFonts w:ascii="C39T30Lfz" w:hAnsi="C39T30Lfz"/>
        <w:sz w:val="56"/>
      </w:rPr>
      <w:t></w:t>
    </w:r>
    <w:r w:rsidRPr="002A7A34">
      <w:rPr>
        <w:rFonts w:ascii="C39T30Lfz" w:hAnsi="C39T30Lfz"/>
        <w:sz w:val="56"/>
      </w:rPr>
      <w:t></w:t>
    </w:r>
    <w:r w:rsidRPr="002A7A34">
      <w:rPr>
        <w:rFonts w:ascii="C39T30Lfz" w:hAnsi="C39T30Lfz"/>
        <w:sz w:val="56"/>
      </w:rPr>
      <w:t></w:t>
    </w:r>
    <w:r w:rsidRPr="002A7A34">
      <w:rPr>
        <w:rFonts w:ascii="C39T30Lfz" w:hAnsi="C39T30Lfz"/>
        <w:sz w:val="56"/>
      </w:rPr>
      <w:t></w:t>
    </w:r>
    <w:r w:rsidRPr="002A7A34">
      <w:rPr>
        <w:rFonts w:ascii="C39T30Lfz" w:hAnsi="C39T30Lfz"/>
        <w:sz w:val="56"/>
      </w:rPr>
      <w:t></w:t>
    </w:r>
    <w:r w:rsidRPr="002A7A34">
      <w:rPr>
        <w:rFonts w:ascii="C39T30Lfz" w:hAnsi="C39T30Lfz"/>
        <w:sz w:val="56"/>
      </w:rPr>
      <w:t></w:t>
    </w:r>
    <w:r w:rsidRPr="002A7A34">
      <w:rPr>
        <w:rFonts w:ascii="C39T30Lfz" w:hAnsi="C39T30Lfz"/>
        <w:sz w:val="56"/>
      </w:rPr>
      <w:t></w:t>
    </w:r>
    <w:r w:rsidRPr="002A7A3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PRT/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RT/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65F" w:rsidRPr="009C4D45" w:rsidRDefault="00B3465F" w:rsidP="009C4D45">
      <w:pPr>
        <w:pStyle w:val="Pieddepage"/>
        <w:tabs>
          <w:tab w:val="right" w:pos="2155"/>
        </w:tabs>
        <w:spacing w:after="80" w:line="240" w:lineRule="atLeast"/>
        <w:ind w:left="680"/>
        <w:rPr>
          <w:u w:val="single"/>
        </w:rPr>
      </w:pPr>
      <w:r>
        <w:rPr>
          <w:u w:val="single"/>
        </w:rPr>
        <w:tab/>
      </w:r>
    </w:p>
  </w:footnote>
  <w:footnote w:type="continuationSeparator" w:id="0">
    <w:p w:rsidR="00B3465F" w:rsidRPr="00035AE4" w:rsidRDefault="00B3465F" w:rsidP="00035AE4">
      <w:pPr>
        <w:pStyle w:val="Pieddepage"/>
        <w:tabs>
          <w:tab w:val="right" w:pos="2155"/>
        </w:tabs>
        <w:spacing w:after="80" w:line="240" w:lineRule="atLeast"/>
        <w:ind w:left="680"/>
        <w:rPr>
          <w:u w:val="single"/>
        </w:rPr>
      </w:pPr>
      <w:r>
        <w:rPr>
          <w:u w:val="single"/>
        </w:rPr>
        <w:tab/>
      </w:r>
    </w:p>
  </w:footnote>
  <w:footnote w:type="continuationNotice" w:id="1">
    <w:p w:rsidR="00B3465F" w:rsidRPr="00035AE4" w:rsidRDefault="00B3465F">
      <w:pPr>
        <w:spacing w:line="240" w:lineRule="auto"/>
        <w:rPr>
          <w:sz w:val="2"/>
          <w:szCs w:val="2"/>
        </w:rPr>
      </w:pPr>
    </w:p>
  </w:footnote>
  <w:footnote w:id="2">
    <w:p w:rsidR="00B3465F" w:rsidRPr="00275047" w:rsidRDefault="00B3465F">
      <w:pPr>
        <w:pStyle w:val="Notedebasdepage"/>
      </w:pPr>
      <w:r w:rsidRPr="00275047">
        <w:rPr>
          <w:rStyle w:val="Appelnotedebasdep"/>
        </w:rPr>
        <w:tab/>
      </w:r>
      <w:r w:rsidRPr="00275047">
        <w:rPr>
          <w:rStyle w:val="Appelnotedebasdep"/>
          <w:sz w:val="20"/>
          <w:vertAlign w:val="baseline"/>
        </w:rPr>
        <w:t>*</w:t>
      </w:r>
      <w:r w:rsidRPr="00275047">
        <w:rPr>
          <w:rStyle w:val="Appelnotedebasdep"/>
          <w:sz w:val="20"/>
          <w:vertAlign w:val="baseline"/>
        </w:rPr>
        <w:tab/>
      </w:r>
      <w:r w:rsidRPr="00275047">
        <w:t>Le Comité a examiné le rapport valant cinquième et sixième rapports périodiques du Portugal (CAT/C/PRT/5-6) à ses 1186</w:t>
      </w:r>
      <w:r w:rsidRPr="00CF41C5">
        <w:rPr>
          <w:vertAlign w:val="superscript"/>
        </w:rPr>
        <w:t>e</w:t>
      </w:r>
      <w:r w:rsidRPr="00275047">
        <w:t xml:space="preserve"> et 1189</w:t>
      </w:r>
      <w:r w:rsidRPr="00CF41C5">
        <w:rPr>
          <w:vertAlign w:val="superscript"/>
        </w:rPr>
        <w:t>e</w:t>
      </w:r>
      <w:r w:rsidRPr="00275047">
        <w:t xml:space="preserve"> séances, les 7 et 8 novembre 2013 (voir CAT/C/SR.1186 et 1189). À l</w:t>
      </w:r>
      <w:r>
        <w:t>’</w:t>
      </w:r>
      <w:r w:rsidRPr="00275047">
        <w:t>issue de cet examen, le Comité a adopté des observations finales (CAT/C/PRT/CO/5-6).</w:t>
      </w:r>
    </w:p>
  </w:footnote>
  <w:footnote w:id="3">
    <w:p w:rsidR="00B3465F" w:rsidRPr="00275047" w:rsidRDefault="00B3465F">
      <w:pPr>
        <w:pStyle w:val="Notedebasdepage"/>
      </w:pPr>
      <w:r w:rsidRPr="00275047">
        <w:rPr>
          <w:rStyle w:val="Appelnotedebasdep"/>
        </w:rPr>
        <w:tab/>
      </w:r>
      <w:r w:rsidRPr="00275047">
        <w:rPr>
          <w:rStyle w:val="Appelnotedebasdep"/>
          <w:sz w:val="20"/>
          <w:vertAlign w:val="baseline"/>
        </w:rPr>
        <w:t>**</w:t>
      </w:r>
      <w:r w:rsidRPr="00275047">
        <w:rPr>
          <w:rStyle w:val="Appelnotedebasdep"/>
          <w:sz w:val="20"/>
          <w:vertAlign w:val="baseline"/>
        </w:rPr>
        <w:tab/>
      </w:r>
      <w:r w:rsidRPr="00275047">
        <w:t>La version originale du présent document n</w:t>
      </w:r>
      <w:r>
        <w:t>’</w:t>
      </w:r>
      <w:r w:rsidRPr="00275047">
        <w:t>a pas été revue par les services d</w:t>
      </w:r>
      <w:r>
        <w:t>’</w:t>
      </w:r>
      <w:r w:rsidRPr="00275047">
        <w:t>édition.</w:t>
      </w:r>
    </w:p>
  </w:footnote>
  <w:footnote w:id="4">
    <w:p w:rsidR="00B3465F" w:rsidRPr="00275047" w:rsidRDefault="00B3465F">
      <w:pPr>
        <w:pStyle w:val="Notedebasdepage"/>
      </w:pPr>
      <w:r w:rsidRPr="00275047">
        <w:rPr>
          <w:rStyle w:val="Appelnotedebasdep"/>
        </w:rPr>
        <w:tab/>
      </w:r>
      <w:r w:rsidRPr="00275047">
        <w:rPr>
          <w:rStyle w:val="Appelnotedebasdep"/>
          <w:sz w:val="20"/>
          <w:vertAlign w:val="baseline"/>
        </w:rPr>
        <w:t>***</w:t>
      </w:r>
      <w:r w:rsidRPr="00275047">
        <w:rPr>
          <w:rStyle w:val="Appelnotedebasdep"/>
          <w:sz w:val="20"/>
          <w:vertAlign w:val="baseline"/>
        </w:rPr>
        <w:tab/>
      </w:r>
      <w:r w:rsidRPr="00275047">
        <w:t>Les annexes au présent rapport peuvent être consultées dans les archives du secrétariat. Elles peuvent également être consultées sur la page Web du Comité contre la torture.</w:t>
      </w:r>
    </w:p>
  </w:footnote>
  <w:footnote w:id="5">
    <w:p w:rsidR="00B3465F" w:rsidRPr="00275047" w:rsidRDefault="00B3465F" w:rsidP="002A7A34">
      <w:pPr>
        <w:pStyle w:val="Notedebasdepage"/>
      </w:pPr>
      <w:r w:rsidRPr="00275047">
        <w:tab/>
      </w:r>
      <w:r w:rsidRPr="00275047">
        <w:rPr>
          <w:rStyle w:val="Appelnotedebasdep"/>
        </w:rPr>
        <w:footnoteRef/>
      </w:r>
      <w:r w:rsidRPr="00275047">
        <w:t xml:space="preserve"> </w:t>
      </w:r>
      <w:r w:rsidRPr="00275047">
        <w:tab/>
        <w:t>https://www.cig.gov.pt/2016/09/novo-guia-para-intervencao-em-violencia-domestica-e-de-genero/.</w:t>
      </w:r>
    </w:p>
  </w:footnote>
  <w:footnote w:id="6">
    <w:p w:rsidR="00B3465F" w:rsidRPr="00B3465F" w:rsidRDefault="00B3465F" w:rsidP="002A7A34">
      <w:pPr>
        <w:pStyle w:val="Notedebasdepage"/>
        <w:rPr>
          <w:lang w:val="es-ES"/>
        </w:rPr>
      </w:pPr>
      <w:r w:rsidRPr="00275047">
        <w:tab/>
      </w:r>
      <w:r w:rsidRPr="00275047">
        <w:rPr>
          <w:rStyle w:val="Appelnotedebasdep"/>
        </w:rPr>
        <w:footnoteRef/>
      </w:r>
      <w:r w:rsidRPr="00B3465F">
        <w:rPr>
          <w:lang w:val="es-ES"/>
        </w:rPr>
        <w:t xml:space="preserve"> </w:t>
      </w:r>
      <w:r w:rsidRPr="00B3465F">
        <w:rPr>
          <w:lang w:val="es-ES"/>
        </w:rPr>
        <w:tab/>
        <w:t>A</w:t>
      </w:r>
      <w:r w:rsidR="00766406">
        <w:rPr>
          <w:lang w:val="es-ES"/>
        </w:rPr>
        <w:t>pp</w:t>
      </w:r>
      <w:r w:rsidRPr="00B3465F">
        <w:rPr>
          <w:lang w:val="es-ES"/>
        </w:rPr>
        <w:t xml:space="preserve"> VD − </w:t>
      </w:r>
      <w:proofErr w:type="spellStart"/>
      <w:r w:rsidRPr="00B3465F">
        <w:rPr>
          <w:lang w:val="es-ES"/>
        </w:rPr>
        <w:t>APPoio</w:t>
      </w:r>
      <w:proofErr w:type="spellEnd"/>
      <w:r w:rsidRPr="00B3465F">
        <w:rPr>
          <w:lang w:val="es-ES"/>
        </w:rPr>
        <w:t xml:space="preserve"> Contra a </w:t>
      </w:r>
      <w:proofErr w:type="spellStart"/>
      <w:r w:rsidRPr="00B3465F">
        <w:rPr>
          <w:lang w:val="es-ES"/>
        </w:rPr>
        <w:t>Violência</w:t>
      </w:r>
      <w:proofErr w:type="spellEnd"/>
      <w:r w:rsidRPr="00B3465F">
        <w:rPr>
          <w:lang w:val="es-ES"/>
        </w:rPr>
        <w:t xml:space="preserve"> Doméstica.</w:t>
      </w:r>
    </w:p>
  </w:footnote>
  <w:footnote w:id="7">
    <w:p w:rsidR="00B3465F" w:rsidRPr="00B3465F" w:rsidRDefault="00B3465F" w:rsidP="002A7A34">
      <w:pPr>
        <w:pStyle w:val="Notedebasdepage"/>
        <w:rPr>
          <w:lang w:val="es-ES"/>
        </w:rPr>
      </w:pPr>
      <w:r w:rsidRPr="00B3465F">
        <w:rPr>
          <w:lang w:val="es-ES"/>
        </w:rPr>
        <w:tab/>
      </w:r>
      <w:r w:rsidRPr="00275047">
        <w:rPr>
          <w:rStyle w:val="Appelnotedebasdep"/>
        </w:rPr>
        <w:footnoteRef/>
      </w:r>
      <w:r w:rsidRPr="00B3465F">
        <w:rPr>
          <w:lang w:val="es-ES"/>
        </w:rPr>
        <w:tab/>
        <w:t>http://www.otsh.mai.gov.pt/Recursos/Pages/default.aspx.</w:t>
      </w:r>
    </w:p>
  </w:footnote>
  <w:footnote w:id="8">
    <w:p w:rsidR="00B3465F" w:rsidRPr="00B3465F" w:rsidRDefault="00B3465F" w:rsidP="002A7A34">
      <w:pPr>
        <w:pStyle w:val="Notedebasdepage"/>
        <w:rPr>
          <w:lang w:val="es-ES"/>
        </w:rPr>
      </w:pPr>
      <w:r w:rsidRPr="00B3465F">
        <w:rPr>
          <w:lang w:val="es-ES"/>
        </w:rPr>
        <w:tab/>
      </w:r>
      <w:r w:rsidRPr="00275047">
        <w:rPr>
          <w:rStyle w:val="Appelnotedebasdep"/>
        </w:rPr>
        <w:footnoteRef/>
      </w:r>
      <w:r w:rsidRPr="00B3465F">
        <w:rPr>
          <w:lang w:val="es-ES"/>
        </w:rPr>
        <w:t xml:space="preserve"> </w:t>
      </w:r>
      <w:r w:rsidRPr="00B3465F">
        <w:rPr>
          <w:lang w:val="es-ES"/>
        </w:rPr>
        <w:tab/>
        <w:t>http://www.cej.mj.pt/cej/recursos/ebook_civil.php.</w:t>
      </w:r>
    </w:p>
  </w:footnote>
  <w:footnote w:id="9">
    <w:p w:rsidR="00B3465F" w:rsidRPr="00B3465F" w:rsidRDefault="00B3465F" w:rsidP="002A7A34">
      <w:pPr>
        <w:pStyle w:val="Notedebasdepage"/>
        <w:rPr>
          <w:lang w:val="es-ES"/>
        </w:rPr>
      </w:pPr>
      <w:r w:rsidRPr="00B3465F">
        <w:rPr>
          <w:lang w:val="es-ES"/>
        </w:rPr>
        <w:tab/>
      </w:r>
      <w:r w:rsidRPr="00275047">
        <w:rPr>
          <w:rStyle w:val="Appelnotedebasdep"/>
        </w:rPr>
        <w:footnoteRef/>
      </w:r>
      <w:r w:rsidRPr="00B3465F">
        <w:rPr>
          <w:lang w:val="es-ES"/>
        </w:rPr>
        <w:t xml:space="preserve"> </w:t>
      </w:r>
      <w:r w:rsidRPr="00B3465F">
        <w:rPr>
          <w:lang w:val="es-ES"/>
        </w:rPr>
        <w:tab/>
        <w:t xml:space="preserve">https://www.cig.gov.pt/acoes-no-terreno/campanhas/campanha-coracao-azul/. </w:t>
      </w:r>
    </w:p>
  </w:footnote>
  <w:footnote w:id="10">
    <w:p w:rsidR="00B3465F" w:rsidRPr="00B3465F" w:rsidRDefault="00B3465F" w:rsidP="002A7A34">
      <w:pPr>
        <w:pStyle w:val="Notedebasdepage"/>
        <w:rPr>
          <w:lang w:val="es-ES"/>
        </w:rPr>
      </w:pPr>
      <w:r w:rsidRPr="00B3465F">
        <w:rPr>
          <w:lang w:val="es-ES"/>
        </w:rPr>
        <w:tab/>
      </w:r>
      <w:r w:rsidRPr="00275047">
        <w:rPr>
          <w:rStyle w:val="Appelnotedebasdep"/>
        </w:rPr>
        <w:footnoteRef/>
      </w:r>
      <w:r w:rsidRPr="00B3465F">
        <w:rPr>
          <w:lang w:val="es-ES"/>
        </w:rPr>
        <w:t xml:space="preserve"> </w:t>
      </w:r>
      <w:r w:rsidRPr="00B3465F">
        <w:rPr>
          <w:lang w:val="es-ES"/>
        </w:rPr>
        <w:tab/>
        <w:t xml:space="preserve">https://www.cig.gov.pt/acoes-no-terreno/campanhas/nao-deixe-que-o-trafico-humano-escreva-o-seu-destino/. </w:t>
      </w:r>
    </w:p>
  </w:footnote>
  <w:footnote w:id="11">
    <w:p w:rsidR="00B3465F" w:rsidRPr="00B3465F" w:rsidRDefault="00B3465F" w:rsidP="002A7A34">
      <w:pPr>
        <w:pStyle w:val="Notedebasdepage"/>
        <w:rPr>
          <w:lang w:val="es-ES"/>
        </w:rPr>
      </w:pPr>
      <w:r w:rsidRPr="00B3465F">
        <w:rPr>
          <w:lang w:val="es-ES"/>
        </w:rPr>
        <w:tab/>
      </w:r>
      <w:r w:rsidRPr="00275047">
        <w:rPr>
          <w:rStyle w:val="Appelnotedebasdep"/>
        </w:rPr>
        <w:footnoteRef/>
      </w:r>
      <w:r w:rsidRPr="00B3465F">
        <w:rPr>
          <w:lang w:val="es-ES"/>
        </w:rPr>
        <w:t xml:space="preserve"> </w:t>
      </w:r>
      <w:r w:rsidRPr="00B3465F">
        <w:rPr>
          <w:lang w:val="es-ES"/>
        </w:rPr>
        <w:tab/>
        <w:t xml:space="preserve">https://www.cig.gov.pt/acoes-no-terreno/campanhas/apanhados-no-trafico-humano/. </w:t>
      </w:r>
    </w:p>
  </w:footnote>
  <w:footnote w:id="12">
    <w:p w:rsidR="00B3465F" w:rsidRPr="00B3465F" w:rsidRDefault="00B3465F" w:rsidP="002A7A34">
      <w:pPr>
        <w:pStyle w:val="Notedebasdepage"/>
        <w:rPr>
          <w:lang w:val="es-ES"/>
        </w:rPr>
      </w:pPr>
      <w:r w:rsidRPr="00B3465F">
        <w:rPr>
          <w:lang w:val="es-ES"/>
        </w:rPr>
        <w:tab/>
      </w:r>
      <w:r w:rsidRPr="00275047">
        <w:rPr>
          <w:rStyle w:val="Appelnotedebasdep"/>
        </w:rPr>
        <w:footnoteRef/>
      </w:r>
      <w:r w:rsidRPr="00B3465F">
        <w:rPr>
          <w:lang w:val="es-ES"/>
        </w:rPr>
        <w:t xml:space="preserve"> </w:t>
      </w:r>
      <w:r w:rsidRPr="00B3465F">
        <w:rPr>
          <w:lang w:val="es-ES"/>
        </w:rPr>
        <w:tab/>
        <w:t xml:space="preserve">https://www.cig.gov.pt/acoes-no-terreno/campanhas/campanha-exploradas-e-tratadas-como-lixo/. </w:t>
      </w:r>
    </w:p>
  </w:footnote>
  <w:footnote w:id="13">
    <w:p w:rsidR="00B3465F" w:rsidRPr="00B3465F" w:rsidRDefault="00B3465F" w:rsidP="002A7A34">
      <w:pPr>
        <w:pStyle w:val="Notedebasdepage"/>
        <w:rPr>
          <w:lang w:val="es-ES"/>
        </w:rPr>
      </w:pPr>
      <w:r w:rsidRPr="00B3465F">
        <w:rPr>
          <w:lang w:val="es-ES"/>
        </w:rPr>
        <w:tab/>
      </w:r>
      <w:r w:rsidRPr="00275047">
        <w:rPr>
          <w:rStyle w:val="Appelnotedebasdep"/>
        </w:rPr>
        <w:footnoteRef/>
      </w:r>
      <w:r w:rsidRPr="00B3465F">
        <w:rPr>
          <w:lang w:val="es-ES"/>
        </w:rPr>
        <w:t xml:space="preserve"> </w:t>
      </w:r>
      <w:r w:rsidRPr="00B3465F">
        <w:rPr>
          <w:lang w:val="es-ES"/>
        </w:rPr>
        <w:tab/>
        <w:t xml:space="preserve">https://www.cig.gov.pt/acoes-no-terreno/campanhas/dia-europeu-combate-ao-trafico-seres-humanos-18-0utubro/. </w:t>
      </w:r>
    </w:p>
  </w:footnote>
  <w:footnote w:id="14">
    <w:p w:rsidR="00B3465F" w:rsidRPr="00B3465F" w:rsidRDefault="00B3465F" w:rsidP="002A7A34">
      <w:pPr>
        <w:pStyle w:val="Notedebasdepage"/>
        <w:rPr>
          <w:lang w:val="es-ES"/>
        </w:rPr>
      </w:pPr>
      <w:r w:rsidRPr="00B3465F">
        <w:rPr>
          <w:lang w:val="es-ES"/>
        </w:rPr>
        <w:tab/>
      </w:r>
      <w:r w:rsidRPr="00275047">
        <w:rPr>
          <w:rStyle w:val="Appelnotedebasdep"/>
        </w:rPr>
        <w:footnoteRef/>
      </w:r>
      <w:r w:rsidRPr="00B3465F">
        <w:rPr>
          <w:lang w:val="es-ES"/>
        </w:rPr>
        <w:tab/>
        <w:t>https://www.cig.gov.pt/2016/10/lancamentonacional-da-campanha-contra-otrafico-de-seres-humanos-13-out-Iisboa/.</w:t>
      </w:r>
    </w:p>
  </w:footnote>
  <w:footnote w:id="15">
    <w:p w:rsidR="00B3465F" w:rsidRPr="00B3465F" w:rsidRDefault="00B3465F" w:rsidP="002A7A34">
      <w:pPr>
        <w:pStyle w:val="Notedebasdepage"/>
        <w:rPr>
          <w:lang w:val="es-ES"/>
        </w:rPr>
      </w:pPr>
      <w:r w:rsidRPr="00B3465F">
        <w:rPr>
          <w:lang w:val="es-ES"/>
        </w:rPr>
        <w:tab/>
      </w:r>
      <w:r w:rsidRPr="00275047">
        <w:rPr>
          <w:rStyle w:val="Appelnotedebasdep"/>
        </w:rPr>
        <w:footnoteRef/>
      </w:r>
      <w:r w:rsidRPr="00B3465F">
        <w:rPr>
          <w:lang w:val="es-ES"/>
        </w:rPr>
        <w:tab/>
        <w:t>http://www.saudereprodutiva.dgs.pt/normas-e-orientacoes/mutilacao-genital/orientacao-n-0052012-de-06022012.aspx.</w:t>
      </w:r>
    </w:p>
  </w:footnote>
  <w:footnote w:id="16">
    <w:p w:rsidR="00B3465F" w:rsidRPr="00275047" w:rsidRDefault="00B3465F" w:rsidP="00805036">
      <w:pPr>
        <w:pStyle w:val="Notedebasdepage"/>
      </w:pPr>
      <w:r w:rsidRPr="00B3465F">
        <w:rPr>
          <w:lang w:val="es-ES"/>
        </w:rPr>
        <w:tab/>
      </w:r>
      <w:r w:rsidRPr="00275047">
        <w:rPr>
          <w:rStyle w:val="Appelnotedebasdep"/>
        </w:rPr>
        <w:footnoteRef/>
      </w:r>
      <w:r w:rsidRPr="00275047">
        <w:t xml:space="preserve"> </w:t>
      </w:r>
      <w:r w:rsidRPr="00275047">
        <w:tab/>
        <w:t>Cette formation met plus particulièrement l</w:t>
      </w:r>
      <w:r>
        <w:t>’</w:t>
      </w:r>
      <w:r w:rsidRPr="00275047">
        <w:t>accent sur les valeurs fondamentales d</w:t>
      </w:r>
      <w:r>
        <w:t>’</w:t>
      </w:r>
      <w:r w:rsidRPr="00275047">
        <w:t>indépendance, d</w:t>
      </w:r>
      <w:r>
        <w:t>’</w:t>
      </w:r>
      <w:r w:rsidRPr="00275047">
        <w:t>intégrité, de transparence, d</w:t>
      </w:r>
      <w:r>
        <w:t>’</w:t>
      </w:r>
      <w:r w:rsidRPr="00275047">
        <w:t>impartialité et de non-discrimination.</w:t>
      </w:r>
    </w:p>
  </w:footnote>
  <w:footnote w:id="17">
    <w:p w:rsidR="00B3465F" w:rsidRPr="00275047" w:rsidRDefault="00B3465F" w:rsidP="00805036">
      <w:pPr>
        <w:pStyle w:val="Notedebasdepage"/>
      </w:pPr>
      <w:r w:rsidRPr="00275047">
        <w:tab/>
      </w:r>
      <w:r w:rsidRPr="00275047">
        <w:rPr>
          <w:rStyle w:val="Appelnotedebasdep"/>
        </w:rPr>
        <w:footnoteRef/>
      </w:r>
      <w:r w:rsidRPr="00275047">
        <w:t xml:space="preserve"> </w:t>
      </w:r>
      <w:r w:rsidRPr="00275047">
        <w:tab/>
        <w:t>Sociologie et psychologie</w:t>
      </w:r>
    </w:p>
  </w:footnote>
  <w:footnote w:id="18">
    <w:p w:rsidR="00B3465F" w:rsidRPr="00275047" w:rsidRDefault="00B3465F" w:rsidP="002A7A34">
      <w:pPr>
        <w:pStyle w:val="Notedebasdepage"/>
        <w:rPr>
          <w:rFonts w:ascii="Tahoma" w:hAnsi="Tahoma" w:cs="Tahoma"/>
          <w:sz w:val="16"/>
          <w:szCs w:val="16"/>
        </w:rPr>
      </w:pPr>
      <w:r w:rsidRPr="00275047">
        <w:tab/>
      </w:r>
      <w:r w:rsidRPr="00275047">
        <w:rPr>
          <w:rStyle w:val="Appelnotedebasdep"/>
        </w:rPr>
        <w:footnoteRef/>
      </w:r>
      <w:r w:rsidRPr="00275047">
        <w:t xml:space="preserve"> </w:t>
      </w:r>
      <w:r w:rsidRPr="00275047">
        <w:tab/>
        <w:t>Ainsi que déterminé par l</w:t>
      </w:r>
      <w:r>
        <w:t>’</w:t>
      </w:r>
      <w:r w:rsidRPr="00275047">
        <w:t xml:space="preserve">arrêté </w:t>
      </w:r>
      <w:r w:rsidRPr="00553571">
        <w:rPr>
          <w:rFonts w:eastAsia="MS Mincho"/>
          <w:lang w:val="fr-FR"/>
        </w:rPr>
        <w:t>n</w:t>
      </w:r>
      <w:r w:rsidRPr="00553571">
        <w:rPr>
          <w:rFonts w:eastAsia="MS Mincho"/>
          <w:vertAlign w:val="superscript"/>
          <w:lang w:val="fr-FR"/>
        </w:rPr>
        <w:t>o</w:t>
      </w:r>
      <w:r>
        <w:rPr>
          <w:lang w:val="fr-FR"/>
        </w:rPr>
        <w:t> </w:t>
      </w:r>
      <w:r w:rsidRPr="00275047">
        <w:t>7/2015 du 7 avril qui établit la période probatoire avant l</w:t>
      </w:r>
      <w:r>
        <w:t>’</w:t>
      </w:r>
      <w:r w:rsidRPr="00275047">
        <w:t>intégration dans le Service de l</w:t>
      </w:r>
      <w:r>
        <w:t>’</w:t>
      </w:r>
      <w:r w:rsidRPr="00275047">
        <w:t>immigration et des frontières.</w:t>
      </w:r>
    </w:p>
  </w:footnote>
  <w:footnote w:id="19">
    <w:p w:rsidR="00B3465F" w:rsidRPr="00275047" w:rsidRDefault="00B3465F" w:rsidP="002A7A34">
      <w:pPr>
        <w:pStyle w:val="Notedebasdepage"/>
      </w:pPr>
      <w:r w:rsidRPr="00275047">
        <w:tab/>
      </w:r>
      <w:r w:rsidRPr="00275047">
        <w:rPr>
          <w:rStyle w:val="Appelnotedebasdep"/>
        </w:rPr>
        <w:footnoteRef/>
      </w:r>
      <w:r w:rsidRPr="00275047">
        <w:tab/>
        <w:t>https://justica.gov.pt/Noticias/Proposta-a-10-anos-para-o-sistema-prisional.</w:t>
      </w:r>
    </w:p>
  </w:footnote>
  <w:footnote w:id="20">
    <w:p w:rsidR="00B3465F" w:rsidRPr="00275047" w:rsidRDefault="00B3465F" w:rsidP="002A7A34">
      <w:pPr>
        <w:pStyle w:val="Notedebasdepage"/>
      </w:pPr>
      <w:r w:rsidRPr="00275047">
        <w:tab/>
      </w:r>
      <w:r w:rsidRPr="00275047">
        <w:rPr>
          <w:rStyle w:val="Appelnotedebasdep"/>
        </w:rPr>
        <w:footnoteRef/>
      </w:r>
      <w:r w:rsidRPr="00275047">
        <w:tab/>
        <w:t>http://www.sg.min-saude.pt/sg/conteudos/cnsm/cta_sm.htm.</w:t>
      </w:r>
    </w:p>
  </w:footnote>
  <w:footnote w:id="21">
    <w:p w:rsidR="00B3465F" w:rsidRPr="00275047" w:rsidRDefault="00B3465F" w:rsidP="002A7A34">
      <w:pPr>
        <w:pStyle w:val="Notedebasdepage"/>
        <w:rPr>
          <w:sz w:val="16"/>
          <w:szCs w:val="16"/>
        </w:rPr>
      </w:pPr>
      <w:r w:rsidRPr="00275047">
        <w:rPr>
          <w:sz w:val="16"/>
          <w:szCs w:val="16"/>
        </w:rPr>
        <w:tab/>
      </w:r>
      <w:r w:rsidRPr="00275047">
        <w:rPr>
          <w:rStyle w:val="Appelnotedebasdep"/>
        </w:rPr>
        <w:footnoteRef/>
      </w:r>
      <w:r w:rsidRPr="00275047">
        <w:rPr>
          <w:sz w:val="16"/>
          <w:szCs w:val="16"/>
        </w:rPr>
        <w:tab/>
      </w:r>
      <w:r w:rsidRPr="00275047">
        <w:rPr>
          <w:rFonts w:eastAsia="Calibri"/>
        </w:rPr>
        <w:t>Vérifications, enquêtes et actions disciplinaires.</w:t>
      </w:r>
    </w:p>
  </w:footnote>
  <w:footnote w:id="22">
    <w:p w:rsidR="00B3465F" w:rsidRPr="00275047" w:rsidRDefault="00B3465F" w:rsidP="002A7A34">
      <w:pPr>
        <w:pStyle w:val="Notedebasdepage"/>
      </w:pPr>
      <w:r w:rsidRPr="00275047">
        <w:rPr>
          <w:rFonts w:eastAsia="Calibri"/>
        </w:rPr>
        <w:tab/>
      </w:r>
      <w:r w:rsidRPr="00275047">
        <w:rPr>
          <w:rStyle w:val="Appelnotedebasdep"/>
        </w:rPr>
        <w:footnoteRef/>
      </w:r>
      <w:r w:rsidRPr="00275047">
        <w:tab/>
        <w:t>https://dre.pt/application/file/a/108039214</w:t>
      </w:r>
      <w:r w:rsidR="00D8277B">
        <w:t>.</w:t>
      </w:r>
    </w:p>
  </w:footnote>
  <w:footnote w:id="23">
    <w:p w:rsidR="00B3465F" w:rsidRPr="00B3465F" w:rsidRDefault="00B3465F" w:rsidP="002A7A34">
      <w:pPr>
        <w:pStyle w:val="Notedebasdepage"/>
        <w:rPr>
          <w:lang w:val="en-US"/>
        </w:rPr>
      </w:pPr>
      <w:r w:rsidRPr="00275047">
        <w:tab/>
      </w:r>
      <w:r w:rsidRPr="00275047">
        <w:rPr>
          <w:rStyle w:val="Appelnotedebasdep"/>
        </w:rPr>
        <w:footnoteRef/>
      </w:r>
      <w:r w:rsidRPr="00B3465F">
        <w:rPr>
          <w:lang w:val="en-US"/>
        </w:rPr>
        <w:tab/>
        <w:t>http://www.descobreatuacor.pt</w:t>
      </w:r>
      <w:r w:rsidR="00D8277B">
        <w:rPr>
          <w:lang w:val="en-US"/>
        </w:rPr>
        <w:t>.</w:t>
      </w:r>
    </w:p>
  </w:footnote>
  <w:footnote w:id="24">
    <w:p w:rsidR="00B3465F" w:rsidRPr="00402E17" w:rsidRDefault="00B3465F" w:rsidP="002A7A34">
      <w:pPr>
        <w:pStyle w:val="Notedebasdepage"/>
        <w:rPr>
          <w:lang w:val="en-US"/>
        </w:rPr>
      </w:pPr>
      <w:r w:rsidRPr="00B3465F">
        <w:rPr>
          <w:lang w:val="en-US"/>
        </w:rPr>
        <w:tab/>
      </w:r>
      <w:r w:rsidRPr="00275047">
        <w:rPr>
          <w:rStyle w:val="Appelnotedebasdep"/>
        </w:rPr>
        <w:footnoteRef/>
      </w:r>
      <w:r w:rsidRPr="00B3465F">
        <w:rPr>
          <w:lang w:val="en-US"/>
        </w:rPr>
        <w:tab/>
      </w:r>
      <w:hyperlink r:id="rId1" w:history="1">
        <w:r w:rsidRPr="00B3465F">
          <w:rPr>
            <w:lang w:val="en-US"/>
          </w:rPr>
          <w:t>http://www.acm.gov.pt/documents/10181/167771/As+Cores+Da+Cidade+Cinzenta_BR.pdf/ c740288d-4832-49ff-8cfc-75d14d9b5f9f</w:t>
        </w:r>
      </w:hyperlink>
      <w:r w:rsidR="00402E17" w:rsidRPr="00402E17">
        <w:rPr>
          <w:lang w:val="en-US"/>
        </w:rPr>
        <w:t>.</w:t>
      </w:r>
    </w:p>
  </w:footnote>
  <w:footnote w:id="25">
    <w:p w:rsidR="00B3465F" w:rsidRPr="00B3465F" w:rsidRDefault="00B3465F" w:rsidP="002A7A34">
      <w:pPr>
        <w:pStyle w:val="Notedebasdepage"/>
        <w:rPr>
          <w:lang w:val="en-US"/>
        </w:rPr>
      </w:pPr>
      <w:r w:rsidRPr="00B3465F">
        <w:rPr>
          <w:lang w:val="en-US"/>
        </w:rPr>
        <w:tab/>
      </w:r>
      <w:r w:rsidRPr="00275047">
        <w:rPr>
          <w:rStyle w:val="Appelnotedebasdep"/>
        </w:rPr>
        <w:footnoteRef/>
      </w:r>
      <w:r w:rsidRPr="00B3465F">
        <w:rPr>
          <w:lang w:val="en-US"/>
        </w:rPr>
        <w:tab/>
        <w:t>http://www.acm.gov.pt/-/dia-internacional-para-a-eliminacao-da-discriminacao-racial-acm-promove-campanha-de-sensibilizacao-em-escolas-do-1-ciclo.</w:t>
      </w:r>
    </w:p>
  </w:footnote>
  <w:footnote w:id="26">
    <w:p w:rsidR="00B3465F" w:rsidRPr="00B3465F" w:rsidRDefault="00B3465F" w:rsidP="002A7A34">
      <w:pPr>
        <w:pStyle w:val="Notedebasdepage"/>
        <w:rPr>
          <w:lang w:val="en-US"/>
        </w:rPr>
      </w:pPr>
      <w:r w:rsidRPr="00B3465F">
        <w:rPr>
          <w:lang w:val="en-US"/>
        </w:rPr>
        <w:tab/>
      </w:r>
      <w:r w:rsidRPr="00275047">
        <w:rPr>
          <w:rStyle w:val="Appelnotedebasdep"/>
        </w:rPr>
        <w:footnoteRef/>
      </w:r>
      <w:r w:rsidRPr="00B3465F">
        <w:rPr>
          <w:lang w:val="en-US"/>
        </w:rPr>
        <w:tab/>
        <w:t>http://www.acm.gov.pt/-/estrategia-nacional-para-as-comunidades-ciganas-enicc-concig.</w:t>
      </w:r>
    </w:p>
  </w:footnote>
  <w:footnote w:id="27">
    <w:p w:rsidR="00B3465F" w:rsidRPr="00B3465F" w:rsidRDefault="00B3465F" w:rsidP="002A7A34">
      <w:pPr>
        <w:pStyle w:val="Notedebasdepage"/>
        <w:rPr>
          <w:lang w:val="en-US"/>
        </w:rPr>
      </w:pPr>
      <w:r w:rsidRPr="00B3465F">
        <w:rPr>
          <w:lang w:val="en-US"/>
        </w:rPr>
        <w:tab/>
      </w:r>
      <w:r w:rsidRPr="00275047">
        <w:rPr>
          <w:rStyle w:val="Appelnotedebasdep"/>
        </w:rPr>
        <w:footnoteRef/>
      </w:r>
      <w:r w:rsidRPr="00B3465F">
        <w:rPr>
          <w:lang w:val="en-US"/>
        </w:rPr>
        <w:tab/>
        <w:t>http://www.acm.gov.pt/-/fundo-de-apoio-a-estrategia-nacional-para-a-integracao-das-comunidades-ciganas-fape.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5F" w:rsidRPr="002A7A34" w:rsidRDefault="00B3465F">
    <w:pPr>
      <w:pStyle w:val="En-tte"/>
    </w:pPr>
    <w:fldSimple w:instr=" TITLE  \* MERGEFORMAT ">
      <w:r>
        <w:t>CAT/C/PRT/7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5F" w:rsidRPr="002A7A34" w:rsidRDefault="00B3465F" w:rsidP="002A7A34">
    <w:pPr>
      <w:pStyle w:val="En-tte"/>
      <w:jc w:val="right"/>
    </w:pPr>
    <w:fldSimple w:instr=" TITLE  \* MERGEFORMAT ">
      <w:r>
        <w:t>CAT/C/PRT/7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951098"/>
    <w:multiLevelType w:val="hybridMultilevel"/>
    <w:tmpl w:val="928A22B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AF3D19"/>
    <w:multiLevelType w:val="hybridMultilevel"/>
    <w:tmpl w:val="69C4DBCC"/>
    <w:lvl w:ilvl="0" w:tplc="9E98DC94">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D796B6E"/>
    <w:multiLevelType w:val="hybridMultilevel"/>
    <w:tmpl w:val="46081E32"/>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113BD2"/>
    <w:multiLevelType w:val="hybridMultilevel"/>
    <w:tmpl w:val="D22EDD20"/>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276046A1"/>
    <w:multiLevelType w:val="hybridMultilevel"/>
    <w:tmpl w:val="289C3618"/>
    <w:lvl w:ilvl="0" w:tplc="9E98DC94">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C531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F5028D"/>
    <w:multiLevelType w:val="hybridMultilevel"/>
    <w:tmpl w:val="293E8B56"/>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9F02EA9"/>
    <w:multiLevelType w:val="hybridMultilevel"/>
    <w:tmpl w:val="86EA2A28"/>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D0B52FE"/>
    <w:multiLevelType w:val="hybridMultilevel"/>
    <w:tmpl w:val="20A00EF0"/>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E0426A0"/>
    <w:multiLevelType w:val="hybridMultilevel"/>
    <w:tmpl w:val="A2D43AA2"/>
    <w:lvl w:ilvl="0" w:tplc="9E98DC94">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5548690E"/>
    <w:multiLevelType w:val="hybridMultilevel"/>
    <w:tmpl w:val="258A884C"/>
    <w:lvl w:ilvl="0" w:tplc="9E98DC94">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64C79AA"/>
    <w:multiLevelType w:val="hybridMultilevel"/>
    <w:tmpl w:val="85F0D836"/>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887027D"/>
    <w:multiLevelType w:val="hybridMultilevel"/>
    <w:tmpl w:val="430EE512"/>
    <w:lvl w:ilvl="0" w:tplc="89A4F60E">
      <w:numFmt w:val="bullet"/>
      <w:lvlText w:val=""/>
      <w:lvlJc w:val="left"/>
      <w:pPr>
        <w:ind w:left="2844" w:hanging="576"/>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965311D"/>
    <w:multiLevelType w:val="hybridMultilevel"/>
    <w:tmpl w:val="4D6C9FC2"/>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5F057B1B"/>
    <w:multiLevelType w:val="hybridMultilevel"/>
    <w:tmpl w:val="4AF894FA"/>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22D1A30"/>
    <w:multiLevelType w:val="hybridMultilevel"/>
    <w:tmpl w:val="1BC235A6"/>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643335BA"/>
    <w:multiLevelType w:val="hybridMultilevel"/>
    <w:tmpl w:val="A22877D6"/>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503AF6"/>
    <w:multiLevelType w:val="hybridMultilevel"/>
    <w:tmpl w:val="42869B4C"/>
    <w:lvl w:ilvl="0" w:tplc="9E98DC94">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6DFF1C9C"/>
    <w:multiLevelType w:val="hybridMultilevel"/>
    <w:tmpl w:val="31AC2448"/>
    <w:lvl w:ilvl="0" w:tplc="89A4F60E">
      <w:numFmt w:val="bullet"/>
      <w:lvlText w:val=""/>
      <w:lvlJc w:val="left"/>
      <w:pPr>
        <w:ind w:left="1710" w:hanging="576"/>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73D44A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1"/>
  </w:num>
  <w:num w:numId="16">
    <w:abstractNumId w:val="12"/>
  </w:num>
  <w:num w:numId="17">
    <w:abstractNumId w:val="33"/>
  </w:num>
  <w:num w:numId="18">
    <w:abstractNumId w:val="21"/>
  </w:num>
  <w:num w:numId="19">
    <w:abstractNumId w:val="12"/>
  </w:num>
  <w:num w:numId="20">
    <w:abstractNumId w:val="19"/>
  </w:num>
  <w:num w:numId="21">
    <w:abstractNumId w:val="15"/>
  </w:num>
  <w:num w:numId="22">
    <w:abstractNumId w:val="10"/>
  </w:num>
  <w:num w:numId="23">
    <w:abstractNumId w:val="30"/>
  </w:num>
  <w:num w:numId="24">
    <w:abstractNumId w:val="18"/>
  </w:num>
  <w:num w:numId="25">
    <w:abstractNumId w:val="11"/>
  </w:num>
  <w:num w:numId="26">
    <w:abstractNumId w:val="29"/>
  </w:num>
  <w:num w:numId="27">
    <w:abstractNumId w:val="23"/>
  </w:num>
  <w:num w:numId="28">
    <w:abstractNumId w:val="22"/>
  </w:num>
  <w:num w:numId="29">
    <w:abstractNumId w:val="32"/>
  </w:num>
  <w:num w:numId="30">
    <w:abstractNumId w:val="31"/>
  </w:num>
  <w:num w:numId="31">
    <w:abstractNumId w:val="26"/>
  </w:num>
  <w:num w:numId="32">
    <w:abstractNumId w:val="16"/>
  </w:num>
  <w:num w:numId="33">
    <w:abstractNumId w:val="14"/>
  </w:num>
  <w:num w:numId="34">
    <w:abstractNumId w:val="28"/>
  </w:num>
  <w:num w:numId="35">
    <w:abstractNumId w:val="20"/>
  </w:num>
  <w:num w:numId="36">
    <w:abstractNumId w:val="35"/>
  </w:num>
  <w:num w:numId="37">
    <w:abstractNumId w:val="36"/>
  </w:num>
  <w:num w:numId="38">
    <w:abstractNumId w:val="27"/>
  </w:num>
  <w:num w:numId="39">
    <w:abstractNumId w:val="24"/>
  </w:num>
  <w:num w:numId="40">
    <w:abstractNumId w:val="25"/>
  </w:num>
  <w:num w:numId="41">
    <w:abstractNumId w:val="17"/>
  </w:num>
  <w:num w:numId="42">
    <w:abstractNumId w:val="3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613A"/>
    <w:rsid w:val="000116F5"/>
    <w:rsid w:val="000132BB"/>
    <w:rsid w:val="00023842"/>
    <w:rsid w:val="00035AE4"/>
    <w:rsid w:val="00036CD2"/>
    <w:rsid w:val="00037DF1"/>
    <w:rsid w:val="000463EF"/>
    <w:rsid w:val="0005051A"/>
    <w:rsid w:val="0007796D"/>
    <w:rsid w:val="00093A8E"/>
    <w:rsid w:val="000A2E34"/>
    <w:rsid w:val="000B13BC"/>
    <w:rsid w:val="000C27C2"/>
    <w:rsid w:val="000D5167"/>
    <w:rsid w:val="000D57A0"/>
    <w:rsid w:val="000F526A"/>
    <w:rsid w:val="00101756"/>
    <w:rsid w:val="00102CAC"/>
    <w:rsid w:val="00103DCB"/>
    <w:rsid w:val="00111F2F"/>
    <w:rsid w:val="001364D2"/>
    <w:rsid w:val="0014365E"/>
    <w:rsid w:val="0017550A"/>
    <w:rsid w:val="00176178"/>
    <w:rsid w:val="00190D15"/>
    <w:rsid w:val="001B0631"/>
    <w:rsid w:val="001D477A"/>
    <w:rsid w:val="001F481A"/>
    <w:rsid w:val="001F525A"/>
    <w:rsid w:val="00202E7C"/>
    <w:rsid w:val="00217D8F"/>
    <w:rsid w:val="00275047"/>
    <w:rsid w:val="0029512F"/>
    <w:rsid w:val="002A6FB3"/>
    <w:rsid w:val="002A7A34"/>
    <w:rsid w:val="00315004"/>
    <w:rsid w:val="00375B11"/>
    <w:rsid w:val="00394763"/>
    <w:rsid w:val="003B5019"/>
    <w:rsid w:val="003B6252"/>
    <w:rsid w:val="003C284C"/>
    <w:rsid w:val="00402E17"/>
    <w:rsid w:val="00446FE5"/>
    <w:rsid w:val="0048520A"/>
    <w:rsid w:val="00495D0F"/>
    <w:rsid w:val="00497203"/>
    <w:rsid w:val="004B44AA"/>
    <w:rsid w:val="004B6EE3"/>
    <w:rsid w:val="004C02F5"/>
    <w:rsid w:val="004D6539"/>
    <w:rsid w:val="004E167E"/>
    <w:rsid w:val="004E393D"/>
    <w:rsid w:val="004F046A"/>
    <w:rsid w:val="004F2121"/>
    <w:rsid w:val="004F7530"/>
    <w:rsid w:val="00526F69"/>
    <w:rsid w:val="0053479F"/>
    <w:rsid w:val="00553571"/>
    <w:rsid w:val="00553A1F"/>
    <w:rsid w:val="00573BE5"/>
    <w:rsid w:val="00586ED3"/>
    <w:rsid w:val="00587A52"/>
    <w:rsid w:val="00587F32"/>
    <w:rsid w:val="005970D5"/>
    <w:rsid w:val="005A51D3"/>
    <w:rsid w:val="005B30B5"/>
    <w:rsid w:val="005B4E23"/>
    <w:rsid w:val="00603D68"/>
    <w:rsid w:val="00613D41"/>
    <w:rsid w:val="00621144"/>
    <w:rsid w:val="0066310D"/>
    <w:rsid w:val="00693845"/>
    <w:rsid w:val="006E7563"/>
    <w:rsid w:val="0071601D"/>
    <w:rsid w:val="007274EC"/>
    <w:rsid w:val="007358AB"/>
    <w:rsid w:val="007432FB"/>
    <w:rsid w:val="00746934"/>
    <w:rsid w:val="00766406"/>
    <w:rsid w:val="00805036"/>
    <w:rsid w:val="0080684C"/>
    <w:rsid w:val="00807D21"/>
    <w:rsid w:val="008278E9"/>
    <w:rsid w:val="00840C6C"/>
    <w:rsid w:val="0086613A"/>
    <w:rsid w:val="00866706"/>
    <w:rsid w:val="00870293"/>
    <w:rsid w:val="00871384"/>
    <w:rsid w:val="00871C75"/>
    <w:rsid w:val="008776DC"/>
    <w:rsid w:val="008817F2"/>
    <w:rsid w:val="00890490"/>
    <w:rsid w:val="008A56EB"/>
    <w:rsid w:val="008A6606"/>
    <w:rsid w:val="008E5D00"/>
    <w:rsid w:val="008F2AD9"/>
    <w:rsid w:val="00910DBF"/>
    <w:rsid w:val="009457ED"/>
    <w:rsid w:val="00951D8A"/>
    <w:rsid w:val="009705C8"/>
    <w:rsid w:val="00975DA2"/>
    <w:rsid w:val="00980E2C"/>
    <w:rsid w:val="009C4D45"/>
    <w:rsid w:val="009C5882"/>
    <w:rsid w:val="009F531E"/>
    <w:rsid w:val="009F6AD2"/>
    <w:rsid w:val="00A05311"/>
    <w:rsid w:val="00A05770"/>
    <w:rsid w:val="00A37C92"/>
    <w:rsid w:val="00A410F8"/>
    <w:rsid w:val="00A468DE"/>
    <w:rsid w:val="00A46E3A"/>
    <w:rsid w:val="00A664FF"/>
    <w:rsid w:val="00A704A8"/>
    <w:rsid w:val="00A91924"/>
    <w:rsid w:val="00AA0CD3"/>
    <w:rsid w:val="00AB1B55"/>
    <w:rsid w:val="00AD5E26"/>
    <w:rsid w:val="00AE323C"/>
    <w:rsid w:val="00AE613A"/>
    <w:rsid w:val="00AF27B8"/>
    <w:rsid w:val="00AF4B21"/>
    <w:rsid w:val="00B3465F"/>
    <w:rsid w:val="00B545C2"/>
    <w:rsid w:val="00B76C89"/>
    <w:rsid w:val="00B9710D"/>
    <w:rsid w:val="00BA41F4"/>
    <w:rsid w:val="00BC3387"/>
    <w:rsid w:val="00BD65A4"/>
    <w:rsid w:val="00BE18DC"/>
    <w:rsid w:val="00C02897"/>
    <w:rsid w:val="00C37205"/>
    <w:rsid w:val="00C50F09"/>
    <w:rsid w:val="00C93144"/>
    <w:rsid w:val="00CA5CE1"/>
    <w:rsid w:val="00CA701C"/>
    <w:rsid w:val="00CC38C3"/>
    <w:rsid w:val="00CD326D"/>
    <w:rsid w:val="00CF41C5"/>
    <w:rsid w:val="00CF6FA2"/>
    <w:rsid w:val="00D21E12"/>
    <w:rsid w:val="00D322D1"/>
    <w:rsid w:val="00D8277B"/>
    <w:rsid w:val="00DA133D"/>
    <w:rsid w:val="00DB00CE"/>
    <w:rsid w:val="00DB1831"/>
    <w:rsid w:val="00DD3BFD"/>
    <w:rsid w:val="00E0169D"/>
    <w:rsid w:val="00E31FCF"/>
    <w:rsid w:val="00E554A4"/>
    <w:rsid w:val="00E60AB9"/>
    <w:rsid w:val="00E72A0D"/>
    <w:rsid w:val="00E82371"/>
    <w:rsid w:val="00EA0D23"/>
    <w:rsid w:val="00EA3F83"/>
    <w:rsid w:val="00ED1DDB"/>
    <w:rsid w:val="00EE6EA3"/>
    <w:rsid w:val="00F63C78"/>
    <w:rsid w:val="00F660DF"/>
    <w:rsid w:val="00F67E14"/>
    <w:rsid w:val="00F82CC6"/>
    <w:rsid w:val="00F91C59"/>
    <w:rsid w:val="00F95C08"/>
    <w:rsid w:val="00FD6677"/>
    <w:rsid w:val="00FF135C"/>
    <w:rsid w:val="00FF1BC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19277"/>
  <w15:docId w15:val="{B1CD3C67-2F4C-44F2-98C7-8EA5F9C4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cm.gov.pt/documents/10181/167771/As+Cores+Da+Cidade+Cinzenta_BR.pdf/c740288d-4832-49ff-8cfc-75d14d9b5f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69C9-DFAE-4846-B735-C2772EA1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45</Pages>
  <Words>26164</Words>
  <Characters>143908</Characters>
  <Application>Microsoft Office Word</Application>
  <DocSecurity>0</DocSecurity>
  <Lines>1199</Lines>
  <Paragraphs>339</Paragraphs>
  <ScaleCrop>false</ScaleCrop>
  <HeadingPairs>
    <vt:vector size="2" baseType="variant">
      <vt:variant>
        <vt:lpstr>Titre</vt:lpstr>
      </vt:variant>
      <vt:variant>
        <vt:i4>1</vt:i4>
      </vt:variant>
    </vt:vector>
  </HeadingPairs>
  <TitlesOfParts>
    <vt:vector size="1" baseType="lpstr">
      <vt:lpstr>CAT/C/PRT/7</vt:lpstr>
    </vt:vector>
  </TitlesOfParts>
  <Company>DCM</Company>
  <LinksUpToDate>false</LinksUpToDate>
  <CharactersWithSpaces>169733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CAT/C/PRT/7</dc:title>
  <dc:subject/>
  <dc:creator>Nathalie VITTOZ</dc:creator>
  <cp:keywords/>
  <cp:lastModifiedBy>Nathalie Vittoz</cp:lastModifiedBy>
  <cp:revision>2</cp:revision>
  <dcterms:created xsi:type="dcterms:W3CDTF">2019-05-24T09:20:00Z</dcterms:created>
  <dcterms:modified xsi:type="dcterms:W3CDTF">2019-05-24T09:20:00Z</dcterms:modified>
</cp:coreProperties>
</file>